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360"/>
        <w:jc w:val="center"/>
        <w:rPr/>
      </w:pPr>
      <w:r>
        <w:rPr/>
      </w:r>
    </w:p>
    <w:p>
      <w:pPr>
        <w:pStyle w:val="TextBody"/>
        <w:bidi w:val="0"/>
        <w:spacing w:lineRule="auto" w:line="288" w:before="0" w:after="0"/>
        <w:ind w:left="0" w:right="0" w:firstLine="360"/>
        <w:jc w:val="center"/>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ind w:left="0" w:right="0" w:firstLine="36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ind w:left="0" w:right="0" w:firstLine="360"/>
        <w:jc w:val="center"/>
        <w:rPr>
          <w:rFonts w:ascii="Helvetica;sans-serif" w:hAnsi="Helvetica;sans-serif"/>
          <w:b/>
          <w:color w:val="000000"/>
          <w:sz w:val="20"/>
        </w:rPr>
      </w:pPr>
      <w:r>
        <w:rPr>
          <w:rFonts w:ascii="Helvetica;sans-serif" w:hAnsi="Helvetica;sans-serif"/>
          <w:b/>
          <w:color w:val="000000"/>
          <w:sz w:val="20"/>
        </w:rPr>
        <w:t>Washington, D.C. 20549</w:t>
      </w:r>
    </w:p>
    <w:p>
      <w:pPr>
        <w:pStyle w:val="TextBody"/>
        <w:bidi w:val="0"/>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p>
      <w:pPr>
        <w:pStyle w:val="TextBody"/>
        <w:bidi w:val="0"/>
        <w:spacing w:lineRule="auto" w:line="288" w:before="240" w:after="283"/>
        <w:ind w:left="0" w:right="0" w:firstLine="360"/>
        <w:jc w:val="center"/>
        <w:rPr>
          <w:rFonts w:ascii="Helvetica;sans-serif" w:hAnsi="Helvetica;sans-serif"/>
          <w:b/>
          <w:color w:val="000000"/>
          <w:sz w:val="32"/>
        </w:rPr>
      </w:pPr>
      <w:r>
        <w:rPr>
          <w:rFonts w:ascii="Helvetica;sans-serif" w:hAnsi="Helvetica;sans-serif"/>
          <w:b/>
          <w:color w:val="000000"/>
          <w:sz w:val="32"/>
        </w:rPr>
        <w:t>FORM 10-Q</w:t>
      </w:r>
    </w:p>
    <w:p>
      <w:pPr>
        <w:pStyle w:val="TextBody"/>
        <w:bidi w:val="0"/>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(Mark One)</w:t>
      </w:r>
    </w:p>
    <w:tbl>
      <w:tblPr>
        <w:tblW w:w="9716" w:type="dxa"/>
        <w:jc w:val="center"/>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QUARTERLY REPORT PURSUANT TO SECTION 13 OR 15(d) OF THE SECURITIES EXCHANGE ACT OF 1934</w:t>
            </w:r>
          </w:p>
        </w:tc>
      </w:tr>
    </w:tbl>
    <w:p>
      <w:pPr>
        <w:pStyle w:val="TextBody"/>
        <w:bidi w:val="0"/>
        <w:spacing w:lineRule="auto" w:line="288" w:before="0" w:after="200"/>
        <w:ind w:left="0" w:right="0" w:firstLine="360"/>
        <w:jc w:val="center"/>
        <w:rPr/>
      </w:pPr>
      <w:r>
        <w:rPr>
          <w:rFonts w:ascii="Helvetica;sans-serif" w:hAnsi="Helvetica;sans-serif"/>
          <w:b/>
          <w:color w:val="000000"/>
          <w:sz w:val="18"/>
        </w:rPr>
        <w:t>For the quarterly period ended</w:t>
      </w:r>
      <w:r>
        <w:rPr>
          <w:color w:val="000000"/>
        </w:rPr>
        <w:t xml:space="preserve"> </w:t>
      </w:r>
      <w:r>
        <w:rPr>
          <w:rFonts w:ascii="Helvetica;sans-serif" w:hAnsi="Helvetica;sans-serif"/>
          <w:b/>
          <w:color w:val="000000"/>
          <w:sz w:val="20"/>
        </w:rPr>
        <w:t>June 30, 2025</w:t>
      </w:r>
    </w:p>
    <w:p>
      <w:pPr>
        <w:pStyle w:val="TextBody"/>
        <w:bidi w:val="0"/>
        <w:spacing w:lineRule="auto" w:line="288" w:before="0" w:after="0"/>
        <w:ind w:left="0" w:right="0" w:firstLine="360"/>
        <w:jc w:val="center"/>
        <w:rPr>
          <w:rFonts w:ascii="Helvetica;sans-serif" w:hAnsi="Helvetica;sans-serif"/>
          <w:b/>
          <w:color w:val="000000"/>
          <w:sz w:val="18"/>
        </w:rPr>
      </w:pPr>
      <w:r>
        <w:rPr>
          <w:rFonts w:ascii="Helvetica;sans-serif" w:hAnsi="Helvetica;sans-serif"/>
          <w:b/>
          <w:color w:val="000000"/>
          <w:sz w:val="18"/>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TRANSITION REPORT PURSUANT TO SECTION 13 OR 15(d) OF THE SECURITIES EXCHANGE ACT OF 1934</w:t>
            </w:r>
          </w:p>
        </w:tc>
      </w:tr>
    </w:tbl>
    <w:p>
      <w:pPr>
        <w:pStyle w:val="TextBody"/>
        <w:bidi w:val="0"/>
        <w:spacing w:lineRule="auto" w:line="288" w:before="0" w:after="100"/>
        <w:ind w:left="0" w:right="0" w:firstLine="360"/>
        <w:jc w:val="center"/>
        <w:rPr>
          <w:rFonts w:ascii="Helvetica;sans-serif" w:hAnsi="Helvetica;sans-serif"/>
          <w:b/>
          <w:color w:val="000000"/>
          <w:sz w:val="18"/>
        </w:rPr>
      </w:pPr>
      <w:r>
        <w:rPr>
          <w:rFonts w:ascii="Helvetica;sans-serif" w:hAnsi="Helvetica;sans-serif"/>
          <w:b/>
          <w:color w:val="000000"/>
          <w:sz w:val="18"/>
        </w:rPr>
        <w:t>For the transition period from ________ to ________</w:t>
      </w:r>
    </w:p>
    <w:p>
      <w:pPr>
        <w:pStyle w:val="TextBody"/>
        <w:bidi w:val="0"/>
        <w:spacing w:lineRule="auto" w:line="288" w:before="240" w:after="283"/>
        <w:ind w:left="0" w:right="0" w:firstLine="360"/>
        <w:jc w:val="center"/>
        <w:rPr/>
      </w:pPr>
      <w:r>
        <w:rPr>
          <w:rFonts w:ascii="Helvetica;sans-serif" w:hAnsi="Helvetica;sans-serif"/>
          <w:b w:val="false"/>
          <w:color w:val="000000"/>
          <w:sz w:val="20"/>
        </w:rPr>
        <w:t xml:space="preserve">Commission File Number: </w:t>
      </w:r>
      <w:r>
        <w:rPr>
          <w:rFonts w:ascii="Helvetica;sans-serif" w:hAnsi="Helvetica;sans-serif"/>
          <w:b/>
          <w:color w:val="000000"/>
          <w:sz w:val="20"/>
        </w:rPr>
        <w:t>001-40691</w:t>
      </w:r>
    </w:p>
    <w:p>
      <w:pPr>
        <w:pStyle w:val="TextBody"/>
        <w:bidi w:val="0"/>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p>
      <w:pPr>
        <w:pStyle w:val="TextBody"/>
        <w:bidi w:val="0"/>
        <w:spacing w:before="0" w:after="0"/>
        <w:ind w:left="0" w:right="0" w:firstLine="360"/>
        <w:jc w:val="center"/>
        <w:rPr/>
      </w:pPr>
      <w:r>
        <w:rPr/>
        <w:drawing>
          <wp:inline distT="0" distB="0" distL="0" distR="0">
            <wp:extent cx="4572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7200" cy="581025"/>
                    </a:xfrm>
                    <a:prstGeom prst="rect">
                      <a:avLst/>
                    </a:prstGeom>
                  </pic:spPr>
                </pic:pic>
              </a:graphicData>
            </a:graphic>
          </wp:inline>
        </w:drawing>
      </w:r>
      <w:bookmarkStart w:id="0" w:name="i-1"/>
      <w:bookmarkEnd w:id="0"/>
    </w:p>
    <w:p>
      <w:pPr>
        <w:pStyle w:val="TextBody"/>
        <w:bidi w:val="0"/>
        <w:spacing w:lineRule="auto" w:line="288" w:before="0" w:after="0"/>
        <w:ind w:left="0" w:right="0" w:firstLine="360"/>
        <w:jc w:val="center"/>
        <w:rPr>
          <w:rFonts w:ascii="Helvetica;sans-serif" w:hAnsi="Helvetica;sans-serif"/>
          <w:b/>
          <w:color w:val="000000"/>
          <w:sz w:val="48"/>
        </w:rPr>
      </w:pPr>
      <w:r>
        <w:rPr>
          <w:rFonts w:ascii="Helvetica;sans-serif" w:hAnsi="Helvetica;sans-serif"/>
          <w:b/>
          <w:color w:val="000000"/>
          <w:sz w:val="48"/>
        </w:rPr>
        <w:t>Robinhood Markets, Inc.</w:t>
      </w:r>
    </w:p>
    <w:p>
      <w:pPr>
        <w:pStyle w:val="TextBody"/>
        <w:bidi w:val="0"/>
        <w:spacing w:lineRule="auto" w:line="288" w:before="60" w:after="60"/>
        <w:ind w:left="0" w:right="0" w:firstLine="360"/>
        <w:jc w:val="center"/>
        <w:rPr>
          <w:rFonts w:ascii="Helvetica;sans-serif" w:hAnsi="Helvetica;sans-serif"/>
          <w:b w:val="false"/>
          <w:color w:val="000000"/>
          <w:sz w:val="16"/>
        </w:rPr>
      </w:pPr>
      <w:r>
        <w:rPr>
          <w:rFonts w:ascii="Helvetica;sans-serif" w:hAnsi="Helvetica;sans-serif"/>
          <w:b w:val="false"/>
          <w:color w:val="000000"/>
          <w:sz w:val="16"/>
        </w:rPr>
        <w:t>(Exact name of registrant as specified in its charter)</w:t>
      </w:r>
    </w:p>
    <w:p>
      <w:pPr>
        <w:pStyle w:val="TextBody"/>
        <w:bidi w:val="0"/>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tbl>
      <w:tblPr>
        <w:tblW w:w="3987" w:type="dxa"/>
        <w:jc w:val="left"/>
        <w:tblInd w:w="0" w:type="dxa"/>
        <w:tblLayout w:type="fixed"/>
        <w:tblCellMar>
          <w:top w:w="28" w:type="dxa"/>
          <w:left w:w="28" w:type="dxa"/>
          <w:bottom w:w="28" w:type="dxa"/>
          <w:right w:w="28" w:type="dxa"/>
        </w:tblCellMar>
      </w:tblPr>
      <w:tblGrid>
        <w:gridCol w:w="815"/>
        <w:gridCol w:w="715"/>
        <w:gridCol w:w="720"/>
        <w:gridCol w:w="109"/>
        <w:gridCol w:w="109"/>
        <w:gridCol w:w="109"/>
        <w:gridCol w:w="412"/>
        <w:gridCol w:w="412"/>
        <w:gridCol w:w="586"/>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46-4364776</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(IRS Employer</w:t>
              <w:br/>
              <w:t>Identification No.)</w:t>
            </w:r>
          </w:p>
        </w:tc>
      </w:tr>
    </w:tbl>
    <w:p>
      <w:pPr>
        <w:pStyle w:val="TextBody"/>
        <w:bidi w:val="0"/>
        <w:spacing w:lineRule="auto" w:line="288" w:before="0" w:after="0"/>
        <w:ind w:left="0" w:right="0" w:firstLine="36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85 Willow Rd</w:t>
      </w:r>
    </w:p>
    <w:p>
      <w:pPr>
        <w:pStyle w:val="TextBody"/>
        <w:bidi w:val="0"/>
        <w:spacing w:lineRule="auto" w:line="288" w:before="0" w:after="0"/>
        <w:ind w:left="0" w:right="0" w:firstLine="36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Menlo Park, CA 94025</w:t>
      </w:r>
    </w:p>
    <w:p>
      <w:pPr>
        <w:pStyle w:val="TextBody"/>
        <w:bidi w:val="0"/>
        <w:spacing w:lineRule="auto" w:line="288" w:before="0" w:after="0"/>
        <w:ind w:left="0" w:right="0" w:firstLine="360"/>
        <w:jc w:val="center"/>
        <w:rPr>
          <w:rFonts w:ascii="Helvetica;sans-serif" w:hAnsi="Helvetica;sans-serif"/>
          <w:b w:val="false"/>
          <w:color w:val="000000"/>
          <w:sz w:val="16"/>
        </w:rPr>
      </w:pPr>
      <w:r>
        <w:rPr>
          <w:rFonts w:ascii="Helvetica;sans-serif" w:hAnsi="Helvetica;sans-serif"/>
          <w:b w:val="false"/>
          <w:color w:val="000000"/>
          <w:sz w:val="16"/>
        </w:rPr>
        <w:t>(Address of principal executive offices, including zip code)</w:t>
      </w:r>
    </w:p>
    <w:p>
      <w:pPr>
        <w:pStyle w:val="TextBody"/>
        <w:bidi w:val="0"/>
        <w:spacing w:lineRule="auto" w:line="288" w:before="120" w:after="283"/>
        <w:ind w:left="0" w:right="0" w:firstLine="360"/>
        <w:jc w:val="center"/>
        <w:rPr>
          <w:rFonts w:ascii="Helvetica;sans-serif" w:hAnsi="Helvetica;sans-serif"/>
          <w:b/>
          <w:color w:val="000000"/>
          <w:sz w:val="20"/>
        </w:rPr>
      </w:pPr>
      <w:r>
        <w:rPr>
          <w:rFonts w:ascii="Helvetica;sans-serif" w:hAnsi="Helvetica;sans-serif"/>
          <w:b/>
          <w:color w:val="000000"/>
          <w:sz w:val="20"/>
        </w:rPr>
        <w:t>(844) 428-5411</w:t>
      </w:r>
    </w:p>
    <w:p>
      <w:pPr>
        <w:pStyle w:val="TextBody"/>
        <w:bidi w:val="0"/>
        <w:spacing w:lineRule="auto" w:line="288" w:before="0" w:after="0"/>
        <w:ind w:left="0" w:right="0" w:firstLine="360"/>
        <w:jc w:val="center"/>
        <w:rPr>
          <w:rFonts w:ascii="Helvetica;sans-serif" w:hAnsi="Helvetica;sans-serif"/>
          <w:b w:val="false"/>
          <w:color w:val="000000"/>
          <w:sz w:val="16"/>
        </w:rPr>
      </w:pPr>
      <w:r>
        <w:rPr>
          <w:rFonts w:ascii="Helvetica;sans-serif" w:hAnsi="Helvetica;sans-serif"/>
          <w:b w:val="false"/>
          <w:color w:val="000000"/>
          <w:sz w:val="16"/>
        </w:rPr>
        <w:t>(Registrant’s telephone number, including area code)</w:t>
      </w:r>
    </w:p>
    <w:p>
      <w:pPr>
        <w:pStyle w:val="TextBody"/>
        <w:bidi w:val="0"/>
        <w:spacing w:before="0" w:after="0"/>
        <w:ind w:left="0" w:right="0" w:firstLine="360"/>
        <w:jc w:val="center"/>
        <w:rPr/>
      </w:pPr>
      <w:r>
        <w:rPr/>
      </w:r>
    </w:p>
    <w:p>
      <w:pPr>
        <w:pStyle w:val="TextBody"/>
        <w:bidi w:val="0"/>
        <w:spacing w:lineRule="auto" w:line="288" w:before="0" w:after="120"/>
        <w:jc w:val="both"/>
        <w:rPr>
          <w:rFonts w:ascii="Helvetica;sans-serif" w:hAnsi="Helvetica;sans-serif"/>
          <w:b/>
          <w:color w:val="000000"/>
          <w:sz w:val="18"/>
        </w:rPr>
      </w:pPr>
      <w:r>
        <w:rPr>
          <w:rFonts w:ascii="Helvetica;sans-serif" w:hAnsi="Helvetica;sans-serif"/>
          <w:b/>
          <w:color w:val="000000"/>
          <w:sz w:val="18"/>
        </w:rPr>
        <w:t>Securities registered pursuant to Section 12(b) of the Act:</w:t>
      </w:r>
    </w:p>
    <w:tbl>
      <w:tblPr>
        <w:tblW w:w="9658" w:type="dxa"/>
        <w:jc w:val="left"/>
        <w:tblInd w:w="0" w:type="dxa"/>
        <w:tblLayout w:type="fixed"/>
        <w:tblCellMar>
          <w:top w:w="28" w:type="dxa"/>
          <w:left w:w="28" w:type="dxa"/>
          <w:bottom w:w="28" w:type="dxa"/>
          <w:right w:w="28" w:type="dxa"/>
        </w:tblCellMar>
      </w:tblPr>
      <w:tblGrid>
        <w:gridCol w:w="1546"/>
        <w:gridCol w:w="1356"/>
        <w:gridCol w:w="1372"/>
        <w:gridCol w:w="479"/>
        <w:gridCol w:w="479"/>
        <w:gridCol w:w="481"/>
        <w:gridCol w:w="1154"/>
        <w:gridCol w:w="1154"/>
        <w:gridCol w:w="1637"/>
      </w:tblGrid>
      <w:tr>
        <w:trPr/>
        <w:tc>
          <w:tcPr>
            <w:tcW w:w="154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Trading Symbol</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Name of each exchange on which registered</w:t>
            </w:r>
          </w:p>
        </w:tc>
      </w:tr>
      <w:tr>
        <w:trPr/>
        <w:tc>
          <w:tcPr>
            <w:tcW w:w="42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Class A Common Stock - $0.0001 par value per share</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HOOD</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The Nasdaq Stock Market LLC</w:t>
            </w:r>
          </w:p>
        </w:tc>
      </w:tr>
    </w:tbl>
    <w:p>
      <w:pPr>
        <w:pStyle w:val="TextBody"/>
        <w:bidi w:val="0"/>
        <w:spacing w:lineRule="auto" w:line="288" w:before="0" w:after="0"/>
        <w:jc w:val="both"/>
        <w:rPr/>
      </w:pPr>
      <w:r>
        <w:rPr>
          <w:rFonts w:ascii="Helvetica;sans-serif" w:hAnsi="Helvetica;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Helvetica;sans-serif" w:hAnsi="Helvetica;sans-serif"/>
          <w:b w:val="false"/>
          <w:color w:val="000000"/>
          <w:sz w:val="18"/>
        </w:rPr>
        <w:t>No </w:t>
      </w:r>
      <w:r>
        <w:rPr>
          <w:rFonts w:ascii="Wingdings;sans-serif" w:hAnsi="Wingdings;sans-serif"/>
          <w:b w:val="false"/>
          <w:color w:val="000000"/>
          <w:sz w:val="18"/>
        </w:rPr>
        <w:t>o</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Helvetica;sans-serif" w:hAnsi="Helvetica;sans-serif"/>
          <w:b w:val="false"/>
          <w:color w:val="000000"/>
          <w:sz w:val="18"/>
        </w:rPr>
        <w:t>No </w:t>
      </w:r>
      <w:r>
        <w:rPr>
          <w:rFonts w:ascii="Wingdings;sans-serif" w:hAnsi="Wingdings;sans-serif"/>
          <w:b w:val="false"/>
          <w:color w:val="000000"/>
          <w:sz w:val="18"/>
        </w:rPr>
        <w:t>o</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val="false"/>
          <w:color w:val="000000"/>
          <w:sz w:val="18"/>
        </w:rPr>
        <w:t>Large accelerated filer </w:t>
      </w:r>
      <w:r>
        <w:rPr>
          <w:color w:val="000000"/>
        </w:rPr>
        <w:t xml:space="preserve">☒     </w:t>
      </w:r>
      <w:r>
        <w:rPr>
          <w:rFonts w:ascii="Helvetica;sans-serif" w:hAnsi="Helvetica;sans-serif"/>
          <w:b w:val="false"/>
          <w:color w:val="000000"/>
          <w:sz w:val="18"/>
        </w:rPr>
        <w:t>Accelerated filer </w:t>
      </w:r>
      <w:r>
        <w:rPr>
          <w:rFonts w:ascii="Wingdings;sans-serif" w:hAnsi="Wingdings;sans-serif"/>
          <w:b w:val="false"/>
          <w:color w:val="000000"/>
          <w:sz w:val="18"/>
        </w:rPr>
        <w:t>o</w:t>
      </w:r>
      <w:r>
        <w:rPr>
          <w:color w:val="000000"/>
        </w:rPr>
        <w:t xml:space="preserve">    </w:t>
      </w:r>
      <w:r>
        <w:rPr>
          <w:rFonts w:ascii="Helvetica;sans-serif" w:hAnsi="Helvetica;sans-serif"/>
          <w:b w:val="false"/>
          <w:color w:val="000000"/>
          <w:sz w:val="18"/>
        </w:rPr>
        <w:t>Non-accelerated filer </w:t>
      </w:r>
      <w:r>
        <w:rPr>
          <w:rFonts w:ascii="Wingdings;sans-serif" w:hAnsi="Wingdings;sans-serif"/>
          <w:b w:val="false"/>
          <w:color w:val="000000"/>
          <w:sz w:val="18"/>
        </w:rPr>
        <w:t>o</w:t>
      </w:r>
      <w:r>
        <w:rPr>
          <w:color w:val="000000"/>
        </w:rPr>
        <w:t xml:space="preserve">  </w:t>
      </w:r>
      <w:r>
        <w:rPr>
          <w:rFonts w:ascii="Helvetica;sans-serif" w:hAnsi="Helvetica;sans-serif"/>
          <w:b w:val="false"/>
          <w:color w:val="000000"/>
          <w:sz w:val="18"/>
        </w:rPr>
        <w:t>Smaller reporting company </w:t>
      </w:r>
      <w:r>
        <w:rPr>
          <w:color w:val="000000"/>
        </w:rPr>
        <w:t xml:space="preserve">☐ </w:t>
      </w:r>
      <w:r>
        <w:rPr>
          <w:rFonts w:ascii="Helvetica;sans-serif" w:hAnsi="Helvetica;sans-serif"/>
          <w:b w:val="false"/>
          <w:color w:val="000000"/>
          <w:sz w:val="18"/>
        </w:rPr>
        <w:t xml:space="preserve">Emerging growth company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Helvetica;sans-serif" w:hAnsi="Helvetica;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Helvetica;sans-serif" w:hAnsi="Helvetica;sans-serif"/>
          <w:b w:val="false"/>
          <w:color w:val="000000"/>
          <w:sz w:val="18"/>
        </w:rPr>
        <w:t>No </w:t>
      </w:r>
      <w:r>
        <w:rPr>
          <w:color w:val="000000"/>
        </w:rPr>
        <w:t>☒</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 xml:space="preserve">As of July 24, 2025, the numbers of shares of the issuer’s Class A and Class B common stock outstanding were 773,963,666 and 114,711,427.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20"/>
        <w:jc w:val="center"/>
        <w:rPr/>
      </w:pPr>
      <w:r>
        <w:rPr/>
      </w:r>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TABLE OF CONTENTS</w:t>
      </w:r>
    </w:p>
    <w:tbl>
      <w:tblPr>
        <w:tblW w:w="10205" w:type="dxa"/>
        <w:jc w:val="left"/>
        <w:tblInd w:w="0" w:type="dxa"/>
        <w:tblLayout w:type="fixed"/>
        <w:tblCellMar>
          <w:top w:w="28" w:type="dxa"/>
          <w:left w:w="28" w:type="dxa"/>
          <w:bottom w:w="28" w:type="dxa"/>
          <w:right w:w="28" w:type="dxa"/>
        </w:tblCellMar>
      </w:tblPr>
      <w:tblGrid>
        <w:gridCol w:w="601"/>
        <w:gridCol w:w="529"/>
        <w:gridCol w:w="529"/>
        <w:gridCol w:w="2487"/>
        <w:gridCol w:w="2432"/>
        <w:gridCol w:w="2429"/>
        <w:gridCol w:w="109"/>
        <w:gridCol w:w="109"/>
        <w:gridCol w:w="109"/>
        <w:gridCol w:w="109"/>
        <w:gridCol w:w="221"/>
        <w:gridCol w:w="221"/>
        <w:gridCol w:w="320"/>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00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PART I - FINANCIAL INFORMATION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PAGE </w:t>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1.</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16">
              <w:r>
                <w:rPr>
                  <w:rStyle w:val="InternetLink"/>
                  <w:rFonts w:ascii="Helvetica;sans-serif" w:hAnsi="Helvetica;sans-serif"/>
                  <w:b w:val="false"/>
                  <w:color w:val="0000FF"/>
                  <w:sz w:val="20"/>
                  <w:u w:val="single"/>
                </w:rPr>
                <w:t>Unaudited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16">
              <w:r>
                <w:rPr>
                  <w:rStyle w:val="InternetLink"/>
                  <w:rFonts w:ascii="Helvetica;sans-serif" w:hAnsi="Helvetica;sans-serif"/>
                  <w:b w:val="false"/>
                  <w:color w:val="0000FF"/>
                  <w:sz w:val="20"/>
                  <w:u w:val="single"/>
                </w:rPr>
                <w:t xml:space="preserve">Condensed Consolidated Balance Sheets </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16">
              <w:r>
                <w:rPr>
                  <w:rStyle w:val="InternetLink"/>
                  <w:rFonts w:ascii="Helvetica;sans-serif" w:hAnsi="Helvetica;sans-serif"/>
                  <w:b w:val="false"/>
                  <w:color w:val="0000FF"/>
                  <w:sz w:val="20"/>
                  <w:u w:val="single"/>
                </w:rPr>
                <w:t>5</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19">
              <w:r>
                <w:rPr>
                  <w:rStyle w:val="InternetLink"/>
                  <w:rFonts w:ascii="Helvetica;sans-serif" w:hAnsi="Helvetica;sans-serif"/>
                  <w:b w:val="false"/>
                  <w:color w:val="0000FF"/>
                  <w:sz w:val="20"/>
                  <w:u w:val="single"/>
                </w:rPr>
                <w:t>Condensed Consolidated Statements of Operations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19">
              <w:r>
                <w:rPr>
                  <w:rStyle w:val="InternetLink"/>
                  <w:rFonts w:ascii="Helvetica;sans-serif" w:hAnsi="Helvetica;sans-serif"/>
                  <w:b w:val="false"/>
                  <w:color w:val="0000FF"/>
                  <w:sz w:val="20"/>
                  <w:u w:val="single"/>
                </w:rPr>
                <w:t>6</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649f205f172241eca558017a908d846a_22">
              <w:r>
                <w:rPr>
                  <w:rStyle w:val="InternetLink"/>
                  <w:rFonts w:ascii="Helvetica;sans-serif" w:hAnsi="Helvetica;sans-serif"/>
                  <w:b w:val="false"/>
                  <w:color w:val="0000FF"/>
                  <w:sz w:val="20"/>
                  <w:u w:val="single"/>
                </w:rPr>
                <w:t>Condensed Consolidated Statements of Comprehensive Income</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22">
              <w:r>
                <w:rPr>
                  <w:rStyle w:val="InternetLink"/>
                  <w:rFonts w:ascii="Helvetica;sans-serif" w:hAnsi="Helvetica;sans-serif"/>
                  <w:b w:val="false"/>
                  <w:color w:val="0000FF"/>
                  <w:sz w:val="20"/>
                  <w:u w:val="single"/>
                </w:rPr>
                <w:t>7</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25">
              <w:r>
                <w:rPr>
                  <w:rStyle w:val="InternetLink"/>
                  <w:rFonts w:ascii="Helvetica;sans-serif" w:hAnsi="Helvetica;sans-serif"/>
                  <w:b w:val="false"/>
                  <w:color w:val="0000FF"/>
                  <w:sz w:val="20"/>
                  <w:u w:val="single"/>
                </w:rPr>
                <w:t xml:space="preserve">Condensed Consolidated Statements of Cash Flows </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25">
              <w:r>
                <w:rPr>
                  <w:rStyle w:val="InternetLink"/>
                  <w:rFonts w:ascii="Helvetica;sans-serif" w:hAnsi="Helvetica;sans-serif"/>
                  <w:b w:val="false"/>
                  <w:color w:val="0000FF"/>
                  <w:sz w:val="20"/>
                  <w:u w:val="single"/>
                </w:rPr>
                <w:t>8</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28">
              <w:r>
                <w:rPr>
                  <w:rStyle w:val="InternetLink"/>
                  <w:rFonts w:ascii="Helvetica;sans-serif" w:hAnsi="Helvetica;sans-serif"/>
                  <w:b w:val="false"/>
                  <w:color w:val="0000FF"/>
                  <w:sz w:val="20"/>
                  <w:u w:val="single"/>
                </w:rPr>
                <w:t>Condensed Consolidated Statements of Stockholders’ Equity</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28">
              <w:r>
                <w:rPr>
                  <w:rStyle w:val="InternetLink"/>
                  <w:rFonts w:ascii="Helvetica;sans-serif" w:hAnsi="Helvetica;sans-serif"/>
                  <w:b w:val="false"/>
                  <w:color w:val="0000FF"/>
                  <w:sz w:val="20"/>
                  <w:u w:val="single"/>
                </w:rPr>
                <w:t>10</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34">
              <w:r>
                <w:rPr>
                  <w:rStyle w:val="InternetLink"/>
                  <w:rFonts w:ascii="Helvetica;sans-serif" w:hAnsi="Helvetica;sans-serif"/>
                  <w:b w:val="false"/>
                  <w:color w:val="0000FF"/>
                  <w:sz w:val="20"/>
                  <w:u w:val="single"/>
                </w:rPr>
                <w:t>Notes to Unaudited Condensed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37">
              <w:r>
                <w:rPr>
                  <w:rStyle w:val="InternetLink"/>
                  <w:rFonts w:ascii="Helvetica;sans-serif" w:hAnsi="Helvetica;sans-serif"/>
                  <w:b w:val="false"/>
                  <w:color w:val="0000FF"/>
                  <w:sz w:val="20"/>
                  <w:u w:val="single"/>
                </w:rPr>
                <w:t>Note 1 - Description of Business and Summary of Significant Accounting Policies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37">
              <w:r>
                <w:rPr>
                  <w:rStyle w:val="InternetLink"/>
                  <w:rFonts w:ascii="Helvetica;sans-serif" w:hAnsi="Helvetica;sans-serif"/>
                  <w:b w:val="false"/>
                  <w:color w:val="0000FF"/>
                  <w:sz w:val="20"/>
                  <w:u w:val="single"/>
                </w:rPr>
                <w:t>12</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40">
              <w:r>
                <w:rPr>
                  <w:rStyle w:val="InternetLink"/>
                  <w:rFonts w:ascii="Helvetica;sans-serif" w:hAnsi="Helvetica;sans-serif"/>
                  <w:b w:val="false"/>
                  <w:color w:val="0000FF"/>
                  <w:sz w:val="20"/>
                  <w:u w:val="single"/>
                </w:rPr>
                <w:t>Note 2 - Recent Accounting Pronouncements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40">
              <w:r>
                <w:rPr>
                  <w:rStyle w:val="InternetLink"/>
                  <w:rFonts w:ascii="Helvetica;sans-serif" w:hAnsi="Helvetica;sans-serif"/>
                  <w:b w:val="false"/>
                  <w:color w:val="0000FF"/>
                  <w:sz w:val="20"/>
                  <w:u w:val="single"/>
                </w:rPr>
                <w:t>13</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43">
              <w:bookmarkStart w:id="1" w:name="i6e43e39f5e77450095c8fd009cf4fbd5_10-1-1"/>
              <w:bookmarkEnd w:id="1"/>
              <w:r>
                <w:rPr>
                  <w:rStyle w:val="InternetLink"/>
                  <w:rFonts w:ascii="Helvetica;sans-serif" w:hAnsi="Helvetica;sans-serif"/>
                  <w:b w:val="false"/>
                  <w:color w:val="0000FF"/>
                  <w:sz w:val="20"/>
                  <w:u w:val="single"/>
                </w:rPr>
                <w:t>Note 3 - Business Combinations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43">
              <w:r>
                <w:rPr>
                  <w:rStyle w:val="InternetLink"/>
                  <w:rFonts w:ascii="Helvetica;sans-serif" w:hAnsi="Helvetica;sans-serif"/>
                  <w:b w:val="false"/>
                  <w:color w:val="0000FF"/>
                  <w:sz w:val="20"/>
                  <w:u w:val="single"/>
                </w:rPr>
                <w:t>14</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46">
              <w:r>
                <w:rPr>
                  <w:rStyle w:val="InternetLink"/>
                  <w:rFonts w:ascii="Helvetica;sans-serif" w:hAnsi="Helvetica;sans-serif"/>
                  <w:b w:val="false"/>
                  <w:color w:val="0000FF"/>
                  <w:sz w:val="20"/>
                  <w:u w:val="single"/>
                </w:rPr>
                <w:t>Note 4 - Goodwill and Intangible Assets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46">
              <w:r>
                <w:rPr>
                  <w:rStyle w:val="InternetLink"/>
                  <w:rFonts w:ascii="Helvetica;sans-serif" w:hAnsi="Helvetica;sans-serif"/>
                  <w:b w:val="false"/>
                  <w:color w:val="0000FF"/>
                  <w:sz w:val="20"/>
                  <w:u w:val="single"/>
                </w:rPr>
                <w:t>17</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49">
              <w:r>
                <w:rPr>
                  <w:rStyle w:val="InternetLink"/>
                  <w:rFonts w:ascii="Helvetica;sans-serif" w:hAnsi="Helvetica;sans-serif"/>
                  <w:b w:val="false"/>
                  <w:color w:val="0000FF"/>
                  <w:sz w:val="20"/>
                  <w:u w:val="single"/>
                </w:rPr>
                <w:t>Note 5 - Revenues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49">
              <w:r>
                <w:rPr>
                  <w:rStyle w:val="InternetLink"/>
                  <w:rFonts w:ascii="Helvetica;sans-serif" w:hAnsi="Helvetica;sans-serif"/>
                  <w:b w:val="false"/>
                  <w:color w:val="0000FF"/>
                  <w:sz w:val="20"/>
                  <w:u w:val="single"/>
                </w:rPr>
                <w:t>19</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52">
              <w:r>
                <w:rPr>
                  <w:rStyle w:val="InternetLink"/>
                  <w:rFonts w:ascii="Helvetica;sans-serif" w:hAnsi="Helvetica;sans-serif"/>
                  <w:b w:val="false"/>
                  <w:color w:val="0000FF"/>
                  <w:sz w:val="20"/>
                  <w:u w:val="single"/>
                </w:rPr>
                <w:t>Note 6 - Allowance for Credit Losses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52">
              <w:r>
                <w:rPr>
                  <w:rStyle w:val="InternetLink"/>
                  <w:rFonts w:ascii="Helvetica;sans-serif" w:hAnsi="Helvetica;sans-serif"/>
                  <w:b w:val="false"/>
                  <w:color w:val="0000FF"/>
                  <w:sz w:val="20"/>
                  <w:u w:val="single"/>
                </w:rPr>
                <w:t>21</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55">
              <w:r>
                <w:rPr>
                  <w:rStyle w:val="InternetLink"/>
                  <w:rFonts w:ascii="Helvetica;sans-serif" w:hAnsi="Helvetica;sans-serif"/>
                  <w:b w:val="false"/>
                  <w:color w:val="0000FF"/>
                  <w:sz w:val="20"/>
                  <w:u w:val="single"/>
                </w:rPr>
                <w:t>Note 7 - Investments and Fair Value Measurement</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55">
              <w:r>
                <w:rPr>
                  <w:rStyle w:val="InternetLink"/>
                  <w:rFonts w:ascii="Helvetica;sans-serif" w:hAnsi="Helvetica;sans-serif"/>
                  <w:b w:val="false"/>
                  <w:color w:val="0000FF"/>
                  <w:sz w:val="20"/>
                  <w:u w:val="single"/>
                </w:rPr>
                <w:t>22</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58">
              <w:r>
                <w:rPr>
                  <w:rStyle w:val="InternetLink"/>
                  <w:rFonts w:ascii="Helvetica;sans-serif" w:hAnsi="Helvetica;sans-serif"/>
                  <w:b w:val="false"/>
                  <w:color w:val="0000FF"/>
                  <w:sz w:val="20"/>
                  <w:u w:val="single"/>
                </w:rPr>
                <w:t>Note 8 - Income Taxes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58">
              <w:r>
                <w:rPr>
                  <w:rStyle w:val="InternetLink"/>
                  <w:rFonts w:ascii="Helvetica;sans-serif" w:hAnsi="Helvetica;sans-serif"/>
                  <w:b w:val="false"/>
                  <w:color w:val="0000FF"/>
                  <w:sz w:val="20"/>
                  <w:u w:val="single"/>
                </w:rPr>
                <w:t>26</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61">
              <w:r>
                <w:rPr>
                  <w:rStyle w:val="InternetLink"/>
                  <w:rFonts w:ascii="Helvetica;sans-serif" w:hAnsi="Helvetica;sans-serif"/>
                  <w:b w:val="false"/>
                  <w:color w:val="0000FF"/>
                  <w:sz w:val="20"/>
                  <w:u w:val="single"/>
                </w:rPr>
                <w:t>Note 9 - Securities Borrowing and Lending</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61">
              <w:r>
                <w:rPr>
                  <w:rStyle w:val="InternetLink"/>
                  <w:rFonts w:ascii="Helvetica;sans-serif" w:hAnsi="Helvetica;sans-serif"/>
                  <w:b w:val="false"/>
                  <w:color w:val="0000FF"/>
                  <w:sz w:val="20"/>
                  <w:u w:val="single"/>
                </w:rPr>
                <w:t>26</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64">
              <w:r>
                <w:rPr>
                  <w:rStyle w:val="InternetLink"/>
                  <w:rFonts w:ascii="Helvetica;sans-serif" w:hAnsi="Helvetica;sans-serif"/>
                  <w:b w:val="false"/>
                  <w:color w:val="0000FF"/>
                  <w:sz w:val="20"/>
                  <w:u w:val="single"/>
                </w:rPr>
                <w:t>Note 10 - Financing Activities and Off-Balance Sheet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64">
              <w:r>
                <w:rPr>
                  <w:rStyle w:val="InternetLink"/>
                  <w:rFonts w:ascii="Helvetica;sans-serif" w:hAnsi="Helvetica;sans-serif"/>
                  <w:b w:val="false"/>
                  <w:color w:val="0000FF"/>
                  <w:sz w:val="20"/>
                  <w:u w:val="single"/>
                </w:rPr>
                <w:t>27</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67">
              <w:r>
                <w:rPr>
                  <w:rStyle w:val="InternetLink"/>
                  <w:rFonts w:ascii="Helvetica;sans-serif" w:hAnsi="Helvetica;sans-serif"/>
                  <w:b w:val="false"/>
                  <w:color w:val="0000FF"/>
                  <w:sz w:val="20"/>
                  <w:u w:val="single"/>
                </w:rPr>
                <w:t>Note 11 - Common Stock and Stockholders</w:t>
              </w:r>
            </w:hyperlink>
            <w:r>
              <w:rPr>
                <w:color w:val="000000"/>
              </w:rPr>
              <w:t>’</w:t>
            </w:r>
            <w:hyperlink w:anchor="i649f205f172241eca558017a908d846a_67">
              <w:r>
                <w:rPr>
                  <w:rStyle w:val="InternetLink"/>
                  <w:color w:val="0000FF"/>
                  <w:u w:val="single"/>
                </w:rPr>
                <w:t xml:space="preserve"> </w:t>
              </w:r>
            </w:hyperlink>
            <w:hyperlink w:anchor="i649f205f172241eca558017a908d846a_67">
              <w:r>
                <w:rPr>
                  <w:rStyle w:val="InternetLink"/>
                  <w:rFonts w:ascii="Helvetica;sans-serif" w:hAnsi="Helvetica;sans-serif"/>
                  <w:b w:val="false"/>
                  <w:color w:val="0000FF"/>
                  <w:sz w:val="20"/>
                  <w:u w:val="single"/>
                </w:rPr>
                <w:t>Equity</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67">
              <w:r>
                <w:rPr>
                  <w:rStyle w:val="InternetLink"/>
                  <w:rFonts w:ascii="Helvetica;sans-serif" w:hAnsi="Helvetica;sans-serif"/>
                  <w:b w:val="false"/>
                  <w:color w:val="0000FF"/>
                  <w:sz w:val="20"/>
                  <w:u w:val="single"/>
                </w:rPr>
                <w:t>30</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70">
              <w:r>
                <w:rPr>
                  <w:rStyle w:val="InternetLink"/>
                  <w:rFonts w:ascii="Helvetica;sans-serif" w:hAnsi="Helvetica;sans-serif"/>
                  <w:b w:val="false"/>
                  <w:color w:val="0000FF"/>
                  <w:sz w:val="20"/>
                  <w:u w:val="single"/>
                </w:rPr>
                <w:t>Note 12 - Net Income per Share</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70">
              <w:r>
                <w:rPr>
                  <w:rStyle w:val="InternetLink"/>
                  <w:rFonts w:ascii="Helvetica;sans-serif" w:hAnsi="Helvetica;sans-serif"/>
                  <w:b w:val="false"/>
                  <w:color w:val="0000FF"/>
                  <w:sz w:val="20"/>
                  <w:u w:val="single"/>
                </w:rPr>
                <w:t>34</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73">
              <w:r>
                <w:rPr>
                  <w:rStyle w:val="InternetLink"/>
                  <w:rFonts w:ascii="Helvetica;sans-serif" w:hAnsi="Helvetica;sans-serif"/>
                  <w:b w:val="false"/>
                  <w:color w:val="0000FF"/>
                  <w:sz w:val="20"/>
                  <w:u w:val="single"/>
                </w:rPr>
                <w:t>Note 13 - Leases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73">
              <w:r>
                <w:rPr>
                  <w:rStyle w:val="InternetLink"/>
                  <w:rFonts w:ascii="Helvetica;sans-serif" w:hAnsi="Helvetica;sans-serif"/>
                  <w:b w:val="false"/>
                  <w:color w:val="0000FF"/>
                  <w:sz w:val="20"/>
                  <w:u w:val="single"/>
                </w:rPr>
                <w:t>35</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76">
              <w:r>
                <w:rPr>
                  <w:rStyle w:val="InternetLink"/>
                  <w:rFonts w:ascii="Helvetica;sans-serif" w:hAnsi="Helvetica;sans-serif"/>
                  <w:b w:val="false"/>
                  <w:color w:val="0000FF"/>
                  <w:sz w:val="20"/>
                  <w:u w:val="single"/>
                </w:rPr>
                <w:t>Note 14 - Commitments &amp; Contingencies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76">
              <w:r>
                <w:rPr>
                  <w:rStyle w:val="InternetLink"/>
                  <w:rFonts w:ascii="Helvetica;sans-serif" w:hAnsi="Helvetica;sans-serif"/>
                  <w:b w:val="false"/>
                  <w:color w:val="0000FF"/>
                  <w:sz w:val="20"/>
                  <w:u w:val="single"/>
                </w:rPr>
                <w:t>35</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2.</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121">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121">
              <w:r>
                <w:rPr>
                  <w:rStyle w:val="InternetLink"/>
                  <w:rFonts w:ascii="Helvetica;sans-serif" w:hAnsi="Helvetica;sans-serif"/>
                  <w:b w:val="false"/>
                  <w:color w:val="0000FF"/>
                  <w:sz w:val="20"/>
                  <w:u w:val="single"/>
                </w:rPr>
                <w:t>40</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3. </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208">
              <w:r>
                <w:rPr>
                  <w:rStyle w:val="InternetLink"/>
                  <w:rFonts w:ascii="Helvetica;sans-serif" w:hAnsi="Helvetica;sans-serif"/>
                  <w:b w:val="false"/>
                  <w:color w:val="0000FF"/>
                  <w:sz w:val="20"/>
                  <w:u w:val="single"/>
                </w:rPr>
                <w:t>Quantitative and Qualitative Disclosures About Market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208">
              <w:r>
                <w:rPr>
                  <w:rStyle w:val="InternetLink"/>
                  <w:rFonts w:ascii="Helvetica;sans-serif" w:hAnsi="Helvetica;sans-serif"/>
                  <w:b w:val="false"/>
                  <w:color w:val="0000FF"/>
                  <w:sz w:val="20"/>
                  <w:u w:val="single"/>
                </w:rPr>
                <w:t>57</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4. </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211">
              <w:r>
                <w:rPr>
                  <w:rStyle w:val="InternetLink"/>
                  <w:rFonts w:ascii="Helvetica;sans-serif" w:hAnsi="Helvetica;sans-serif"/>
                  <w:b w:val="false"/>
                  <w:color w:val="0000FF"/>
                  <w:sz w:val="20"/>
                  <w:u w:val="single"/>
                </w:rPr>
                <w:t>Controls and Procedures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211">
              <w:r>
                <w:rPr>
                  <w:rStyle w:val="InternetLink"/>
                  <w:rFonts w:ascii="Helvetica;sans-serif" w:hAnsi="Helvetica;sans-serif"/>
                  <w:b w:val="false"/>
                  <w:color w:val="0000FF"/>
                  <w:sz w:val="20"/>
                  <w:u w:val="single"/>
                </w:rPr>
                <w:t>58</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214">
              <w:r>
                <w:rPr>
                  <w:rStyle w:val="InternetLink"/>
                  <w:rFonts w:ascii="Helvetica;sans-serif" w:hAnsi="Helvetica;sans-serif"/>
                  <w:b/>
                  <w:color w:val="0000FF"/>
                  <w:sz w:val="20"/>
                  <w:u w:val="single"/>
                </w:rPr>
                <w:t>PART II - 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1.</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217">
              <w:r>
                <w:rPr>
                  <w:rStyle w:val="InternetLink"/>
                  <w:rFonts w:ascii="Helvetica;sans-serif" w:hAnsi="Helvetica;sans-serif"/>
                  <w:b w:val="false"/>
                  <w:color w:val="0000FF"/>
                  <w:sz w:val="20"/>
                  <w:u w:val="single"/>
                </w:rPr>
                <w:t>Legal Proceedings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217">
              <w:r>
                <w:rPr>
                  <w:rStyle w:val="InternetLink"/>
                  <w:rFonts w:ascii="Helvetica;sans-serif" w:hAnsi="Helvetica;sans-serif"/>
                  <w:b w:val="false"/>
                  <w:color w:val="0000FF"/>
                  <w:sz w:val="20"/>
                  <w:u w:val="single"/>
                </w:rPr>
                <w:t>60</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1A. </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220">
              <w:r>
                <w:rPr>
                  <w:rStyle w:val="InternetLink"/>
                  <w:rFonts w:ascii="Helvetica;sans-serif" w:hAnsi="Helvetica;sans-serif"/>
                  <w:b w:val="false"/>
                  <w:color w:val="0000FF"/>
                  <w:sz w:val="20"/>
                  <w:u w:val="single"/>
                </w:rPr>
                <w:t>Risk Factors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220">
              <w:r>
                <w:rPr>
                  <w:rStyle w:val="InternetLink"/>
                  <w:rFonts w:ascii="Helvetica;sans-serif" w:hAnsi="Helvetica;sans-serif"/>
                  <w:b w:val="false"/>
                  <w:color w:val="0000FF"/>
                  <w:sz w:val="20"/>
                  <w:u w:val="single"/>
                </w:rPr>
                <w:t>61</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2.</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223">
              <w:r>
                <w:rPr>
                  <w:rStyle w:val="InternetLink"/>
                  <w:rFonts w:ascii="Helvetica;sans-serif" w:hAnsi="Helvetica;sans-serif"/>
                  <w:b w:val="false"/>
                  <w:color w:val="0000FF"/>
                  <w:sz w:val="20"/>
                  <w:u w:val="single"/>
                </w:rPr>
                <w:t>Unregistered Sales of Equity Securities and Use of Proceeds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223">
              <w:r>
                <w:rPr>
                  <w:rStyle w:val="InternetLink"/>
                  <w:rFonts w:ascii="Helvetica;sans-serif" w:hAnsi="Helvetica;sans-serif"/>
                  <w:b w:val="false"/>
                  <w:color w:val="0000FF"/>
                  <w:sz w:val="20"/>
                  <w:u w:val="single"/>
                </w:rPr>
                <w:t>125</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3.</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226">
              <w:r>
                <w:rPr>
                  <w:rStyle w:val="InternetLink"/>
                  <w:rFonts w:ascii="Helvetica;sans-serif" w:hAnsi="Helvetica;sans-serif"/>
                  <w:b w:val="false"/>
                  <w:color w:val="0000FF"/>
                  <w:sz w:val="20"/>
                  <w:u w:val="single"/>
                </w:rPr>
                <w:t>Defaults Upon Senior Securities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226">
              <w:r>
                <w:rPr>
                  <w:rStyle w:val="InternetLink"/>
                  <w:rFonts w:ascii="Helvetica;sans-serif" w:hAnsi="Helvetica;sans-serif"/>
                  <w:b w:val="false"/>
                  <w:color w:val="0000FF"/>
                  <w:sz w:val="20"/>
                  <w:u w:val="single"/>
                </w:rPr>
                <w:t>126</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4.</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229">
              <w:r>
                <w:rPr>
                  <w:rStyle w:val="InternetLink"/>
                  <w:rFonts w:ascii="Helvetica;sans-serif" w:hAnsi="Helvetica;sans-serif"/>
                  <w:b w:val="false"/>
                  <w:color w:val="0000FF"/>
                  <w:sz w:val="20"/>
                  <w:u w:val="single"/>
                </w:rPr>
                <w:t>Mine Safety Disclosures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229">
              <w:r>
                <w:rPr>
                  <w:rStyle w:val="InternetLink"/>
                  <w:rFonts w:ascii="Helvetica;sans-serif" w:hAnsi="Helvetica;sans-serif"/>
                  <w:b w:val="false"/>
                  <w:color w:val="0000FF"/>
                  <w:sz w:val="20"/>
                  <w:u w:val="single"/>
                </w:rPr>
                <w:t>126</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5.</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232">
              <w:r>
                <w:rPr>
                  <w:rStyle w:val="InternetLink"/>
                  <w:rFonts w:ascii="Helvetica;sans-serif" w:hAnsi="Helvetica;sans-serif"/>
                  <w:b w:val="false"/>
                  <w:color w:val="0000FF"/>
                  <w:sz w:val="20"/>
                  <w:u w:val="single"/>
                </w:rPr>
                <w:t>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232">
              <w:r>
                <w:rPr>
                  <w:rStyle w:val="InternetLink"/>
                  <w:rFonts w:ascii="Helvetica;sans-serif" w:hAnsi="Helvetica;sans-serif"/>
                  <w:b w:val="false"/>
                  <w:color w:val="0000FF"/>
                  <w:sz w:val="20"/>
                  <w:u w:val="single"/>
                </w:rPr>
                <w:t>126</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6.</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238">
              <w:r>
                <w:rPr>
                  <w:rStyle w:val="InternetLink"/>
                  <w:rFonts w:ascii="Helvetica;sans-serif" w:hAnsi="Helvetica;sans-serif"/>
                  <w:b w:val="false"/>
                  <w:color w:val="0000FF"/>
                  <w:sz w:val="20"/>
                  <w:u w:val="single"/>
                </w:rPr>
                <w:t>Exhibit Index</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238">
              <w:r>
                <w:rPr>
                  <w:rStyle w:val="InternetLink"/>
                  <w:rFonts w:ascii="Helvetica;sans-serif" w:hAnsi="Helvetica;sans-serif"/>
                  <w:b w:val="false"/>
                  <w:color w:val="0000FF"/>
                  <w:sz w:val="20"/>
                  <w:u w:val="single"/>
                </w:rPr>
                <w:t>127</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9f205f172241eca558017a908d846a_241">
              <w:r>
                <w:rPr>
                  <w:rStyle w:val="InternetLink"/>
                  <w:rFonts w:ascii="Helvetica;sans-serif" w:hAnsi="Helvetica;sans-serif"/>
                  <w:b w:val="false"/>
                  <w:color w:val="0000FF"/>
                  <w:sz w:val="20"/>
                  <w:u w:val="single"/>
                </w:rPr>
                <w:t>Signatures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9f205f172241eca558017a908d846a_241">
              <w:r>
                <w:rPr>
                  <w:rStyle w:val="InternetLink"/>
                  <w:rFonts w:ascii="Helvetica;sans-serif" w:hAnsi="Helvetica;sans-serif"/>
                  <w:b w:val="false"/>
                  <w:color w:val="0000FF"/>
                  <w:sz w:val="20"/>
                  <w:u w:val="single"/>
                </w:rPr>
                <w:t>128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48310"/>
                <wp:effectExtent l="0" t="0" r="0" b="0"/>
                <wp:wrapNone/>
                <wp:docPr id="3" name="Frame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CAUTIONARY NOTE REGARDING FORWARD</w:t>
        <w:noBreakHyphen/>
        <w:t>LOOKING STATEMENTS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Quarterly Report on Form 10-Q (this “Quarterly Report”) of Robinhood Markets, Inc. (“RHM” and, together with its subsidiaries, “we,” “us,” “Robinhood,” or the “Company”) contains forward-looking statements (as such phrase is used in the federal securities laws), which involve substantial risks and uncertainties.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This Quarterly Report includes, among others, forward-looking statements regarding:</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expectations regarding legal and regulatory proceedings and investigations;</w:t>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 xml:space="preserve">our intent to continue expanding our operations outside of the United States;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that we are continuously introducing new products and diversifying our services;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our expectations with respect to our pending acquisition of WonderFi Technologies, Inc. (“WonderFi”);</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our expectations regarding legislative developments and their impact on us, including with respect to the One Big Beautiful Bill Act (the “OBBBA”), the Digital Asset Market Clarity Act of 2025 (the “CLARITY Act”), and the Guiding and Establishing National Innovation for U.S. Stablecoins Act (“GENIUS Act”);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our expectation that management will exclude Bitstamp Ltd. (“Bitstamp”) from its assessment of internal control over financial reporting for 2025;</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the Repurchase Program (as defined below) and our current expectations with respect to timing;</w:t>
      </w:r>
    </w:p>
    <w:p>
      <w:pPr>
        <w:pStyle w:val="TextBody"/>
        <w:bidi w:val="0"/>
        <w:spacing w:before="0" w:after="0"/>
        <w:jc w:val="both"/>
        <w:rPr/>
      </w:pPr>
      <w:r>
        <w:rPr/>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belief that, based on our current level of operations, our primary sources of liquidity will be adequate to meet our current liquidity needs for the next 12 months; and</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expectations regarding applying for a license under the Digital Financial Assets Law (“DFAL”) in connection with our cryptocurrency trading operations in California.</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forward-looking statements are subject to a number of known and unknown risks, uncertainties, assumptions, and other factors that may cause our actual future results, performance, or achievements to differ materially from any future results expressed or implied in this Quarterly Report. Reported results should not be considered an indication of future performance. Factors that contribute to the uncertain nature of our forward-looking statements include, among others: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rapid and continuing expansion, including continuing to introduce new products and services on our platforms as well as geographic expansion;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difficulty of managing our business effectively, including the size of our workforce, and the risk of declining or negative growth;</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fluctuations in our financial results and key metrics from quarter to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48310"/>
                <wp:effectExtent l="0" t="0" r="0" b="0"/>
                <wp:wrapNone/>
                <wp:docPr id="4" name="Frame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reliance on transaction-based revenue, including payment for order flow (“PFOF”), the risk of new regulation or bans on PFOF and similar practices, and the addition of our new fee-based model for cryptocurrency;</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exposure to fluctuations in interest rates and rapidly changing interest rate environments;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the difficulty of raising additional capital (to provide liquidity needs and support business growth and objectives) on reasonable terms, if at all;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need to maintain capital levels required by regulators and self-regulatory organizations (“SROs”);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risk that we might mishandle the cash, securities, and cryptocurrencies we hold on behalf of customers, and our exposure to liability for processing, operational, or technical errors in clearing functions;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impact of negative publicity on our brand and reputation;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risk that changes in business, economic, or political conditions that impact the global financial markets, or a systemic market event, might harm our business;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dependence on key employees and a skilled workforce;</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operational and regulatory risks and expenditures prior to and following closing of our acquisitions and investments;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difficulty of complying with an extensive, complex, and changing regulatory environment, the risk of monetary and other penalties for noncompliance, and the need to adjust our business model in response to new or modified laws and regulations;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possibility of adverse developments in pending litigation and regulatory investigations;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effects of competition;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need to innovate and acquire or invest in new products, services, technologies and geographies in order to attract and retain customers and deepen their engagement with us in order to maintain growth;</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reliance on third parties to perform some key functions and the risk that processing, operational or technological failures could impair the availability or stability of our platforms;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risk of cybersecurity incidents, theft, data breaches, and other online attacks;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difficulty of processing customer data in compliance with privacy laws;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need as a regulated financial services company to develop and maintain effective compliance and risk management infrastructures;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the risks associated with incorporating artificial intelligence (“AI”) technologies into some of our products and processes;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regulation, litigation, contractual, operational, and reputational risks associated with our introduction of new products such as Robinhood Stock Tokens in the European Economic Area (the “EEA”) and our staking services offered in the U.S.; and</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risk that substantial future sales of Class A common stock in the public market, or the perception that they may occur, could cause the price of our stock to fall.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48310"/>
                <wp:effectExtent l="0" t="0" r="0" b="0"/>
                <wp:wrapNone/>
                <wp:docPr id="5" name="Frame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the section of this Quarterly Report titled “Risk Factors” and our other filings with the U.S. Securities and Exchange Commission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we file this Quarterly Report,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Quarterly Report whether as a result of any new information, future events, changed circumstances, or otherwise. You should read this Quarterly Report with the understanding that our actual future results, performance, events, and circumstances might be materially different from what we expect.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use the “Overview” tab of our Investor Relations website (accessible at investors.robinhood.com/overview) and its Newsroom, (accessible at newsroom.aboutrobinhood.com), as means of disclosing information to the public in a broad, non-exclusionary manner for purposes of the SEC’s Regulation Fair Disclosure (Reg. FD). Investors should routinely monitor those web pages, in addition to our press releases, SEC filings, and public conference calls and webcasts, as information posted on them could be deemed to be material information. The contents of our websites are not intended to be incorporated by reference into this Quarterly Report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48310"/>
                <wp:effectExtent l="0" t="0" r="0" b="0"/>
                <wp:wrapNone/>
                <wp:docPr id="6" name="Frame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49f205f172241eca558017a908d846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BALANCE SHEETS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92"/>
        <w:gridCol w:w="2202"/>
        <w:gridCol w:w="2213"/>
        <w:gridCol w:w="109"/>
        <w:gridCol w:w="109"/>
        <w:gridCol w:w="109"/>
        <w:gridCol w:w="211"/>
        <w:gridCol w:w="698"/>
        <w:gridCol w:w="117"/>
        <w:gridCol w:w="109"/>
        <w:gridCol w:w="109"/>
        <w:gridCol w:w="109"/>
        <w:gridCol w:w="196"/>
        <w:gridCol w:w="646"/>
        <w:gridCol w:w="109"/>
        <w:gridCol w:w="109"/>
        <w:gridCol w:w="158"/>
      </w:tblGrid>
      <w:tr>
        <w:trPr/>
        <w:tc>
          <w:tcPr>
            <w:tcW w:w="2892"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cash equivalents, and securities segregated under federal and other regulations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brokers,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users,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Deposits with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User-held fractional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Held-to-maturity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Deferred customer match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25,103 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Property, software,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Non-current deferred customer match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Helvetica;sans-serif" w:hAnsi="Helvetica;sans-serif"/>
                <w:b w:val="false"/>
                <w:color w:val="000000"/>
                <w:sz w:val="16"/>
              </w:rPr>
              <w:t>Other non-current assets, including non-current prepaid expenses of $17 as of December 31, 2024 and $15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26,187 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Payables to users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Fractional shares repurchase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18,104 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18,215 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Commitments and contingencies (Note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 xml:space="preserve">Preferred stock, $0.0001 par value. 210,000,000 shares authorized, no shares issued and outstanding as of December 31, 2024 and June 30,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 xml:space="preserve">Class A common stock, $0.0001 par value. 21,000,000,000 shares authorized, 764,903,997 shares issued and outstanding as of December 31, 2024; 21,000,000,000 shares authorized, 771,931,128 shares issued and outstanding as of June 30,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Class B common stock, $0.0001 par value. 700,000,000 shares authorized, 119,588,986 shares issued and outstanding as of December 31, 2024; 700,000,000 shares authorized, 116,286,427 shares issued and outstanding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Class C common stock, $0.0001 par value. 7,000,000,000 shares authorized, no shares issued and outstanding as of December 31, 2024 and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(4,035)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7,972 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26,187 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48310"/>
                <wp:effectExtent l="0" t="0" r="0" b="0"/>
                <wp:wrapNone/>
                <wp:docPr id="7" name="Frame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49f205f172241eca558017a908d846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14"/>
        <w:gridCol w:w="1018"/>
        <w:gridCol w:w="985"/>
        <w:gridCol w:w="345"/>
        <w:gridCol w:w="886"/>
        <w:gridCol w:w="109"/>
        <w:gridCol w:w="109"/>
        <w:gridCol w:w="109"/>
        <w:gridCol w:w="109"/>
        <w:gridCol w:w="345"/>
        <w:gridCol w:w="886"/>
        <w:gridCol w:w="109"/>
        <w:gridCol w:w="109"/>
        <w:gridCol w:w="109"/>
        <w:gridCol w:w="109"/>
        <w:gridCol w:w="345"/>
        <w:gridCol w:w="886"/>
        <w:gridCol w:w="109"/>
        <w:gridCol w:w="109"/>
        <w:gridCol w:w="109"/>
        <w:gridCol w:w="109"/>
        <w:gridCol w:w="303"/>
        <w:gridCol w:w="928"/>
        <w:gridCol w:w="156"/>
      </w:tblGrid>
      <w:tr>
        <w:trPr/>
        <w:tc>
          <w:tcPr>
            <w:tcW w:w="181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3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share and per share data)</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bookmarkStart w:id="2" w:name="i9a4711a8061d45e2aa91f24b71dfe2d9_2-0-1-"/>
            <w:bookmarkEnd w:id="2"/>
            <w:r>
              <w:rPr>
                <w:rFonts w:ascii="Helvetica;sans-serif" w:hAnsi="Helvetica;sans-serif"/>
                <w:b w:val="false"/>
                <w:color w:val="000000"/>
                <w:sz w:val="20"/>
              </w:rPr>
              <w:t>Revenues:</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revenues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attributable to common stockholders:</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3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per share attributable to common stockholders:</w:t>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3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0.79 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to compute net income per share attributable to common stockholders:</w:t>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881,076,624 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882,149,402 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878,198,015 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883,356,794 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23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904,490,572 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909,127,658 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900,026,613 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911,013,005 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48310"/>
                <wp:effectExtent l="0" t="0" r="0" b="0"/>
                <wp:wrapNone/>
                <wp:docPr id="8" name="Frame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49f205f172241eca558017a908d846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CONDENSED CONSOLIDATED STATEMENTS OF COMPREHENSIVE INCOME </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9967" w:type="dxa"/>
        <w:jc w:val="center"/>
        <w:tblInd w:w="0" w:type="dxa"/>
        <w:tblLayout w:type="fixed"/>
        <w:tblCellMar>
          <w:top w:w="28" w:type="dxa"/>
          <w:left w:w="28" w:type="dxa"/>
          <w:bottom w:w="28" w:type="dxa"/>
          <w:right w:w="28" w:type="dxa"/>
        </w:tblCellMar>
      </w:tblPr>
      <w:tblGrid>
        <w:gridCol w:w="2541"/>
        <w:gridCol w:w="1563"/>
        <w:gridCol w:w="1566"/>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221"/>
      </w:tblGrid>
      <w:tr>
        <w:trPr/>
        <w:tc>
          <w:tcPr>
            <w:tcW w:w="254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net of tax:</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Helvetica;sans-serif" w:hAnsi="Helvetica;sans-serif"/>
                <w:b w:val="false"/>
                <w:color w:val="000000"/>
                <w:sz w:val="20"/>
              </w:rPr>
            </w:pPr>
            <w:r>
              <w:rPr>
                <w:rFonts w:ascii="Helvetica;sans-serif" w:hAnsi="Helvetica;sans-serif"/>
                <w:b w:val="false"/>
                <w:color w:val="000000"/>
                <w:sz w:val="20"/>
              </w:rPr>
              <w:t>Reclassification adjustment for net gains included in net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net of tax</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48310"/>
                <wp:effectExtent l="0" t="0" r="0" b="0"/>
                <wp:wrapNone/>
                <wp:docPr id="9" name="Frame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49f205f172241eca558017a908d846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8293" w:type="dxa"/>
        <w:jc w:val="center"/>
        <w:tblInd w:w="0" w:type="dxa"/>
        <w:tblLayout w:type="fixed"/>
        <w:tblCellMar>
          <w:top w:w="28" w:type="dxa"/>
          <w:left w:w="28" w:type="dxa"/>
          <w:bottom w:w="28" w:type="dxa"/>
          <w:right w:w="28" w:type="dxa"/>
        </w:tblCellMar>
      </w:tblPr>
      <w:tblGrid>
        <w:gridCol w:w="2216"/>
        <w:gridCol w:w="1935"/>
        <w:gridCol w:w="1578"/>
        <w:gridCol w:w="109"/>
        <w:gridCol w:w="109"/>
        <w:gridCol w:w="109"/>
        <w:gridCol w:w="181"/>
        <w:gridCol w:w="496"/>
        <w:gridCol w:w="109"/>
        <w:gridCol w:w="109"/>
        <w:gridCol w:w="109"/>
        <w:gridCol w:w="109"/>
        <w:gridCol w:w="181"/>
        <w:gridCol w:w="571"/>
        <w:gridCol w:w="109"/>
        <w:gridCol w:w="109"/>
        <w:gridCol w:w="154"/>
      </w:tblGrid>
      <w:tr>
        <w:trPr/>
        <w:tc>
          <w:tcPr>
            <w:tcW w:w="2216"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Six Months Ended</w:t>
              <w:br/>
              <w:t>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Adjustments to reconcile net income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Securities segregated under federal and other regulations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Receivables from brokers,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Receivables from users,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Deposits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Current and non-current 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Current and non-current deferred customer match incentives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Payables to users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Purchases of property, software,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Capitalization of 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Consideration transferred for business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cash equivalents, and segregated cash acquired in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Purchases of held-to-maturity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Proceeds from maturities of held-to-maturity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Purchases of credit card receivables by Credit Card Funding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Collections of purchased credit card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Asset acquisition,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Proceeds from issuance of common stock under the Employee Share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Taxes paid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Repurchase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Draws on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Repayments on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Borrowings by the Credit Card Funding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Change in principal collected from customers due to Coastal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Repayments on borrowings by the Credit Card Funding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Payments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Effect of foreign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Net increase (decrease) in cash, cash equivalents, segregated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cash equivalents, segregated cash, and restricted cash,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cash equivalents, segregated cash, and restricted cash,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48310"/>
                <wp:effectExtent l="0" t="0" r="0" b="0"/>
                <wp:wrapNone/>
                <wp:docPr id="10" name="Frame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49f205f172241eca558017a908d846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8924" w:type="dxa"/>
        <w:jc w:val="center"/>
        <w:tblInd w:w="0" w:type="dxa"/>
        <w:tblLayout w:type="fixed"/>
        <w:tblCellMar>
          <w:top w:w="28" w:type="dxa"/>
          <w:left w:w="28" w:type="dxa"/>
          <w:bottom w:w="28" w:type="dxa"/>
          <w:right w:w="28" w:type="dxa"/>
        </w:tblCellMar>
      </w:tblPr>
      <w:tblGrid>
        <w:gridCol w:w="2305"/>
        <w:gridCol w:w="2026"/>
        <w:gridCol w:w="2029"/>
        <w:gridCol w:w="109"/>
        <w:gridCol w:w="109"/>
        <w:gridCol w:w="109"/>
        <w:gridCol w:w="181"/>
        <w:gridCol w:w="496"/>
        <w:gridCol w:w="109"/>
        <w:gridCol w:w="109"/>
        <w:gridCol w:w="109"/>
        <w:gridCol w:w="109"/>
        <w:gridCol w:w="181"/>
        <w:gridCol w:w="571"/>
        <w:gridCol w:w="109"/>
        <w:gridCol w:w="109"/>
        <w:gridCol w:w="154"/>
      </w:tblGrid>
      <w:tr>
        <w:trPr/>
        <w:tc>
          <w:tcPr>
            <w:tcW w:w="2305"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Reconciliation of cash, cash equivalents, segregated cash and restricted cash,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and cash equivalents,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Segregated cash and cash equivalents,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Restricted cash in other current assets,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Restricted cash in other non-current assets,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cash equivalents, segregated cash and restricted cash,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Supplemental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Cash paid for income taxes, net of refund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Helvetica;sans-serif" w:hAnsi="Helvetica;sans-serif"/>
          <w:b w:val="false"/>
          <w:i/>
          <w:color w:val="000000"/>
          <w:sz w:val="18"/>
        </w:rPr>
      </w:pPr>
      <w:r>
        <w:rPr>
          <w:rFonts w:ascii="Helvetica;sans-serif" w:hAnsi="Helvetica;sans-serif"/>
          <w:b w:val="false"/>
          <w:i/>
          <w:color w:val="000000"/>
          <w:sz w:val="18"/>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48310"/>
                <wp:effectExtent l="0" t="0" r="0" b="0"/>
                <wp:wrapNone/>
                <wp:docPr id="11" name="Frame1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49f205f172241eca558017a908d846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STOCKHOLDERS’ EQUITY</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bidi w:val="0"/>
        <w:spacing w:lineRule="auto" w:line="288" w:before="0" w:after="200"/>
        <w:jc w:val="both"/>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29"/>
        <w:gridCol w:w="290"/>
        <w:gridCol w:w="291"/>
        <w:gridCol w:w="109"/>
        <w:gridCol w:w="109"/>
        <w:gridCol w:w="109"/>
        <w:gridCol w:w="111"/>
        <w:gridCol w:w="111"/>
        <w:gridCol w:w="111"/>
        <w:gridCol w:w="111"/>
        <w:gridCol w:w="525"/>
        <w:gridCol w:w="526"/>
        <w:gridCol w:w="186"/>
        <w:gridCol w:w="109"/>
        <w:gridCol w:w="109"/>
        <w:gridCol w:w="109"/>
        <w:gridCol w:w="207"/>
        <w:gridCol w:w="428"/>
        <w:gridCol w:w="116"/>
        <w:gridCol w:w="195"/>
        <w:gridCol w:w="195"/>
        <w:gridCol w:w="196"/>
        <w:gridCol w:w="243"/>
        <w:gridCol w:w="804"/>
        <w:gridCol w:w="137"/>
        <w:gridCol w:w="109"/>
        <w:gridCol w:w="109"/>
        <w:gridCol w:w="109"/>
        <w:gridCol w:w="261"/>
        <w:gridCol w:w="543"/>
        <w:gridCol w:w="147"/>
        <w:gridCol w:w="109"/>
        <w:gridCol w:w="109"/>
        <w:gridCol w:w="109"/>
        <w:gridCol w:w="221"/>
        <w:gridCol w:w="647"/>
        <w:gridCol w:w="124"/>
        <w:gridCol w:w="109"/>
        <w:gridCol w:w="109"/>
        <w:gridCol w:w="109"/>
        <w:gridCol w:w="196"/>
        <w:gridCol w:w="556"/>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7"/>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4"/>
              </w:rPr>
              <w:t xml:space="preserve">Common stock </w:t>
            </w:r>
            <w:r>
              <w:rPr>
                <w:rFonts w:ascii="Helvetica;sans-serif" w:hAnsi="Helvetica;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Additional</w:t>
              <w:br/>
              <w:t>paid-in</w:t>
              <w:br/>
              <w:t>capital</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 stockholders’</w:t>
              <w:br/>
              <w:t>equity</w:t>
            </w:r>
          </w:p>
        </w:tc>
        <w:tc>
          <w:tcPr>
            <w:tcW w:w="1242" w:type="dxa"/>
            <w:gridSpan w:val="6"/>
            <w:tcBorders/>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 except for 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878,360,256 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12,176 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(5,289)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6,885 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188 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560,457 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1,555,893 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4,069,163 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884,545,769 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12,223 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(5,101)</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7,122 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33"/>
        <w:gridCol w:w="294"/>
        <w:gridCol w:w="296"/>
        <w:gridCol w:w="109"/>
        <w:gridCol w:w="109"/>
        <w:gridCol w:w="109"/>
        <w:gridCol w:w="112"/>
        <w:gridCol w:w="112"/>
        <w:gridCol w:w="112"/>
        <w:gridCol w:w="112"/>
        <w:gridCol w:w="525"/>
        <w:gridCol w:w="526"/>
        <w:gridCol w:w="186"/>
        <w:gridCol w:w="109"/>
        <w:gridCol w:w="109"/>
        <w:gridCol w:w="109"/>
        <w:gridCol w:w="207"/>
        <w:gridCol w:w="428"/>
        <w:gridCol w:w="116"/>
        <w:gridCol w:w="195"/>
        <w:gridCol w:w="195"/>
        <w:gridCol w:w="196"/>
        <w:gridCol w:w="240"/>
        <w:gridCol w:w="794"/>
        <w:gridCol w:w="135"/>
        <w:gridCol w:w="109"/>
        <w:gridCol w:w="109"/>
        <w:gridCol w:w="109"/>
        <w:gridCol w:w="262"/>
        <w:gridCol w:w="543"/>
        <w:gridCol w:w="147"/>
        <w:gridCol w:w="109"/>
        <w:gridCol w:w="109"/>
        <w:gridCol w:w="109"/>
        <w:gridCol w:w="222"/>
        <w:gridCol w:w="647"/>
        <w:gridCol w:w="124"/>
        <w:gridCol w:w="109"/>
        <w:gridCol w:w="109"/>
        <w:gridCol w:w="109"/>
        <w:gridCol w:w="196"/>
        <w:gridCol w:w="556"/>
        <w:gridCol w:w="159"/>
      </w:tblGrid>
      <w:tr>
        <w:trPr/>
        <w:tc>
          <w:tcPr>
            <w:tcW w:w="93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7"/>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4"/>
              </w:rPr>
              <w:t xml:space="preserve">Common stock </w:t>
            </w:r>
            <w:r>
              <w:rPr>
                <w:rFonts w:ascii="Helvetica;sans-serif" w:hAnsi="Helvetica;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Additional</w:t>
              <w:br/>
              <w:t>paid-in</w:t>
              <w:br/>
              <w:t>capital</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 stockholders’</w:t>
              <w:br/>
              <w:t>equity</w:t>
            </w:r>
          </w:p>
        </w:tc>
        <w:tc>
          <w:tcPr>
            <w:tcW w:w="1238" w:type="dxa"/>
            <w:gridSpan w:val="6"/>
            <w:tcBorders/>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 except for 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11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884,574,785 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(3,699)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7,953 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1,367,858 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warrants exercises,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834,489 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553,712 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3,888,466 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Repurchase and retirement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(3,001,755)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888,217,555 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11,378 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(3,313)</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8,072 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48310"/>
                <wp:effectExtent l="0" t="0" r="0" b="0"/>
                <wp:wrapNone/>
                <wp:docPr id="12" name="Frame1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49f205f172241eca558017a908d846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STOCKHOLDERS’ EQUITY</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bidi w:val="0"/>
        <w:spacing w:lineRule="auto" w:line="288" w:before="0" w:after="0"/>
        <w:ind w:left="0" w:right="0" w:firstLine="360"/>
        <w:jc w:val="left"/>
        <w:rPr>
          <w:rFonts w:ascii="Helvetica;sans-serif" w:hAnsi="Helvetica;sans-serif"/>
          <w:b w:val="false"/>
          <w:color w:val="000000"/>
          <w:sz w:val="20"/>
        </w:rPr>
      </w:pPr>
      <w:r>
        <w:rPr>
          <w:rFonts w:ascii="Helvetica;sans-serif" w:hAnsi="Helvetica;sans-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889"/>
        <w:gridCol w:w="241"/>
        <w:gridCol w:w="242"/>
        <w:gridCol w:w="109"/>
        <w:gridCol w:w="109"/>
        <w:gridCol w:w="109"/>
        <w:gridCol w:w="110"/>
        <w:gridCol w:w="110"/>
        <w:gridCol w:w="110"/>
        <w:gridCol w:w="110"/>
        <w:gridCol w:w="525"/>
        <w:gridCol w:w="526"/>
        <w:gridCol w:w="186"/>
        <w:gridCol w:w="109"/>
        <w:gridCol w:w="109"/>
        <w:gridCol w:w="109"/>
        <w:gridCol w:w="207"/>
        <w:gridCol w:w="428"/>
        <w:gridCol w:w="116"/>
        <w:gridCol w:w="195"/>
        <w:gridCol w:w="195"/>
        <w:gridCol w:w="196"/>
        <w:gridCol w:w="232"/>
        <w:gridCol w:w="768"/>
        <w:gridCol w:w="130"/>
        <w:gridCol w:w="109"/>
        <w:gridCol w:w="109"/>
        <w:gridCol w:w="109"/>
        <w:gridCol w:w="258"/>
        <w:gridCol w:w="536"/>
        <w:gridCol w:w="145"/>
        <w:gridCol w:w="109"/>
        <w:gridCol w:w="109"/>
        <w:gridCol w:w="109"/>
        <w:gridCol w:w="219"/>
        <w:gridCol w:w="641"/>
        <w:gridCol w:w="123"/>
        <w:gridCol w:w="109"/>
        <w:gridCol w:w="109"/>
        <w:gridCol w:w="109"/>
        <w:gridCol w:w="196"/>
        <w:gridCol w:w="556"/>
        <w:gridCol w:w="109"/>
        <w:gridCol w:w="109"/>
        <w:gridCol w:w="162"/>
      </w:tblGrid>
      <w:tr>
        <w:trPr/>
        <w:tc>
          <w:tcPr>
            <w:tcW w:w="88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7"/>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4"/>
              </w:rPr>
              <w:t xml:space="preserve">Common stock </w:t>
            </w:r>
            <w:r>
              <w:rPr>
                <w:rFonts w:ascii="Helvetica;sans-serif" w:hAnsi="Helvetica;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Additional</w:t>
              <w:br/>
              <w:t>paid-in</w:t>
              <w:br/>
              <w:t>capital</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 stockholders’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 except for 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872,162,664 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12,145 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(5,446)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1,825,473 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1,555,893 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9,001,739 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884,545,769 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12,223 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(5,101)</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36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29"/>
        <w:gridCol w:w="290"/>
        <w:gridCol w:w="291"/>
        <w:gridCol w:w="109"/>
        <w:gridCol w:w="109"/>
        <w:gridCol w:w="109"/>
        <w:gridCol w:w="111"/>
        <w:gridCol w:w="111"/>
        <w:gridCol w:w="111"/>
        <w:gridCol w:w="111"/>
        <w:gridCol w:w="525"/>
        <w:gridCol w:w="526"/>
        <w:gridCol w:w="186"/>
        <w:gridCol w:w="109"/>
        <w:gridCol w:w="109"/>
        <w:gridCol w:w="109"/>
        <w:gridCol w:w="207"/>
        <w:gridCol w:w="428"/>
        <w:gridCol w:w="116"/>
        <w:gridCol w:w="195"/>
        <w:gridCol w:w="195"/>
        <w:gridCol w:w="196"/>
        <w:gridCol w:w="243"/>
        <w:gridCol w:w="804"/>
        <w:gridCol w:w="137"/>
        <w:gridCol w:w="109"/>
        <w:gridCol w:w="109"/>
        <w:gridCol w:w="109"/>
        <w:gridCol w:w="332"/>
        <w:gridCol w:w="433"/>
        <w:gridCol w:w="186"/>
        <w:gridCol w:w="109"/>
        <w:gridCol w:w="109"/>
        <w:gridCol w:w="109"/>
        <w:gridCol w:w="221"/>
        <w:gridCol w:w="647"/>
        <w:gridCol w:w="124"/>
        <w:gridCol w:w="109"/>
        <w:gridCol w:w="109"/>
        <w:gridCol w:w="109"/>
        <w:gridCol w:w="196"/>
        <w:gridCol w:w="556"/>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7"/>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4"/>
              </w:rPr>
              <w:t xml:space="preserve">Common stock </w:t>
            </w:r>
            <w:r>
              <w:rPr>
                <w:rFonts w:ascii="Helvetica;sans-serif" w:hAnsi="Helvetica;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Additional</w:t>
              <w:br/>
              <w:t>paid-in</w:t>
              <w:br/>
              <w:t>capital</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 stockholders’</w:t>
              <w:br/>
              <w:t>equity</w:t>
            </w:r>
          </w:p>
        </w:tc>
        <w:tc>
          <w:tcPr>
            <w:tcW w:w="1242" w:type="dxa"/>
            <w:gridSpan w:val="6"/>
            <w:tcBorders/>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 except for 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884,492,983 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12,008 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(4,035)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7,972 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3,071,852 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warrants exercises,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1,251,742 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553,712 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business combination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2,049,711 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6,967,679 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(372)</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Repurchase and retirement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(10,170,124)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888,217,555 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11,378 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(3,313)</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8,072 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br/>
        <w:t>_______________</w:t>
      </w:r>
    </w:p>
    <w:p>
      <w:pPr>
        <w:pStyle w:val="TextBody"/>
        <w:bidi w:val="0"/>
        <w:spacing w:lineRule="auto" w:line="288" w:before="0" w:after="0"/>
        <w:ind w:left="0" w:right="0" w:hanging="180"/>
        <w:jc w:val="both"/>
        <w:rPr/>
      </w:pPr>
      <w:r>
        <w:rPr>
          <w:rFonts w:ascii="Helvetica;sans-serif" w:hAnsi="Helvetica;sans-serif"/>
          <w:b w:val="false"/>
          <w:color w:val="000000"/>
          <w:sz w:val="10"/>
        </w:rPr>
        <w:t>(1)</w:t>
      </w:r>
      <w:r>
        <w:rPr>
          <w:rFonts w:ascii="Helvetica;sans-serif" w:hAnsi="Helvetica;sans-serif"/>
          <w:b w:val="false"/>
          <w:color w:val="000000"/>
          <w:sz w:val="16"/>
        </w:rPr>
        <w:t>The share amounts listed above combine Class A common stock and Class B common stock.</w:t>
      </w:r>
    </w:p>
    <w:p>
      <w:pPr>
        <w:pStyle w:val="TextBody"/>
        <w:bidi w:val="0"/>
        <w:spacing w:before="0" w:after="0"/>
        <w:ind w:left="0" w:right="0" w:firstLine="180"/>
        <w:jc w:val="both"/>
        <w:rPr/>
      </w:pPr>
      <w:r>
        <w:rPr/>
      </w:r>
    </w:p>
    <w:p>
      <w:pPr>
        <w:pStyle w:val="TextBody"/>
        <w:bidi w:val="0"/>
        <w:spacing w:before="0" w:after="0"/>
        <w:jc w:val="both"/>
        <w:rPr/>
      </w:pPr>
      <w:r>
        <w:rPr/>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48310"/>
                <wp:effectExtent l="0" t="0" r="0" b="0"/>
                <wp:wrapNone/>
                <wp:docPr id="13" name="Frame1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49f205f172241eca558017a908d846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THE CONDENSED CONSOLIDATED FINANCIAL STATEMENTS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 DESCRIPTION OF BUSINESS AND SUMMARY OF SIGNIFICANT ACCOUNTING POLICIES</w:t>
      </w:r>
    </w:p>
    <w:p>
      <w:pPr>
        <w:pStyle w:val="TextBody"/>
        <w:bidi w:val="0"/>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Robinhood was founded in 2013 and our mission is to democratize finance for all. Our platforms enable customers to buy, sell, and trade equities, options, and futures, as well as buy, sell, and transfer cryptocurrencies. We are also responsible for the custody of user-held cryptocurrencies. In addition, we offer credit cards with certain rewards offerings, as well as a cash card and spending account that help our customers in investing, saving, and earning rewards.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continuously introducing new products and diversifying our services that further expand access to the financial system. In February 2025, we acquired TradePMR, a custodial and portfolio management platform for Registered Investment Advisors (“RIAs”). In March 2025, we launched Robinhood Strategies, a digital investment advisory service that offers tailored, expert-managed, and goal-based portfolios directly within our mobile platform, featuring low and capped fees. In June 2025, we acquired Bitstamp, a globally-scaled cryptocurrency exchange with institutional and retail customers.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Acting as the agent of the user, we facilitate the purchase and sale of options, cryptocurrencies, equities, and futures through our platforms. Options, cryptocurrencies, and equities transactions are routed through market makers, who are responsible for trade execution. For certain cryptocurrency transactions, we match user orders using an industry-standard matching engine. Upon execution of a trade, users are legally required to purchase options, cryptocurrencies, or equities for cash from the transaction counterparty or to sell options, cryptocurrencies, or equities for cash to the transaction counterparty, depending on the transaction. For futures, users are legally obligated to buy or sell the underlying asset at a specified future date, with the price determined at the time of trade execution. We facilitate and confirm trades only when there are binding, matched legal obligations from the user and the market maker on both sides of the trade. Our users have ownership of the securities they transact on our platforms, including those that collateralize margin loans, and, as a result, such securities are not presented on our unaudited condensed consolidated balance sheets, other than user-held fractional shares which are presented gross. Our users also have ownership of the cryptocurrencies they transact on our platforms (none of which are allowed to be purchased on margin and which do not serve as collateral for margin loans), and, as a result, user-held cryptocurrencies are not presented on our unaudited condensed consolidated balance sheets.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Basis of Presentation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have been prepared in accordance with generally accepted accounting principles in the United States (“GAAP”) and pursuant to the rules and regulations of the SEC for interim financial reporting. The condensed consolidated financial statements are unaudited, and in management’s opinion, include all adjustments, including normal recurring adjustments and accruals necessary for a fair presentation of the results for the interim periods presented. Operating results for the periods presented are not necessarily indicative of the results that may be expected for the full fiscal year ending December 31, 2025 or any future period. These unaudited condensed consolidated financial statements should be read in conjunction with the audited annual consolidated financial statements and notes included in our Annual Report on Form 10-K for the year ended December 31, 2024 (“2024 Form 10-K”).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have been no material changes in our significant accounting policies as described in our audited consolidated financial statements included in our 2024 Form 10-K, other than as disclosed below. The unaudited condensed consolidated financial statements include the accounts of RHM and its wholly-owned direct and indirect subsidiaries. All intercompany balances and transactions have been eliminated.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48310"/>
                <wp:effectExtent l="0" t="0" r="0" b="0"/>
                <wp:wrapNone/>
                <wp:docPr id="14" name="Frame1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Certain reclassifications have been made to prior period amounts to conform to the current period’s presentation. The impact of these reclassifications is immaterial to the presentation of the unaudited condensed consolidated financial statements taken as a whole and had no impact on previously reported total assets, total liabilities and net income.</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Use of Estimates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preparation of unaudited condensed consolidated financial statements in accordance with GAAP requires management to make estimates and assumptions that affect the reported amounts in the unaudited condensed consolidated financial statements and accompanying notes. We base our estimates on historical experience, and other assumptions we believe to be reasonable under the circumstances. Assumptions and estimates used in preparing our unaudited condensed consolidated financial statements include, but are not limited to, those related to revenue recognition, share-based compensation (“SBC”), the determination of allowances for credit losses, investment valuation, capitalization of internally developed software, useful lives of property, software, and equipment, valuation and useful lives of intangible assets, valuation of reporting units in assessing goodwill for impairment, incremental borrowing rate used to calculate operating lease right-of-use assets and related liabilities, impairment of long-lived assets, uncertain tax positions, realizability of deferred tax assets, accrued and contingent liabilities. Actual results could differ from these estimates and could have a material adverse effect on our operating results.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Concentrations of Revenue and Credit Risk</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Concentrations of Revenue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derived transaction-based revenues from individual market makers in excess of 10% of total revenues, as follows:</w:t>
      </w:r>
    </w:p>
    <w:tbl>
      <w:tblPr>
        <w:tblW w:w="7575" w:type="dxa"/>
        <w:jc w:val="left"/>
        <w:tblInd w:w="0" w:type="dxa"/>
        <w:tblLayout w:type="fixed"/>
        <w:tblCellMar>
          <w:top w:w="28" w:type="dxa"/>
          <w:left w:w="28" w:type="dxa"/>
          <w:bottom w:w="28" w:type="dxa"/>
          <w:right w:w="28" w:type="dxa"/>
        </w:tblCellMar>
      </w:tblPr>
      <w:tblGrid>
        <w:gridCol w:w="1183"/>
        <w:gridCol w:w="1041"/>
        <w:gridCol w:w="1045"/>
        <w:gridCol w:w="188"/>
        <w:gridCol w:w="188"/>
        <w:gridCol w:w="376"/>
        <w:gridCol w:w="143"/>
        <w:gridCol w:w="143"/>
        <w:gridCol w:w="143"/>
        <w:gridCol w:w="188"/>
        <w:gridCol w:w="188"/>
        <w:gridCol w:w="376"/>
        <w:gridCol w:w="178"/>
        <w:gridCol w:w="178"/>
        <w:gridCol w:w="180"/>
        <w:gridCol w:w="188"/>
        <w:gridCol w:w="188"/>
        <w:gridCol w:w="329"/>
        <w:gridCol w:w="125"/>
        <w:gridCol w:w="125"/>
        <w:gridCol w:w="125"/>
        <w:gridCol w:w="188"/>
        <w:gridCol w:w="188"/>
        <w:gridCol w:w="381"/>
      </w:tblGrid>
      <w:tr>
        <w:trPr/>
        <w:tc>
          <w:tcPr>
            <w:tcW w:w="118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June 30,</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 makers:</w:t>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Citadel Securities, LLC</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 others individually less than 10%</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 percentage of total revenue</w:t>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before="0" w:after="0"/>
        <w:jc w:val="both"/>
        <w:rPr/>
      </w:pPr>
      <w:r>
        <w:rPr/>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Concentrations of Credit Risk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engaged in various trading and brokerage activities in which the counterparties primarily include broker-dealers, banks, cryptocurrency market makers, and other financial institutions. In the event our counterparties do not fulfill their obligations, we may be exposed to risk. The risk of default depends on the creditworthiness of the counterparty. Default of a counterparty in equities and options trades, which are facilitated through clearinghouses, would generally be spread among the clearinghouse’s members rather than falling entirely on us. It is our policy to review, as necessary, the credit standing of each counterparty.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 xml:space="preserve">NOTE 2: RECENT ACCOUNTING PRONOUNCEMENTS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Recently Adopted Accounting Pronouncements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December 2023, the Financial Accounting Standards Board (“FASB”) issued Accounting Standards Update 2023-09, “Income taxes (Topic 740): Improvements to Income Taxes Disclosures.” This guidance requires annual disclosure of specific categories in the rate reconciliation and provides additional information for reconciling items that meet a quantitative threshold. The guidance is effective for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48310"/>
                <wp:effectExtent l="0" t="0" r="0" b="0"/>
                <wp:wrapNone/>
                <wp:docPr id="15" name="Frame1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 xml:space="preserve">periods beginning after December 15, 2024. Early adoption is permitted. We adopted this guidance effective January 1, 2025 on a prospective basis. The adoption of this guidance did not have a material impact on our unaudited condensed consolidated financial statements and related disclosures.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Recently Issued Accounting Pronouncements Not Yet Adopted</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October 2023, the FASB issued Accounting Standards Update 2023-06, “Disclosure Improvements: Codification Amendments in Response to the SEC’s Disclosure Update and Simplification Initiative.” The amendments will impact various disclosure areas, including the statement of cash flows, accounting changes and error corrections, earnings per share, debt, equity, derivatives, and transfers of financial assets. The amendments in this guidance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impacts of the amendments on our consolidated financial statements.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March 2024, the SEC adopted final rules under SEC Release No. 34-99678 and No. 33-11275, “The Enhancement and Standardization of Climate-Related Disclosures for Investors” (the “Final Rules”), which requires registrants to provide certain climate-related information in their registration statements and annual reports. The Final Rules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disclosure requirements of the Final Rules were to begin phasing in for annual periods beginning in fiscal year 2025. In April 2024, the SEC stayed the effectiveness of the Final Rules and in March 2025 the SEC voted to end its defense of the climate disclosure rules. We continue to monitor the status of the Final Rules and evaluate the potential impact of the Final Rules.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November 2024, the FASB issued Accounting Standards Update 2024-03, “Income Statement-Reporting Comprehensive Income-Expense Disaggregation Disclosures (Subtopic 220-40).” This guidance requires additional disclosures about certain amounts included in the expense captions presented on the statement of operations as well as disclosures about selling expenses. The guidance is effective for annual reporting periods beginning after December 15, 2026, and interim reporting periods beginning after December 15, 2027. Early adoption is permitted. The guidance can either be applied prospectively or retrospectively. We do not expect the adoption of this guidance to have a material impact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3: BUSINESS COMBINATIONS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Acquisition of TradePMR</w:t>
      </w:r>
    </w:p>
    <w:p>
      <w:pPr>
        <w:pStyle w:val="TextBody"/>
        <w:bidi w:val="0"/>
        <w:spacing w:lineRule="auto" w:line="288" w:before="0" w:after="200"/>
        <w:ind w:left="0" w:right="0" w:firstLine="360"/>
        <w:jc w:val="both"/>
        <w:rPr/>
      </w:pPr>
      <w:r>
        <w:rPr>
          <w:rFonts w:ascii="Helvetica;sans-serif" w:hAnsi="Helvetica;sans-serif"/>
          <w:b w:val="false"/>
          <w:color w:val="000000"/>
          <w:sz w:val="20"/>
        </w:rPr>
        <w:t>On February 26, 2025, we acquired all of the outstanding equity of TradePMR, a custodial and portfolio management platform for RIAs. The acquisition of TradePMR allows us to deliver investment advisory capabilities to customers by bringing in a scaled RIA custodial and portfolio management platform that connects financial advisors to a new generation of investors.</w:t>
      </w:r>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acquisition date fair value of the consideration transferred for TradePMR was approximately $175 million following customary purchase price adjustments and was entirely paid in cash. The post-close compensation consisted of 2,049,711 unvested shares of the Company’s Class A common stock, valued at approximately $100 million as of the closing date of the acquisition, which will vest over a four-year period post-acquisition, subject to the terms of a vesting agreement. Shares of unvested restricted stock have the same voting rights as all other Class A common stock and are considered to be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48310"/>
                <wp:effectExtent l="0" t="0" r="0" b="0"/>
                <wp:wrapNone/>
                <wp:docPr id="16" name="Frame1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 xml:space="preserve">and outstanding. These shares are not part of the equity incentive plans described in Note 11 - Common Stock and Stockholders’ Equity. </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purchase price allocation is based on a preliminary valuation and subject to revision as more detailed analyses are completed and additional information about the fair value of assets acquired and liabilities assumed becomes available, including certain tax matters, during the measurement period (up to one year from the acquisition date). The following table summarizes the preliminary fair value of assets acquired and liabilities assumed as of the date of acquisition:</w:t>
      </w:r>
    </w:p>
    <w:tbl>
      <w:tblPr>
        <w:tblW w:w="6732" w:type="dxa"/>
        <w:jc w:val="left"/>
        <w:tblInd w:w="0" w:type="dxa"/>
        <w:tblLayout w:type="fixed"/>
        <w:tblCellMar>
          <w:top w:w="28" w:type="dxa"/>
          <w:left w:w="28" w:type="dxa"/>
          <w:bottom w:w="28" w:type="dxa"/>
          <w:right w:w="28" w:type="dxa"/>
        </w:tblCellMar>
      </w:tblPr>
      <w:tblGrid>
        <w:gridCol w:w="1981"/>
        <w:gridCol w:w="1735"/>
        <w:gridCol w:w="1759"/>
        <w:gridCol w:w="109"/>
        <w:gridCol w:w="109"/>
        <w:gridCol w:w="109"/>
        <w:gridCol w:w="232"/>
        <w:gridCol w:w="529"/>
        <w:gridCol w:w="169"/>
      </w:tblGrid>
      <w:tr>
        <w:trPr/>
        <w:tc>
          <w:tcPr>
            <w:tcW w:w="1981"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Receivables from brokers,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During the second quarter of 2025, we recorded measurement period adjustments of $3 million increase to receivables from brokers, dealers, and clearing organizations, and $1 million decrease to each of other current assets and other non-current assets, with a corresponding $1 million decrease to goodwill based on facts and circumstances as of the acquisition date.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excess of purchase consideration over the fair value of net tangible and identifiable intangible assets acquired was recorded as goodwill, which is not deductible for tax purposes. Goodwill is primarily attributed to the assembled workforce of TradePMR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components of identifiable intangible assets acquired and their estimated useful lives as of the date of acquisition:</w:t>
      </w:r>
    </w:p>
    <w:tbl>
      <w:tblPr>
        <w:tblW w:w="4656" w:type="dxa"/>
        <w:jc w:val="left"/>
        <w:tblInd w:w="0" w:type="dxa"/>
        <w:tblLayout w:type="fixed"/>
        <w:tblCellMar>
          <w:top w:w="28" w:type="dxa"/>
          <w:left w:w="28" w:type="dxa"/>
          <w:bottom w:w="28" w:type="dxa"/>
          <w:right w:w="28" w:type="dxa"/>
        </w:tblCellMar>
      </w:tblPr>
      <w:tblGrid>
        <w:gridCol w:w="765"/>
        <w:gridCol w:w="673"/>
        <w:gridCol w:w="676"/>
        <w:gridCol w:w="109"/>
        <w:gridCol w:w="109"/>
        <w:gridCol w:w="109"/>
        <w:gridCol w:w="268"/>
        <w:gridCol w:w="478"/>
        <w:gridCol w:w="138"/>
        <w:gridCol w:w="109"/>
        <w:gridCol w:w="109"/>
        <w:gridCol w:w="109"/>
        <w:gridCol w:w="293"/>
        <w:gridCol w:w="293"/>
        <w:gridCol w:w="418"/>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 except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Useful Life</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overall weighted average useful life of the identified amortizable intangible assets acquired is 9.76 years. The estimated fair value of the intangible assets acquired approximate the amounts a market participant would pay for these intangible assets as of the acquisition date. We used a multi-period excess earnings method to estimate the fair value of customer relationships and the relief from royalty method to estimate the fair value of developed technology and trade name.</w:t>
      </w:r>
    </w:p>
    <w:p>
      <w:pPr>
        <w:pStyle w:val="TextBody"/>
        <w:bidi w:val="0"/>
        <w:spacing w:before="0" w:after="20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48310"/>
                <wp:effectExtent l="0" t="0" r="0" b="0"/>
                <wp:wrapNone/>
                <wp:docPr id="17" name="Frame1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 forma results of operations for TradePMR have not been presented as the effect of this acquisition was not material to our consolidated financial statements.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Acquisition of Bitstamp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June 2, 2025, we acquired all outstanding equity of Bitstamp, a globally-scaled cryptocurrency exchange with retail and institutional customers. This acquisition of Bitstamp accelerates our expansion worldwide, including across the European Union (“EU”), the United Kingdom (“U.K.”), and Asia. The acquisition date fair value of the consideration transferred for Bitstamp was approximately $224 million following customary purchase price adjustments and was entirely paid in cash. </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purchase price allocation is based on a preliminary valuation and subject to revision as more detailed analyses are completed and additional information about the fair value of assets acquired and liabilities assumed becomes available, including certain tax matters, during the measurement period (up to one year from the acquisition date). The following table summarizes the preliminary fair value of assets acquired and liabilities assumed as of the date of acquisition:</w:t>
      </w:r>
    </w:p>
    <w:tbl>
      <w:tblPr>
        <w:tblW w:w="7181" w:type="dxa"/>
        <w:jc w:val="left"/>
        <w:tblInd w:w="0" w:type="dxa"/>
        <w:tblLayout w:type="fixed"/>
        <w:tblCellMar>
          <w:top w:w="28" w:type="dxa"/>
          <w:left w:w="28" w:type="dxa"/>
          <w:bottom w:w="28" w:type="dxa"/>
          <w:right w:w="28" w:type="dxa"/>
        </w:tblCellMar>
      </w:tblPr>
      <w:tblGrid>
        <w:gridCol w:w="2143"/>
        <w:gridCol w:w="1877"/>
        <w:gridCol w:w="1904"/>
        <w:gridCol w:w="109"/>
        <w:gridCol w:w="109"/>
        <w:gridCol w:w="109"/>
        <w:gridCol w:w="232"/>
        <w:gridCol w:w="529"/>
        <w:gridCol w:w="169"/>
      </w:tblGrid>
      <w:tr>
        <w:trPr/>
        <w:tc>
          <w:tcPr>
            <w:tcW w:w="214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Cash and securities segregated under federal and other regulations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Receivable from users,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Payable to users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excess of purchase consideration over the fair value of net tangible and identifiable intangible assets acquired was recorded as goodwill, which is not deductible for tax purposes. Goodwill is primarily attributed to the assembled workforce of Bitstamp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components of identifiable intangible assets acquired and their estimated useful lives as of the date of acquisition:</w:t>
      </w:r>
    </w:p>
    <w:tbl>
      <w:tblPr>
        <w:tblW w:w="4656" w:type="dxa"/>
        <w:jc w:val="left"/>
        <w:tblInd w:w="0" w:type="dxa"/>
        <w:tblLayout w:type="fixed"/>
        <w:tblCellMar>
          <w:top w:w="28" w:type="dxa"/>
          <w:left w:w="28" w:type="dxa"/>
          <w:bottom w:w="28" w:type="dxa"/>
          <w:right w:w="28" w:type="dxa"/>
        </w:tblCellMar>
      </w:tblPr>
      <w:tblGrid>
        <w:gridCol w:w="765"/>
        <w:gridCol w:w="673"/>
        <w:gridCol w:w="676"/>
        <w:gridCol w:w="109"/>
        <w:gridCol w:w="109"/>
        <w:gridCol w:w="109"/>
        <w:gridCol w:w="268"/>
        <w:gridCol w:w="478"/>
        <w:gridCol w:w="138"/>
        <w:gridCol w:w="109"/>
        <w:gridCol w:w="109"/>
        <w:gridCol w:w="109"/>
        <w:gridCol w:w="293"/>
        <w:gridCol w:w="293"/>
        <w:gridCol w:w="418"/>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 except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Useful Life</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48310"/>
                <wp:effectExtent l="0" t="0" r="0" b="0"/>
                <wp:wrapNone/>
                <wp:docPr id="18" name="Frame1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overall weighted average useful life of the identified amortizable intangible assets acquired is 6.14 years. The estimated fair value of the intangible assets acquired approximate the amounts a market participant would pay for these intangible assets as of the acquisition date. We used a multi-period excess earnings method to estimate the fair value of developed technology, the distributor method to estimate the fair value of customer relationships, the cost approach to estimate the fair value of licenses, and the relief from royalty method to estimate the fair value of trade names.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 forma results of operations for Bitstamp have not been presented as the effect of this acquisition was not material to our consolidated financial statements.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Pending Acquisition of WonderFi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May 12, 2025, we entered into an agreement to acquire all outstanding equity of WonderFi, a Canadian leader in digital asset products and services, for Canadian dollars (“C$”) C$0.36 per share, representing a total equity value of approximately $180 million. The pending acquisition is subject to customary closing conditions, including regulatory approvals, and is expected to close in the second half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4: GOODWILL AND INTANGIBLE ASSETS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Goodwill</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carrying amount of goodwill for the period indicated was as follows:</w:t>
      </w:r>
    </w:p>
    <w:tbl>
      <w:tblPr>
        <w:tblW w:w="5396" w:type="dxa"/>
        <w:jc w:val="left"/>
        <w:tblInd w:w="0" w:type="dxa"/>
        <w:tblLayout w:type="fixed"/>
        <w:tblCellMar>
          <w:top w:w="28" w:type="dxa"/>
          <w:left w:w="28" w:type="dxa"/>
          <w:bottom w:w="28" w:type="dxa"/>
          <w:right w:w="28" w:type="dxa"/>
        </w:tblCellMar>
      </w:tblPr>
      <w:tblGrid>
        <w:gridCol w:w="1287"/>
        <w:gridCol w:w="1127"/>
        <w:gridCol w:w="1141"/>
        <w:gridCol w:w="109"/>
        <w:gridCol w:w="109"/>
        <w:gridCol w:w="109"/>
        <w:gridCol w:w="378"/>
        <w:gridCol w:w="861"/>
        <w:gridCol w:w="275"/>
      </w:tblGrid>
      <w:tr>
        <w:trPr/>
        <w:tc>
          <w:tcPr>
            <w:tcW w:w="128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Carrying Amount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was no impairment of goodwill during the six months ended June 30, 2025.</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Intangible Assets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components of intangible assets, net as of June 30, 2025 were as follows:</w:t>
      </w:r>
    </w:p>
    <w:tbl>
      <w:tblPr>
        <w:tblW w:w="10205" w:type="dxa"/>
        <w:jc w:val="left"/>
        <w:tblInd w:w="0" w:type="dxa"/>
        <w:tblLayout w:type="fixed"/>
        <w:tblCellMar>
          <w:top w:w="28" w:type="dxa"/>
          <w:left w:w="28" w:type="dxa"/>
          <w:bottom w:w="28" w:type="dxa"/>
          <w:right w:w="28" w:type="dxa"/>
        </w:tblCellMar>
      </w:tblPr>
      <w:tblGrid>
        <w:gridCol w:w="1116"/>
        <w:gridCol w:w="685"/>
        <w:gridCol w:w="689"/>
        <w:gridCol w:w="343"/>
        <w:gridCol w:w="783"/>
        <w:gridCol w:w="177"/>
        <w:gridCol w:w="109"/>
        <w:gridCol w:w="109"/>
        <w:gridCol w:w="109"/>
        <w:gridCol w:w="516"/>
        <w:gridCol w:w="921"/>
        <w:gridCol w:w="268"/>
        <w:gridCol w:w="109"/>
        <w:gridCol w:w="109"/>
        <w:gridCol w:w="109"/>
        <w:gridCol w:w="315"/>
        <w:gridCol w:w="718"/>
        <w:gridCol w:w="162"/>
        <w:gridCol w:w="109"/>
        <w:gridCol w:w="109"/>
        <w:gridCol w:w="109"/>
        <w:gridCol w:w="737"/>
        <w:gridCol w:w="737"/>
        <w:gridCol w:w="1057"/>
      </w:tblGrid>
      <w:tr>
        <w:trPr/>
        <w:tc>
          <w:tcPr>
            <w:tcW w:w="111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 except years)</w:t>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Remaining Useful Life - Years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Finite-lived intangible assets:</w:t>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4.36</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12.09</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 names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Indefinite-lived intangible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Foreign currency translation adjustment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48310"/>
                <wp:effectExtent l="0" t="0" r="0" b="0"/>
                <wp:wrapNone/>
                <wp:docPr id="19" name="Frame1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Amortization expense of intangible assets was $5 million and $10 million for the three and six months ended June 30, 2025. There was an immaterial impairment of intangible assets during the three and six months ended June 30, 2025.</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the estimated future amortization expense of finite-lived intangible assets was as follows:</w:t>
      </w:r>
    </w:p>
    <w:tbl>
      <w:tblPr>
        <w:tblW w:w="4540" w:type="dxa"/>
        <w:jc w:val="left"/>
        <w:tblInd w:w="0" w:type="dxa"/>
        <w:tblLayout w:type="fixed"/>
        <w:tblCellMar>
          <w:top w:w="28" w:type="dxa"/>
          <w:left w:w="28" w:type="dxa"/>
          <w:bottom w:w="28" w:type="dxa"/>
          <w:right w:w="28" w:type="dxa"/>
        </w:tblCellMar>
      </w:tblPr>
      <w:tblGrid>
        <w:gridCol w:w="634"/>
        <w:gridCol w:w="556"/>
        <w:gridCol w:w="564"/>
        <w:gridCol w:w="109"/>
        <w:gridCol w:w="109"/>
        <w:gridCol w:w="109"/>
        <w:gridCol w:w="612"/>
        <w:gridCol w:w="1399"/>
        <w:gridCol w:w="448"/>
      </w:tblGrid>
      <w:tr>
        <w:trPr/>
        <w:tc>
          <w:tcPr>
            <w:tcW w:w="63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Finite-lived Intangible Assets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48310"/>
                <wp:effectExtent l="0" t="0" r="0" b="0"/>
                <wp:wrapNone/>
                <wp:docPr id="20" name="Frame1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5: REVENUES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Disaggregation of Revenues</w:t>
      </w:r>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The following table presents our revenues disaggregated by revenue source:</w:t>
      </w:r>
    </w:p>
    <w:tbl>
      <w:tblPr>
        <w:tblW w:w="10205" w:type="dxa"/>
        <w:jc w:val="left"/>
        <w:tblInd w:w="0" w:type="dxa"/>
        <w:tblLayout w:type="fixed"/>
        <w:tblCellMar>
          <w:top w:w="28" w:type="dxa"/>
          <w:left w:w="28" w:type="dxa"/>
          <w:bottom w:w="28" w:type="dxa"/>
          <w:right w:w="28" w:type="dxa"/>
        </w:tblCellMar>
      </w:tblPr>
      <w:tblGrid>
        <w:gridCol w:w="2098"/>
        <w:gridCol w:w="1834"/>
        <w:gridCol w:w="1859"/>
        <w:gridCol w:w="304"/>
        <w:gridCol w:w="210"/>
        <w:gridCol w:w="211"/>
        <w:gridCol w:w="154"/>
        <w:gridCol w:w="154"/>
        <w:gridCol w:w="154"/>
        <w:gridCol w:w="304"/>
        <w:gridCol w:w="210"/>
        <w:gridCol w:w="211"/>
        <w:gridCol w:w="109"/>
        <w:gridCol w:w="109"/>
        <w:gridCol w:w="109"/>
        <w:gridCol w:w="271"/>
        <w:gridCol w:w="292"/>
        <w:gridCol w:w="294"/>
        <w:gridCol w:w="136"/>
        <w:gridCol w:w="136"/>
        <w:gridCol w:w="136"/>
        <w:gridCol w:w="271"/>
        <w:gridCol w:w="275"/>
        <w:gridCol w:w="364"/>
      </w:tblGrid>
      <w:tr>
        <w:trPr/>
        <w:tc>
          <w:tcPr>
            <w:tcW w:w="209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5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5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w:t>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Cryptocurrencies</w:t>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412</w:t>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Equities</w:t>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w:t>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w:t>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transaction-based revenues</w:t>
            </w:r>
          </w:p>
        </w:tc>
        <w:tc>
          <w:tcPr>
            <w:tcW w:w="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1,122</w:t>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Margin interest</w:t>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w:t>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on segregated cash, cash equivalents, securities, and deposits</w:t>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w:t>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Sweep</w:t>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w:t>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Interest on corporate cash and investments </w:t>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w:t>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lending, net</w:t>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w:t>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Credit card, net</w:t>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credit facilities</w:t>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interest revenues</w:t>
            </w:r>
          </w:p>
        </w:tc>
        <w:tc>
          <w:tcPr>
            <w:tcW w:w="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w:t>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Robinhood Gold subscription revenues</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Proxy revenues</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other revenues </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revenues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1,916</w:t>
            </w:r>
          </w:p>
        </w:tc>
      </w:tr>
    </w:tbl>
    <w:p>
      <w:pPr>
        <w:pStyle w:val="TextBody"/>
        <w:bidi w:val="0"/>
        <w:spacing w:lineRule="auto" w:line="268" w:before="0" w:after="0"/>
        <w:jc w:val="both"/>
        <w:rPr>
          <w:rFonts w:ascii="Helvetica;sans-serif" w:hAnsi="Helvetica;sans-serif"/>
          <w:b w:val="false"/>
          <w:i/>
          <w:color w:val="000000"/>
          <w:sz w:val="20"/>
        </w:rPr>
      </w:pPr>
      <w:r>
        <w:rPr>
          <w:rFonts w:ascii="Helvetica;sans-serif" w:hAnsi="Helvetica;sans-serif"/>
          <w:b w:val="false"/>
          <w:i/>
          <w:color w:val="000000"/>
          <w:sz w:val="20"/>
        </w:rPr>
        <w:t>Fully-Paid Securities Lending</w:t>
      </w:r>
    </w:p>
    <w:p>
      <w:pPr>
        <w:pStyle w:val="TextBody"/>
        <w:bidi w:val="0"/>
        <w:spacing w:before="0" w:after="0"/>
        <w:ind w:left="0" w:right="0" w:firstLine="360"/>
        <w:jc w:val="both"/>
        <w:rPr/>
      </w:pPr>
      <w:r>
        <w:rPr/>
      </w:r>
    </w:p>
    <w:p>
      <w:pPr>
        <w:pStyle w:val="TextBody"/>
        <w:bidi w:val="0"/>
        <w:spacing w:lineRule="auto" w:line="26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our fully-paid securities lending program under which we borrow fully-paid shares from participating users and lend them to third parties (“Fully-Paid Securities Lending”), we earn revenue for lending certain securities based on demand for those securities and portions of such revenues are paid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48310"/>
                <wp:effectExtent l="0" t="0" r="0" b="0"/>
                <wp:wrapNone/>
                <wp:docPr id="21" name="Frame2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68" w:before="0" w:after="200"/>
        <w:jc w:val="both"/>
        <w:rPr>
          <w:rFonts w:ascii="Helvetica;sans-serif" w:hAnsi="Helvetica;sans-serif"/>
          <w:b w:val="false"/>
          <w:color w:val="000000"/>
          <w:sz w:val="20"/>
        </w:rPr>
      </w:pPr>
      <w:r>
        <w:rPr>
          <w:rFonts w:ascii="Helvetica;sans-serif" w:hAnsi="Helvetica;sans-serif"/>
          <w:b w:val="false"/>
          <w:color w:val="000000"/>
          <w:sz w:val="20"/>
        </w:rPr>
        <w:t>participating users, and those payments are recorded as interest expense. The following table presents interest revenue earned and interest expense paid from Fully-Paid Securities Lending:</w:t>
      </w:r>
    </w:p>
    <w:tbl>
      <w:tblPr>
        <w:tblW w:w="6889" w:type="dxa"/>
        <w:jc w:val="left"/>
        <w:tblInd w:w="0" w:type="dxa"/>
        <w:tblLayout w:type="fixed"/>
        <w:tblCellMar>
          <w:top w:w="28" w:type="dxa"/>
          <w:left w:w="28" w:type="dxa"/>
          <w:bottom w:w="28" w:type="dxa"/>
          <w:right w:w="28" w:type="dxa"/>
        </w:tblCellMar>
      </w:tblPr>
      <w:tblGrid>
        <w:gridCol w:w="1104"/>
        <w:gridCol w:w="965"/>
        <w:gridCol w:w="976"/>
        <w:gridCol w:w="215"/>
        <w:gridCol w:w="384"/>
        <w:gridCol w:w="111"/>
        <w:gridCol w:w="111"/>
        <w:gridCol w:w="111"/>
        <w:gridCol w:w="111"/>
        <w:gridCol w:w="215"/>
        <w:gridCol w:w="384"/>
        <w:gridCol w:w="111"/>
        <w:gridCol w:w="109"/>
        <w:gridCol w:w="109"/>
        <w:gridCol w:w="109"/>
        <w:gridCol w:w="211"/>
        <w:gridCol w:w="376"/>
        <w:gridCol w:w="109"/>
        <w:gridCol w:w="109"/>
        <w:gridCol w:w="109"/>
        <w:gridCol w:w="109"/>
        <w:gridCol w:w="211"/>
        <w:gridCol w:w="376"/>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Fully-Paid Securities Lending, net</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Contract Balances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Contract receivables are recognized when we have an unconditional right to invoice and receive payment under a contract and are derecognized when cash is received. Transaction-based revenue receivables due from market makers are reported in receivables from brokers, dealers, and clearing organizations while other revenue receivables related to proxy revenues due from issuers are reported in other current assets on the unaudited condensed consolidated balance sheets.</w:t>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2025, contract liabilities include $28 million of unearned Robinhood Gold subscription revenue, recognized when users remit cash payments in advance of the time we satisfy our performance obligations. The unearned subscription revenue was recorded as other current liabilities on the unaudited condensed consolidated balance sheets. Contract liabilities also include $21 million of TradePMR performance obligations acquired as part of the TradePMR acquisition, with $8 million recorded in other current liabilities and $13 million in other non-current liabilities which was recorded on the unaudited condensed consolidated balance sheets. This liability represents consideration received in advance of satisfying the related performance obligations and is subject to repayment if certain contractual conditions are not met.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contract receivables and liabilities balances for the period indicated:</w:t>
      </w:r>
    </w:p>
    <w:tbl>
      <w:tblPr>
        <w:tblW w:w="7719" w:type="dxa"/>
        <w:jc w:val="left"/>
        <w:tblInd w:w="0" w:type="dxa"/>
        <w:tblLayout w:type="fixed"/>
        <w:tblCellMar>
          <w:top w:w="28" w:type="dxa"/>
          <w:left w:w="28" w:type="dxa"/>
          <w:bottom w:w="28" w:type="dxa"/>
          <w:right w:w="28" w:type="dxa"/>
        </w:tblCellMar>
      </w:tblPr>
      <w:tblGrid>
        <w:gridCol w:w="1313"/>
        <w:gridCol w:w="1149"/>
        <w:gridCol w:w="1168"/>
        <w:gridCol w:w="109"/>
        <w:gridCol w:w="109"/>
        <w:gridCol w:w="109"/>
        <w:gridCol w:w="469"/>
        <w:gridCol w:w="1072"/>
        <w:gridCol w:w="244"/>
        <w:gridCol w:w="109"/>
        <w:gridCol w:w="109"/>
        <w:gridCol w:w="109"/>
        <w:gridCol w:w="468"/>
        <w:gridCol w:w="836"/>
        <w:gridCol w:w="346"/>
      </w:tblGrid>
      <w:tr>
        <w:trPr/>
        <w:tc>
          <w:tcPr>
            <w:tcW w:w="131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Contract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Contract Liabilities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of the period,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 of the period,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difference between the opening and ending balances of our contract receivables was primarily driven by lower cryptocurrency transaction-based revenues due to decreased trading volumes and timing differences between our performance and counterparty payments, partially offset by higher equities and options transaction-based revenues and higher revenues from our proxy services.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difference between the opening and ending balances of our contract liabilities was primarily driven by an increase in TradePMR performance obligations, timing differences between our performance and customer billing, and an increase in Robinhood Gold Subscribers.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48310"/>
                <wp:effectExtent l="0" t="0" r="0" b="0"/>
                <wp:wrapNone/>
                <wp:docPr id="22" name="Frame2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6: ALLOWANCE FOR CREDIT LOSSES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Allowance for Credit Losses - Brokerage Related</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summarizes the brokerage related allowance for credit losses, which is primarily related to fraudulent activities, included in receivables from users, net on the unaudited condensed consolidated balance sheet: </w:t>
      </w:r>
    </w:p>
    <w:tbl>
      <w:tblPr>
        <w:tblW w:w="6228" w:type="dxa"/>
        <w:jc w:val="left"/>
        <w:tblInd w:w="0" w:type="dxa"/>
        <w:tblLayout w:type="fixed"/>
        <w:tblCellMar>
          <w:top w:w="28" w:type="dxa"/>
          <w:left w:w="28" w:type="dxa"/>
          <w:bottom w:w="28" w:type="dxa"/>
          <w:right w:w="28" w:type="dxa"/>
        </w:tblCellMar>
      </w:tblPr>
      <w:tblGrid>
        <w:gridCol w:w="862"/>
        <w:gridCol w:w="755"/>
        <w:gridCol w:w="767"/>
        <w:gridCol w:w="215"/>
        <w:gridCol w:w="384"/>
        <w:gridCol w:w="111"/>
        <w:gridCol w:w="111"/>
        <w:gridCol w:w="111"/>
        <w:gridCol w:w="111"/>
        <w:gridCol w:w="215"/>
        <w:gridCol w:w="384"/>
        <w:gridCol w:w="111"/>
        <w:gridCol w:w="109"/>
        <w:gridCol w:w="109"/>
        <w:gridCol w:w="109"/>
        <w:gridCol w:w="211"/>
        <w:gridCol w:w="376"/>
        <w:gridCol w:w="109"/>
        <w:gridCol w:w="109"/>
        <w:gridCol w:w="109"/>
        <w:gridCol w:w="109"/>
        <w:gridCol w:w="211"/>
        <w:gridCol w:w="37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Write-offs</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Recoveries</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Allowance for Credit Losses - Credit Card Related</w:t>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two types of allowance for credit losses related to credit cards: i) an allowance related to off-balance sheet credit card receivables, shown as part of accounts payable and accrued expenses on the unaudited condensed consolidated balance sheet, and ii) an allowance related to purchased credit card receivables and interest receivable from customers, included in receivables from users, net on the unaudited condensed consolidated balance sheet.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allowance related to off-balance sheet credit card receivables:</w:t>
      </w:r>
    </w:p>
    <w:p>
      <w:pPr>
        <w:pStyle w:val="TextBody"/>
        <w:bidi w:val="0"/>
        <w:spacing w:before="0" w:after="0"/>
        <w:ind w:left="0" w:right="0" w:firstLine="360"/>
        <w:jc w:val="both"/>
        <w:rPr/>
      </w:pPr>
      <w:r>
        <w:rPr/>
      </w:r>
    </w:p>
    <w:tbl>
      <w:tblPr>
        <w:tblW w:w="6521" w:type="dxa"/>
        <w:jc w:val="left"/>
        <w:tblInd w:w="0" w:type="dxa"/>
        <w:tblLayout w:type="fixed"/>
        <w:tblCellMar>
          <w:top w:w="28" w:type="dxa"/>
          <w:left w:w="28" w:type="dxa"/>
          <w:bottom w:w="28" w:type="dxa"/>
          <w:right w:w="28" w:type="dxa"/>
        </w:tblCellMar>
      </w:tblPr>
      <w:tblGrid>
        <w:gridCol w:w="889"/>
        <w:gridCol w:w="779"/>
        <w:gridCol w:w="791"/>
        <w:gridCol w:w="215"/>
        <w:gridCol w:w="384"/>
        <w:gridCol w:w="111"/>
        <w:gridCol w:w="111"/>
        <w:gridCol w:w="111"/>
        <w:gridCol w:w="111"/>
        <w:gridCol w:w="215"/>
        <w:gridCol w:w="384"/>
        <w:gridCol w:w="111"/>
        <w:gridCol w:w="109"/>
        <w:gridCol w:w="109"/>
        <w:gridCol w:w="109"/>
        <w:gridCol w:w="211"/>
        <w:gridCol w:w="376"/>
        <w:gridCol w:w="109"/>
        <w:gridCol w:w="109"/>
        <w:gridCol w:w="109"/>
        <w:gridCol w:w="109"/>
        <w:gridCol w:w="211"/>
        <w:gridCol w:w="376"/>
        <w:gridCol w:w="109"/>
        <w:gridCol w:w="109"/>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to Coastal Bank</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Recoveries</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Helvetica;sans-serif" w:hAnsi="Helvetica;sans-serif"/>
          <w:b w:val="false"/>
          <w:color w:val="000000"/>
          <w:sz w:val="20"/>
        </w:rPr>
        <w:t>The following table summarizes the allowance related to purchased credit card receivables and</w:t>
      </w:r>
      <w:r>
        <w:rPr>
          <w:color w:val="000000"/>
        </w:rPr>
        <w:t xml:space="preserve"> </w:t>
      </w:r>
      <w:r>
        <w:rPr>
          <w:rFonts w:ascii="Helvetica;sans-serif" w:hAnsi="Helvetica;sans-serif"/>
          <w:b w:val="false"/>
          <w:color w:val="000000"/>
          <w:sz w:val="20"/>
        </w:rPr>
        <w:t xml:space="preserve">interest receivables from customers: </w:t>
      </w:r>
    </w:p>
    <w:p>
      <w:pPr>
        <w:pStyle w:val="TextBody"/>
        <w:bidi w:val="0"/>
        <w:spacing w:before="0" w:after="0"/>
        <w:ind w:left="0" w:right="0" w:firstLine="360"/>
        <w:jc w:val="both"/>
        <w:rPr/>
      </w:pPr>
      <w:r>
        <w:rPr/>
      </w:r>
    </w:p>
    <w:tbl>
      <w:tblPr>
        <w:tblW w:w="6121" w:type="dxa"/>
        <w:jc w:val="left"/>
        <w:tblInd w:w="0" w:type="dxa"/>
        <w:tblLayout w:type="fixed"/>
        <w:tblCellMar>
          <w:top w:w="28" w:type="dxa"/>
          <w:left w:w="28" w:type="dxa"/>
          <w:bottom w:w="28" w:type="dxa"/>
          <w:right w:w="28" w:type="dxa"/>
        </w:tblCellMar>
      </w:tblPr>
      <w:tblGrid>
        <w:gridCol w:w="862"/>
        <w:gridCol w:w="755"/>
        <w:gridCol w:w="767"/>
        <w:gridCol w:w="229"/>
        <w:gridCol w:w="294"/>
        <w:gridCol w:w="118"/>
        <w:gridCol w:w="118"/>
        <w:gridCol w:w="118"/>
        <w:gridCol w:w="118"/>
        <w:gridCol w:w="229"/>
        <w:gridCol w:w="409"/>
        <w:gridCol w:w="118"/>
        <w:gridCol w:w="109"/>
        <w:gridCol w:w="109"/>
        <w:gridCol w:w="109"/>
        <w:gridCol w:w="211"/>
        <w:gridCol w:w="271"/>
        <w:gridCol w:w="109"/>
        <w:gridCol w:w="109"/>
        <w:gridCol w:w="109"/>
        <w:gridCol w:w="109"/>
        <w:gridCol w:w="211"/>
        <w:gridCol w:w="37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Write-offs</w:t>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tables present the aging analysis of our credit card receivables for the periods presented and the delinquency aging includes all past due principal on loans. Accrued interest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48310"/>
                <wp:effectExtent l="0" t="0" r="0" b="0"/>
                <wp:wrapNone/>
                <wp:docPr id="23" name="Frame2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of $3 million as of December 31, 2024, and $6 million as of June 30, 2025, were not included in the tables below.</w:t>
      </w:r>
    </w:p>
    <w:tbl>
      <w:tblPr>
        <w:tblW w:w="10011" w:type="dxa"/>
        <w:jc w:val="left"/>
        <w:tblInd w:w="0" w:type="dxa"/>
        <w:tblLayout w:type="fixed"/>
        <w:tblCellMar>
          <w:top w:w="28" w:type="dxa"/>
          <w:left w:w="28" w:type="dxa"/>
          <w:bottom w:w="28" w:type="dxa"/>
          <w:right w:w="28" w:type="dxa"/>
        </w:tblCellMar>
      </w:tblPr>
      <w:tblGrid>
        <w:gridCol w:w="929"/>
        <w:gridCol w:w="815"/>
        <w:gridCol w:w="820"/>
        <w:gridCol w:w="248"/>
        <w:gridCol w:w="128"/>
        <w:gridCol w:w="335"/>
        <w:gridCol w:w="109"/>
        <w:gridCol w:w="109"/>
        <w:gridCol w:w="109"/>
        <w:gridCol w:w="282"/>
        <w:gridCol w:w="145"/>
        <w:gridCol w:w="382"/>
        <w:gridCol w:w="109"/>
        <w:gridCol w:w="109"/>
        <w:gridCol w:w="109"/>
        <w:gridCol w:w="313"/>
        <w:gridCol w:w="162"/>
        <w:gridCol w:w="425"/>
        <w:gridCol w:w="109"/>
        <w:gridCol w:w="109"/>
        <w:gridCol w:w="109"/>
        <w:gridCol w:w="757"/>
        <w:gridCol w:w="390"/>
        <w:gridCol w:w="1027"/>
        <w:gridCol w:w="109"/>
        <w:gridCol w:w="109"/>
        <w:gridCol w:w="109"/>
        <w:gridCol w:w="500"/>
        <w:gridCol w:w="258"/>
        <w:gridCol w:w="787"/>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5"/>
              </w:rPr>
            </w:pPr>
            <w:r>
              <w:rPr>
                <w:rFonts w:ascii="Helvetica;sans-serif" w:hAnsi="Helvetica;sans-serif"/>
                <w:b w:val="false"/>
                <w:i/>
                <w:color w:val="000000"/>
                <w:sz w:val="15"/>
              </w:rPr>
              <w:t>(in millions, except for percentages)</w:t>
            </w:r>
          </w:p>
        </w:tc>
        <w:tc>
          <w:tcPr>
            <w:tcW w:w="744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Past due receivables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&lt;90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Helvetica;sans-serif" w:hAnsi="Helvetica;sans-serif"/>
                <w:b/>
                <w:color w:val="000000"/>
                <w:sz w:val="16"/>
              </w:rPr>
              <w:t>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Past due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Receivables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On-balance sheet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Off-balance sheet</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credit card loans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of Total loans</w:t>
            </w:r>
          </w:p>
        </w:tc>
        <w:tc>
          <w:tcPr>
            <w:tcW w:w="37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3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8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2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2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7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tbl>
      <w:tblPr>
        <w:tblW w:w="10011" w:type="dxa"/>
        <w:jc w:val="left"/>
        <w:tblInd w:w="0" w:type="dxa"/>
        <w:tblLayout w:type="fixed"/>
        <w:tblCellMar>
          <w:top w:w="28" w:type="dxa"/>
          <w:left w:w="28" w:type="dxa"/>
          <w:bottom w:w="28" w:type="dxa"/>
          <w:right w:w="28" w:type="dxa"/>
        </w:tblCellMar>
      </w:tblPr>
      <w:tblGrid>
        <w:gridCol w:w="929"/>
        <w:gridCol w:w="815"/>
        <w:gridCol w:w="820"/>
        <w:gridCol w:w="248"/>
        <w:gridCol w:w="128"/>
        <w:gridCol w:w="335"/>
        <w:gridCol w:w="109"/>
        <w:gridCol w:w="109"/>
        <w:gridCol w:w="109"/>
        <w:gridCol w:w="282"/>
        <w:gridCol w:w="145"/>
        <w:gridCol w:w="382"/>
        <w:gridCol w:w="109"/>
        <w:gridCol w:w="109"/>
        <w:gridCol w:w="109"/>
        <w:gridCol w:w="313"/>
        <w:gridCol w:w="162"/>
        <w:gridCol w:w="425"/>
        <w:gridCol w:w="109"/>
        <w:gridCol w:w="109"/>
        <w:gridCol w:w="109"/>
        <w:gridCol w:w="757"/>
        <w:gridCol w:w="390"/>
        <w:gridCol w:w="1027"/>
        <w:gridCol w:w="109"/>
        <w:gridCol w:w="109"/>
        <w:gridCol w:w="109"/>
        <w:gridCol w:w="500"/>
        <w:gridCol w:w="258"/>
        <w:gridCol w:w="787"/>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5"/>
              </w:rPr>
            </w:pPr>
            <w:r>
              <w:rPr>
                <w:rFonts w:ascii="Helvetica;sans-serif" w:hAnsi="Helvetica;sans-serif"/>
                <w:b w:val="false"/>
                <w:i/>
                <w:color w:val="000000"/>
                <w:sz w:val="15"/>
              </w:rPr>
              <w:t>(in millions, except for percentages)</w:t>
            </w:r>
          </w:p>
        </w:tc>
        <w:tc>
          <w:tcPr>
            <w:tcW w:w="74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Past due receivables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&lt;90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Helvetica;sans-serif" w:hAnsi="Helvetica;sans-serif"/>
                <w:b/>
                <w:color w:val="000000"/>
                <w:sz w:val="16"/>
              </w:rPr>
              <w:t>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Past due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Receivables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On-balance sheet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Off-balance sheet</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credit card loans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562</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of Total loans</w:t>
            </w:r>
          </w:p>
        </w:tc>
        <w:tc>
          <w:tcPr>
            <w:tcW w:w="37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3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8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2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2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7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6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risk in our credit card receivables portfolio correlates to broad economic trends as well as customers’ financial condition. The key indicator we monitor when assessing the credit quality and risk is customers’ credit scores as they measure the creditworthiness of customers. We use a national third-party provider to update FICO credit scores on a monthly basis. The updated scores are incorporated into a series of credit management reports, which are utilized to monitor risk. The table below presents our credit card receivables by our credit quality indicator, FICO score, including both on-balance sheet and off-balance sheet amounts, as of December 31, 2024 and June 30, 2025. Our receivables by FICO scores:</w:t>
      </w:r>
    </w:p>
    <w:tbl>
      <w:tblPr>
        <w:tblW w:w="8306" w:type="dxa"/>
        <w:jc w:val="left"/>
        <w:tblInd w:w="0" w:type="dxa"/>
        <w:tblLayout w:type="fixed"/>
        <w:tblCellMar>
          <w:top w:w="28" w:type="dxa"/>
          <w:left w:w="28" w:type="dxa"/>
          <w:bottom w:w="28" w:type="dxa"/>
          <w:right w:w="28" w:type="dxa"/>
        </w:tblCellMar>
      </w:tblPr>
      <w:tblGrid>
        <w:gridCol w:w="912"/>
        <w:gridCol w:w="802"/>
        <w:gridCol w:w="806"/>
        <w:gridCol w:w="308"/>
        <w:gridCol w:w="703"/>
        <w:gridCol w:w="159"/>
        <w:gridCol w:w="109"/>
        <w:gridCol w:w="109"/>
        <w:gridCol w:w="109"/>
        <w:gridCol w:w="301"/>
        <w:gridCol w:w="301"/>
        <w:gridCol w:w="792"/>
        <w:gridCol w:w="109"/>
        <w:gridCol w:w="109"/>
        <w:gridCol w:w="109"/>
        <w:gridCol w:w="211"/>
        <w:gridCol w:w="481"/>
        <w:gridCol w:w="109"/>
        <w:gridCol w:w="109"/>
        <w:gridCol w:w="109"/>
        <w:gridCol w:w="109"/>
        <w:gridCol w:w="285"/>
        <w:gridCol w:w="285"/>
        <w:gridCol w:w="870"/>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 except FICO scores)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of Total loans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Below 640</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640-690</w:t>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870"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Greater than 690</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credit card loans </w:t>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870"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7: INVESTMENTS AND FAIR VALUE MEASUREMENT</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Investments</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Available-for-sale</w:t>
      </w:r>
    </w:p>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As of December 31, 2024 and June 30, 2025, we had $750 million and $250 million of available-for-sale time deposits classified as cash equivalents on the unaudited condensed consolidated balance sheets. These investments had a maturity of three months or less at the time of purchase, and an aggregate market value equal to amortized cost. Refer to </w:t>
      </w:r>
      <w:r>
        <w:rPr>
          <w:rFonts w:ascii="Helvetica;sans-serif" w:hAnsi="Helvetica;sans-serif"/>
          <w:b w:val="false"/>
          <w:i/>
          <w:color w:val="000000"/>
          <w:sz w:val="20"/>
        </w:rPr>
        <w:t>Fair Value of Financial Instruments</w:t>
      </w:r>
      <w:r>
        <w:rPr>
          <w:color w:val="000000"/>
        </w:rPr>
        <w:t xml:space="preserve"> </w:t>
      </w:r>
      <w:r>
        <w:rPr>
          <w:rFonts w:ascii="Helvetica;sans-serif" w:hAnsi="Helvetica;sans-serif"/>
          <w:b w:val="false"/>
          <w:color w:val="000000"/>
          <w:sz w:val="20"/>
        </w:rPr>
        <w:t xml:space="preserve">below for further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48310"/>
                <wp:effectExtent l="0" t="0" r="0" b="0"/>
                <wp:wrapNone/>
                <wp:docPr id="24" name="Frame2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Held-to-maturity</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summarize our held-to-maturity investments:</w:t>
      </w:r>
    </w:p>
    <w:tbl>
      <w:tblPr>
        <w:tblW w:w="10205" w:type="dxa"/>
        <w:jc w:val="left"/>
        <w:tblInd w:w="0" w:type="dxa"/>
        <w:tblLayout w:type="fixed"/>
        <w:tblCellMar>
          <w:top w:w="28" w:type="dxa"/>
          <w:left w:w="28" w:type="dxa"/>
          <w:bottom w:w="28" w:type="dxa"/>
          <w:right w:w="28" w:type="dxa"/>
        </w:tblCellMar>
      </w:tblPr>
      <w:tblGrid>
        <w:gridCol w:w="1033"/>
        <w:gridCol w:w="722"/>
        <w:gridCol w:w="733"/>
        <w:gridCol w:w="310"/>
        <w:gridCol w:w="709"/>
        <w:gridCol w:w="160"/>
        <w:gridCol w:w="109"/>
        <w:gridCol w:w="109"/>
        <w:gridCol w:w="109"/>
        <w:gridCol w:w="513"/>
        <w:gridCol w:w="989"/>
        <w:gridCol w:w="267"/>
        <w:gridCol w:w="109"/>
        <w:gridCol w:w="109"/>
        <w:gridCol w:w="109"/>
        <w:gridCol w:w="444"/>
        <w:gridCol w:w="571"/>
        <w:gridCol w:w="232"/>
        <w:gridCol w:w="109"/>
        <w:gridCol w:w="109"/>
        <w:gridCol w:w="109"/>
        <w:gridCol w:w="380"/>
        <w:gridCol w:w="733"/>
        <w:gridCol w:w="197"/>
        <w:gridCol w:w="109"/>
        <w:gridCol w:w="109"/>
        <w:gridCol w:w="109"/>
        <w:gridCol w:w="223"/>
        <w:gridCol w:w="509"/>
        <w:gridCol w:w="172"/>
      </w:tblGrid>
      <w:tr>
        <w:trPr/>
        <w:tc>
          <w:tcPr>
            <w:tcW w:w="103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Allowance for Credit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3"/>
        <w:gridCol w:w="722"/>
        <w:gridCol w:w="733"/>
        <w:gridCol w:w="310"/>
        <w:gridCol w:w="709"/>
        <w:gridCol w:w="160"/>
        <w:gridCol w:w="109"/>
        <w:gridCol w:w="109"/>
        <w:gridCol w:w="109"/>
        <w:gridCol w:w="513"/>
        <w:gridCol w:w="989"/>
        <w:gridCol w:w="267"/>
        <w:gridCol w:w="109"/>
        <w:gridCol w:w="109"/>
        <w:gridCol w:w="109"/>
        <w:gridCol w:w="361"/>
        <w:gridCol w:w="698"/>
        <w:gridCol w:w="188"/>
        <w:gridCol w:w="109"/>
        <w:gridCol w:w="109"/>
        <w:gridCol w:w="109"/>
        <w:gridCol w:w="380"/>
        <w:gridCol w:w="733"/>
        <w:gridCol w:w="197"/>
        <w:gridCol w:w="109"/>
        <w:gridCol w:w="109"/>
        <w:gridCol w:w="109"/>
        <w:gridCol w:w="223"/>
        <w:gridCol w:w="509"/>
        <w:gridCol w:w="172"/>
      </w:tblGrid>
      <w:tr>
        <w:trPr/>
        <w:tc>
          <w:tcPr>
            <w:tcW w:w="103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Allowance for Credit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were no sales of held-to-maturity investments during the three and six months ended June 30, 2025.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presents the amortized cost and fair value of held-to-maturity investments by contractual maturity:</w:t>
      </w:r>
    </w:p>
    <w:tbl>
      <w:tblPr>
        <w:tblW w:w="7275" w:type="dxa"/>
        <w:jc w:val="left"/>
        <w:tblInd w:w="0" w:type="dxa"/>
        <w:tblLayout w:type="fixed"/>
        <w:tblCellMar>
          <w:top w:w="28" w:type="dxa"/>
          <w:left w:w="28" w:type="dxa"/>
          <w:bottom w:w="28" w:type="dxa"/>
          <w:right w:w="28" w:type="dxa"/>
        </w:tblCellMar>
      </w:tblPr>
      <w:tblGrid>
        <w:gridCol w:w="1150"/>
        <w:gridCol w:w="1009"/>
        <w:gridCol w:w="1021"/>
        <w:gridCol w:w="300"/>
        <w:gridCol w:w="685"/>
        <w:gridCol w:w="155"/>
        <w:gridCol w:w="109"/>
        <w:gridCol w:w="109"/>
        <w:gridCol w:w="109"/>
        <w:gridCol w:w="296"/>
        <w:gridCol w:w="570"/>
        <w:gridCol w:w="153"/>
        <w:gridCol w:w="109"/>
        <w:gridCol w:w="109"/>
        <w:gridCol w:w="109"/>
        <w:gridCol w:w="109"/>
        <w:gridCol w:w="109"/>
        <w:gridCol w:w="109"/>
        <w:gridCol w:w="109"/>
        <w:gridCol w:w="211"/>
        <w:gridCol w:w="481"/>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1173" w:type="dxa"/>
            <w:gridSpan w:val="6"/>
            <w:tcBorders/>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Within 1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1 to 2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Amortized cost</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Fair value</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48310"/>
                <wp:effectExtent l="0" t="0" r="0" b="0"/>
                <wp:wrapNone/>
                <wp:docPr id="25" name="Frame2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tbl>
      <w:tblPr>
        <w:tblW w:w="7274" w:type="dxa"/>
        <w:jc w:val="left"/>
        <w:tblInd w:w="0" w:type="dxa"/>
        <w:tblLayout w:type="fixed"/>
        <w:tblCellMar>
          <w:top w:w="28" w:type="dxa"/>
          <w:left w:w="28" w:type="dxa"/>
          <w:bottom w:w="28" w:type="dxa"/>
          <w:right w:w="28" w:type="dxa"/>
        </w:tblCellMar>
      </w:tblPr>
      <w:tblGrid>
        <w:gridCol w:w="1149"/>
        <w:gridCol w:w="1009"/>
        <w:gridCol w:w="1021"/>
        <w:gridCol w:w="300"/>
        <w:gridCol w:w="685"/>
        <w:gridCol w:w="155"/>
        <w:gridCol w:w="109"/>
        <w:gridCol w:w="109"/>
        <w:gridCol w:w="109"/>
        <w:gridCol w:w="296"/>
        <w:gridCol w:w="570"/>
        <w:gridCol w:w="153"/>
        <w:gridCol w:w="109"/>
        <w:gridCol w:w="109"/>
        <w:gridCol w:w="109"/>
        <w:gridCol w:w="109"/>
        <w:gridCol w:w="109"/>
        <w:gridCol w:w="109"/>
        <w:gridCol w:w="109"/>
        <w:gridCol w:w="211"/>
        <w:gridCol w:w="481"/>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2025</w:t>
            </w:r>
          </w:p>
        </w:tc>
        <w:tc>
          <w:tcPr>
            <w:tcW w:w="1173" w:type="dxa"/>
            <w:gridSpan w:val="6"/>
            <w:tcBorders/>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Within 1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1 to 2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Amortized cost</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Fair value</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Fair Value of Financial Instruments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Financial assets and liabilities measured at fair value on a recurring basis were presented on our unaudited condensed consolidated balance sheets as follows:</w:t>
      </w:r>
    </w:p>
    <w:tbl>
      <w:tblPr>
        <w:tblW w:w="10205" w:type="dxa"/>
        <w:jc w:val="left"/>
        <w:tblInd w:w="0" w:type="dxa"/>
        <w:tblLayout w:type="fixed"/>
        <w:tblCellMar>
          <w:top w:w="28" w:type="dxa"/>
          <w:left w:w="28" w:type="dxa"/>
          <w:bottom w:w="28" w:type="dxa"/>
          <w:right w:w="28" w:type="dxa"/>
        </w:tblCellMar>
      </w:tblPr>
      <w:tblGrid>
        <w:gridCol w:w="2527"/>
        <w:gridCol w:w="1587"/>
        <w:gridCol w:w="1605"/>
        <w:gridCol w:w="211"/>
        <w:gridCol w:w="646"/>
        <w:gridCol w:w="109"/>
        <w:gridCol w:w="109"/>
        <w:gridCol w:w="109"/>
        <w:gridCol w:w="109"/>
        <w:gridCol w:w="211"/>
        <w:gridCol w:w="481"/>
        <w:gridCol w:w="109"/>
        <w:gridCol w:w="109"/>
        <w:gridCol w:w="109"/>
        <w:gridCol w:w="109"/>
        <w:gridCol w:w="211"/>
        <w:gridCol w:w="406"/>
        <w:gridCol w:w="109"/>
        <w:gridCol w:w="109"/>
        <w:gridCol w:w="109"/>
        <w:gridCol w:w="109"/>
        <w:gridCol w:w="211"/>
        <w:gridCol w:w="646"/>
        <w:gridCol w:w="155"/>
      </w:tblGrid>
      <w:tr>
        <w:trPr/>
        <w:tc>
          <w:tcPr>
            <w:tcW w:w="252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Time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securities segregated under federal and other regulations: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Stablecoin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 - securities owned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 - escrow account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User-held fractional shares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Fractional shares repurchase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2,530 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48310"/>
                <wp:effectExtent l="0" t="0" r="0" b="0"/>
                <wp:wrapNone/>
                <wp:docPr id="26" name="Frame2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tbl>
      <w:tblPr>
        <w:tblW w:w="10205" w:type="dxa"/>
        <w:jc w:val="left"/>
        <w:tblInd w:w="0" w:type="dxa"/>
        <w:tblLayout w:type="fixed"/>
        <w:tblCellMar>
          <w:top w:w="28" w:type="dxa"/>
          <w:left w:w="28" w:type="dxa"/>
          <w:bottom w:w="28" w:type="dxa"/>
          <w:right w:w="28" w:type="dxa"/>
        </w:tblCellMar>
      </w:tblPr>
      <w:tblGrid>
        <w:gridCol w:w="2545"/>
        <w:gridCol w:w="1578"/>
        <w:gridCol w:w="1596"/>
        <w:gridCol w:w="211"/>
        <w:gridCol w:w="646"/>
        <w:gridCol w:w="109"/>
        <w:gridCol w:w="109"/>
        <w:gridCol w:w="109"/>
        <w:gridCol w:w="109"/>
        <w:gridCol w:w="211"/>
        <w:gridCol w:w="481"/>
        <w:gridCol w:w="109"/>
        <w:gridCol w:w="109"/>
        <w:gridCol w:w="109"/>
        <w:gridCol w:w="109"/>
        <w:gridCol w:w="211"/>
        <w:gridCol w:w="406"/>
        <w:gridCol w:w="109"/>
        <w:gridCol w:w="109"/>
        <w:gridCol w:w="109"/>
        <w:gridCol w:w="109"/>
        <w:gridCol w:w="211"/>
        <w:gridCol w:w="646"/>
        <w:gridCol w:w="155"/>
      </w:tblGrid>
      <w:tr>
        <w:trPr/>
        <w:tc>
          <w:tcPr>
            <w:tcW w:w="2545"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Time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securities segregated under federal and other regulations: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Deposits with clearing organizations: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U.S. Treasury securities</w:t>
            </w:r>
            <w:r>
              <w:rPr>
                <w:rFonts w:ascii="Helvetica;sans-serif" w:hAnsi="Helvetica;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 - securities owned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Stablecoin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 - escrow account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User-held fractional shares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Fractional shares repurchase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3,083 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Helvetica;sans-serif" w:hAnsi="Helvetica;sans-serif"/>
          <w:b w:val="false"/>
          <w:color w:val="000000"/>
          <w:sz w:val="20"/>
        </w:rPr>
      </w:pPr>
      <w:r>
        <w:rPr>
          <w:rFonts w:ascii="Helvetica;sans-serif" w:hAnsi="Helvetica;sans-serif"/>
          <w:b w:val="false"/>
          <w:color w:val="000000"/>
          <w:sz w:val="20"/>
        </w:rPr>
        <w:br/>
        <w:t>____________________________</w:t>
      </w:r>
    </w:p>
    <w:p>
      <w:pPr>
        <w:pStyle w:val="TextBody"/>
        <w:bidi w:val="0"/>
        <w:spacing w:lineRule="auto" w:line="288" w:before="0" w:after="200"/>
        <w:jc w:val="both"/>
        <w:rPr/>
      </w:pPr>
      <w:r>
        <w:rPr>
          <w:rFonts w:ascii="Helvetica;sans-serif" w:hAnsi="Helvetica;sans-serif"/>
          <w:b w:val="false"/>
          <w:color w:val="000000"/>
          <w:sz w:val="13"/>
        </w:rPr>
        <w:t xml:space="preserve">(1) </w:t>
      </w:r>
      <w:r>
        <w:rPr>
          <w:rFonts w:ascii="Helvetica;sans-serif" w:hAnsi="Helvetica;sans-serif"/>
          <w:b w:val="false"/>
          <w:color w:val="000000"/>
          <w:sz w:val="16"/>
        </w:rPr>
        <w:t>As of June 30, 2025, $1 million of our U.S. Treasury securities are deposited with an exchange to enable the execution, clearing, and settlement of event contracts.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for certain financial instruments that are not required to be measured or reported at fair value was presented on our unaudited condensed consolidated balance sheets as follows:</w:t>
      </w:r>
    </w:p>
    <w:tbl>
      <w:tblPr>
        <w:tblW w:w="7260" w:type="dxa"/>
        <w:jc w:val="left"/>
        <w:tblInd w:w="0" w:type="dxa"/>
        <w:tblLayout w:type="fixed"/>
        <w:tblCellMar>
          <w:top w:w="28" w:type="dxa"/>
          <w:left w:w="28" w:type="dxa"/>
          <w:bottom w:w="28" w:type="dxa"/>
          <w:right w:w="28" w:type="dxa"/>
        </w:tblCellMar>
      </w:tblPr>
      <w:tblGrid>
        <w:gridCol w:w="1399"/>
        <w:gridCol w:w="886"/>
        <w:gridCol w:w="895"/>
        <w:gridCol w:w="211"/>
        <w:gridCol w:w="481"/>
        <w:gridCol w:w="109"/>
        <w:gridCol w:w="109"/>
        <w:gridCol w:w="109"/>
        <w:gridCol w:w="109"/>
        <w:gridCol w:w="211"/>
        <w:gridCol w:w="406"/>
        <w:gridCol w:w="109"/>
        <w:gridCol w:w="109"/>
        <w:gridCol w:w="109"/>
        <w:gridCol w:w="109"/>
        <w:gridCol w:w="211"/>
        <w:gridCol w:w="406"/>
        <w:gridCol w:w="109"/>
        <w:gridCol w:w="109"/>
        <w:gridCol w:w="109"/>
        <w:gridCol w:w="109"/>
        <w:gridCol w:w="211"/>
        <w:gridCol w:w="481"/>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Held-to-maturity investments: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60" w:type="dxa"/>
        <w:jc w:val="left"/>
        <w:tblInd w:w="0" w:type="dxa"/>
        <w:tblLayout w:type="fixed"/>
        <w:tblCellMar>
          <w:top w:w="28" w:type="dxa"/>
          <w:left w:w="28" w:type="dxa"/>
          <w:bottom w:w="28" w:type="dxa"/>
          <w:right w:w="28" w:type="dxa"/>
        </w:tblCellMar>
      </w:tblPr>
      <w:tblGrid>
        <w:gridCol w:w="1399"/>
        <w:gridCol w:w="886"/>
        <w:gridCol w:w="895"/>
        <w:gridCol w:w="211"/>
        <w:gridCol w:w="481"/>
        <w:gridCol w:w="109"/>
        <w:gridCol w:w="109"/>
        <w:gridCol w:w="109"/>
        <w:gridCol w:w="109"/>
        <w:gridCol w:w="211"/>
        <w:gridCol w:w="406"/>
        <w:gridCol w:w="109"/>
        <w:gridCol w:w="109"/>
        <w:gridCol w:w="109"/>
        <w:gridCol w:w="109"/>
        <w:gridCol w:w="211"/>
        <w:gridCol w:w="406"/>
        <w:gridCol w:w="109"/>
        <w:gridCol w:w="109"/>
        <w:gridCol w:w="109"/>
        <w:gridCol w:w="109"/>
        <w:gridCol w:w="211"/>
        <w:gridCol w:w="481"/>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Held-to-maturity investments: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48310"/>
                <wp:effectExtent l="0" t="0" r="0" b="0"/>
                <wp:wrapNone/>
                <wp:docPr id="27" name="Frame2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ind w:left="0" w:right="0" w:firstLine="360"/>
        <w:jc w:val="both"/>
        <w:rPr/>
      </w:pPr>
      <w:r>
        <w:rPr>
          <w:rFonts w:ascii="Helvetica;sans-serif" w:hAnsi="Helvetica;sans-serif"/>
          <w:b w:val="false"/>
          <w:color w:val="000000"/>
          <w:sz w:val="20"/>
          <w:shd w:fill="FFFFFF" w:val="clear"/>
        </w:rPr>
        <w:t>The fair values used for held-to-maturity investments are obtained from an independent pricing service and represent fair values determined by pricing models using a market approach that considers observable market data, such as interest rate volatility, relevant yield curves, credit spreads and prices from market makers and live trading systems. Management reviews the valuation methodology and quality controls utilized by the pricing services in management</w:t>
      </w:r>
      <w:r>
        <w:rPr>
          <w:color w:val="000000"/>
        </w:rPr>
        <w:t>’</w:t>
      </w:r>
      <w:r>
        <w:rPr>
          <w:rFonts w:ascii="Helvetica;sans-serif" w:hAnsi="Helvetica;sans-serif"/>
          <w:b w:val="false"/>
          <w:color w:val="000000"/>
          <w:sz w:val="20"/>
          <w:shd w:fill="FFFFFF" w:val="clear"/>
        </w:rPr>
        <w:t>s overall assessment of the reasonableness of the fair values provided.</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six months ended June 30, 2025, we did not have any transfers in or out of Level 3 assets or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8: INCOME TAXES</w:t>
      </w:r>
    </w:p>
    <w:tbl>
      <w:tblPr>
        <w:tblW w:w="7532" w:type="dxa"/>
        <w:jc w:val="left"/>
        <w:tblInd w:w="0" w:type="dxa"/>
        <w:tblLayout w:type="fixed"/>
        <w:tblCellMar>
          <w:top w:w="28" w:type="dxa"/>
          <w:left w:w="28" w:type="dxa"/>
          <w:bottom w:w="28" w:type="dxa"/>
          <w:right w:w="28" w:type="dxa"/>
        </w:tblCellMar>
      </w:tblPr>
      <w:tblGrid>
        <w:gridCol w:w="939"/>
        <w:gridCol w:w="826"/>
        <w:gridCol w:w="829"/>
        <w:gridCol w:w="211"/>
        <w:gridCol w:w="481"/>
        <w:gridCol w:w="286"/>
        <w:gridCol w:w="109"/>
        <w:gridCol w:w="109"/>
        <w:gridCol w:w="109"/>
        <w:gridCol w:w="211"/>
        <w:gridCol w:w="481"/>
        <w:gridCol w:w="286"/>
        <w:gridCol w:w="109"/>
        <w:gridCol w:w="109"/>
        <w:gridCol w:w="109"/>
        <w:gridCol w:w="211"/>
        <w:gridCol w:w="481"/>
        <w:gridCol w:w="286"/>
        <w:gridCol w:w="109"/>
        <w:gridCol w:w="109"/>
        <w:gridCol w:w="109"/>
        <w:gridCol w:w="211"/>
        <w:gridCol w:w="481"/>
        <w:gridCol w:w="331"/>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percentages)</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Effective tax rate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tax provision for interim periods is determined using an estimated annual effective tax rate (“ETR”), adjusted for discrete items arising in the period. In each quarter, we update our estimated annual ETR and make a year-to-date calculation of the provision.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three and six months ended June 30, 2024, the ETR was lower than the U.S. federal statutory rate primarily due to the full valuation allowance on our U.S. federal and state deferred tax assets offset by current taxes payable. For the three and six months ended June 30, 2025, the ETR was lower than the U.S. federal statutory rate primarily due to excess tax benefits from SBC.</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realization of tax benefits of net deferred assets is dependent upon future levels of taxable income, of an appropriate character, in the periods the items are expected to be deductible or taxable. Based on the available objective evidence for the six months ended June 30, 2025, we believe it is more likely than not that the tax benefits of our California, certain other U.S. states and certain foreign net deferred tax assets may not be realized until sufficient positive evidence exists to support reversal of the valuation allowance.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9: SECURITIES BORROWING AND LENDING</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securities lending transactions are subject to enforceable master netting arrangements with other broker-dealers; however, we do not net securities borrowing and lending transactions. Therefore, activity related to securities borrowing and lending activities are presented gross on our unaudited condensed consolidated balance sheets.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When we borrow securities from users participating in the Fully-Paid Securities Lending program or from third parties, we provide cash collateral to our users and third parties, which is recorded on our consolidated balance sheets as “securities borrowed”, an asset, representing our rights to the return of that collateral. When we lend securities to third parties, we receive cash as collateral, which is recorded on our consolidated balance sheets as “securities loaned”, a liability, representing our obligation to return the collateral.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48310"/>
                <wp:effectExtent l="0" t="0" r="0" b="0"/>
                <wp:wrapNone/>
                <wp:docPr id="28" name="Frame2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set forth certain balances related to our securities borrowing and lending activities as of December 31, 2024 and June 30, 2025:</w:t>
      </w:r>
    </w:p>
    <w:tbl>
      <w:tblPr>
        <w:tblW w:w="10205" w:type="dxa"/>
        <w:jc w:val="left"/>
        <w:tblInd w:w="0" w:type="dxa"/>
        <w:tblLayout w:type="fixed"/>
        <w:tblCellMar>
          <w:top w:w="28" w:type="dxa"/>
          <w:left w:w="28" w:type="dxa"/>
          <w:bottom w:w="28" w:type="dxa"/>
          <w:right w:w="28" w:type="dxa"/>
        </w:tblCellMar>
      </w:tblPr>
      <w:tblGrid>
        <w:gridCol w:w="2875"/>
        <w:gridCol w:w="2350"/>
        <w:gridCol w:w="2388"/>
        <w:gridCol w:w="250"/>
        <w:gridCol w:w="767"/>
        <w:gridCol w:w="129"/>
        <w:gridCol w:w="109"/>
        <w:gridCol w:w="109"/>
        <w:gridCol w:w="109"/>
        <w:gridCol w:w="211"/>
        <w:gridCol w:w="751"/>
        <w:gridCol w:w="157"/>
      </w:tblGrid>
      <w:tr>
        <w:trPr/>
        <w:tc>
          <w:tcPr>
            <w:tcW w:w="2875"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r>
          </w:p>
        </w:tc>
      </w:tr>
      <w:tr>
        <w:trPr/>
        <w:tc>
          <w:tcPr>
            <w:tcW w:w="7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7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Assets</w:t>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Securities borrowed</w:t>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 cash collateral provided to users for securities borrowing transactions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3,236 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offset on the consolidated balance sheets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of assets presented on the consolidated balance sheets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3,236 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not offset on the consolidated balance sheets: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collateral provided to users and third parties for securities borrowing transactions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Fair value of securities borrowed from users and third parties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(6,122)</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amount</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Liabilities</w:t>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Securities loaned</w:t>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 cash collateral received from counterparties for securities lending transactions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7,463 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offset on the consolidated balance sheets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of liabilities presented on the consolidated balance sheets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7,463 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not offset on the consolidated balance sheets: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collateral received from counterparties for securities lending transactions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12,640 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Fair value of securities pledged to counterparties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(6,887)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(12,212)</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amount</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obtain securities on terms that permit us to pledge and/or transfer securities to others. As of December 31, 2024 and June 30, 2025, we were permitted to re-pledge securities with a fair value of $11.04 billion and $12.86 billion under margin account agreements with users. As of December 31, 2024, we were permitted to re-pledge securities with a fair value of an immaterial balance that we borrowed under the master securities loan agreements (“MSLAs”) with third parties. As of June 30, 2025, there were no securities re-pledged from borrowing under MSLAs with third parties. Under the Fully-Paid Securities Lending program, as of December 31, 2024 and June 30, 2025, we were permitted to borrow securities with a fair value of $38.70 billion and $52.15 billion including securities with a fair value of $3.12 billion and $6.12 billion that we had borrowed from users.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and June 30, 2025, we had re-pledged securities with a fair value of $6.89 billion and $12.21 billion, in each case under MSLAs and fixed-term securities lending agreements with third parties. In addition, as of December 31, 2024 and June 30, 2025, we had re-pledged $1.60 billion and $2.34 billion of the permitted amounts under the margin account agreements with clearing organizations to meet deposit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10: FINANCING ACTIVITIES AND OFF-BALANCE SHEET RISK</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Revolving Credit Facilities</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RHM March 2025 Credit Agreement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March 21, 2025, RHM entered into the Third Amended and Restated Credit Agreement with a syndicate of banks (the “RHM March 2025 Credit Agreement”) amending and restating the unsecured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48310"/>
                <wp:effectExtent l="0" t="0" r="0" b="0"/>
                <wp:wrapNone/>
                <wp:docPr id="29" name="Frame2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revolving line of credit entered into in March 2024 (refer to Note 12 - Financing Activities and Off-Balance Sheet Risk, of the 2024 Form 10-K for more information). The RHM March 2025 Credit Agreement has an initial commitment of $1 billion with a maturity date of March 21, 2028. Under circumstances described in the RHM March 2025 Credit Agreement, the aggregate commitments may be increased from time to time by up to $250 million in the aggregate (the “Accordion”), for a total commitment of up to $1.25 billion. On June 12, 2025, we increased the commitment from $1 billion to $1.125 billion pursuant to the Accordion and as a result reduced the available incremental commitment available pursuant to the Accordion by a corresponding amount. Borrowings under the RHM March 2025 Credit Agreement will bear interest at a rate per annum equal to the Alternate Base Rate or Adjusted Term Secured Overnight Financing Rate (“SOFR”) plus an applicable margin rate of 1.50%. For purposes of the RHM March 2025 Credit Agreement, the Alternate Base Rate is the greatest of (i) the prime rate then in effect, (ii) the Federal Reserve Bank of New York rate then in effect plus 0.5% and (iii) the Adjusted Term SOFR for a one month interest period plus 1.0%. The Adjusted Term SOFR Rate is equal to the Term SOFR, published by the Term SOFR Administrator, plus the Term SOFR Adjustment. The Term SOFR Adjustment is 0.10%. If the Adjusted Term SOFR Rate is less than the floor of 0%, such rate shall be deemed to be equal to the floor. RHM is obligated to pay a commitment fee calculated at a per annum rate equal to 0.25% on any unused amount of the RHM March 2025 Credit Agreement.</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Robinhood Securities, LLC (“RHS”) March 2025 Credit Agreement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March 21, 2025, RHS, our wholly-owned subsidiary, entered into the Fourth Amended and Restated Credit Agreement (the “RHS March 2025 Credit Agreement”) among RHS, as borrower, the lenders party thereto, and JPMorgan Chase Bank, N.A., as administrative agent, amending and restating the $2.25 billion 364-day senior secured revolving credit facility entered into in March 2024 (refer to Note 12 - Financing Activities and Off-Balance Sheet Risk, of the 2024 Form 10-K for more information).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RHS March 2025 Credit Agreement provides for a 364-day senior secured revolving credit facility with a total commitment of $2.65 billion. Under circumstances described in the RHS March 2025 Credit Agreement, the aggregate commitments may be increased by up to $1.325 billion via an accordion feature, for a total commitment of $3.975 billion. Borrowings under the credit facility must be specified to be Tranche A, Tranche B, Tranche C or a combination thereof, with each tranche being secured by different assets of RHS as set forth in the RHS March 2025 Credit Agreement. Borrowings under the RHS March 2025 Credit Agreement will bear interest at a rate per annum equal to the greatest of (i) Daily Simple SOFR (as defined in the RHS March 2025 Credit Agreement) plus 0.10% , (ii) the Federal Funds Effective Rate (as defined in the RHS March 2025 Credit Agreement) and (iii) the Overnight Bank Funding Rate (as defined in the RHS March 2025 Credit Agreement), in each case, as of the day the loan is initiated, plus an applicable margin rate. The applicable margin rate is 1.25% for Tranche A loans and 2.50% for Tranche B and Tranche C loans. Undrawn commitments will accrue commitment fees at a rate per annum equal to 0.50%.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RHS March 2025 Credit Agreement requires RHS to maintain a minimum consolidated tangible net worth and a minimum excess net capital, and subjects RHS to a specified limit on minimum net capital to aggregate debit items. In addition, the RHS March 2025 Credit Agreement contains certain customary affirmative and negative covenants, including limitations with respect to debt, liens, fundamental changes, asset sales, restricted payments, investments and transactions with affiliates, subject to certain exceptions. Amounts due under the RHS March 2025 Credit Agreement may be accelerated upon an “event of default,” as defined in the RHS March 2025 Credit Agreement, such as failure to pay amounts owed thereunder when due, breach of a covenant, material inaccuracy of a representation, or occurrence of bankruptcy or insolvency, subject in some cases to cure periods.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and June 30, 2025, there were no borrowings outstanding and we were in compliance with all covenants, as applicable, under our revolving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48310"/>
                <wp:effectExtent l="0" t="0" r="0" b="0"/>
                <wp:wrapNone/>
                <wp:docPr id="30" name="Frame2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Credit Card Funding Trust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Under terms of the Coastal Community Bank (“Coastal Bank”) Program Agreement (discussed below), Robinhood Credit Inc. (“Robinhood Credit”) has the ability to purchase credit card receivables originated and held for a period of time by Coastal Bank. Robinhood Credit continues to earn interest from customers and uses these purchased credit card receivables as collateral under a trust structure to access debt financing in the ordinary course of business. To help facilitate these transactions, we created a variable interest entity known as the Credit Card Funding Trust (the “Trust”).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the primary beneficiary of the Trust as, through our role as the servicer and administrator, we have the power to direct the activities that most significantly affect the Trust’s economic performance and, due to owning all the equity interest in the Trust, have the right to receive benefits or the obligation to absorb losses. As such, we consolidate the Trust in the unaudited condensed consolidated financial statements. Substantially all of the Trust’s assets and liabilities are the purchased credit card receivables, included in receivables from users, net, and the outstanding borrowing, included in other current liabilities, on the unaudited condensed consolidated balance sheets.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exposure to losses in the Trust is limited to the carrying value of net assets held by the Trust, including expected credit losses related to the purchased credit card receivables (Refer to Note 6 - Allowance for Credit Losses). For the Trust, the creditors have no recourse to our general credit and the liabilities of the Trust can only be settled by the Trust’s assets. Additionally, the assets of the Trust can only be used to settle obligations of the Trust.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2025, the Trust had two arrangements in place, one to borrow up to $200 million from Barclays Bank (“Barclays”) and one to borrow up to $200 million from Silicon Valley Bank (“SVB”), which was amended on March 17, 2025 to increase the borrowing capacity and extend the maturity date.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Barclays arrangement, the Trust may borrow, repay, and re-borrow up to a committed amount of $200 million during the revolving period, which ends in November 2026. During this period, borrowings bear interest at Barclays’ commercial paper rate plus 1.75%. After the revolving period ends, the facility enters an amortization period during which no new borrowings are permitted, and the Trust repays the outstanding balance. The interest margin increases during this amortization phase.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SVB arrangement, the Trust may borrow, repay, and re-borrow up to a committed amount of $200 million during the revolving period, which ends in April 2027. During this period, borrowings bear interest at SOFR plus 2.75% for amounts outstanding under $100 million, and SOFR plus 2.50% for amounts exceeding $100 million.</w:t>
      </w:r>
    </w:p>
    <w:p>
      <w:pPr>
        <w:pStyle w:val="TextBody"/>
        <w:bidi w:val="0"/>
        <w:spacing w:lineRule="auto" w:line="288" w:before="0" w:after="200"/>
        <w:ind w:left="0" w:right="0" w:firstLine="360"/>
        <w:jc w:val="both"/>
        <w:rPr/>
      </w:pPr>
      <w:r>
        <w:rPr>
          <w:rFonts w:ascii="Helvetica;sans-serif" w:hAnsi="Helvetica;sans-serif"/>
          <w:b w:val="false"/>
          <w:color w:val="000000"/>
          <w:sz w:val="20"/>
        </w:rPr>
        <w:t>As of December 31, 2024 and June 30, 2025, the weighted average interest rate of the SVB and Barclays arrangements was 7.81% and 6.58%. As of December 31, 2024 and during the three and six months ended June 30, 2025, the Trust purchased $748 million, $979 million and $1.5 billion of credit card receivables. As of December 31, 2024 and June 30, 2025, the carrying value of purchased credit card receivables that had not been collected, net of provision for credit losses, was $179 million and $336 million, and the outstanding balance of borrowing principal and interest was $131 million and $236 million. For the three and six months ended June 30, 2024</w:t>
      </w:r>
      <w:r>
        <w:rPr>
          <w:color w:val="000000"/>
        </w:rPr>
        <w:t xml:space="preserve"> </w:t>
      </w:r>
      <w:r>
        <w:rPr>
          <w:rFonts w:ascii="Helvetica;sans-serif" w:hAnsi="Helvetica;sans-serif"/>
          <w:b w:val="false"/>
          <w:color w:val="000000"/>
          <w:sz w:val="20"/>
        </w:rPr>
        <w:t>and</w:t>
      </w:r>
      <w:r>
        <w:rPr>
          <w:color w:val="000000"/>
        </w:rPr>
        <w:t xml:space="preserve"> </w:t>
      </w:r>
      <w:r>
        <w:rPr>
          <w:rFonts w:ascii="Helvetica;sans-serif" w:hAnsi="Helvetica;sans-serif"/>
          <w:b w:val="false"/>
          <w:color w:val="000000"/>
          <w:sz w:val="20"/>
        </w:rPr>
        <w:t>2025, the related interest revenue and expense of the Trust were immaterial.</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Off-Balance Sheet Risk</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Coastal Bank Program Agreement</w:t>
      </w:r>
    </w:p>
    <w:p>
      <w:pPr>
        <w:pStyle w:val="TextBody"/>
        <w:bidi w:val="0"/>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Under a program agreement between us and Coastal Bank (the “Program Agreement”) most recently amended in November 2023, Coastal Bank may fund up to $300 million of credit card receivables. Robinhood Credit pays Coastal Bank interest based on the average balance of advances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48310"/>
                <wp:effectExtent l="0" t="0" r="0" b="0"/>
                <wp:wrapNone/>
                <wp:docPr id="31" name="Frame3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76" w:before="0" w:after="0"/>
        <w:jc w:val="both"/>
        <w:rPr>
          <w:rFonts w:ascii="Helvetica;sans-serif" w:hAnsi="Helvetica;sans-serif"/>
          <w:b w:val="false"/>
          <w:color w:val="000000"/>
          <w:sz w:val="20"/>
        </w:rPr>
      </w:pPr>
      <w:r>
        <w:rPr>
          <w:rFonts w:ascii="Helvetica;sans-serif" w:hAnsi="Helvetica;sans-serif"/>
          <w:b w:val="false"/>
          <w:color w:val="000000"/>
          <w:sz w:val="20"/>
        </w:rPr>
        <w:t xml:space="preserve">month at the federal funds rate plus a margin of 3.75% on the first $150 million and 3.00% on such amounts in excess of $150 million. </w:t>
      </w:r>
    </w:p>
    <w:p>
      <w:pPr>
        <w:pStyle w:val="TextBody"/>
        <w:bidi w:val="0"/>
        <w:spacing w:before="0" w:after="0"/>
        <w:ind w:left="0" w:right="0" w:firstLine="720"/>
        <w:jc w:val="both"/>
        <w:rPr/>
      </w:pPr>
      <w:r>
        <w:rPr/>
      </w:r>
    </w:p>
    <w:p>
      <w:pPr>
        <w:pStyle w:val="TextBody"/>
        <w:bidi w:val="0"/>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credit card receivables and the funding from Coastal Bank are off-balance sheet, considering Coastal Bank is the legal lender and originator, the party to which the customer has a creditor-borrower relationship, and the legal owner of the receivables. As of June 30, 2025, the off-balance sheet credit card receivables funded under the Program Agreement was $202 million. </w:t>
      </w:r>
    </w:p>
    <w:p>
      <w:pPr>
        <w:pStyle w:val="TextBody"/>
        <w:bidi w:val="0"/>
        <w:spacing w:before="0" w:after="0"/>
        <w:ind w:left="0" w:right="0" w:firstLine="720"/>
        <w:jc w:val="both"/>
        <w:rPr/>
      </w:pPr>
      <w:r>
        <w:rPr/>
      </w:r>
    </w:p>
    <w:p>
      <w:pPr>
        <w:pStyle w:val="TextBody"/>
        <w:bidi w:val="0"/>
        <w:spacing w:lineRule="auto" w:line="276" w:before="0" w:after="0"/>
        <w:jc w:val="both"/>
        <w:rPr>
          <w:rFonts w:ascii="Helvetica;sans-serif" w:hAnsi="Helvetica;sans-serif"/>
          <w:b w:val="false"/>
          <w:i/>
          <w:color w:val="000000"/>
          <w:sz w:val="20"/>
        </w:rPr>
      </w:pPr>
      <w:r>
        <w:rPr>
          <w:rFonts w:ascii="Helvetica;sans-serif" w:hAnsi="Helvetica;sans-serif"/>
          <w:b w:val="false"/>
          <w:i/>
          <w:color w:val="000000"/>
          <w:sz w:val="20"/>
        </w:rPr>
        <w:t>Transaction Settlement</w:t>
      </w:r>
    </w:p>
    <w:p>
      <w:pPr>
        <w:pStyle w:val="TextBody"/>
        <w:bidi w:val="0"/>
        <w:spacing w:before="0" w:after="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the normal course of business, we engage in activities involving settlement and financing of securities transactions. User securities transactions are recorded on a settlement date basis. Effective May 2024, the settlement date for equities has been shortened from two business days after the trade date to one business day after the trade date, while the settlement date for options remains unchanged at one business day after the trade date. These activities may expose us to off-balance sheet risk in the event that the other party to the transaction is unable to fulfill its contractual obligations. In such events, we may be required to purchase financial instruments at prevailing market prices in order to fulfill our obligations. </w:t>
      </w:r>
    </w:p>
    <w:p>
      <w:pPr>
        <w:pStyle w:val="TextBody"/>
        <w:bidi w:val="0"/>
        <w:spacing w:lineRule="auto" w:line="276" w:before="0" w:after="0"/>
        <w:jc w:val="both"/>
        <w:rPr>
          <w:rFonts w:ascii="Helvetica;sans-serif" w:hAnsi="Helvetica;sans-serif"/>
          <w:b w:val="false"/>
          <w:i/>
          <w:color w:val="000000"/>
          <w:sz w:val="20"/>
        </w:rPr>
      </w:pPr>
      <w:r>
        <w:rPr>
          <w:rFonts w:ascii="Helvetica;sans-serif" w:hAnsi="Helvetica;sans-serif"/>
          <w:b w:val="false"/>
          <w:i/>
          <w:color w:val="000000"/>
          <w:sz w:val="20"/>
        </w:rPr>
        <w:t>Cryptocurrency Held in Custody on Behalf of Users</w:t>
      </w:r>
    </w:p>
    <w:p>
      <w:pPr>
        <w:pStyle w:val="TextBody"/>
        <w:bidi w:val="0"/>
        <w:spacing w:before="0" w:after="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hold cryptocurrencies in custody on behalf of our users totaling $35.2 billion and $41.1 billion at fair value at December 31, 2024 and June 30, 2025, and these assets were not recorded on our unaudited condensed consolidated balance sheets. The fair value was determined based on observed market pricing representing the last price executed for trades of each cryptocurrency at period ends. We also considered whether a liability representing anticipated losses from crypto assets which we hold in custody on behalf of users should be recognized and determined the likelihood of such losses was remote. As such, we did not record a liability at December 31, 2024 and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11: COMMON STOCK AND STOCKHOLDERS’ EQUITY</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Preferred Stock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no terms of the preferred stock were designated and no shares of preferred stock were outstanding.</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Common Stock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three authorized classes of common stock: Class A, Class B, and Class C. 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vote together as a single class, unless otherwise required by our Amended and Restated Certificate of Incorporation (our “Charter”) or applicable law.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Warrants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we had outstanding warrants with a strike price of $26.60 that can be exercised to purchase 10.79 million shares of Class A common stock. The warrants expire on February 12, 2031 and can be exercised with cash or net shares settled at the holder’s option. As of June 30, 2025, 2.08 million warrants had been exercised via net settlement, resulting in 1.25 million shares of Class A common stock issued, and the maximum purchase amount of all remaining outstanding warrants was $287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48310"/>
                <wp:effectExtent l="0" t="0" r="0" b="0"/>
                <wp:wrapNone/>
                <wp:docPr id="32" name="Frame3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i/>
          <w:color w:val="000000"/>
          <w:sz w:val="24"/>
          <w:shd w:fill="FFFFFF" w:val="clear"/>
        </w:rPr>
      </w:pPr>
      <w:r>
        <w:rPr>
          <w:rFonts w:ascii="Helvetica;sans-serif" w:hAnsi="Helvetica;sans-serif"/>
          <w:b/>
          <w:i/>
          <w:color w:val="000000"/>
          <w:sz w:val="24"/>
          <w:shd w:fill="FFFFFF" w:val="clear"/>
        </w:rPr>
        <w:t>Share Repurchase Program</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May 28, 2024, we announced that our board of directors approved a share repurchase program (the “Repurchase Program”) authorizing the Company to repurchase up to $1 billion of its outstanding Class A common stock. On April 30, 2025, we announced that our board of directors has authorized an additional $500 million, bringing the Repurchase Program authorization to a total of $1.5 billion. While the Repurchase Program does not have an expiration date, we expect to execute over the next roughly two years with flexibility to accelerate if market conditions warrant. The timing and amount of repurchase transactions will be determined by us from time to time at our discretion based on our evaluation of market conditions, share price, and other factors.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All shares repurchased will be subsequently retired. For the three and six months ended June 30, 2025, we repurchased approximately 3 million and 10 million shares of our Class A common stock for $124 million and $446 million.</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Equity Incentive Plans</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2021 Omnibus Incentive Plan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2021 Omnibus Incentive Plan (the “2021 Plan”) became effective on July 27, 2021, and provides for the grant of share-based awards (such as options, including incentive stock options, non statutory stock options, stock appreciation rights, restricted stock awards, restricted stock units (“RSUs”), performance units, and other equity-based awards) and cash-based awards.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an aggregate of 492 million shares had been authorized for issuance under our Amended and Restated 2013 Stock Plan, as amended, 2020 Equity Incentive Plan, as amended, and 2021 Plan, of which 161 million shares had been issued under the plans, 25 million shares were reserved for issuance upon the exercise or settlement of outstanding equity awards under the plans, and 306 million shares remained available for new grants under the 2021 Plan.</w:t>
      </w:r>
    </w:p>
    <w:p>
      <w:pPr>
        <w:pStyle w:val="TextBody"/>
        <w:bidi w:val="0"/>
        <w:spacing w:lineRule="auto" w:line="288" w:before="0" w:after="20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Time-Based RSUs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grant RSUs that vest upon the satisfaction of a time-based service condition (“Time-Based RSUs”). The following table summarizes the activity for the six months ended June 30, 2025, which is the period we grant our company-wide annual refresh grants: </w:t>
      </w:r>
    </w:p>
    <w:tbl>
      <w:tblPr>
        <w:tblW w:w="8092" w:type="dxa"/>
        <w:jc w:val="left"/>
        <w:tblInd w:w="0" w:type="dxa"/>
        <w:tblLayout w:type="fixed"/>
        <w:tblCellMar>
          <w:top w:w="28" w:type="dxa"/>
          <w:left w:w="28" w:type="dxa"/>
          <w:bottom w:w="28" w:type="dxa"/>
          <w:right w:w="28" w:type="dxa"/>
        </w:tblCellMar>
      </w:tblPr>
      <w:tblGrid>
        <w:gridCol w:w="1058"/>
        <w:gridCol w:w="930"/>
        <w:gridCol w:w="936"/>
        <w:gridCol w:w="563"/>
        <w:gridCol w:w="563"/>
        <w:gridCol w:w="476"/>
        <w:gridCol w:w="109"/>
        <w:gridCol w:w="109"/>
        <w:gridCol w:w="109"/>
        <w:gridCol w:w="676"/>
        <w:gridCol w:w="2070"/>
        <w:gridCol w:w="493"/>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December 31, 2024</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18,233,088 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15.20 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5,869,204 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47.28 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(8,807,016)</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19.11 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(1,274,311)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18.27 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June 30, 2025</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14,020,965 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25.90 </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48310"/>
                <wp:effectExtent l="0" t="0" r="0" b="0"/>
                <wp:wrapNone/>
                <wp:docPr id="33" name="Frame3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Market-Based RSUs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2019 and 2021, we granted to our founders RSUs under which vesting is conditioned upon both the achievement of share price targets and the continued employment by each recipient over defined service periods (“Market-Based RSUs”).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summarizes the activity for the six months ended June 30, 2025: </w:t>
      </w:r>
    </w:p>
    <w:tbl>
      <w:tblPr>
        <w:tblW w:w="10205" w:type="dxa"/>
        <w:jc w:val="left"/>
        <w:tblInd w:w="0" w:type="dxa"/>
        <w:tblLayout w:type="fixed"/>
        <w:tblCellMar>
          <w:top w:w="28" w:type="dxa"/>
          <w:left w:w="28" w:type="dxa"/>
          <w:bottom w:w="28" w:type="dxa"/>
          <w:right w:w="28" w:type="dxa"/>
        </w:tblCellMar>
      </w:tblPr>
      <w:tblGrid>
        <w:gridCol w:w="1018"/>
        <w:gridCol w:w="895"/>
        <w:gridCol w:w="901"/>
        <w:gridCol w:w="599"/>
        <w:gridCol w:w="594"/>
        <w:gridCol w:w="581"/>
        <w:gridCol w:w="109"/>
        <w:gridCol w:w="109"/>
        <w:gridCol w:w="109"/>
        <w:gridCol w:w="624"/>
        <w:gridCol w:w="617"/>
        <w:gridCol w:w="605"/>
        <w:gridCol w:w="109"/>
        <w:gridCol w:w="109"/>
        <w:gridCol w:w="109"/>
        <w:gridCol w:w="649"/>
        <w:gridCol w:w="1989"/>
        <w:gridCol w:w="479"/>
      </w:tblGrid>
      <w:tr>
        <w:trPr/>
        <w:tc>
          <w:tcPr>
            <w:tcW w:w="101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Not Eligible to Vest</w:t>
            </w:r>
            <w:r>
              <w:rPr>
                <w:rFonts w:ascii="Helvetica;sans-serif" w:hAnsi="Helvetica;sans-serif"/>
                <w:b/>
                <w:color w:val="000000"/>
                <w:sz w:val="10"/>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December 31, 2024</w:t>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11,065,463 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11,065,463 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26.04 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Vested</w:t>
            </w:r>
            <w:r>
              <w:rPr>
                <w:rFonts w:ascii="Helvetica;sans-serif" w:hAnsi="Helvetica;sans-serif"/>
                <w:b w:val="false"/>
                <w:color w:val="000000"/>
                <w:sz w:val="13"/>
              </w:rPr>
              <w:t>(2)</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(4,149,549)</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(4,149,549)</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28.98 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June 30, 2025</w:t>
            </w:r>
          </w:p>
        </w:tc>
        <w:tc>
          <w:tcPr>
            <w:tcW w:w="11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6,915,914 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6,915,914 </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24.27 </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________________</w:t>
      </w:r>
    </w:p>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 xml:space="preserve">(1)Represents RSUs that have not yet become eligible to vest because share price targets have not yet been achieved. </w:t>
      </w:r>
    </w:p>
    <w:p>
      <w:pPr>
        <w:pStyle w:val="TextBody"/>
        <w:bidi w:val="0"/>
        <w:spacing w:lineRule="auto" w:line="288" w:before="0" w:after="200"/>
        <w:ind w:left="0" w:right="0" w:hanging="360"/>
        <w:jc w:val="both"/>
        <w:rPr>
          <w:rFonts w:ascii="Helvetica;sans-serif" w:hAnsi="Helvetica;sans-serif"/>
          <w:b w:val="false"/>
          <w:color w:val="000000"/>
          <w:sz w:val="16"/>
        </w:rPr>
      </w:pPr>
      <w:r>
        <w:rPr>
          <w:rFonts w:ascii="Helvetica;sans-serif" w:hAnsi="Helvetica;sans-serif"/>
          <w:b w:val="false"/>
          <w:color w:val="000000"/>
          <w:sz w:val="16"/>
        </w:rPr>
        <w:t>(2)Represents RSUs that vested based on satisfaction of time-based service requirements and achievement of a share price target.</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Acquisition of TradePMR</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connection with the acquisition of TradePMR, we issued 2,049,711 unvested shares of Class A common stock, valued at approximately $100 million as of the closing date of the acquisition, that will vest over a four-year period post-acquisition, subject to the terms of a vesting agreement. These shares are not part of the equity incentive plans described above. Shares of unvested restricted stock have the same voting rights as all other Class A common stock and are considered to be issued and outstanding. The following table summarizes the activity for the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48310"/>
                <wp:effectExtent l="0" t="0" r="0" b="0"/>
                <wp:wrapNone/>
                <wp:docPr id="34" name="Frame3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tbl>
      <w:tblPr>
        <w:tblW w:w="7987" w:type="dxa"/>
        <w:jc w:val="left"/>
        <w:tblInd w:w="0" w:type="dxa"/>
        <w:tblLayout w:type="fixed"/>
        <w:tblCellMar>
          <w:top w:w="28" w:type="dxa"/>
          <w:left w:w="28" w:type="dxa"/>
          <w:bottom w:w="28" w:type="dxa"/>
          <w:right w:w="28" w:type="dxa"/>
        </w:tblCellMar>
      </w:tblPr>
      <w:tblGrid>
        <w:gridCol w:w="1058"/>
        <w:gridCol w:w="930"/>
        <w:gridCol w:w="936"/>
        <w:gridCol w:w="510"/>
        <w:gridCol w:w="511"/>
        <w:gridCol w:w="476"/>
        <w:gridCol w:w="109"/>
        <w:gridCol w:w="109"/>
        <w:gridCol w:w="109"/>
        <w:gridCol w:w="676"/>
        <w:gridCol w:w="2070"/>
        <w:gridCol w:w="493"/>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December 31, 2024</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Issued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2,049,711 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48.85 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June 30, 2025</w:t>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2,049,711 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48.85 </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Share-Based Compensation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SBC on our unaudited condensed consolidated statements of operations for the periods indicated:</w:t>
      </w:r>
    </w:p>
    <w:tbl>
      <w:tblPr>
        <w:tblW w:w="6784" w:type="dxa"/>
        <w:jc w:val="left"/>
        <w:tblInd w:w="0" w:type="dxa"/>
        <w:tblLayout w:type="fixed"/>
        <w:tblCellMar>
          <w:top w:w="28" w:type="dxa"/>
          <w:left w:w="28" w:type="dxa"/>
          <w:bottom w:w="28" w:type="dxa"/>
          <w:right w:w="28" w:type="dxa"/>
        </w:tblCellMar>
      </w:tblPr>
      <w:tblGrid>
        <w:gridCol w:w="988"/>
        <w:gridCol w:w="866"/>
        <w:gridCol w:w="876"/>
        <w:gridCol w:w="215"/>
        <w:gridCol w:w="384"/>
        <w:gridCol w:w="111"/>
        <w:gridCol w:w="111"/>
        <w:gridCol w:w="111"/>
        <w:gridCol w:w="111"/>
        <w:gridCol w:w="215"/>
        <w:gridCol w:w="384"/>
        <w:gridCol w:w="111"/>
        <w:gridCol w:w="109"/>
        <w:gridCol w:w="109"/>
        <w:gridCol w:w="109"/>
        <w:gridCol w:w="211"/>
        <w:gridCol w:w="481"/>
        <w:gridCol w:w="109"/>
        <w:gridCol w:w="109"/>
        <w:gridCol w:w="109"/>
        <w:gridCol w:w="109"/>
        <w:gridCol w:w="211"/>
        <w:gridCol w:w="481"/>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Brokerage and transaction</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Technology and development </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Operations </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Total</w:t>
            </w:r>
            <w:r>
              <w:rPr>
                <w:rFonts w:ascii="Helvetica;sans-serif" w:hAnsi="Helvetica;sans-serif"/>
                <w:b w:val="false"/>
                <w:color w:val="000000"/>
                <w:sz w:val="13"/>
              </w:rPr>
              <w:t>(1)</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360"/>
        <w:jc w:val="both"/>
        <w:rPr>
          <w:rFonts w:ascii="Helvetica;sans-serif" w:hAnsi="Helvetica;sans-serif"/>
          <w:b w:val="false"/>
          <w:color w:val="000000"/>
          <w:sz w:val="16"/>
        </w:rPr>
      </w:pPr>
      <w:r>
        <w:rPr>
          <w:rFonts w:ascii="Helvetica;sans-serif" w:hAnsi="Helvetica;sans-serif"/>
          <w:b w:val="false"/>
          <w:color w:val="000000"/>
          <w:sz w:val="16"/>
        </w:rPr>
        <w:t>________________</w:t>
      </w:r>
    </w:p>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 xml:space="preserve">(1)For the three and six months ended June 30, 2024, SBC expense primarily consisted of $81 million and $149 million related to Time-Based RSUs and $1 million and negative $8 million related to Market-Based RSUs as a result of a reversal of $11 million of previously recognized expense related to unvested awards that were forfeited upon the resignation of our co-founder and former Chief Creative Officer. For the three and six months ended June 30, 2025, SBC expense primarily consisted of $75 million and $145 million related to Time-Based RSUs. All eligible to vest Market-Based RSUs have been fully expensed in 2024. </w:t>
      </w:r>
    </w:p>
    <w:p>
      <w:pPr>
        <w:pStyle w:val="TextBody"/>
        <w:bidi w:val="0"/>
        <w:spacing w:lineRule="auto" w:line="288" w:before="20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capitalized SBC expense related to internally developed software of $5 million and $11 million during the three and six months ended June 30, 2025 compared to $6 million and $11 million for the same periods in the prior year.</w:t>
      </w:r>
    </w:p>
    <w:p>
      <w:pPr>
        <w:pStyle w:val="TextBody"/>
        <w:bidi w:val="0"/>
        <w:spacing w:lineRule="auto" w:line="288" w:before="20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there was $426 million of unrecognized SBC expense that is expected to be recognized over a weighted-average period of 1.21 years.</w:t>
      </w:r>
    </w:p>
    <w:p>
      <w:pPr>
        <w:pStyle w:val="TextBody"/>
        <w:bidi w:val="0"/>
        <w:spacing w:before="20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48310"/>
                <wp:effectExtent l="0" t="0" r="0" b="0"/>
                <wp:wrapNone/>
                <wp:docPr id="35" name="Frame3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12: NET INCOME PER SHARE</w:t>
      </w:r>
    </w:p>
    <w:p>
      <w:pPr>
        <w:pStyle w:val="TextBody"/>
        <w:bidi w:val="0"/>
        <w:spacing w:lineRule="auto" w:line="288" w:before="0" w:after="20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presents the calculation of basic and diluted earnings per share (“EPS”):</w:t>
      </w:r>
    </w:p>
    <w:tbl>
      <w:tblPr>
        <w:tblW w:w="11762" w:type="dxa"/>
        <w:jc w:val="left"/>
        <w:tblInd w:w="0" w:type="dxa"/>
        <w:tblLayout w:type="fixed"/>
        <w:tblCellMar>
          <w:top w:w="28" w:type="dxa"/>
          <w:left w:w="28" w:type="dxa"/>
          <w:bottom w:w="28" w:type="dxa"/>
          <w:right w:w="28" w:type="dxa"/>
        </w:tblCellMar>
      </w:tblPr>
      <w:tblGrid>
        <w:gridCol w:w="1015"/>
        <w:gridCol w:w="220"/>
        <w:gridCol w:w="221"/>
        <w:gridCol w:w="311"/>
        <w:gridCol w:w="740"/>
        <w:gridCol w:w="109"/>
        <w:gridCol w:w="311"/>
        <w:gridCol w:w="740"/>
        <w:gridCol w:w="109"/>
        <w:gridCol w:w="109"/>
        <w:gridCol w:w="109"/>
        <w:gridCol w:w="109"/>
        <w:gridCol w:w="311"/>
        <w:gridCol w:w="740"/>
        <w:gridCol w:w="109"/>
        <w:gridCol w:w="311"/>
        <w:gridCol w:w="740"/>
        <w:gridCol w:w="109"/>
        <w:gridCol w:w="109"/>
        <w:gridCol w:w="109"/>
        <w:gridCol w:w="109"/>
        <w:gridCol w:w="311"/>
        <w:gridCol w:w="740"/>
        <w:gridCol w:w="109"/>
        <w:gridCol w:w="311"/>
        <w:gridCol w:w="740"/>
        <w:gridCol w:w="109"/>
        <w:gridCol w:w="109"/>
        <w:gridCol w:w="109"/>
        <w:gridCol w:w="109"/>
        <w:gridCol w:w="311"/>
        <w:gridCol w:w="740"/>
        <w:gridCol w:w="109"/>
        <w:gridCol w:w="311"/>
        <w:gridCol w:w="740"/>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share and per share data)</w:t>
            </w:r>
          </w:p>
        </w:tc>
        <w:tc>
          <w:tcPr>
            <w:tcW w:w="496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Six Months Ended June 30, </w:t>
            </w:r>
          </w:p>
        </w:tc>
      </w:tr>
      <w:tr>
        <w:trPr/>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23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B</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Basic EPS: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Numerator</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Net income attributable to common stockholders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Denominator</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Weighted-average common shares outstanding - 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757,466,271 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123,610,353 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766,921,920 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115,227,482 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753,481,841 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124,716,174 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767,034,447 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116,322,347 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 EPS</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Diluted EPS: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Numerator</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Net income </w:t>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Reallocation of net income as a result of conversion of Class B to Class A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Reallocation of net income to Class B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Net income for diluted EPS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Denominator</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Weighted-average common shares outstanding - 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757,466,271 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123,610,353 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766,921,920 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115,227,482 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753,481,841 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124,716,174 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767,034,447 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116,322,347 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Dilutive effect of stock options and unvested shares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23,413,948 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26,978,256 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21,828,598 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27,656,211 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Conversion of Class B to Class A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123,610,353 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115,227,482 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124,716,174 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116,322,347 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Weighted-average common shares outstanding - diluted</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904,490,572 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123,610,353 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909,127,658 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115,227,482 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900,026,613 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124,716,174 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911,013,005 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116,322,347 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 EPS</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potential common shares were excluded from the calculation of diluted EPS because their effect would have been anti-dilutive or issuance of such shares is contingent upon the satisfaction of certain conditions that were not satisfied by the end of the period:</w:t>
      </w:r>
    </w:p>
    <w:tbl>
      <w:tblPr>
        <w:tblW w:w="9166" w:type="dxa"/>
        <w:jc w:val="left"/>
        <w:tblInd w:w="0" w:type="dxa"/>
        <w:tblLayout w:type="fixed"/>
        <w:tblCellMar>
          <w:top w:w="28" w:type="dxa"/>
          <w:left w:w="28" w:type="dxa"/>
          <w:bottom w:w="28" w:type="dxa"/>
          <w:right w:w="28" w:type="dxa"/>
        </w:tblCellMar>
      </w:tblPr>
      <w:tblGrid>
        <w:gridCol w:w="907"/>
        <w:gridCol w:w="797"/>
        <w:gridCol w:w="801"/>
        <w:gridCol w:w="615"/>
        <w:gridCol w:w="511"/>
        <w:gridCol w:w="195"/>
        <w:gridCol w:w="195"/>
        <w:gridCol w:w="195"/>
        <w:gridCol w:w="195"/>
        <w:gridCol w:w="557"/>
        <w:gridCol w:w="464"/>
        <w:gridCol w:w="195"/>
        <w:gridCol w:w="109"/>
        <w:gridCol w:w="109"/>
        <w:gridCol w:w="109"/>
        <w:gridCol w:w="563"/>
        <w:gridCol w:w="563"/>
        <w:gridCol w:w="156"/>
        <w:gridCol w:w="136"/>
        <w:gridCol w:w="136"/>
        <w:gridCol w:w="136"/>
        <w:gridCol w:w="510"/>
        <w:gridCol w:w="511"/>
        <w:gridCol w:w="501"/>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Market-Based RSUs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16,137,131 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6,915,914 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16,137,131 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6,915,914 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Time-Based RSUs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903,985 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55,304 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1,861,749 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27,805 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14,278,034 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14,278,034 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anti-dilutive securities</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31,319,150 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6,971,218 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32,276,914 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6,943,719 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48310"/>
                <wp:effectExtent l="0" t="0" r="0" b="0"/>
                <wp:wrapNone/>
                <wp:docPr id="36" name="Frame3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13: LEASES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operating leases are substantially comprised of office facilities, and we do not have any finance leases. Lease assets and liabilities recognized on our unaudited condensed consolidated balance sheets were as follows:</w:t>
      </w:r>
    </w:p>
    <w:tbl>
      <w:tblPr>
        <w:tblW w:w="8414" w:type="dxa"/>
        <w:jc w:val="left"/>
        <w:tblInd w:w="0" w:type="dxa"/>
        <w:tblLayout w:type="fixed"/>
        <w:tblCellMar>
          <w:top w:w="28" w:type="dxa"/>
          <w:left w:w="28" w:type="dxa"/>
          <w:bottom w:w="28" w:type="dxa"/>
          <w:right w:w="28" w:type="dxa"/>
        </w:tblCellMar>
      </w:tblPr>
      <w:tblGrid>
        <w:gridCol w:w="1201"/>
        <w:gridCol w:w="1050"/>
        <w:gridCol w:w="1064"/>
        <w:gridCol w:w="809"/>
        <w:gridCol w:w="809"/>
        <w:gridCol w:w="811"/>
        <w:gridCol w:w="109"/>
        <w:gridCol w:w="109"/>
        <w:gridCol w:w="109"/>
        <w:gridCol w:w="308"/>
        <w:gridCol w:w="703"/>
        <w:gridCol w:w="159"/>
        <w:gridCol w:w="109"/>
        <w:gridCol w:w="109"/>
        <w:gridCol w:w="109"/>
        <w:gridCol w:w="211"/>
        <w:gridCol w:w="481"/>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right-of-use assets:</w:t>
            </w:r>
          </w:p>
        </w:tc>
        <w:tc>
          <w:tcPr>
            <w:tcW w:w="2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assets</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liabilities:</w:t>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operating lease liabilities</w:t>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operating lease liabilities</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lease liabilities</w:t>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270"/>
        <w:jc w:val="left"/>
        <w:rPr>
          <w:rFonts w:ascii="Helvetica;sans-serif" w:hAnsi="Helvetica;sans-serif"/>
          <w:b w:val="false"/>
          <w:color w:val="000000"/>
          <w:sz w:val="20"/>
        </w:rPr>
      </w:pPr>
      <w:r>
        <w:rPr>
          <w:rFonts w:ascii="Helvetica;sans-serif" w:hAnsi="Helvetica;sans-serif"/>
          <w:b w:val="false"/>
          <w:color w:val="000000"/>
          <w:sz w:val="20"/>
        </w:rPr>
        <w:t>Cash flows related to leases were as follows:</w:t>
      </w:r>
    </w:p>
    <w:tbl>
      <w:tblPr>
        <w:tblW w:w="7146" w:type="dxa"/>
        <w:jc w:val="left"/>
        <w:tblInd w:w="0" w:type="dxa"/>
        <w:tblLayout w:type="fixed"/>
        <w:tblCellMar>
          <w:top w:w="28" w:type="dxa"/>
          <w:left w:w="28" w:type="dxa"/>
          <w:bottom w:w="28" w:type="dxa"/>
          <w:right w:w="28" w:type="dxa"/>
        </w:tblCellMar>
      </w:tblPr>
      <w:tblGrid>
        <w:gridCol w:w="1831"/>
        <w:gridCol w:w="1600"/>
        <w:gridCol w:w="1624"/>
        <w:gridCol w:w="109"/>
        <w:gridCol w:w="109"/>
        <w:gridCol w:w="109"/>
        <w:gridCol w:w="211"/>
        <w:gridCol w:w="376"/>
        <w:gridCol w:w="109"/>
        <w:gridCol w:w="109"/>
        <w:gridCol w:w="109"/>
        <w:gridCol w:w="109"/>
        <w:gridCol w:w="211"/>
        <w:gridCol w:w="376"/>
        <w:gridCol w:w="154"/>
      </w:tblGrid>
      <w:tr>
        <w:trPr/>
        <w:tc>
          <w:tcPr>
            <w:tcW w:w="183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Supplemental cash flow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liabilities arising from obtaining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14: COMMITMENTS &amp; CONTINGENCIES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contingencies arising in the ordinary course of our business, including contingencies related to legal, regulatory, non-income tax and other matters. We record an accrual for loss contingencies at management’s best estimate when we determine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If a loss is not probable, or a probable loss cannot be reasonably estimated, no accrual is recorded. Amounts accrued for contingencies in the aggregate were $128 million as of December 31, 2024 and $45 million as of June 30, 2025. In our opinion, an adequate accrual had been made as of each such date to provide for the probable losses of which we are aware and for which we can reasonably estimate an amount.</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Legal and Regulatory Matters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securities industry, and many other industries in which we operate, are highly regulated and many aspects of our business involve substantial risk of liability. In past years, there has been an increase in litigation and regulatory investigations involving the brokerage, advisory, cryptocurrency, derivatives, and credit card industries. Litigation has included and may in the future include class action suits that generally seek substantial and, in some cases, punitive damages. Federal and state regulators, exchanges, other SROs, or international regulators investigate issues related to regulatory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48310"/>
                <wp:effectExtent l="0" t="0" r="0" b="0"/>
                <wp:wrapNone/>
                <wp:docPr id="37" name="Frame3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that may result in enforcement action. We are also subject to periodic regulatory audits and inspections that have in the past and could in the future lead to enforcement investigations or actions.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been named as a defendant in lawsuits and from time to time we have been threatened with, or named as a defendant in arbitrations and administrative proceedings. The outcomes of these matters are inherently uncertain and some may result in adverse judgments or awards, including penalties, injunctions, or other relief, and we may also determine to settle a matter because of the uncertainty and risks of litigation.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With respect to matters discussed below, we believe, based on current knowledge, that any losses (in excess of amounts accrued, if applicable) as of June 30, 2025 that are reasonably possible and can be reasonably estimated will not, in the aggregate, have a material adverse effect on our business, financial position, operating results, or cash flows. However, for many of the matters disclosed below, particularly those in early stages, we cannot reasonably estimate the reasonably possible loss (or range of loss), if any. In addition, the ultimate outcome of legal proceedings involves judgments and inherent uncertainties and cannot be predicted with certainty. Any judgment entered against us, or any adverse settlement, could materially and adversely impact our business, financial condition, operating results, and cash flows. We might also incur substantial legal fees, which are expensed as incurred, in defending against legal and regulatory claims.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Described below are certain pending matters in which there is at least a reasonable possibility that a material loss could be incurred. We intend to continue to defend these matters vigorously.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Best Execution, Payment for Order Flow, and Sources of Revenue Civil Litigation</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Beginning in December 2020, multiple putative securities fraud class action lawsuits were filed against RHM, Robinhood Financial LLC (“RHF”), and RHS. Five cases were consolidated in the United States District Court for the Northern District of California. An amended consolidated complaint was filed in May 2021, alleging violations of Section 10(b) of the Exchange Act and various state law causes of action based on claims that we violated the duty of best execution and misled putative class members by publishing misleading statements and omissions in customer communications relating to the execution of trades and revenue sources (including PFOF). Plaintiffs seek unspecified monetary damages, restitution, disgorgement, and other relief. In February 2022, the court granted Robinhood’s motion to dismiss the amended consolidated complaint without prejudice. In March 2022, plaintiffs filed a second consolidated amended complaint, alleging only violations of Section 10(b) of the Exchange Act, which Robinhood moved to dismiss. In October 2022, the court granted Robinhood’s motion in part and denied it in part. In November 2022, Robinhood filed a motion for judgment on the pleadings, which the court denied in January 2023. In March 2024, Plaintiffs filed a motion for class certification, which Robinhood opposed. In October 2024, the court denied class certification without prejudice. In June 2025, Robinhood agreed to a settlement in principle with plaintiffs, which will be subject to approval by the court. </w:t>
      </w:r>
    </w:p>
    <w:p>
      <w:pPr>
        <w:pStyle w:val="TextBody"/>
        <w:bidi w:val="0"/>
        <w:spacing w:before="0" w:after="0"/>
        <w:jc w:val="both"/>
        <w:rPr/>
      </w:pPr>
      <w:r>
        <w:rPr/>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State Regulatory Matters</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New York Attorney General is conducting an investigation into brokerage execution quality and collaring the prices of certain trade orders. The Massachusetts Securities Division (“MSD”) is examining RHF’s customer complaint supervision, the disruptions experienced by Blue Oceans ATS, LLC (“BOATS”) during the Robinhood 24 Hour Market overnight trading session on August 4-5, 2024, and the offerings of presidential election and sports event contracts. The Florida Attorney General is conducting an investigation concerning, among other things, representations about cryptocurrency trading costs and/or fees. We are cooperating with these investigations.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Financial Industry Regulatory Authority (“FINRA”) Settlement</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March 6, 2025, RHF and RHS resolved FINRA Enforcement and Examination staff’s investigations and examinations concerning RHS’s reporting of fractional share trades, as applicable,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48310"/>
                <wp:effectExtent l="0" t="0" r="0" b="0"/>
                <wp:wrapNone/>
                <wp:docPr id="38" name="Frame3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FINRA, FINRA Trade Reporting Facilities (“TRF”), and Consolidated Audit Trail (“CAT”), reporting of accounts holding significant options positions to the Large Option Position Report system, processing of certain requests for transfers of assets from Robinhood through the Automated Customer Account Transfer Service (“ACATS”), responses to Electronic Blue Sheets (“EBS”) requests from FINRA, compliance with FINRA Rules 6190, 5260, and 6121, and short interest reporting; RHF’s marketing involving social media influencers and affiliates, collaring the prices of certain trade orders, compliance with regulations governing the delivery of required documents, origin code reporting for professional customers, and Customer Identification Program (“CIP”); RHF and RHS’s compliance with FINRA registration requirements for member personnel; the Early 2021 Trading Restrictions (as defined below); employee trading issues as described more fully below; account takeovers (i.e., circumstances under which an unauthorized actor successfully logs into a customer account); and anti-money laundering (“AML”) compliance and cybersecurity issues (together, the “March 2025 FINRA Settlement”). RHF and RHS paid a penalty totaling $26 million to resolve these investigations, plus restitution of approximately $3.76 million plus interest to certain customers identified by FINRA. RHF and RHS also agreed to certain undertakings. </w:t>
      </w:r>
    </w:p>
    <w:p>
      <w:pPr>
        <w:pStyle w:val="TextBody"/>
        <w:bidi w:val="0"/>
        <w:spacing w:before="0" w:after="0"/>
        <w:jc w:val="both"/>
        <w:rPr/>
      </w:pPr>
      <w:r>
        <w:rPr/>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 xml:space="preserve">Brokerage Enforcement Matters </w:t>
      </w:r>
    </w:p>
    <w:p>
      <w:pPr>
        <w:pStyle w:val="TextBody"/>
        <w:bidi w:val="0"/>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FINRA Enforcement and Examination staff are conducting investigations related to, among other things, RHS’s and RHF’s compliance with best execution obligations; matters related to RHS’s and RHF’s supervision of technology; and the disruptions experienced by BOATS during the Robinhood 24 Hour Market overnight trading session on August 4-5, 2024. In June 2025, FINRA advised us in writing that it had closed the previously disclosed investigation into the delays in notification from third parties and process failures within our brokerage systems and operations in connection with the handling of a 1-for-25 reverse stock split transaction of Cosmos Health, Inc. in December 2022.</w:t>
      </w:r>
    </w:p>
    <w:p>
      <w:pPr>
        <w:pStyle w:val="TextBody"/>
        <w:bidi w:val="0"/>
        <w:spacing w:before="0" w:after="0"/>
        <w:jc w:val="left"/>
        <w:rPr/>
      </w:pPr>
      <w:r>
        <w:rPr/>
      </w:r>
    </w:p>
    <w:p>
      <w:pPr>
        <w:pStyle w:val="TextBody"/>
        <w:bidi w:val="0"/>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Federal Deposit Insurance Corporation (“FDIC”) is investigating issues related to compliance with the Electronic Funds Transfer Act (“EFTA”). </w:t>
      </w:r>
    </w:p>
    <w:p>
      <w:pPr>
        <w:pStyle w:val="TextBody"/>
        <w:bidi w:val="0"/>
        <w:spacing w:before="0" w:after="0"/>
        <w:jc w:val="left"/>
        <w:rPr/>
      </w:pPr>
      <w:r>
        <w:rPr/>
      </w:r>
    </w:p>
    <w:p>
      <w:pPr>
        <w:pStyle w:val="TextBody"/>
        <w:bidi w:val="0"/>
        <w:spacing w:lineRule="auto" w:line="288" w:before="0" w:after="20"/>
        <w:jc w:val="both"/>
        <w:rPr>
          <w:rFonts w:ascii="Helvetica;sans-serif" w:hAnsi="Helvetica;sans-serif"/>
          <w:b w:val="false"/>
          <w:i/>
          <w:color w:val="000000"/>
          <w:sz w:val="20"/>
        </w:rPr>
      </w:pPr>
      <w:r>
        <w:rPr>
          <w:rFonts w:ascii="Helvetica;sans-serif" w:hAnsi="Helvetica;sans-serif"/>
          <w:b w:val="false"/>
          <w:i/>
          <w:color w:val="000000"/>
          <w:sz w:val="20"/>
        </w:rPr>
        <w:t>Early 2021 Trading Restrictions Matters</w:t>
      </w:r>
    </w:p>
    <w:p>
      <w:pPr>
        <w:pStyle w:val="TextBody"/>
        <w:bidi w:val="0"/>
        <w:spacing w:before="0" w:after="2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on January 28, 2021, due to increased deposit requirements imposed on RHS by the National Securities Clearing Corporation (“NSCC”) in response to unprecedented market volatility, particularly in certain securities, RHS temporarily restricted or limited its customers’ purchase of certain securities, including GameStop Corp. and AMC Entertainment Holdings, Inc., on our U.S. trading platform (the “Early 2021 Trading Restrictions”).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number of individual and putative class actions related to the Early 2021 Trading Restrictions were filed against RHM, RHF, and RHS, among others, in various federal and state courts. In April 2021, the Judicial Panel on Multidistrict Litigation entered an order centralizing the federal cases identified in a motion to transfer and coordinate or consolidate the actions filed in connection with the Early 2021 Trading Restrictions in the United States District Court for the Southern District of Florida. The court subsequently divided plaintiffs’ claims against Robinhood into three tranches: federal antitrust claims, federal securities law claims, and state law claims. In July 2021, plaintiffs filed consolidated complaints seeking unspecified monetary damages in connection with the federal antitrust and state law tranches. The federal antitrust complaint asserted one violation of Section 1 of the Sherman Act; the state law complaint asserted negligence and breach of fiduciary duty claims. In August 2021, we moved to dismiss both of these complaints. </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January 2022, the court dismissed the state law claims with prejudice. In August 2023, the United States Court of Appeals for the Eleventh Circuit affirmed the district court’s order.</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May 2022, the court dismissed the federal antitrust claims with prejudice. In June 2024, the United States Court of Appeals for the Eleventh Circuit affirmed the district court’s order.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48310"/>
                <wp:effectExtent l="0" t="0" r="0" b="0"/>
                <wp:wrapNone/>
                <wp:docPr id="39" name="Frame3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November 2021, plaintiffs for the federal securities tranche filed a complaint alleging violations of Sections 9(a) and 10(b) of the Exchange Act. The complaint seeks unspecified monetary damages, costs and expenses, and other relief. In January 2022, we moved to dismiss the federal securities law complaint. In August 2022, the court granted in part and denied in part Robinhood’s motion to dismiss. In November 2023, the court denied Plaintiffs’ motion for class certification without prejudice. In April 2024, the court denied Plaintiffs’ motion for leave to file a renewed motion for class certification. On May 28, 2024, Robinhood notified the court that it had reached a settlement in principle with the Plaintiffs in their individual capacities. Robinhood subsequently notified the court that one of these Plaintiffs was unwilling to sign the settlement agreement and requested additional time to negotiate with that individual. On August 14, 2024, the court dismissed the lead and named Plaintiffs’ claims. Robinhood has reached settlements with a number of remaining individual plaintiffs. Robinhood’s motion to compel arbitration for the remaining Robinhood customer plaintiffs has been granted.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RHM, RHF, RHS, and our Chief Executive Officer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("DOJ”), Antitrust Division,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On March 6, 2025, as described more fully above, we resolved FINRA’s investigations into these matters as part of the March 2025 FINRA Settlement. </w:t>
      </w:r>
    </w:p>
    <w:p>
      <w:pPr>
        <w:pStyle w:val="TextBody"/>
        <w:bidi w:val="0"/>
        <w:spacing w:before="0" w:after="0"/>
        <w:jc w:val="both"/>
        <w:rPr/>
      </w:pPr>
      <w:r>
        <w:rPr/>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IPO Litigation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December 2021, Philip Golubowski filed a putative class action in the U.S. District Court for the Northern District of California against RHM, the officers and directors who signed Robinhood’s initial public offering (“IPO”) offering documents, and Robinhood’s IPO underwriters. Plaintiff’s claims are based on alleged false or misleading statements in Robinhood’s IPO offering documents allegedly in violation of Sections 11 and 12(a) of the Securities Act of 1933, as amended (the “Securities Act”). Plaintiff seeks unspecified compensatory damages, rescission of shareholders’ share purchases, and an award for attorneys’ fees and costs. In February 2022, certain alleged Robinhood stockholders submitted applications seeking appointment by the court to be the lead plaintiff to represent the putative class in this matter, and in March 2022, the court appointed lead plaintiffs. In June 2022, plaintiffs filed an amended complaint. In August 2022, Robinhood filed a motion to dismiss the complaint. In February 2023, the court granted Robinhood’s motion without prejudice. In March 2023, plaintiffs filed a second amended complaint. In January 2024, the court granted Robinhood’s motion to dismiss the second amended complaint without leave to amend. In February 2024, plaintiffs filed a notice of appeal to the 9th Circuit and the appeal is currently pending.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January 2022, Robert Zito filed a complaint derivatively on behalf of Robinhood against Robinhood’s directors at the time of its IPO in the U.S. District Court for the District of Delaware. Plaintiff alleges breach of fiduciary duties, waste of corporate assets, unjust enrichment, and violations of Section 10(b) of the Exchange Act. Plaintiff’s claims are based on allegations of false or misleading statements in Robinhood’s IPO offering documents, and plaintiff seeks an award of unspecified damages and restitution to the Company, injunctive relief, and an award for attorney’s fees and costs. In March 2022, the district court entered a stay of this litigation pending resolution of Robinhood’s motion to dismiss in the Golubowski securities action discussed above.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August 2022, a shareholder sent a letter to the RHM board of directors demanding, among other things, that the board of directors pursue causes of action on behalf of the Company related to allegations of misconduct in connection with the Early 2021 Trading Restrictions, Robinhood’s IPO offering documents, and the November 2021 Data Security Incident. The board of directors has formed a Demand Review Committee that is reviewing the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48310"/>
                <wp:effectExtent l="0" t="0" r="0" b="0"/>
                <wp:wrapNone/>
                <wp:docPr id="40" name="Frame3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Pay Transparency Litigation</w:t>
      </w:r>
    </w:p>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In July 2024, RHM, Robinhood Money, LLC, and RHC were sued in a putative class action captioned </w:t>
      </w:r>
      <w:r>
        <w:rPr>
          <w:rFonts w:ascii="Helvetica;sans-serif" w:hAnsi="Helvetica;sans-serif"/>
          <w:b w:val="false"/>
          <w:i/>
          <w:color w:val="000000"/>
          <w:sz w:val="20"/>
        </w:rPr>
        <w:t>John Milito v. Robinhood Markets, Inc. et. al.</w:t>
      </w:r>
      <w:r>
        <w:rPr>
          <w:rFonts w:ascii="Helvetica;sans-serif" w:hAnsi="Helvetica;sans-serif"/>
          <w:b w:val="false"/>
          <w:color w:val="000000"/>
          <w:sz w:val="20"/>
        </w:rPr>
        <w:t>, alleging that Robinhood violated Washington’s Equal Pay and Opportunity Act, because some of the Company’s job postings allegedly failed to include a wage scale or salary range. The complaint seeks unspecified total statutory damages, attorneys’ fees and costs, injunctive relief, and declaratory relief. The case is currently stayed in the Superior Court in King County in Washington pending a certified question to the Washington Supreme Court.</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Cash Sweep Litigation</w:t>
      </w:r>
    </w:p>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In October 2024, RHM, RHF, and RHS were sued in a putative class action captioned </w:t>
      </w:r>
      <w:r>
        <w:rPr>
          <w:rFonts w:ascii="Helvetica;sans-serif" w:hAnsi="Helvetica;sans-serif"/>
          <w:b w:val="false"/>
          <w:i/>
          <w:color w:val="000000"/>
          <w:sz w:val="20"/>
        </w:rPr>
        <w:t>Dey v. Robinhood Markets, Inc. et. al.,</w:t>
      </w:r>
      <w:r>
        <w:rPr>
          <w:color w:val="000000"/>
        </w:rPr>
        <w:t xml:space="preserve"> </w:t>
      </w:r>
      <w:r>
        <w:rPr>
          <w:rFonts w:ascii="Helvetica;sans-serif" w:hAnsi="Helvetica;sans-serif"/>
          <w:b w:val="false"/>
          <w:color w:val="000000"/>
          <w:sz w:val="20"/>
        </w:rPr>
        <w:t xml:space="preserve">in the U.S. District Court for the Northern District of California. Plaintiff asserts breach of fiduciary duty, gross negligence, negligent misrepresentation and omissions, breach of implied covenant of good faith and dealing, and violation of California’s unfair competition law based on allegations that defendants failed to pay a reasonable rate of interest to non-Robinhood Gold brokerage account holders on cash balances swept to program bank deposit programs. The complaint seeks, among other things, certification of the class, unspecified monetary, punitive, treble, and statutory damages, restitution, disgorgement, attorneys’ fees and costs, injunctive relief, and declaratory relief. In January 2025, Robinhood filed a motion to dismiss. On April 28, 2025, the court granted in part and denied in part Robinhood’s motion to dismiss. In May 2025, RHM, RHF, and RHS were sued in a putative class action captioned </w:t>
      </w:r>
      <w:r>
        <w:rPr>
          <w:rFonts w:ascii="Helvetica;sans-serif" w:hAnsi="Helvetica;sans-serif"/>
          <w:b w:val="false"/>
          <w:i/>
          <w:color w:val="000000"/>
          <w:sz w:val="20"/>
        </w:rPr>
        <w:t xml:space="preserve">Deeney v. Robinhood Markets, Inc. et al., </w:t>
      </w:r>
      <w:r>
        <w:rPr>
          <w:rFonts w:ascii="Helvetica;sans-serif" w:hAnsi="Helvetica;sans-serif"/>
          <w:b w:val="false"/>
          <w:color w:val="000000"/>
          <w:sz w:val="20"/>
        </w:rPr>
        <w:t xml:space="preserve">in the U.S. District Court for the Northern District of California, which also made allegations related to Robinhood’s cash sweep program. The complaint sought, among other things, certification of the class, unspecified monetary damages, attorneys’ fees and costs, and restitution. The parties in </w:t>
      </w:r>
      <w:r>
        <w:rPr>
          <w:rFonts w:ascii="Helvetica;sans-serif" w:hAnsi="Helvetica;sans-serif"/>
          <w:b w:val="false"/>
          <w:i/>
          <w:color w:val="000000"/>
          <w:sz w:val="20"/>
        </w:rPr>
        <w:t>Dey</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i/>
          <w:color w:val="000000"/>
          <w:sz w:val="20"/>
        </w:rPr>
        <w:t>Deeney</w:t>
      </w:r>
      <w:r>
        <w:rPr>
          <w:color w:val="000000"/>
        </w:rPr>
        <w:t xml:space="preserve"> </w:t>
      </w:r>
      <w:r>
        <w:rPr>
          <w:rFonts w:ascii="Helvetica;sans-serif" w:hAnsi="Helvetica;sans-serif"/>
          <w:b w:val="false"/>
          <w:color w:val="000000"/>
          <w:sz w:val="20"/>
        </w:rPr>
        <w:t xml:space="preserve">have agreed to consolidate the matters and Plaintiffs have filed an amended consolidated complaint. The complaint seeks, among other things, certification of the class, unspecified monetary, punitive, treble, and statutory damages, restitution, disgorgement, attorneys’ fees and costs, injunctive relief, and declaratory relief. </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Event Contracts Litigation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June 2025, RHM and Robinhood Derivatives, LLC (“RHD”) were sued along with several co-defendants, in state court in six states (Georgia, Illinois, Kentucky, Massachusetts, Ohio and South Carolina) by Georgia Gambling Recovery LLC, Illinois Gambling Recovery LLC, Kentucky Gambling Recovery LLC, Massachusetts Gambling Recovery LLC, Ohio Gambling Recovery LLC, and South Carolina Gambling Recovery LLC respectively. Each plaintiff asserts a claim under the respective state’s Statute of Anne, which are statutes that permit recovery of gambling losses under certain conditions, which vary by state. Each plaintiff seeks damages for losses allegedly sustained in trading certain event contracts, including damage multipliers in certain states, attorney’s fees and costs, and declaratory relief. Robinhood has been served in Ohio and has removed the case to the U.S District Court for the Northern District of Ohio.</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July 2025, RHM and RHD were sued by the Blue Lake Rancheria, Chicken Ranch Rancheria of Me-Wuk Indians, and Picayune Rancheria of the Chukchansi Indians in the U.S. District Court for the Northern District of California. The complaint alleges that certain event contracts offered by RHD are unlawful sports gambling activity. The tribes allege several causes of action including violation of the Indian Gaming Regulatory Act, violation of tribal gaming Ordinances, civil violation of the Racketeer Influenced and Corrupt Organizations Act, infringement of tribal sovereignty, and false advertising under the Lanham Act. The complaint seeks injunctive relief, declaratory relief, damages, treble damages, costs, and attorney’s fees.</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48310"/>
                <wp:effectExtent l="0" t="0" r="0" b="0"/>
                <wp:wrapNone/>
                <wp:docPr id="41" name="Frame4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ITEM 2. MANAGEMENT’S DISCUSSION AND ANALYSIS OF FINANCIAL CONDITION AND RESULTS OF OPERATIONS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section presents management’s perspective on our financial condition and results of operations, including performance metrics that management uses to assess company performance. The following discussion and analysis is intended to highlight and supplement data and information presented elsewhere in this Quarterly Report, and should be read in conjunction with our interim unaudited condensed consolidated financial statements and notes elsewhere in this Quarterly Report and our audited consolidated financial statements and the related notes and the discussion under the heading “Management’s Discussion and Analysis of Financial Condition and Results of Operations” included in our 2024 Form 10-K.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might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Data as of and for the three and six months ended June 30, 2024 and 2025 has been derived from our unaudited condensed consolidated financial statements appearing at the beginning of this Quarterly Report. Results for any interim period should not be construed as an inference of what our results would be for any full fiscal year or future period.</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refer to our “users” and our “customers” interchangeably throughout this Quarterly Report to refer to individuals who hold accounts on our platforms.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Key Performance Metrics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to the measures presented in our unaudited condensed consolidated financial statements, we use the following key performance metrics to help us evaluate our business, identify trends affecting our business, formulate business plans, and make strategic decisions. </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 xml:space="preserve">Funded Customers: </w:t>
      </w:r>
      <w:r>
        <w:rPr>
          <w:rFonts w:ascii="Helvetica;sans-serif" w:hAnsi="Helvetica;sans-serif"/>
          <w:b w:val="false"/>
          <w:color w:val="000000"/>
          <w:sz w:val="20"/>
        </w:rPr>
        <w:t xml:space="preserve">We define a Funded Customer as a unique person who has at least one account with a Robinhood entity and, within the past 45 calendar days (a) had an account balance that was greater than zero (excluding amounts that are deposited into a Funded Customer account by the Company with no action taken by the unique person) or (b) completed a transaction using any such account. </w:t>
      </w:r>
      <w:r>
        <w:rPr>
          <w:rFonts w:ascii="Arial;sans-serif" w:hAnsi="Arial;sans-serif"/>
          <w:b w:val="false"/>
          <w:color w:val="000000"/>
          <w:sz w:val="20"/>
        </w:rPr>
        <w:t xml:space="preserve">Individuals who share a funded joint investing account (which launched in July 2024) are each considered to be a Funded Customer. Starting in Q1 2025, individuals who are customers of RIAs that use the TradePMR platform, and, starting in June 2025, customers of Bitstamp, are also considered Funded Customers. </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Total Platform Assets</w:t>
      </w:r>
      <w:r>
        <w:rPr>
          <w:rFonts w:ascii="Helvetica;sans-serif" w:hAnsi="Helvetica;sans-serif"/>
          <w:b w:val="false"/>
          <w:color w:val="000000"/>
          <w:sz w:val="20"/>
        </w:rPr>
        <w:t xml:space="preserve">: </w:t>
      </w:r>
      <w:r>
        <w:rPr>
          <w:rFonts w:ascii="Arial;sans-serif" w:hAnsi="Arial;sans-serif"/>
          <w:b w:val="false"/>
          <w:color w:val="000000"/>
          <w:sz w:val="20"/>
        </w:rPr>
        <w:t xml:space="preserve">We define Total Platform Assets as the sum of the fair value of all equities, options, cryptocurrency, futures (including options on futures, swaps, and event contracts), cash held by users in their accounts, net of receivables from users (previously reported as Assets Under Custody), and any such assets managed by RIAs using TradePMR’s platform that are not custodied by Robinhood, as of a stated date or period end on a trade date basis. Net Deposits and net market gains (losses) drive the change in Total Platform Assets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48310"/>
                <wp:effectExtent l="0" t="0" r="0" b="0"/>
                <wp:wrapNone/>
                <wp:docPr id="42" name="Frame4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any given period. Starting in June 2025, the fair value of all cryptocurrency includes cryptocurrency on Bitstamp.</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Net Deposits:</w:t>
      </w:r>
      <w:r>
        <w:rPr>
          <w:color w:val="000000"/>
        </w:rPr>
        <w:t xml:space="preserve"> </w:t>
      </w:r>
      <w:r>
        <w:rPr>
          <w:rFonts w:ascii="Helvetica;sans-serif" w:hAnsi="Helvetica;sans-serif"/>
          <w:b w:val="false"/>
          <w:color w:val="000000"/>
          <w:sz w:val="20"/>
        </w:rPr>
        <w:t xml:space="preserve">We define Net Deposits as all cash deposits and asset transfers from customers, as well as dividends, interest, and cash or assets earned in connection with Company promotions (such as account transfer and retirement match incentives, free stock bonuses, and lending and staking rewards by Bitstamp) received by customers, net of reversals, customer cash withdrawals, margin interest, Robinhood Gold subscription fees, and assets transferred off of our platforms for a stated period. </w:t>
      </w:r>
      <w:r>
        <w:rPr>
          <w:rFonts w:ascii="Arial;sans-serif" w:hAnsi="Arial;sans-serif"/>
          <w:b w:val="false"/>
          <w:color w:val="000000"/>
          <w:sz w:val="20"/>
        </w:rPr>
        <w:t xml:space="preserve">Starting in June 2025, Net Deposits include results from Bitstamp. Due to data limitations, we have not included TradePMR client figures in our Net Deposits </w:t>
      </w:r>
      <w:r>
        <w:rPr>
          <w:rFonts w:ascii="Helvetica;sans-serif" w:hAnsi="Helvetica;sans-serif"/>
          <w:b w:val="false"/>
          <w:color w:val="000000"/>
          <w:sz w:val="20"/>
        </w:rPr>
        <w:t>key performance metric</w:t>
      </w:r>
      <w:r>
        <w:rPr>
          <w:rFonts w:ascii="Arial;sans-serif" w:hAnsi="Arial;sans-serif"/>
          <w:b w:val="false"/>
          <w:color w:val="000000"/>
          <w:sz w:val="20"/>
        </w:rPr>
        <w:t>.</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Average Revenue Per User (“ARPU”)</w:t>
      </w:r>
      <w:r>
        <w:rPr>
          <w:rFonts w:ascii="Helvetica;sans-serif" w:hAnsi="Helvetica;sans-serif"/>
          <w:b w:val="false"/>
          <w:color w:val="000000"/>
          <w:sz w:val="20"/>
        </w:rPr>
        <w:t>: We define ARPU as total revenue for a given period divided by the average number of Funded Customers on the last day of that period and the last day of the immediately preceding period. Figures in this Quarterly Report represent ARPU annualized for each three-month period presented.</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 xml:space="preserve">Robinhood Gold Subscribers: </w:t>
      </w:r>
      <w:r>
        <w:rPr>
          <w:rFonts w:ascii="Helvetica;sans-serif" w:hAnsi="Helvetica;sans-serif"/>
          <w:b w:val="false"/>
          <w:color w:val="000000"/>
          <w:sz w:val="20"/>
        </w:rPr>
        <w:t>We define a Robinhood Gold Subscriber as a unique person who has at least one account with a Robinhood entity and who, as of the end of the relevant period (a) is subscribed to Robinhood Gold and (b) has made at least one Robinhood Gold subscription fee payment.</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Glossary Terms</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Automated Customer Account Transfer Service (“ACATS”)</w:t>
      </w:r>
      <w:r>
        <w:rPr>
          <w:rFonts w:ascii="Helvetica;sans-serif" w:hAnsi="Helvetica;sans-serif"/>
          <w:b w:val="false"/>
          <w:color w:val="000000"/>
          <w:sz w:val="20"/>
        </w:rPr>
        <w:t>: A system that automates and standardizes procedures for the transfer of assets in a customer account from one brokerage firm and/or bank to another.</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Cash Sweep</w:t>
      </w:r>
      <w:r>
        <w:rPr>
          <w:rFonts w:ascii="Helvetica;sans-serif" w:hAnsi="Helvetica;sans-serif"/>
          <w:b w:val="false"/>
          <w:color w:val="000000"/>
          <w:sz w:val="20"/>
        </w:rPr>
        <w:t xml:space="preserve">: We define Cash Sweep as the period-end total amount of participating users’ uninvested brokerage cash that has been automatically “swept” or moved from their brokerage accounts into deposits for their benefit at a network of program banks. This is an off-balance-sheet amount. Robinhood earns a net interest spread on Cash Sweep balances based on the interest rate offered by the banks less the interest rate given to users as stated in our program terms. </w:t>
      </w:r>
      <w:r>
        <w:rPr>
          <w:rFonts w:ascii="Arial;sans-serif" w:hAnsi="Arial;sans-serif"/>
          <w:b w:val="false"/>
          <w:color w:val="000000"/>
          <w:sz w:val="20"/>
        </w:rPr>
        <w:t>This includes balances from customers of RIAs using TradePMR</w:t>
      </w:r>
      <w:r>
        <w:rPr>
          <w:color w:val="000000"/>
        </w:rPr>
        <w:t>’</w:t>
      </w:r>
      <w:r>
        <w:rPr>
          <w:rFonts w:ascii="Arial;sans-serif" w:hAnsi="Arial;sans-serif"/>
          <w:b w:val="false"/>
          <w:color w:val="000000"/>
          <w:sz w:val="20"/>
        </w:rPr>
        <w:t xml:space="preserve">s platform. </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Churned Customers:</w:t>
      </w:r>
      <w:r>
        <w:rPr>
          <w:color w:val="000000"/>
        </w:rPr>
        <w:t xml:space="preserve"> </w:t>
      </w:r>
      <w:r>
        <w:rPr>
          <w:rFonts w:ascii="Helvetica;sans-serif" w:hAnsi="Helvetica;sans-serif"/>
          <w:b w:val="false"/>
          <w:color w:val="000000"/>
          <w:sz w:val="20"/>
        </w:rPr>
        <w:t xml:space="preserve">A Funded Customer is considered “Churned” if it was ever a New Funded Customer whose account balance (measured as the fair value of assets in the account less any amount due from the user and excluding amounts that are deposited into a Funded Customer account by the Company with no action taken by the unique person) drops to or below zero and has not completed a transaction using any account with a Robinhood entity for at least 45 consecutive calendar days. Negative balances typically result from Fraudulent Deposit Transactions (which occur when users initiate deposits into their accounts, make trades on our platforms using a short-term extension of credit from us, and then repatriate or reverse the deposits, resulting in a loss to us of the credited amount) and unauthorized debit card use, and less often, from margin loans. </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 xml:space="preserve">Growth Rate and Annualized Growth Rate with respect to Net Deposits: </w:t>
      </w:r>
      <w:r>
        <w:rPr>
          <w:rFonts w:ascii="Helvetica;sans-serif" w:hAnsi="Helvetica;sans-serif"/>
          <w:b w:val="false"/>
          <w:color w:val="000000"/>
          <w:sz w:val="20"/>
        </w:rPr>
        <w:t>Growth rate is calculated as aggregate Net Deposits over a specified 12-month period, divided by Total Platform Assets for the fiscal quarter that immediately precedes such 12-month period. Annualized growth rate is calculated as Net Deposits for a specified quarter multiplied by 4 and divided by Total Platform Assets for the immediately preceding quarter.</w:t>
      </w:r>
    </w:p>
    <w:p>
      <w:pPr>
        <w:pStyle w:val="TextBody"/>
        <w:bidi w:val="0"/>
        <w:spacing w:lineRule="auto" w:line="288" w:before="0" w:after="200"/>
        <w:ind w:left="0" w:right="0" w:hanging="360"/>
        <w:jc w:val="both"/>
        <w:rPr/>
      </w:pPr>
      <w:r>
        <w:rPr>
          <w:color w:val="000000"/>
        </w:rPr>
        <w:t>•</w:t>
      </w:r>
      <w:r>
        <w:rPr>
          <w:rFonts w:ascii="Arial;sans-serif" w:hAnsi="Arial;sans-serif"/>
          <w:b/>
          <w:color w:val="000000"/>
          <w:sz w:val="20"/>
        </w:rPr>
        <w:t>Investment Accounts:</w:t>
      </w:r>
      <w:r>
        <w:rPr>
          <w:color w:val="000000"/>
        </w:rPr>
        <w:t xml:space="preserve"> </w:t>
      </w:r>
      <w:r>
        <w:rPr>
          <w:rFonts w:ascii="Arial;sans-serif" w:hAnsi="Arial;sans-serif"/>
          <w:b w:val="false"/>
          <w:color w:val="000000"/>
          <w:sz w:val="20"/>
        </w:rPr>
        <w:t xml:space="preserve">We define an Investment Account as a funded individual brokerage account, a funded joint investing account, a funded individual retirement account (“IRA”), or an account with an RIA using TradePMR’s platform. As of </w:t>
      </w:r>
      <w:r>
        <w:rPr>
          <w:rFonts w:ascii="Helvetica;sans-serif" w:hAnsi="Helvetica;sans-serif"/>
          <w:b w:val="false"/>
          <w:color w:val="000000"/>
          <w:sz w:val="20"/>
        </w:rPr>
        <w:t>June 30, 2025</w:t>
      </w:r>
      <w:r>
        <w:rPr>
          <w:rFonts w:ascii="Arial;sans-serif" w:hAnsi="Arial;sans-serif"/>
          <w:b w:val="false"/>
          <w:color w:val="000000"/>
          <w:sz w:val="20"/>
        </w:rPr>
        <w:t xml:space="preserve">, a Funded Customer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48310"/>
                <wp:effectExtent l="0" t="0" r="0" b="0"/>
                <wp:wrapNone/>
                <wp:docPr id="43" name="Frame4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pPr>
      <w:r>
        <w:rPr>
          <w:rFonts w:ascii="Arial;sans-serif" w:hAnsi="Arial;sans-serif"/>
          <w:b w:val="false"/>
          <w:color w:val="000000"/>
          <w:sz w:val="20"/>
        </w:rPr>
        <w:t>have up to five Investment Accounts - individual brokerage account, joint investing account (which launched in July 2024), traditional IRA, Roth IRA, and RIA custody account using TradePMR</w:t>
      </w:r>
      <w:r>
        <w:rPr>
          <w:color w:val="000000"/>
        </w:rPr>
        <w:t>’</w:t>
      </w:r>
      <w:r>
        <w:rPr>
          <w:rFonts w:ascii="Arial;sans-serif" w:hAnsi="Arial;sans-serif"/>
          <w:b w:val="false"/>
          <w:color w:val="000000"/>
          <w:sz w:val="20"/>
        </w:rPr>
        <w:t>s platform. Does not include Bitstamp as such accounts are not brokerage or other Investment Accounts.</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Margin Book:</w:t>
      </w:r>
      <w:r>
        <w:rPr>
          <w:color w:val="000000"/>
        </w:rPr>
        <w:t xml:space="preserve"> </w:t>
      </w:r>
      <w:r>
        <w:rPr>
          <w:rFonts w:ascii="Helvetica;sans-serif" w:hAnsi="Helvetica;sans-serif"/>
          <w:b w:val="false"/>
          <w:color w:val="000000"/>
          <w:sz w:val="20"/>
        </w:rPr>
        <w:t xml:space="preserve">We define Margin Book as our period-end aggregate outstanding margin loan balances receivable (i.e., the period-end total amount we are owed by customers on loans made for the purchase of securities, supported by a pledge of assets in their margin-enabled brokerage accounts). </w:t>
      </w:r>
      <w:r>
        <w:rPr>
          <w:rFonts w:ascii="Arial;sans-serif" w:hAnsi="Arial;sans-serif"/>
          <w:b w:val="false"/>
          <w:color w:val="000000"/>
          <w:sz w:val="20"/>
        </w:rPr>
        <w:t>This includes margin loan balances from customers of RIAs using TradePMR</w:t>
      </w:r>
      <w:r>
        <w:rPr>
          <w:color w:val="000000"/>
        </w:rPr>
        <w:t>’</w:t>
      </w:r>
      <w:r>
        <w:rPr>
          <w:rFonts w:ascii="Arial;sans-serif" w:hAnsi="Arial;sans-serif"/>
          <w:b w:val="false"/>
          <w:color w:val="000000"/>
          <w:sz w:val="20"/>
        </w:rPr>
        <w:t>s platform.</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New Funded Customers:</w:t>
      </w:r>
      <w:r>
        <w:rPr>
          <w:color w:val="000000"/>
        </w:rPr>
        <w:t xml:space="preserve"> </w:t>
      </w:r>
      <w:r>
        <w:rPr>
          <w:rFonts w:ascii="Helvetica;sans-serif" w:hAnsi="Helvetica;sans-serif"/>
          <w:b w:val="false"/>
          <w:color w:val="000000"/>
          <w:sz w:val="20"/>
        </w:rPr>
        <w:t xml:space="preserve">We define a New Funded Customer as a unique person who became a Funded Customer for the first time during the relevant period. </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 xml:space="preserve">Notional Trading Volume: </w:t>
      </w:r>
      <w:r>
        <w:rPr>
          <w:rFonts w:ascii="Helvetica;sans-serif" w:hAnsi="Helvetica;sans-serif"/>
          <w:b w:val="false"/>
          <w:color w:val="000000"/>
          <w:sz w:val="20"/>
        </w:rPr>
        <w:t>We define Notional Trading Volume for any specified asset class as the aggregate dollar value (purchase price or sale price as applicable) of trades executed in that asset class on our platforms over a specified period of time. Robinhood App Crypto Notional Trading Volume represents the dollar value of executed trades on the Robinhood platform over a specified period of time. Starting in June 2025, Bitstamp Exchange Crypto Notional Trading Volume represents the dollar value of executed trades on the Bitstamp platform over a specified period of time. For example, each $1 of transaction value executed between a buyer and seller is counted as $1 of transaction value in the relevant period, rather than $2 if counted for each of the buyer and seller.</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Options Contracts Traded:</w:t>
      </w:r>
      <w:r>
        <w:rPr>
          <w:color w:val="000000"/>
        </w:rPr>
        <w:t xml:space="preserve"> </w:t>
      </w:r>
      <w:r>
        <w:rPr>
          <w:rFonts w:ascii="Helvetica;sans-serif" w:hAnsi="Helvetica;sans-serif"/>
          <w:b w:val="false"/>
          <w:color w:val="000000"/>
          <w:sz w:val="20"/>
        </w:rPr>
        <w:t>We define Options Contracts Traded as the total number of options contracts bought or sold over a specified period of time. Each contract generally entitles the holder to trade 100 shares of the underlying stock.</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Resurrected Customers:</w:t>
      </w:r>
      <w:r>
        <w:rPr>
          <w:color w:val="000000"/>
        </w:rPr>
        <w:t xml:space="preserve"> </w:t>
      </w:r>
      <w:r>
        <w:rPr>
          <w:rFonts w:ascii="Helvetica;sans-serif" w:hAnsi="Helvetica;sans-serif"/>
          <w:b w:val="false"/>
          <w:color w:val="000000"/>
          <w:sz w:val="20"/>
        </w:rPr>
        <w:t>A Funded Customer is considered “Resurrected” in a stated period if it was a Churned Customer as of the end of the immediately preceding period and its balance (excluding amounts that are deposited into a Funded Customer account by the Company with no action taken by the unique person) rises above zero or it completes a transaction using its account.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Overview</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Robinhood was founded on the belief that everyone should be welcome to participate in our financial system. We are creating modern financial services platforms for everyone, regardless of their wealth, income, or background.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mission is to democratize finance for all. We use technology to provide access to the financial system in a way that is simple and convenient for our customers. We believe investing should be familiar and welcoming, with a simple design and an intuitive interface, so that customers are empowered to achieve their goals. We started with a revolutionary, bold brand and design in the Robinhood app which makes investing approachable for millions. Over the last decade, we have disrupted and changed the industry, becoming the first U.S. retail broker to offer commission-free stock trading with no account minimums, which was subsequently adopted by the rest of the industry. In recent years, we have continued to build relationships with our customers by introducing new products and diversifying our services that further expand access to the financial system, including focusing on products and tools for more seasoned investors. Through these efforts, we believe we have made investing culturally relevant and understandable, and that our platforms are enabling our customers to become long-term investors and take greater control of their finances.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48310"/>
                <wp:effectExtent l="0" t="0" r="0" b="0"/>
                <wp:wrapNone/>
                <wp:docPr id="44" name="Frame4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Financial Results and Performance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With respect to the three months ended June 30, 2025, as compared to the three months ended June 30, 2024:</w:t>
      </w:r>
    </w:p>
    <w:p>
      <w:pPr>
        <w:pStyle w:val="TextBody"/>
        <w:bidi w:val="0"/>
        <w:spacing w:lineRule="auto" w:line="288" w:before="0" w:after="200"/>
        <w:ind w:left="0" w:right="0" w:hanging="360"/>
        <w:jc w:val="both"/>
        <w:rPr/>
      </w:pPr>
      <w:r>
        <w:rPr>
          <w:color w:val="000000"/>
          <w:shd w:fill="FFFFFF" w:val="clear"/>
        </w:rPr>
        <w:t>•</w:t>
      </w:r>
      <w:r>
        <w:rPr>
          <w:rFonts w:ascii="Helvetica;sans-serif" w:hAnsi="Helvetica;sans-serif"/>
          <w:b w:val="false"/>
          <w:color w:val="000000"/>
          <w:sz w:val="20"/>
        </w:rPr>
        <w:t xml:space="preserve">total net revenues increased 45% to $989 million compared to $682 million;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net income increased 105% to $386 million, compared to $188 million;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diluted EPS increased 100% to $0.42 compared to $0.21;</w:t>
      </w:r>
    </w:p>
    <w:p>
      <w:pPr>
        <w:pStyle w:val="TextBody"/>
        <w:bidi w:val="0"/>
        <w:spacing w:lineRule="auto" w:line="288" w:before="0" w:after="200"/>
        <w:ind w:left="0" w:right="0" w:hanging="360"/>
        <w:jc w:val="left"/>
        <w:rPr/>
      </w:pPr>
      <w:r>
        <w:rPr>
          <w:color w:val="000000"/>
        </w:rPr>
        <w:t>•</w:t>
      </w:r>
      <w:r>
        <w:rPr>
          <w:rFonts w:ascii="Helvetica;sans-serif" w:hAnsi="Helvetica;sans-serif"/>
          <w:b w:val="false"/>
          <w:color w:val="000000"/>
          <w:sz w:val="20"/>
        </w:rPr>
        <w:t>total operating expenses increased 12% to $550 million compared to $493 million;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SBC expense decreased 9% to</w:t>
      </w:r>
      <w:r>
        <w:rPr>
          <w:color w:val="000000"/>
        </w:rPr>
        <w:t xml:space="preserve"> </w:t>
      </w:r>
      <w:r>
        <w:rPr>
          <w:rFonts w:ascii="Helvetica;sans-serif" w:hAnsi="Helvetica;sans-serif"/>
          <w:b w:val="false"/>
          <w:color w:val="000000"/>
          <w:sz w:val="20"/>
        </w:rPr>
        <w:t>$78 million compared to $86 million;</w:t>
      </w:r>
    </w:p>
    <w:p>
      <w:pPr>
        <w:pStyle w:val="TextBody"/>
        <w:bidi w:val="0"/>
        <w:spacing w:lineRule="auto" w:line="288" w:before="0" w:after="200"/>
        <w:ind w:left="0" w:right="0" w:hanging="360"/>
        <w:jc w:val="both"/>
        <w:rPr/>
      </w:pPr>
      <w:r>
        <w:rPr>
          <w:color w:val="000000"/>
          <w:shd w:fill="FFFFFF" w:val="clear"/>
        </w:rPr>
        <w:t>•</w:t>
      </w:r>
      <w:r>
        <w:rPr>
          <w:rFonts w:ascii="Helvetica;sans-serif" w:hAnsi="Helvetica;sans-serif"/>
          <w:b w:val="false"/>
          <w:color w:val="000000"/>
          <w:sz w:val="20"/>
        </w:rPr>
        <w:t>Adjusted EBITDA (non-GAAP) increased 82%</w:t>
      </w:r>
      <w:r>
        <w:rPr>
          <w:color w:val="000000"/>
          <w:shd w:fill="FFFFFF" w:val="clear"/>
        </w:rPr>
        <w:t xml:space="preserve"> </w:t>
      </w:r>
      <w:r>
        <w:rPr>
          <w:rFonts w:ascii="Helvetica;sans-serif" w:hAnsi="Helvetica;sans-serif"/>
          <w:b w:val="false"/>
          <w:color w:val="000000"/>
          <w:sz w:val="20"/>
          <w:shd w:fill="FFFFFF" w:val="clear"/>
        </w:rPr>
        <w:t>to</w:t>
      </w:r>
      <w:r>
        <w:rPr>
          <w:color w:val="000000"/>
        </w:rPr>
        <w:t xml:space="preserve"> </w:t>
      </w:r>
      <w:r>
        <w:rPr>
          <w:rFonts w:ascii="Helvetica;sans-serif" w:hAnsi="Helvetica;sans-serif"/>
          <w:b w:val="false"/>
          <w:color w:val="000000"/>
          <w:sz w:val="20"/>
          <w:shd w:fill="FFFFFF" w:val="clear"/>
        </w:rPr>
        <w:t>$549 million</w:t>
      </w:r>
      <w:r>
        <w:rPr>
          <w:color w:val="000000"/>
        </w:rPr>
        <w:t xml:space="preserve"> </w:t>
      </w:r>
      <w:r>
        <w:rPr>
          <w:rFonts w:ascii="Helvetica;sans-serif" w:hAnsi="Helvetica;sans-serif"/>
          <w:b w:val="false"/>
          <w:color w:val="000000"/>
          <w:sz w:val="20"/>
        </w:rPr>
        <w:t xml:space="preserve">compared to </w:t>
      </w:r>
      <w:r>
        <w:rPr>
          <w:rFonts w:ascii="Helvetica;sans-serif" w:hAnsi="Helvetica;sans-serif"/>
          <w:b w:val="false"/>
          <w:color w:val="000000"/>
          <w:sz w:val="20"/>
          <w:shd w:fill="FFFFFF" w:val="clear"/>
        </w:rPr>
        <w:t>$301 million</w:t>
      </w:r>
      <w:r>
        <w:rPr>
          <w:rFonts w:ascii="Helvetica;sans-serif" w:hAnsi="Helvetica;sans-serif"/>
          <w:b w:val="false"/>
          <w:color w:val="000000"/>
          <w:sz w:val="20"/>
        </w:rPr>
        <w:t>;</w:t>
      </w:r>
    </w:p>
    <w:p>
      <w:pPr>
        <w:pStyle w:val="TextBody"/>
        <w:bidi w:val="0"/>
        <w:spacing w:lineRule="auto" w:line="288" w:before="0" w:after="200"/>
        <w:ind w:left="0" w:right="0" w:hanging="360"/>
        <w:jc w:val="both"/>
        <w:rPr/>
      </w:pPr>
      <w:r>
        <w:rPr>
          <w:color w:val="000000"/>
          <w:shd w:fill="FFFFFF" w:val="clear"/>
        </w:rPr>
        <w:t>•</w:t>
      </w:r>
      <w:r>
        <w:rPr>
          <w:rFonts w:ascii="Helvetica;sans-serif" w:hAnsi="Helvetica;sans-serif"/>
          <w:b w:val="false"/>
          <w:color w:val="000000"/>
          <w:sz w:val="20"/>
        </w:rPr>
        <w:t>Funded Customers increased by 2.3 million, or 10%, to 26.5 million compared to 24.2 million, and Investment Accounts increased by 2.6 million, or 10%, to 27.4 million compared to 24.8 million;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Total Platform Assets</w:t>
      </w:r>
      <w:r>
        <w:rPr>
          <w:color w:val="000000"/>
        </w:rPr>
        <w:t xml:space="preserve"> </w:t>
      </w:r>
      <w:r>
        <w:rPr>
          <w:rFonts w:ascii="Helvetica;sans-serif" w:hAnsi="Helvetica;sans-serif"/>
          <w:b w:val="false"/>
          <w:color w:val="000000"/>
          <w:sz w:val="20"/>
        </w:rPr>
        <w:t>increased 99% to $278.6 billion compared to $139.7 billion, driven by continued Net Deposits, acquired assets, and higher equity and cryptocurrency valuations;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Net Deposits were $13.8 billion, which translates to an annualized growth rate of 25% relative to Total Platform Assets at the end of the first quarter of 2025, compared to $13.2 billion, which translates to an annualized growth rate of 41% relative to Total Platform Assets at the end of the first quarter of 2024. Over the past twelve months, Net Deposits were $57.9 billion, a growth rate of 41% relative to Total Platform Assets at the end of the second quarter of 2024;</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ARPU increased 34% to $151 compared to $113; and</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Robinhood Gold Subscribers increased 1.50 million, or 76%, to 3.48 million compared to 1.98 million.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Adjusted EBITDA is a non-GAAP financial measure. For more information about Adjusted EBITDA, including the definition and limitations of such measure, and a reconciliation of net income to Adjusted EBITDA, please see “—Non-GAAP Financial Measures” below.</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Recent Developments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Pending WonderFi Acquisition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May 12, 2025, we entered into an agreement to acquire all outstanding equity of WonderFi, a Canadian leader in digital asset products and services, for C$0.36 per share, representing a total equity value of approximately $180 million The pending acquisition is subject to customary closing conditions, including regulatory approvals, and is expected to close in the second half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48310"/>
                <wp:effectExtent l="0" t="0" r="0" b="0"/>
                <wp:wrapNone/>
                <wp:docPr id="45" name="Frame4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Key Performance Metrics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Key performance metrics for the relevant periods were as follows: </w:t>
      </w:r>
    </w:p>
    <w:tbl>
      <w:tblPr>
        <w:tblW w:w="6875" w:type="dxa"/>
        <w:jc w:val="left"/>
        <w:tblInd w:w="0" w:type="dxa"/>
        <w:tblLayout w:type="fixed"/>
        <w:tblCellMar>
          <w:top w:w="28" w:type="dxa"/>
          <w:left w:w="28" w:type="dxa"/>
          <w:bottom w:w="28" w:type="dxa"/>
          <w:right w:w="28" w:type="dxa"/>
        </w:tblCellMar>
      </w:tblPr>
      <w:tblGrid>
        <w:gridCol w:w="1141"/>
        <w:gridCol w:w="1003"/>
        <w:gridCol w:w="1005"/>
        <w:gridCol w:w="109"/>
        <w:gridCol w:w="109"/>
        <w:gridCol w:w="109"/>
        <w:gridCol w:w="297"/>
        <w:gridCol w:w="255"/>
        <w:gridCol w:w="256"/>
        <w:gridCol w:w="165"/>
        <w:gridCol w:w="165"/>
        <w:gridCol w:w="165"/>
        <w:gridCol w:w="297"/>
        <w:gridCol w:w="255"/>
        <w:gridCol w:w="256"/>
        <w:gridCol w:w="109"/>
        <w:gridCol w:w="109"/>
        <w:gridCol w:w="109"/>
        <w:gridCol w:w="201"/>
        <w:gridCol w:w="201"/>
        <w:gridCol w:w="559"/>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Change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Funded Customers</w:t>
            </w:r>
            <w:r>
              <w:rPr>
                <w:rFonts w:ascii="Helvetica;sans-serif" w:hAnsi="Helvetica;sans-serif"/>
                <w:b w:val="false"/>
                <w:color w:val="000000"/>
                <w:sz w:val="10"/>
              </w:rPr>
              <w:t xml:space="preserve">(1) </w:t>
            </w:r>
            <w:r>
              <w:rPr>
                <w:rFonts w:ascii="Helvetica;sans-serif" w:hAnsi="Helvetica;sans-serif"/>
                <w:b w:val="false"/>
                <w:i/>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24.2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Total Platform Assets</w:t>
            </w:r>
            <w:r>
              <w:rPr>
                <w:rFonts w:ascii="Helvetica;sans-serif" w:hAnsi="Helvetica;sans-serif"/>
                <w:b w:val="false"/>
                <w:color w:val="000000"/>
                <w:sz w:val="10"/>
              </w:rPr>
              <w:t>(2)</w:t>
            </w:r>
            <w:r>
              <w:rPr>
                <w:color w:val="000000"/>
              </w:rPr>
              <w:t xml:space="preserve"> </w:t>
            </w:r>
            <w:r>
              <w:rPr>
                <w:rFonts w:ascii="Helvetica;sans-serif" w:hAnsi="Helvetica;sans-serif"/>
                <w:b w:val="false"/>
                <w:i/>
                <w:color w:val="000000"/>
                <w:sz w:val="16"/>
              </w:rPr>
              <w:t>(in billions)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139.7</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Net Deposits</w:t>
            </w:r>
            <w:r>
              <w:rPr>
                <w:color w:val="000000"/>
              </w:rPr>
              <w:t xml:space="preserve"> </w:t>
            </w:r>
            <w:r>
              <w:rPr>
                <w:rFonts w:ascii="Helvetica;sans-serif" w:hAnsi="Helvetica;sans-serif"/>
                <w:b w:val="false"/>
                <w:i/>
                <w:color w:val="000000"/>
                <w:sz w:val="16"/>
              </w:rPr>
              <w:t>(in billions)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Growth Rate with respect to Net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ARPU </w:t>
            </w:r>
            <w:r>
              <w:rPr>
                <w:rFonts w:ascii="Helvetica;sans-serif" w:hAnsi="Helvetica;sans-serif"/>
                <w:b w:val="false"/>
                <w:i/>
                <w:color w:val="000000"/>
                <w:sz w:val="16"/>
              </w:rPr>
              <w:t>(in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Robinhood Gold Subscribers</w:t>
            </w:r>
            <w:r>
              <w:rPr>
                <w:color w:val="000000"/>
              </w:rPr>
              <w:t xml:space="preserve"> </w:t>
            </w:r>
            <w:r>
              <w:rPr>
                <w:rFonts w:ascii="Helvetica;sans-serif" w:hAnsi="Helvetica;sans-serif"/>
                <w:b w:val="false"/>
                <w:i/>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1.98</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________________</w:t>
      </w:r>
    </w:p>
    <w:p>
      <w:pPr>
        <w:pStyle w:val="TextBody"/>
        <w:bidi w:val="0"/>
        <w:spacing w:lineRule="auto" w:line="288" w:before="0" w:after="200"/>
        <w:ind w:left="0" w:right="0" w:hanging="360"/>
        <w:jc w:val="left"/>
        <w:rPr>
          <w:rFonts w:ascii="Helvetica;sans-serif" w:hAnsi="Helvetica;sans-serif"/>
          <w:b w:val="false"/>
          <w:color w:val="000000"/>
          <w:sz w:val="16"/>
        </w:rPr>
      </w:pPr>
      <w:r>
        <w:rPr>
          <w:rFonts w:ascii="Helvetica;sans-serif" w:hAnsi="Helvetica;sans-serif"/>
          <w:b w:val="false"/>
          <w:color w:val="000000"/>
          <w:sz w:val="16"/>
        </w:rPr>
        <w:t>(1)The following table describes the annual changes within Funded Customers:</w:t>
      </w:r>
    </w:p>
    <w:tbl>
      <w:tblPr>
        <w:tblW w:w="5805" w:type="dxa"/>
        <w:jc w:val="left"/>
        <w:tblInd w:w="0" w:type="dxa"/>
        <w:tblLayout w:type="fixed"/>
        <w:tblCellMar>
          <w:top w:w="28" w:type="dxa"/>
          <w:left w:w="28" w:type="dxa"/>
          <w:bottom w:w="28" w:type="dxa"/>
          <w:right w:w="28" w:type="dxa"/>
        </w:tblCellMar>
      </w:tblPr>
      <w:tblGrid>
        <w:gridCol w:w="825"/>
        <w:gridCol w:w="722"/>
        <w:gridCol w:w="732"/>
        <w:gridCol w:w="109"/>
        <w:gridCol w:w="109"/>
        <w:gridCol w:w="109"/>
        <w:gridCol w:w="254"/>
        <w:gridCol w:w="212"/>
        <w:gridCol w:w="195"/>
        <w:gridCol w:w="195"/>
        <w:gridCol w:w="195"/>
        <w:gridCol w:w="195"/>
        <w:gridCol w:w="254"/>
        <w:gridCol w:w="212"/>
        <w:gridCol w:w="195"/>
        <w:gridCol w:w="109"/>
        <w:gridCol w:w="109"/>
        <w:gridCol w:w="109"/>
        <w:gridCol w:w="203"/>
        <w:gridCol w:w="203"/>
        <w:gridCol w:w="559"/>
      </w:tblGrid>
      <w:tr>
        <w:trPr/>
        <w:tc>
          <w:tcPr>
            <w:tcW w:w="8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Beginning Funded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25.8 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New Funded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Resurrected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r>
              <w:rPr>
                <w:rFonts w:ascii="Helvetica;sans-serif" w:hAnsi="Helvetica;sans-serif"/>
                <w:b w:val="false"/>
                <w:color w:val="000000"/>
                <w:sz w:val="16"/>
              </w:rPr>
              <w:t>Acquired customers</w:t>
            </w:r>
            <w:r>
              <w:rPr>
                <w:rFonts w:ascii="Helvetica;sans-serif" w:hAnsi="Helvetica;sans-serif"/>
                <w:b w:val="false"/>
                <w:color w:val="000000"/>
                <w:sz w:val="1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Churned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Ending Funded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24.2 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200"/>
        <w:ind w:left="0" w:right="0" w:hanging="360"/>
        <w:jc w:val="left"/>
        <w:rPr>
          <w:rFonts w:ascii="Helvetica;sans-serif" w:hAnsi="Helvetica;sans-serif"/>
          <w:b w:val="false"/>
          <w:color w:val="000000"/>
          <w:sz w:val="16"/>
        </w:rPr>
      </w:pPr>
      <w:r>
        <w:rPr>
          <w:rFonts w:ascii="Helvetica;sans-serif" w:hAnsi="Helvetica;sans-serif"/>
          <w:b w:val="false"/>
          <w:color w:val="000000"/>
          <w:sz w:val="16"/>
        </w:rPr>
        <w:t>(2)The following table sets out the components of Total Platform Assets by type of asset:</w:t>
      </w:r>
    </w:p>
    <w:tbl>
      <w:tblPr>
        <w:tblW w:w="7938" w:type="dxa"/>
        <w:jc w:val="left"/>
        <w:tblInd w:w="0" w:type="dxa"/>
        <w:tblLayout w:type="fixed"/>
        <w:tblCellMar>
          <w:top w:w="28" w:type="dxa"/>
          <w:left w:w="28" w:type="dxa"/>
          <w:bottom w:w="28" w:type="dxa"/>
          <w:right w:w="28" w:type="dxa"/>
        </w:tblCellMar>
      </w:tblPr>
      <w:tblGrid>
        <w:gridCol w:w="1900"/>
        <w:gridCol w:w="1177"/>
        <w:gridCol w:w="1197"/>
        <w:gridCol w:w="109"/>
        <w:gridCol w:w="109"/>
        <w:gridCol w:w="109"/>
        <w:gridCol w:w="196"/>
        <w:gridCol w:w="556"/>
        <w:gridCol w:w="109"/>
        <w:gridCol w:w="109"/>
        <w:gridCol w:w="109"/>
        <w:gridCol w:w="109"/>
        <w:gridCol w:w="196"/>
        <w:gridCol w:w="556"/>
        <w:gridCol w:w="109"/>
        <w:gridCol w:w="109"/>
        <w:gridCol w:w="109"/>
        <w:gridCol w:w="109"/>
        <w:gridCol w:w="201"/>
        <w:gridCol w:w="201"/>
        <w:gridCol w:w="559"/>
      </w:tblGrid>
      <w:tr>
        <w:trPr/>
        <w:tc>
          <w:tcPr>
            <w:tcW w:w="190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Change</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Cryptocurrencies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Options and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RIA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Cash held by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Customers (primarily margin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Total Platform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200"/>
        <w:ind w:left="0" w:right="0" w:hanging="360"/>
        <w:jc w:val="left"/>
        <w:rPr>
          <w:rFonts w:ascii="Helvetica;sans-serif" w:hAnsi="Helvetica;sans-serif"/>
          <w:b w:val="false"/>
          <w:color w:val="000000"/>
          <w:sz w:val="16"/>
        </w:rPr>
      </w:pPr>
      <w:r>
        <w:rPr>
          <w:rFonts w:ascii="Helvetica;sans-serif" w:hAnsi="Helvetica;sans-serif"/>
          <w:b w:val="false"/>
          <w:color w:val="000000"/>
          <w:sz w:val="16"/>
        </w:rPr>
        <w:t>The following table describes the changes within Total Platform Assets:</w:t>
      </w:r>
    </w:p>
    <w:tbl>
      <w:tblPr>
        <w:tblW w:w="6094" w:type="dxa"/>
        <w:jc w:val="left"/>
        <w:tblInd w:w="0" w:type="dxa"/>
        <w:tblLayout w:type="fixed"/>
        <w:tblCellMar>
          <w:top w:w="28" w:type="dxa"/>
          <w:left w:w="28" w:type="dxa"/>
          <w:bottom w:w="28" w:type="dxa"/>
          <w:right w:w="28" w:type="dxa"/>
        </w:tblCellMar>
      </w:tblPr>
      <w:tblGrid>
        <w:gridCol w:w="877"/>
        <w:gridCol w:w="772"/>
        <w:gridCol w:w="781"/>
        <w:gridCol w:w="109"/>
        <w:gridCol w:w="109"/>
        <w:gridCol w:w="109"/>
        <w:gridCol w:w="196"/>
        <w:gridCol w:w="556"/>
        <w:gridCol w:w="109"/>
        <w:gridCol w:w="109"/>
        <w:gridCol w:w="109"/>
        <w:gridCol w:w="109"/>
        <w:gridCol w:w="196"/>
        <w:gridCol w:w="556"/>
        <w:gridCol w:w="109"/>
        <w:gridCol w:w="109"/>
        <w:gridCol w:w="109"/>
        <w:gridCol w:w="109"/>
        <w:gridCol w:w="201"/>
        <w:gridCol w:w="201"/>
        <w:gridCol w:w="559"/>
      </w:tblGrid>
      <w:tr>
        <w:trPr/>
        <w:tc>
          <w:tcPr>
            <w:tcW w:w="87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Change</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Beginning Total Platform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r>
              <w:rPr>
                <w:rFonts w:ascii="Helvetica;sans-serif" w:hAnsi="Helvetica;sans-serif"/>
                <w:b w:val="false"/>
                <w:color w:val="000000"/>
                <w:sz w:val="16"/>
              </w:rPr>
              <w:t>Acquired assets</w:t>
            </w:r>
            <w:r>
              <w:rPr>
                <w:rFonts w:ascii="Helvetica;sans-serif" w:hAnsi="Helvetica;sans-serif"/>
                <w:b w:val="false"/>
                <w:color w:val="000000"/>
                <w:sz w:val="1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Net market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Ending Total Platform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200"/>
        <w:jc w:val="left"/>
        <w:rPr>
          <w:rFonts w:ascii="Helvetica;sans-serif" w:hAnsi="Helvetica;sans-serif"/>
          <w:b w:val="false"/>
          <w:color w:val="000000"/>
          <w:sz w:val="16"/>
        </w:rPr>
      </w:pPr>
      <w:r>
        <w:rPr>
          <w:rFonts w:ascii="Helvetica;sans-serif" w:hAnsi="Helvetica;sans-serif"/>
          <w:b w:val="false"/>
          <w:color w:val="000000"/>
          <w:sz w:val="16"/>
        </w:rPr>
        <w:t xml:space="preserve">(i) Acquired customers and acquired assets relate to those obtained from the acquisition of Bitstamp in June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48310"/>
                <wp:effectExtent l="0" t="0" r="0" b="0"/>
                <wp:wrapNone/>
                <wp:docPr id="46" name="Frame4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Non-GAAP Financial Measures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Adjusted EBITDA</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collect and analyze operating and financial data to evaluate the health of our business, allocate our resources and assess our performance. In addition to total net revenues, net income, and other results under GAAP, we utilize non-GAAP calculations of adjusted earnings before interest, taxes, depreciation, and amortization (“Adjusted EBITDA”). Adjusted EBITDA is defined as net income, excluding (i) interest expenses related to credit facilities, (ii) provision for (benefit from) income taxes, (iii) depreciation and amortization, (iv) SBC, (v) significant legal and tax settlements and reserves, and (vi) other significant gains, losses, and expenses (such as impairments, restructuring charges, and business acquisition- or disposition-related expenses) that we believe are not indicative of our ongoing results. This non-GAAP financial information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pStyle w:val="TextBody"/>
        <w:bidi w:val="0"/>
        <w:spacing w:before="0" w:after="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a reconciliation of Adjusted EBITDA to the most directly comparable GAAP measure, net income:</w:t>
      </w:r>
    </w:p>
    <w:tbl>
      <w:tblPr>
        <w:tblW w:w="8481" w:type="dxa"/>
        <w:jc w:val="left"/>
        <w:tblInd w:w="0" w:type="dxa"/>
        <w:tblLayout w:type="fixed"/>
        <w:tblCellMar>
          <w:top w:w="28" w:type="dxa"/>
          <w:left w:w="28" w:type="dxa"/>
          <w:bottom w:w="28" w:type="dxa"/>
          <w:right w:w="28" w:type="dxa"/>
        </w:tblCellMar>
      </w:tblPr>
      <w:tblGrid>
        <w:gridCol w:w="1424"/>
        <w:gridCol w:w="1247"/>
        <w:gridCol w:w="1258"/>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646"/>
        <w:gridCol w:w="311"/>
      </w:tblGrid>
      <w:tr>
        <w:trPr/>
        <w:tc>
          <w:tcPr>
            <w:tcW w:w="142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Interest expenses related to credit facilities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EBITDA (non-GAAP)</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1,019 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48310"/>
                <wp:effectExtent l="0" t="0" r="0" b="0"/>
                <wp:wrapNone/>
                <wp:docPr id="47" name="Frame4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 xml:space="preserve">Results of Operations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unaudited condensed consolidated statements of operations data:</w:t>
      </w:r>
    </w:p>
    <w:tbl>
      <w:tblPr>
        <w:tblW w:w="7065" w:type="dxa"/>
        <w:jc w:val="left"/>
        <w:tblInd w:w="0" w:type="dxa"/>
        <w:tblLayout w:type="fixed"/>
        <w:tblCellMar>
          <w:top w:w="28" w:type="dxa"/>
          <w:left w:w="28" w:type="dxa"/>
          <w:bottom w:w="28" w:type="dxa"/>
          <w:right w:w="28" w:type="dxa"/>
        </w:tblCellMar>
      </w:tblPr>
      <w:tblGrid>
        <w:gridCol w:w="964"/>
        <w:gridCol w:w="845"/>
        <w:gridCol w:w="861"/>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646"/>
        <w:gridCol w:w="154"/>
      </w:tblGrid>
      <w:tr>
        <w:trPr/>
        <w:tc>
          <w:tcPr>
            <w:tcW w:w="9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2670" w:type="dxa"/>
            <w:gridSpan w:val="3"/>
            <w:vMerge w:val="continue"/>
            <w:tcBorders/>
            <w:tcMar>
              <w:top w:w="0" w:type="dxa"/>
              <w:left w:w="0" w:type="dxa"/>
              <w:bottom w:w="0" w:type="dxa"/>
              <w:right w:w="0" w:type="dxa"/>
            </w:tcMar>
            <w:vAlign w:val="center"/>
          </w:tcPr>
          <w:p>
            <w:pPr>
              <w:pStyle w:val="Normal"/>
              <w:bidi w:val="0"/>
              <w:jc w:val="left"/>
              <w:rPr/>
            </w:pPr>
            <w:r>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revenues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Operating expenses</w:t>
            </w:r>
            <w:r>
              <w:rPr>
                <w:rFonts w:ascii="Helvetica;sans-serif" w:hAnsi="Helvetica;sans-serif"/>
                <w:b w:val="false"/>
                <w:color w:val="000000"/>
                <w:sz w:val="13"/>
              </w:rPr>
              <w:t>(1)</w:t>
            </w:r>
            <w:r>
              <w:rPr>
                <w:rFonts w:ascii="Helvetica;sans-serif" w:hAnsi="Helvetica;sans-serif"/>
                <w:b w:val="false"/>
                <w:color w:val="000000"/>
                <w:sz w:val="20"/>
              </w:rPr>
              <w: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(1)Includes SBC expense as follows:</w:t>
      </w:r>
    </w:p>
    <w:tbl>
      <w:tblPr>
        <w:tblW w:w="6724" w:type="dxa"/>
        <w:jc w:val="left"/>
        <w:tblInd w:w="0" w:type="dxa"/>
        <w:tblLayout w:type="fixed"/>
        <w:tblCellMar>
          <w:top w:w="28" w:type="dxa"/>
          <w:left w:w="28" w:type="dxa"/>
          <w:bottom w:w="28" w:type="dxa"/>
          <w:right w:w="28" w:type="dxa"/>
        </w:tblCellMar>
      </w:tblPr>
      <w:tblGrid>
        <w:gridCol w:w="966"/>
        <w:gridCol w:w="847"/>
        <w:gridCol w:w="857"/>
        <w:gridCol w:w="215"/>
        <w:gridCol w:w="384"/>
        <w:gridCol w:w="111"/>
        <w:gridCol w:w="111"/>
        <w:gridCol w:w="111"/>
        <w:gridCol w:w="111"/>
        <w:gridCol w:w="215"/>
        <w:gridCol w:w="384"/>
        <w:gridCol w:w="111"/>
        <w:gridCol w:w="109"/>
        <w:gridCol w:w="109"/>
        <w:gridCol w:w="109"/>
        <w:gridCol w:w="211"/>
        <w:gridCol w:w="481"/>
        <w:gridCol w:w="109"/>
        <w:gridCol w:w="109"/>
        <w:gridCol w:w="109"/>
        <w:gridCol w:w="109"/>
        <w:gridCol w:w="211"/>
        <w:gridCol w:w="48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SBC expense</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48310"/>
                <wp:effectExtent l="0" t="0" r="0" b="0"/>
                <wp:wrapNone/>
                <wp:docPr id="48" name="Frame4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Comparison of the Three and Six Months Ended June 30, 2024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Transaction-Based Revenues</w:t>
      </w:r>
    </w:p>
    <w:tbl>
      <w:tblPr>
        <w:tblW w:w="10205" w:type="dxa"/>
        <w:jc w:val="left"/>
        <w:tblInd w:w="0" w:type="dxa"/>
        <w:tblLayout w:type="fixed"/>
        <w:tblCellMar>
          <w:top w:w="28" w:type="dxa"/>
          <w:left w:w="28" w:type="dxa"/>
          <w:bottom w:w="28" w:type="dxa"/>
          <w:right w:w="28" w:type="dxa"/>
        </w:tblCellMar>
      </w:tblPr>
      <w:tblGrid>
        <w:gridCol w:w="1456"/>
        <w:gridCol w:w="999"/>
        <w:gridCol w:w="991"/>
        <w:gridCol w:w="280"/>
        <w:gridCol w:w="210"/>
        <w:gridCol w:w="211"/>
        <w:gridCol w:w="135"/>
        <w:gridCol w:w="135"/>
        <w:gridCol w:w="135"/>
        <w:gridCol w:w="280"/>
        <w:gridCol w:w="210"/>
        <w:gridCol w:w="211"/>
        <w:gridCol w:w="109"/>
        <w:gridCol w:w="109"/>
        <w:gridCol w:w="109"/>
        <w:gridCol w:w="240"/>
        <w:gridCol w:w="241"/>
        <w:gridCol w:w="520"/>
        <w:gridCol w:w="109"/>
        <w:gridCol w:w="109"/>
        <w:gridCol w:w="109"/>
        <w:gridCol w:w="261"/>
        <w:gridCol w:w="210"/>
        <w:gridCol w:w="211"/>
        <w:gridCol w:w="125"/>
        <w:gridCol w:w="125"/>
        <w:gridCol w:w="125"/>
        <w:gridCol w:w="261"/>
        <w:gridCol w:w="292"/>
        <w:gridCol w:w="294"/>
        <w:gridCol w:w="109"/>
        <w:gridCol w:w="109"/>
        <w:gridCol w:w="109"/>
        <w:gridCol w:w="240"/>
        <w:gridCol w:w="241"/>
        <w:gridCol w:w="585"/>
      </w:tblGrid>
      <w:tr>
        <w:trPr/>
        <w:tc>
          <w:tcPr>
            <w:tcW w:w="145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Cryptocurrencies</w:t>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Equities</w:t>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transaction-based revenues</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 as a % of total net revenues:</w:t>
            </w:r>
          </w:p>
        </w:tc>
        <w:tc>
          <w:tcPr>
            <w:tcW w:w="7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w:t>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Cryptocurrencies</w:t>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Equities</w:t>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transaction-based revenues</w:t>
            </w:r>
          </w:p>
        </w:tc>
        <w:tc>
          <w:tcPr>
            <w:tcW w:w="7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Transaction-based revenues increased by $212 million and $466 million for the for the three and six months ended June 30, 2025, primarily driven by increases of $83 million and $169 million in options, $79 million and $205 million in cryptocurrencies, and $26 million and $43 million in equities.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Options revenues increased primarily driven by 9% and 11% increases in Options Contracts Traded per trader and 17% and 19% increases in the number of users placing option trades. In addition, we experienced higher option rebate rates due to the mix of ticker symbols traded as different ticker symbols pay different rebate rates. The increase was partially offset by $26 million and $48 million of incentives paid to our customers.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Cryptocurrencies revenues increased primarily driven by a 38% and 40% increase in the number of users placing cryptocurrency trades. Additionally, cryptocurrencies revenues increased as a result of a higher rebate rate from crypto market makers. Cryptocurrencies revenues was partially offset by $8 million and $20 million of incentives paid to our customers.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Equities revenues increased primarily driven by a 83% and 70% increase in the average Notional Trading Volume traded per trader and a 13% and 14% increase in the number of users placing equity trades. The increase was partially offset by lower equity rebate rates due to the mix of ticker symbols traded as different ticker symbols pay different rebate rates.</w:t>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48310"/>
                <wp:effectExtent l="0" t="0" r="0" b="0"/>
                <wp:wrapNone/>
                <wp:docPr id="49" name="Frame4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Net Interest Revenues</w:t>
      </w:r>
    </w:p>
    <w:tbl>
      <w:tblPr>
        <w:tblW w:w="10205" w:type="dxa"/>
        <w:jc w:val="left"/>
        <w:tblInd w:w="0" w:type="dxa"/>
        <w:tblLayout w:type="fixed"/>
        <w:tblCellMar>
          <w:top w:w="28" w:type="dxa"/>
          <w:left w:w="28" w:type="dxa"/>
          <w:bottom w:w="28" w:type="dxa"/>
          <w:right w:w="28" w:type="dxa"/>
        </w:tblCellMar>
      </w:tblPr>
      <w:tblGrid>
        <w:gridCol w:w="1065"/>
        <w:gridCol w:w="845"/>
        <w:gridCol w:w="847"/>
        <w:gridCol w:w="211"/>
        <w:gridCol w:w="481"/>
        <w:gridCol w:w="286"/>
        <w:gridCol w:w="109"/>
        <w:gridCol w:w="109"/>
        <w:gridCol w:w="109"/>
        <w:gridCol w:w="211"/>
        <w:gridCol w:w="481"/>
        <w:gridCol w:w="286"/>
        <w:gridCol w:w="109"/>
        <w:gridCol w:w="109"/>
        <w:gridCol w:w="109"/>
        <w:gridCol w:w="240"/>
        <w:gridCol w:w="241"/>
        <w:gridCol w:w="520"/>
        <w:gridCol w:w="109"/>
        <w:gridCol w:w="109"/>
        <w:gridCol w:w="109"/>
        <w:gridCol w:w="211"/>
        <w:gridCol w:w="481"/>
        <w:gridCol w:w="286"/>
        <w:gridCol w:w="109"/>
        <w:gridCol w:w="109"/>
        <w:gridCol w:w="109"/>
        <w:gridCol w:w="211"/>
        <w:gridCol w:w="481"/>
        <w:gridCol w:w="286"/>
        <w:gridCol w:w="109"/>
        <w:gridCol w:w="109"/>
        <w:gridCol w:w="109"/>
        <w:gridCol w:w="198"/>
        <w:gridCol w:w="195"/>
        <w:gridCol w:w="507"/>
      </w:tblGrid>
      <w:tr>
        <w:trPr/>
        <w:tc>
          <w:tcPr>
            <w:tcW w:w="106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 Change</w:t>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Margin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on segregated cash, cash equivalents, securities, and deposits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Sweep</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Interest on corporate cash and investments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lending,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Credit card,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credit facilities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NM</w:t>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interest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 as a % of total net revenues:</w:t>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Margin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on segregated cash, cash equivalents, securities, and deposits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Sweep</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Interest on corporate cash and investments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lending,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Credit card,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credit facilities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interest revenues</w:t>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270"/>
        <w:jc w:val="both"/>
        <w:rPr>
          <w:rFonts w:ascii="Helvetica;sans-serif" w:hAnsi="Helvetica;sans-serif"/>
          <w:b w:val="false"/>
          <w:color w:val="000000"/>
          <w:sz w:val="20"/>
        </w:rPr>
      </w:pPr>
      <w:r>
        <w:rPr>
          <w:rFonts w:ascii="Helvetica;sans-serif" w:hAnsi="Helvetica;sans-serif"/>
          <w:b w:val="false"/>
          <w:color w:val="000000"/>
          <w:sz w:val="20"/>
        </w:rPr>
        <w:t>Net interest revenues increased by $72 million and $108 million for the three and six months ended June 30, 2025, primarily driven by growth in our interest-earning asset balances and securities lending activities. The increase was partially offset by a decrease in interest revenue on corporate cash and investments driven by lower cash and cash equivalents balances and a lower short-term interest rate environment. We anticipate any potential future rate cuts by the Federal Reserve will negatively impact our net interest revenues and adversely affect our customers’ returns on cash deposits.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48310"/>
                <wp:effectExtent l="0" t="0" r="0" b="0"/>
                <wp:wrapNone/>
                <wp:docPr id="50" name="Frame4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interest-earning assets, the revenue generated by these assets, and their respective annualized yields:</w:t>
      </w:r>
    </w:p>
    <w:tbl>
      <w:tblPr>
        <w:tblW w:w="10205" w:type="dxa"/>
        <w:jc w:val="left"/>
        <w:tblInd w:w="0" w:type="dxa"/>
        <w:tblLayout w:type="fixed"/>
        <w:tblCellMar>
          <w:top w:w="28" w:type="dxa"/>
          <w:left w:w="28" w:type="dxa"/>
          <w:bottom w:w="28" w:type="dxa"/>
          <w:right w:w="28" w:type="dxa"/>
        </w:tblCellMar>
      </w:tblPr>
      <w:tblGrid>
        <w:gridCol w:w="510"/>
        <w:gridCol w:w="292"/>
        <w:gridCol w:w="294"/>
        <w:gridCol w:w="199"/>
        <w:gridCol w:w="565"/>
        <w:gridCol w:w="110"/>
        <w:gridCol w:w="207"/>
        <w:gridCol w:w="684"/>
        <w:gridCol w:w="115"/>
        <w:gridCol w:w="210"/>
        <w:gridCol w:w="692"/>
        <w:gridCol w:w="118"/>
        <w:gridCol w:w="206"/>
        <w:gridCol w:w="443"/>
        <w:gridCol w:w="269"/>
        <w:gridCol w:w="295"/>
        <w:gridCol w:w="995"/>
        <w:gridCol w:w="165"/>
        <w:gridCol w:w="109"/>
        <w:gridCol w:w="109"/>
        <w:gridCol w:w="109"/>
        <w:gridCol w:w="277"/>
        <w:gridCol w:w="469"/>
        <w:gridCol w:w="156"/>
        <w:gridCol w:w="261"/>
        <w:gridCol w:w="486"/>
        <w:gridCol w:w="145"/>
        <w:gridCol w:w="196"/>
        <w:gridCol w:w="406"/>
        <w:gridCol w:w="109"/>
        <w:gridCol w:w="247"/>
        <w:gridCol w:w="551"/>
        <w:gridCol w:w="206"/>
      </w:tblGrid>
      <w:tr>
        <w:trPr/>
        <w:tc>
          <w:tcPr>
            <w:tcW w:w="51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millions, except for annualized yield)</w:t>
            </w:r>
          </w:p>
        </w:tc>
        <w:tc>
          <w:tcPr>
            <w:tcW w:w="8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Margin Book</w:t>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ind w:left="0" w:right="0" w:hanging="180"/>
              <w:jc w:val="center"/>
              <w:rPr/>
            </w:pPr>
            <w:r>
              <w:rPr>
                <w:rFonts w:ascii="Helvetica;sans-serif" w:hAnsi="Helvetica;sans-serif"/>
                <w:b w:val="false"/>
                <w:color w:val="000000"/>
                <w:sz w:val="16"/>
              </w:rPr>
              <w:t>Cash and deposits</w:t>
            </w:r>
            <w:r>
              <w:rPr>
                <w:rFonts w:ascii="Helvetica;sans-serif" w:hAnsi="Helvetica;sans-serif"/>
                <w:b w:val="false"/>
                <w:color w:val="000000"/>
                <w:sz w:val="10"/>
              </w:rPr>
              <w:t>(1)</w:t>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 xml:space="preserve">Cash Sweep </w:t>
            </w:r>
          </w:p>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(off-balance sheet)</w:t>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ind w:left="0" w:right="0" w:hanging="180"/>
              <w:jc w:val="center"/>
              <w:rPr/>
            </w:pPr>
            <w:r>
              <w:rPr>
                <w:rFonts w:ascii="Helvetica;sans-serif" w:hAnsi="Helvetica;sans-serif"/>
                <w:b w:val="false"/>
                <w:color w:val="000000"/>
                <w:sz w:val="16"/>
              </w:rPr>
              <w:t xml:space="preserve">Credit card, net </w:t>
            </w:r>
            <w:r>
              <w:rPr>
                <w:rFonts w:ascii="Helvetica;sans-serif" w:hAnsi="Helvetica;sans-serif"/>
                <w:b w:val="false"/>
                <w:color w:val="000000"/>
                <w:sz w:val="10"/>
              </w:rPr>
              <w:t>(2)</w:t>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interest-earning assets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Securities lending, net</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r>
              <w:rPr>
                <w:rFonts w:ascii="Helvetica;sans-serif" w:hAnsi="Helvetica;sans-serif"/>
                <w:b w:val="false"/>
                <w:color w:val="000000"/>
                <w:sz w:val="16"/>
              </w:rPr>
              <w:t xml:space="preserve">Interest expenses related to credit facilities </w:t>
            </w:r>
            <w:r>
              <w:rPr>
                <w:rFonts w:ascii="Helvetica;sans-serif" w:hAnsi="Helvetica;sans-serif"/>
                <w:b w:val="false"/>
                <w:color w:val="000000"/>
                <w:sz w:val="10"/>
              </w:rPr>
              <w:t>(5)</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color w:val="000000"/>
                <w:sz w:val="16"/>
              </w:rPr>
            </w:pPr>
            <w:r>
              <w:rPr>
                <w:rFonts w:ascii="Helvetica;sans-serif" w:hAnsi="Helvetica;sans-serif"/>
                <w:b w:val="false"/>
                <w:color w:val="000000"/>
                <w:sz w:val="16"/>
              </w:rPr>
              <w:t xml:space="preserve">Other </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net interest revenues</w:t>
            </w:r>
          </w:p>
        </w:tc>
      </w:tr>
      <w:tr>
        <w:trPr/>
        <w:tc>
          <w:tcPr>
            <w:tcW w:w="636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June 30, 2025</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9,457 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32,719 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56,783</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March 31, 2025</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28,187 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47,181</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(3)</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11,815 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30,148 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51,388</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 (expense)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310</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357</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Annualized yield</w:t>
            </w:r>
            <w:r>
              <w:rPr>
                <w:rFonts w:ascii="Helvetica;sans-serif" w:hAnsi="Helvetica;sans-serif"/>
                <w:b w:val="false"/>
                <w:color w:val="000000"/>
                <w:sz w:val="10"/>
              </w:rPr>
              <w:t>(4)</w:t>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5.12%</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4.16%</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0.80%</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10.14 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2.78%</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March 31, 2025</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28,187 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47,181</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December 31, 2024</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26,064 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44,307</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(3)</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8,449 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26,717 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45,638</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 (expense)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273</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290</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Annualized yield</w:t>
            </w:r>
            <w:r>
              <w:rPr>
                <w:rFonts w:ascii="Helvetica;sans-serif" w:hAnsi="Helvetica;sans-serif"/>
                <w:b w:val="false"/>
                <w:color w:val="000000"/>
                <w:sz w:val="10"/>
              </w:rPr>
              <w:t>(4)</w:t>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5.21%</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4.17%</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0.72%</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9.95 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2.54%</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June 30, 2024</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20,858 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36,190</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March 31, 2024</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19,049 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33,689</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(3)</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10,249 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19,823 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34,704</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 (expense)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257</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285</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Annualized yield</w:t>
            </w:r>
            <w:r>
              <w:rPr>
                <w:rFonts w:ascii="Helvetica;sans-serif" w:hAnsi="Helvetica;sans-serif"/>
                <w:b w:val="false"/>
                <w:color w:val="000000"/>
                <w:sz w:val="10"/>
              </w:rPr>
              <w:t>(4)</w:t>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6.59%</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5.23%</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0.89%</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11.94%</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3.28%</w:t>
            </w:r>
          </w:p>
        </w:tc>
      </w:tr>
      <w:tr>
        <w:trPr/>
        <w:tc>
          <w:tcPr>
            <w:tcW w:w="636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June 30, 2025</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9,457 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32,719 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56,783</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December 31, 2024</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26,064 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44,307</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(3)</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28,468 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48,664</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 (expense)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583</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647</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Annual yield</w:t>
            </w:r>
            <w:r>
              <w:rPr>
                <w:rFonts w:ascii="Helvetica;sans-serif" w:hAnsi="Helvetica;sans-serif"/>
                <w:b w:val="false"/>
                <w:color w:val="000000"/>
                <w:sz w:val="10"/>
              </w:rPr>
              <w:t>(4)</w:t>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5.20%</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4.10%</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0.76%</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9.96%</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2.66%</w:t>
            </w:r>
          </w:p>
        </w:tc>
      </w:tr>
      <w:tr>
        <w:trPr/>
        <w:tc>
          <w:tcPr>
            <w:tcW w:w="636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Six Months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June 30, 2024</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20,858 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36,190</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December 31, 2023</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16,352 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30,122</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(3)</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18,650 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33,045</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 (expense)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502</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539</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Annual yield</w:t>
            </w:r>
            <w:r>
              <w:rPr>
                <w:rFonts w:ascii="Helvetica;sans-serif" w:hAnsi="Helvetica;sans-serif"/>
                <w:b w:val="false"/>
                <w:color w:val="000000"/>
                <w:sz w:val="10"/>
              </w:rPr>
              <w:t>(4)</w:t>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7.08%</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5.19%</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0.89%</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11.88%</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3.26%</w:t>
            </w:r>
          </w:p>
        </w:tc>
      </w:tr>
    </w:tbl>
    <w:p>
      <w:pPr>
        <w:pStyle w:val="TextBody"/>
        <w:bidi w:val="0"/>
        <w:spacing w:lineRule="auto" w:line="288" w:before="0" w:after="0"/>
        <w:ind w:left="0" w:right="0" w:firstLine="360"/>
        <w:jc w:val="both"/>
        <w:rPr>
          <w:rFonts w:ascii="Helvetica;sans-serif" w:hAnsi="Helvetica;sans-serif"/>
          <w:b w:val="false"/>
          <w:color w:val="000000"/>
          <w:sz w:val="16"/>
        </w:rPr>
      </w:pPr>
      <w:r>
        <w:rPr>
          <w:rFonts w:ascii="Helvetica;sans-serif" w:hAnsi="Helvetica;sans-serif"/>
          <w:b w:val="false"/>
          <w:color w:val="000000"/>
          <w:sz w:val="16"/>
        </w:rPr>
        <w:t>__________</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 xml:space="preserve">(1) </w:t>
      </w:r>
      <w:r>
        <w:rPr>
          <w:rFonts w:ascii="Helvetica;sans-serif" w:hAnsi="Helvetica;sans-serif"/>
          <w:b w:val="false"/>
          <w:color w:val="000000"/>
          <w:sz w:val="16"/>
          <w:shd w:fill="FFFFFF" w:val="clear"/>
        </w:rPr>
        <w:t>Includes c</w:t>
      </w:r>
      <w:r>
        <w:rPr>
          <w:rFonts w:ascii="Helvetica;sans-serif" w:hAnsi="Helvetica;sans-serif"/>
          <w:b w:val="false"/>
          <w:color w:val="000000"/>
          <w:sz w:val="16"/>
        </w:rPr>
        <w:t>ash and cas</w:t>
      </w:r>
      <w:r>
        <w:rPr>
          <w:rFonts w:ascii="Helvetica;sans-serif" w:hAnsi="Helvetica;sans-serif"/>
          <w:b w:val="false"/>
          <w:color w:val="000000"/>
          <w:sz w:val="16"/>
          <w:shd w:fill="FFFFFF" w:val="clear"/>
        </w:rPr>
        <w:t>h equivalents, restricted cash, segregated cash, cash equivalents, and securities under federal and other regulations, deposits with clearing organizations, and investments.</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 xml:space="preserve">(2) </w:t>
      </w:r>
      <w:r>
        <w:rPr>
          <w:rFonts w:ascii="Helvetica;sans-serif" w:hAnsi="Helvetica;sans-serif"/>
          <w:b w:val="false"/>
          <w:color w:val="000000"/>
          <w:sz w:val="16"/>
          <w:shd w:fill="FFFFFF" w:val="clear"/>
        </w:rPr>
        <w:t xml:space="preserve">Credit card, net consists of i) an off-balance sheet amount representing customer principal amounts funded by Coastal Bank under the Program Agreement. Under the Program Agreement, Robinhood Credit collects interest from customers that carry a balance and pays interest on the amount funded by Coastal Bank, with the difference between those amounts resulting in net interest revenue and ii) an on-balance sheet amount representing purchased credit card receivables by the Credit Card Funding Trust. Robinhood Credit collects interest from customers that carry balances and pays interest on the amount funded through the Credit Card Funding Trust, with the difference in those amounts resulting in net interest revenues. As of </w:t>
      </w:r>
      <w:r>
        <w:rPr>
          <w:rFonts w:ascii="Helvetica;sans-serif" w:hAnsi="Helvetica;sans-serif"/>
          <w:b w:val="false"/>
          <w:color w:val="000000"/>
          <w:sz w:val="16"/>
        </w:rPr>
        <w:t>June 30, 2025</w:t>
      </w:r>
      <w:r>
        <w:rPr>
          <w:rFonts w:ascii="Helvetica;sans-serif" w:hAnsi="Helvetica;sans-serif"/>
          <w:b w:val="false"/>
          <w:color w:val="000000"/>
          <w:sz w:val="16"/>
          <w:shd w:fill="FFFFFF" w:val="clear"/>
        </w:rPr>
        <w:t>, the off-balance sheet amount funded under the Program agreement was $202 million and the on-balance sheet amount was $360 million</w:t>
      </w:r>
      <w:r>
        <w:rPr>
          <w:rFonts w:ascii="Helvetica;sans-serif" w:hAnsi="Helvetica;sans-serif"/>
          <w:b w:val="false"/>
          <w:color w:val="000000"/>
          <w:sz w:val="16"/>
        </w:rPr>
        <w:t xml:space="preserve">. Refer to </w:t>
      </w:r>
      <w:r>
        <w:rPr>
          <w:rFonts w:ascii="Helvetica;sans-serif" w:hAnsi="Helvetica;sans-serif"/>
          <w:b w:val="false"/>
          <w:color w:val="000000"/>
          <w:sz w:val="16"/>
          <w:shd w:fill="FFFFFF" w:val="clear"/>
        </w:rPr>
        <w:t xml:space="preserve">Note 10 - Financing Activities and Off-Balance Sheet Risk to our unaudited condensed consolidated financial statements in this Quarterly Report for more information. </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(3)</w:t>
      </w:r>
      <w:r>
        <w:rPr>
          <w:color w:val="000000"/>
          <w:shd w:fill="FFFFFF" w:val="clear"/>
        </w:rPr>
        <w:t xml:space="preserve"> </w:t>
      </w:r>
      <w:r>
        <w:rPr>
          <w:rFonts w:ascii="Helvetica;sans-serif" w:hAnsi="Helvetica;sans-serif"/>
          <w:b w:val="false"/>
          <w:color w:val="000000"/>
          <w:sz w:val="16"/>
          <w:shd w:fill="FFFFFF" w:val="clear"/>
        </w:rPr>
        <w:t>Average balance rows represent the simple average of month-end balances in a given period.</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(4)</w:t>
      </w:r>
      <w:r>
        <w:rPr>
          <w:color w:val="000000"/>
          <w:shd w:fill="FFFFFF" w:val="clear"/>
        </w:rPr>
        <w:t xml:space="preserve"> </w:t>
      </w:r>
      <w:r>
        <w:rPr>
          <w:rFonts w:ascii="Helvetica;sans-serif" w:hAnsi="Helvetica;sans-serif"/>
          <w:b w:val="false"/>
          <w:color w:val="000000"/>
          <w:sz w:val="16"/>
          <w:shd w:fill="FFFFFF" w:val="clear"/>
        </w:rPr>
        <w:t xml:space="preserve">Annualized yield is calculated by annualizing revenue for the given period and dividing by the applicable average asset balance. </w:t>
      </w:r>
    </w:p>
    <w:p>
      <w:pPr>
        <w:pStyle w:val="TextBody"/>
        <w:bidi w:val="0"/>
        <w:spacing w:lineRule="auto" w:line="288" w:before="0" w:after="0"/>
        <w:ind w:left="0" w:right="0" w:hanging="180"/>
        <w:jc w:val="both"/>
        <w:rPr/>
      </w:pPr>
      <w:r>
        <w:rPr>
          <w:rFonts w:ascii="Helvetica;sans-serif" w:hAnsi="Helvetica;sans-serif"/>
          <w:b w:val="false"/>
          <w:color w:val="000000"/>
          <w:sz w:val="10"/>
        </w:rPr>
        <w:t xml:space="preserve">(5) </w:t>
      </w:r>
      <w:r>
        <w:rPr>
          <w:rFonts w:ascii="Helvetica;sans-serif" w:hAnsi="Helvetica;sans-serif"/>
          <w:b w:val="false"/>
          <w:color w:val="000000"/>
          <w:sz w:val="16"/>
          <w:shd w:fill="FFFFFF" w:val="clear"/>
        </w:rPr>
        <w:t xml:space="preserve">Includes interest expenses related to our revolving credit facilities; interest expense related to the Credit Card Funding Trust is included in the credit card, net interest yield calculation. </w:t>
      </w:r>
      <w:r>
        <w:rPr>
          <w:rFonts w:ascii="Helvetica;sans-serif" w:hAnsi="Helvetica;sans-serif"/>
          <w:b w:val="false"/>
          <w:color w:val="000000"/>
          <w:sz w:val="16"/>
        </w:rPr>
        <w:t xml:space="preserve">Refer to </w:t>
      </w:r>
      <w:r>
        <w:rPr>
          <w:rFonts w:ascii="Helvetica;sans-serif" w:hAnsi="Helvetica;sans-serif"/>
          <w:b w:val="false"/>
          <w:color w:val="000000"/>
          <w:sz w:val="16"/>
          <w:shd w:fill="FFFFFF" w:val="clear"/>
        </w:rPr>
        <w:t xml:space="preserve">Note 10 - Financing Activities and Off-Balance Sheet Risk to our unaudited condensed consolidated financial statements in this Quarterly Report for more information. </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48310"/>
                <wp:effectExtent l="0" t="0" r="0" b="0"/>
                <wp:wrapNone/>
                <wp:docPr id="51" name="Frame5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Other Revenues</w:t>
      </w:r>
    </w:p>
    <w:tbl>
      <w:tblPr>
        <w:tblW w:w="10205" w:type="dxa"/>
        <w:jc w:val="left"/>
        <w:tblInd w:w="0" w:type="dxa"/>
        <w:tblLayout w:type="fixed"/>
        <w:tblCellMar>
          <w:top w:w="28" w:type="dxa"/>
          <w:left w:w="28" w:type="dxa"/>
          <w:bottom w:w="28" w:type="dxa"/>
          <w:right w:w="28" w:type="dxa"/>
        </w:tblCellMar>
      </w:tblPr>
      <w:tblGrid>
        <w:gridCol w:w="1397"/>
        <w:gridCol w:w="1230"/>
        <w:gridCol w:w="1232"/>
        <w:gridCol w:w="267"/>
        <w:gridCol w:w="139"/>
        <w:gridCol w:w="323"/>
        <w:gridCol w:w="123"/>
        <w:gridCol w:w="123"/>
        <w:gridCol w:w="123"/>
        <w:gridCol w:w="238"/>
        <w:gridCol w:w="123"/>
        <w:gridCol w:w="323"/>
        <w:gridCol w:w="109"/>
        <w:gridCol w:w="109"/>
        <w:gridCol w:w="109"/>
        <w:gridCol w:w="240"/>
        <w:gridCol w:w="241"/>
        <w:gridCol w:w="520"/>
        <w:gridCol w:w="109"/>
        <w:gridCol w:w="109"/>
        <w:gridCol w:w="109"/>
        <w:gridCol w:w="211"/>
        <w:gridCol w:w="116"/>
        <w:gridCol w:w="305"/>
        <w:gridCol w:w="109"/>
        <w:gridCol w:w="109"/>
        <w:gridCol w:w="109"/>
        <w:gridCol w:w="211"/>
        <w:gridCol w:w="116"/>
        <w:gridCol w:w="305"/>
        <w:gridCol w:w="109"/>
        <w:gridCol w:w="109"/>
        <w:gridCol w:w="109"/>
        <w:gridCol w:w="203"/>
        <w:gridCol w:w="203"/>
        <w:gridCol w:w="585"/>
      </w:tblGrid>
      <w:tr>
        <w:trPr/>
        <w:tc>
          <w:tcPr>
            <w:tcW w:w="139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Robinhood Gold subscription revenues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Proxy revenues</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other revenues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Other revenues as a % of total net revenues:</w:t>
            </w:r>
          </w:p>
        </w:tc>
        <w:tc>
          <w:tcPr>
            <w:tcW w:w="7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Robinhood Gold subscription revenues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Proxy revenues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 as a % of total net revenues</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270"/>
        <w:jc w:val="both"/>
        <w:rPr>
          <w:rFonts w:ascii="Helvetica;sans-serif" w:hAnsi="Helvetica;sans-serif"/>
          <w:b w:val="false"/>
          <w:color w:val="000000"/>
          <w:sz w:val="20"/>
        </w:rPr>
      </w:pPr>
      <w:r>
        <w:rPr>
          <w:rFonts w:ascii="Helvetica;sans-serif" w:hAnsi="Helvetica;sans-serif"/>
          <w:b w:val="false"/>
          <w:color w:val="000000"/>
          <w:sz w:val="20"/>
        </w:rPr>
        <w:t>Other revenues increased $23 million and $42 million for the three and six months ended June 30, 2025 primarily driven by an increase in Robinhood Gold subscription revenues of $18 million and $33 million due to an increase in Robinhood Gold Subscribers.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Operating Expenses</w:t>
      </w:r>
    </w:p>
    <w:tbl>
      <w:tblPr>
        <w:tblW w:w="9209" w:type="dxa"/>
        <w:jc w:val="left"/>
        <w:tblInd w:w="0" w:type="dxa"/>
        <w:tblLayout w:type="fixed"/>
        <w:tblCellMar>
          <w:top w:w="28" w:type="dxa"/>
          <w:left w:w="28" w:type="dxa"/>
          <w:bottom w:w="28" w:type="dxa"/>
          <w:right w:w="28" w:type="dxa"/>
        </w:tblCellMar>
      </w:tblPr>
      <w:tblGrid>
        <w:gridCol w:w="983"/>
        <w:gridCol w:w="865"/>
        <w:gridCol w:w="867"/>
        <w:gridCol w:w="240"/>
        <w:gridCol w:w="140"/>
        <w:gridCol w:w="326"/>
        <w:gridCol w:w="124"/>
        <w:gridCol w:w="124"/>
        <w:gridCol w:w="124"/>
        <w:gridCol w:w="240"/>
        <w:gridCol w:w="140"/>
        <w:gridCol w:w="326"/>
        <w:gridCol w:w="109"/>
        <w:gridCol w:w="109"/>
        <w:gridCol w:w="109"/>
        <w:gridCol w:w="207"/>
        <w:gridCol w:w="207"/>
        <w:gridCol w:w="545"/>
        <w:gridCol w:w="109"/>
        <w:gridCol w:w="109"/>
        <w:gridCol w:w="109"/>
        <w:gridCol w:w="242"/>
        <w:gridCol w:w="134"/>
        <w:gridCol w:w="305"/>
        <w:gridCol w:w="109"/>
        <w:gridCol w:w="109"/>
        <w:gridCol w:w="109"/>
        <w:gridCol w:w="213"/>
        <w:gridCol w:w="163"/>
        <w:gridCol w:w="425"/>
        <w:gridCol w:w="109"/>
        <w:gridCol w:w="109"/>
        <w:gridCol w:w="109"/>
        <w:gridCol w:w="190"/>
        <w:gridCol w:w="190"/>
        <w:gridCol w:w="581"/>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Percent of total net revenues:</w:t>
            </w:r>
          </w:p>
        </w:tc>
        <w:tc>
          <w:tcPr>
            <w:tcW w:w="7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Provisions for credit losses </w:t>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3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48310"/>
                <wp:effectExtent l="0" t="0" r="0" b="0"/>
                <wp:wrapNone/>
                <wp:docPr id="52" name="Frame5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Brokerage and Transaction </w:t>
      </w:r>
    </w:p>
    <w:tbl>
      <w:tblPr>
        <w:tblW w:w="10205" w:type="dxa"/>
        <w:jc w:val="left"/>
        <w:tblInd w:w="0" w:type="dxa"/>
        <w:tblLayout w:type="fixed"/>
        <w:tblCellMar>
          <w:top w:w="28" w:type="dxa"/>
          <w:left w:w="28" w:type="dxa"/>
          <w:bottom w:w="28" w:type="dxa"/>
          <w:right w:w="28" w:type="dxa"/>
        </w:tblCellMar>
      </w:tblPr>
      <w:tblGrid>
        <w:gridCol w:w="1473"/>
        <w:gridCol w:w="1292"/>
        <w:gridCol w:w="1306"/>
        <w:gridCol w:w="287"/>
        <w:gridCol w:w="161"/>
        <w:gridCol w:w="158"/>
        <w:gridCol w:w="140"/>
        <w:gridCol w:w="140"/>
        <w:gridCol w:w="140"/>
        <w:gridCol w:w="287"/>
        <w:gridCol w:w="161"/>
        <w:gridCol w:w="158"/>
        <w:gridCol w:w="109"/>
        <w:gridCol w:w="109"/>
        <w:gridCol w:w="109"/>
        <w:gridCol w:w="313"/>
        <w:gridCol w:w="313"/>
        <w:gridCol w:w="315"/>
        <w:gridCol w:w="109"/>
        <w:gridCol w:w="109"/>
        <w:gridCol w:w="109"/>
        <w:gridCol w:w="211"/>
        <w:gridCol w:w="376"/>
        <w:gridCol w:w="109"/>
        <w:gridCol w:w="109"/>
        <w:gridCol w:w="109"/>
        <w:gridCol w:w="109"/>
        <w:gridCol w:w="211"/>
        <w:gridCol w:w="376"/>
        <w:gridCol w:w="109"/>
        <w:gridCol w:w="109"/>
        <w:gridCol w:w="109"/>
        <w:gridCol w:w="109"/>
        <w:gridCol w:w="249"/>
        <w:gridCol w:w="249"/>
        <w:gridCol w:w="363"/>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22%</w:t>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 data expenses</w:t>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Instant withdrawals</w:t>
            </w:r>
          </w:p>
        </w:tc>
        <w:tc>
          <w:tcPr>
            <w:tcW w:w="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75%</w:t>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statements</w:t>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14%</w:t>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w:t>
            </w:r>
            <w:r>
              <w:rPr>
                <w:rFonts w:ascii="Helvetica;sans-serif" w:hAnsi="Helvetica;sans-serif"/>
                <w:b w:val="false"/>
                <w:color w:val="000000"/>
                <w:sz w:val="20"/>
              </w:rPr>
              <w:t>%</w:t>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w:t>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w:t>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Brokerage and transaction costs increased by $8 million and $23 million for the three and six months ended June 30, 2025. For the six months ended June 30, 2025, brokerage and transaction costs included an $8 million increase in other brokerage and transactions costs primarily related to credit card network fees and a $6 million increase in instant withdrawals expense as a result of higher customer activities. Employee compensation, benefits, and overhead expenses increased $4 million for both the three and six months ended June 30, 2025 due to increased average headcount to continue to support our brokerage business. Additionally, market data expenses increased $2 million and $4 million for the three and six months ended June 30, 2025 primarily due to higher trading volumes.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Technology and Development</w:t>
      </w:r>
    </w:p>
    <w:tbl>
      <w:tblPr>
        <w:tblW w:w="10205" w:type="dxa"/>
        <w:jc w:val="left"/>
        <w:tblInd w:w="0" w:type="dxa"/>
        <w:tblLayout w:type="fixed"/>
        <w:tblCellMar>
          <w:top w:w="28" w:type="dxa"/>
          <w:left w:w="28" w:type="dxa"/>
          <w:bottom w:w="28" w:type="dxa"/>
          <w:right w:w="28" w:type="dxa"/>
        </w:tblCellMar>
      </w:tblPr>
      <w:tblGrid>
        <w:gridCol w:w="1370"/>
        <w:gridCol w:w="1202"/>
        <w:gridCol w:w="1216"/>
        <w:gridCol w:w="282"/>
        <w:gridCol w:w="214"/>
        <w:gridCol w:w="207"/>
        <w:gridCol w:w="137"/>
        <w:gridCol w:w="137"/>
        <w:gridCol w:w="137"/>
        <w:gridCol w:w="282"/>
        <w:gridCol w:w="214"/>
        <w:gridCol w:w="207"/>
        <w:gridCol w:w="109"/>
        <w:gridCol w:w="109"/>
        <w:gridCol w:w="109"/>
        <w:gridCol w:w="208"/>
        <w:gridCol w:w="208"/>
        <w:gridCol w:w="533"/>
        <w:gridCol w:w="109"/>
        <w:gridCol w:w="109"/>
        <w:gridCol w:w="109"/>
        <w:gridCol w:w="262"/>
        <w:gridCol w:w="210"/>
        <w:gridCol w:w="211"/>
        <w:gridCol w:w="127"/>
        <w:gridCol w:w="127"/>
        <w:gridCol w:w="127"/>
        <w:gridCol w:w="262"/>
        <w:gridCol w:w="210"/>
        <w:gridCol w:w="211"/>
        <w:gridCol w:w="109"/>
        <w:gridCol w:w="109"/>
        <w:gridCol w:w="109"/>
        <w:gridCol w:w="205"/>
        <w:gridCol w:w="203"/>
        <w:gridCol w:w="515"/>
      </w:tblGrid>
      <w:tr>
        <w:trPr/>
        <w:tc>
          <w:tcPr>
            <w:tcW w:w="137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Cloud infrastructure services</w:t>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Software and tools</w:t>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Technology and development costs increased by $5 million and $23 million for the three and six months ended June 30, 2025, primarily due to increases in software and tool expenses of $8 million and $15 million and cloud infrastructure services of $7 million and $14 million to improve software infrastructure and meet increased capacity requirements for our platforms to support higher trading volumes. These increases were partially offset by decreases in SBC of $13 million for both the three and six months ended June 30, 2025 attributed to higher values for stock awards issued in prior periods. </w: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48310"/>
                <wp:effectExtent l="0" t="0" r="0" b="0"/>
                <wp:wrapNone/>
                <wp:docPr id="53" name="Frame5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Operations</w:t>
      </w:r>
    </w:p>
    <w:tbl>
      <w:tblPr>
        <w:tblW w:w="10205" w:type="dxa"/>
        <w:jc w:val="left"/>
        <w:tblInd w:w="0" w:type="dxa"/>
        <w:tblLayout w:type="fixed"/>
        <w:tblCellMar>
          <w:top w:w="28" w:type="dxa"/>
          <w:left w:w="28" w:type="dxa"/>
          <w:bottom w:w="28" w:type="dxa"/>
          <w:right w:w="28" w:type="dxa"/>
        </w:tblCellMar>
      </w:tblPr>
      <w:tblGrid>
        <w:gridCol w:w="1473"/>
        <w:gridCol w:w="1292"/>
        <w:gridCol w:w="1306"/>
        <w:gridCol w:w="287"/>
        <w:gridCol w:w="161"/>
        <w:gridCol w:w="158"/>
        <w:gridCol w:w="140"/>
        <w:gridCol w:w="140"/>
        <w:gridCol w:w="140"/>
        <w:gridCol w:w="287"/>
        <w:gridCol w:w="161"/>
        <w:gridCol w:w="158"/>
        <w:gridCol w:w="109"/>
        <w:gridCol w:w="109"/>
        <w:gridCol w:w="109"/>
        <w:gridCol w:w="313"/>
        <w:gridCol w:w="313"/>
        <w:gridCol w:w="315"/>
        <w:gridCol w:w="109"/>
        <w:gridCol w:w="109"/>
        <w:gridCol w:w="109"/>
        <w:gridCol w:w="211"/>
        <w:gridCol w:w="376"/>
        <w:gridCol w:w="109"/>
        <w:gridCol w:w="109"/>
        <w:gridCol w:w="109"/>
        <w:gridCol w:w="109"/>
        <w:gridCol w:w="211"/>
        <w:gridCol w:w="376"/>
        <w:gridCol w:w="109"/>
        <w:gridCol w:w="109"/>
        <w:gridCol w:w="109"/>
        <w:gridCol w:w="109"/>
        <w:gridCol w:w="249"/>
        <w:gridCol w:w="249"/>
        <w:gridCol w:w="363"/>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Helvetica;sans-serif" w:hAnsi="Helvetica;sans-serif"/>
                <w:b w:val="false"/>
                <w:color w:val="000000"/>
                <w:sz w:val="20"/>
              </w:rPr>
              <w:t>%</w:t>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experience</w:t>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costs increased by $1 million and $4 million for the three and six months ended June 30, 2025, with no material changes to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Provision for credit losses </w:t>
      </w:r>
    </w:p>
    <w:tbl>
      <w:tblPr>
        <w:tblW w:w="10205" w:type="dxa"/>
        <w:jc w:val="left"/>
        <w:tblInd w:w="0" w:type="dxa"/>
        <w:tblLayout w:type="fixed"/>
        <w:tblCellMar>
          <w:top w:w="28" w:type="dxa"/>
          <w:left w:w="28" w:type="dxa"/>
          <w:bottom w:w="28" w:type="dxa"/>
          <w:right w:w="28" w:type="dxa"/>
        </w:tblCellMar>
      </w:tblPr>
      <w:tblGrid>
        <w:gridCol w:w="1438"/>
        <w:gridCol w:w="1251"/>
        <w:gridCol w:w="1268"/>
        <w:gridCol w:w="308"/>
        <w:gridCol w:w="161"/>
        <w:gridCol w:w="160"/>
        <w:gridCol w:w="158"/>
        <w:gridCol w:w="158"/>
        <w:gridCol w:w="158"/>
        <w:gridCol w:w="308"/>
        <w:gridCol w:w="161"/>
        <w:gridCol w:w="160"/>
        <w:gridCol w:w="109"/>
        <w:gridCol w:w="109"/>
        <w:gridCol w:w="109"/>
        <w:gridCol w:w="318"/>
        <w:gridCol w:w="318"/>
        <w:gridCol w:w="320"/>
        <w:gridCol w:w="109"/>
        <w:gridCol w:w="109"/>
        <w:gridCol w:w="109"/>
        <w:gridCol w:w="223"/>
        <w:gridCol w:w="398"/>
        <w:gridCol w:w="115"/>
        <w:gridCol w:w="115"/>
        <w:gridCol w:w="115"/>
        <w:gridCol w:w="115"/>
        <w:gridCol w:w="229"/>
        <w:gridCol w:w="157"/>
        <w:gridCol w:w="159"/>
        <w:gridCol w:w="109"/>
        <w:gridCol w:w="109"/>
        <w:gridCol w:w="109"/>
        <w:gridCol w:w="275"/>
        <w:gridCol w:w="275"/>
        <w:gridCol w:w="403"/>
      </w:tblGrid>
      <w:tr>
        <w:trPr/>
        <w:tc>
          <w:tcPr>
            <w:tcW w:w="143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 - credit card related</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33%</w:t>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 - brokerage related</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w:t>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w:t>
            </w:r>
          </w:p>
        </w:tc>
      </w:tr>
    </w:tbl>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Provision for credit losses costs increased by </w:t>
      </w:r>
      <w:r>
        <w:rPr>
          <w:rFonts w:ascii="Helvetica;sans-serif" w:hAnsi="Helvetica;sans-serif"/>
          <w:b w:val="false"/>
          <w:color w:val="000000"/>
          <w:sz w:val="20"/>
          <w:shd w:fill="FFFFFF" w:val="clear"/>
        </w:rPr>
        <w:t>$10 million</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color w:val="000000"/>
          <w:sz w:val="20"/>
          <w:shd w:fill="FFFFFF" w:val="clear"/>
        </w:rPr>
        <w:t>$18 million</w:t>
      </w:r>
      <w:r>
        <w:rPr>
          <w:color w:val="000000"/>
        </w:rPr>
        <w:t xml:space="preserve"> </w:t>
      </w:r>
      <w:r>
        <w:rPr>
          <w:rFonts w:ascii="Helvetica;sans-serif" w:hAnsi="Helvetica;sans-serif"/>
          <w:b w:val="false"/>
          <w:color w:val="000000"/>
          <w:sz w:val="20"/>
        </w:rPr>
        <w:t xml:space="preserve">for the three and six months ended June 30, 2025, primarily due to increases of </w:t>
      </w:r>
      <w:r>
        <w:rPr>
          <w:rFonts w:ascii="Helvetica;sans-serif" w:hAnsi="Helvetica;sans-serif"/>
          <w:b w:val="false"/>
          <w:color w:val="000000"/>
          <w:sz w:val="20"/>
          <w:shd w:fill="FFFFFF" w:val="clear"/>
        </w:rPr>
        <w:t>$5 million and $10 million in brokerage related expenses primarily due to an increase in customer fraud and abuse. Credit card related provision for credit card losses increased by $5 million and $8 million primarily due to higher balances in purchased credit card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Marketing</w:t>
      </w:r>
    </w:p>
    <w:tbl>
      <w:tblPr>
        <w:tblW w:w="10205" w:type="dxa"/>
        <w:jc w:val="left"/>
        <w:tblInd w:w="0" w:type="dxa"/>
        <w:tblLayout w:type="fixed"/>
        <w:tblCellMar>
          <w:top w:w="28" w:type="dxa"/>
          <w:left w:w="28" w:type="dxa"/>
          <w:bottom w:w="28" w:type="dxa"/>
          <w:right w:w="28" w:type="dxa"/>
        </w:tblCellMar>
      </w:tblPr>
      <w:tblGrid>
        <w:gridCol w:w="1367"/>
        <w:gridCol w:w="1183"/>
        <w:gridCol w:w="1114"/>
        <w:gridCol w:w="213"/>
        <w:gridCol w:w="380"/>
        <w:gridCol w:w="110"/>
        <w:gridCol w:w="110"/>
        <w:gridCol w:w="110"/>
        <w:gridCol w:w="110"/>
        <w:gridCol w:w="213"/>
        <w:gridCol w:w="380"/>
        <w:gridCol w:w="110"/>
        <w:gridCol w:w="109"/>
        <w:gridCol w:w="109"/>
        <w:gridCol w:w="109"/>
        <w:gridCol w:w="240"/>
        <w:gridCol w:w="241"/>
        <w:gridCol w:w="532"/>
        <w:gridCol w:w="109"/>
        <w:gridCol w:w="109"/>
        <w:gridCol w:w="109"/>
        <w:gridCol w:w="211"/>
        <w:gridCol w:w="481"/>
        <w:gridCol w:w="109"/>
        <w:gridCol w:w="109"/>
        <w:gridCol w:w="109"/>
        <w:gridCol w:w="109"/>
        <w:gridCol w:w="211"/>
        <w:gridCol w:w="481"/>
        <w:gridCol w:w="109"/>
        <w:gridCol w:w="109"/>
        <w:gridCol w:w="109"/>
        <w:gridCol w:w="109"/>
        <w:gridCol w:w="190"/>
        <w:gridCol w:w="188"/>
        <w:gridCol w:w="504"/>
      </w:tblGrid>
      <w:tr>
        <w:trPr/>
        <w:tc>
          <w:tcPr>
            <w:tcW w:w="136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Digital marketing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Brand marketing</w:t>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 incentives</w:t>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Creative services</w:t>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w:t>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20"/>
        <w:ind w:left="0" w:right="0" w:firstLine="360"/>
        <w:jc w:val="both"/>
        <w:rPr/>
      </w:pPr>
      <w:r>
        <w:rPr>
          <w:rFonts w:ascii="Helvetica;sans-serif" w:hAnsi="Helvetica;sans-serif"/>
          <w:b w:val="false"/>
          <w:color w:val="000000"/>
          <w:sz w:val="20"/>
          <w:shd w:fill="FFFFFF" w:val="clear"/>
        </w:rPr>
        <w:t xml:space="preserve">Marketing costs </w:t>
      </w:r>
      <w:r>
        <w:rPr>
          <w:rFonts w:ascii="Helvetica;sans-serif" w:hAnsi="Helvetica;sans-serif"/>
          <w:b w:val="false"/>
          <w:color w:val="000000"/>
          <w:sz w:val="20"/>
        </w:rPr>
        <w:t>increased</w:t>
      </w:r>
      <w:r>
        <w:rPr>
          <w:color w:val="000000"/>
          <w:shd w:fill="FFFFFF" w:val="clear"/>
        </w:rPr>
        <w:t xml:space="preserve"> </w:t>
      </w:r>
      <w:r>
        <w:rPr>
          <w:rFonts w:ascii="Helvetica;sans-serif" w:hAnsi="Helvetica;sans-serif"/>
          <w:b w:val="false"/>
          <w:color w:val="000000"/>
          <w:sz w:val="20"/>
          <w:shd w:fill="FFFFFF" w:val="clear"/>
        </w:rPr>
        <w:t xml:space="preserve">by $35 million </w:t>
      </w:r>
      <w:r>
        <w:rPr>
          <w:rFonts w:ascii="Helvetica;sans-serif" w:hAnsi="Helvetica;sans-serif"/>
          <w:b w:val="false"/>
          <w:color w:val="000000"/>
          <w:sz w:val="20"/>
        </w:rPr>
        <w:t xml:space="preserve">and </w:t>
      </w:r>
      <w:r>
        <w:rPr>
          <w:rFonts w:ascii="Helvetica;sans-serif" w:hAnsi="Helvetica;sans-serif"/>
          <w:b w:val="false"/>
          <w:color w:val="000000"/>
          <w:sz w:val="20"/>
          <w:shd w:fill="FFFFFF" w:val="clear"/>
        </w:rPr>
        <w:t xml:space="preserve">$73 million </w:t>
      </w:r>
      <w:r>
        <w:rPr>
          <w:rFonts w:ascii="Helvetica;sans-serif" w:hAnsi="Helvetica;sans-serif"/>
          <w:b w:val="false"/>
          <w:color w:val="000000"/>
          <w:sz w:val="20"/>
        </w:rPr>
        <w:t xml:space="preserve">for the three and six months ended June 30, 2025 primarily due to higher expenses in digital marketing of </w:t>
      </w:r>
      <w:r>
        <w:rPr>
          <w:rFonts w:ascii="Helvetica;sans-serif" w:hAnsi="Helvetica;sans-serif"/>
          <w:b w:val="false"/>
          <w:color w:val="000000"/>
          <w:sz w:val="20"/>
          <w:shd w:fill="FFFFFF" w:val="clear"/>
        </w:rPr>
        <w:t>$10 million</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color w:val="000000"/>
          <w:sz w:val="20"/>
          <w:shd w:fill="FFFFFF" w:val="clear"/>
        </w:rPr>
        <w:t>$35 million</w:t>
      </w:r>
      <w:r>
        <w:rPr>
          <w:color w:val="000000"/>
        </w:rPr>
        <w:t xml:space="preserve"> </w:t>
      </w:r>
      <w:r>
        <w:rPr>
          <w:rFonts w:ascii="Helvetica;sans-serif" w:hAnsi="Helvetica;sans-serif"/>
          <w:b w:val="false"/>
          <w:color w:val="000000"/>
          <w:sz w:val="20"/>
        </w:rPr>
        <w:t xml:space="preserve">and brand marketing of </w:t>
      </w:r>
      <w:r>
        <w:rPr>
          <w:rFonts w:ascii="Helvetica;sans-serif" w:hAnsi="Helvetica;sans-serif"/>
          <w:b w:val="false"/>
          <w:color w:val="000000"/>
          <w:sz w:val="20"/>
          <w:shd w:fill="FFFFFF" w:val="clear"/>
        </w:rPr>
        <w:t>$13 million</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color w:val="000000"/>
          <w:sz w:val="20"/>
          <w:shd w:fill="FFFFFF" w:val="clear"/>
        </w:rPr>
        <w:t>$18 million</w:t>
      </w:r>
      <w:r>
        <w:rPr>
          <w:rFonts w:ascii="Helvetica;sans-serif" w:hAnsi="Helvetica;sans-serif"/>
          <w:b w:val="false"/>
          <w:color w:val="000000"/>
          <w:sz w:val="20"/>
        </w:rPr>
        <w:t xml:space="preserve">, as we increased our investments in paid marketing channels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48310"/>
                <wp:effectExtent l="0" t="0" r="0" b="0"/>
                <wp:wrapNone/>
                <wp:docPr id="54" name="Frame5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120"/>
        <w:jc w:val="both"/>
        <w:rPr/>
      </w:pPr>
      <w:r>
        <w:rPr>
          <w:rFonts w:ascii="Helvetica;sans-serif" w:hAnsi="Helvetica;sans-serif"/>
          <w:b w:val="false"/>
          <w:color w:val="000000"/>
          <w:sz w:val="20"/>
        </w:rPr>
        <w:t xml:space="preserve">other marketing initiatives to promote our brand, products, and services. Other marketing costs increased </w:t>
      </w:r>
      <w:r>
        <w:rPr>
          <w:rFonts w:ascii="Helvetica;sans-serif" w:hAnsi="Helvetica;sans-serif"/>
          <w:b w:val="false"/>
          <w:color w:val="000000"/>
          <w:sz w:val="20"/>
          <w:shd w:fill="FFFFFF" w:val="clear"/>
        </w:rPr>
        <w:t xml:space="preserve">$6 million </w:t>
      </w:r>
      <w:r>
        <w:rPr>
          <w:rFonts w:ascii="Helvetica;sans-serif" w:hAnsi="Helvetica;sans-serif"/>
          <w:b w:val="false"/>
          <w:color w:val="000000"/>
          <w:sz w:val="20"/>
        </w:rPr>
        <w:t xml:space="preserve">and </w:t>
      </w:r>
      <w:r>
        <w:rPr>
          <w:rFonts w:ascii="Helvetica;sans-serif" w:hAnsi="Helvetica;sans-serif"/>
          <w:b w:val="false"/>
          <w:color w:val="000000"/>
          <w:sz w:val="20"/>
          <w:shd w:fill="FFFFFF" w:val="clear"/>
        </w:rPr>
        <w:t>$10 million</w:t>
      </w:r>
      <w:r>
        <w:rPr>
          <w:color w:val="000000"/>
        </w:rPr>
        <w:t xml:space="preserve"> </w:t>
      </w:r>
      <w:r>
        <w:rPr>
          <w:rFonts w:ascii="Helvetica;sans-serif" w:hAnsi="Helvetica;sans-serif"/>
          <w:b w:val="false"/>
          <w:color w:val="000000"/>
          <w:sz w:val="20"/>
        </w:rPr>
        <w:t>primarily due to expenses related to our Robinhood Gold card and keynote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General and Administrative</w:t>
      </w:r>
    </w:p>
    <w:tbl>
      <w:tblPr>
        <w:tblW w:w="10205" w:type="dxa"/>
        <w:jc w:val="left"/>
        <w:tblInd w:w="0" w:type="dxa"/>
        <w:tblLayout w:type="fixed"/>
        <w:tblCellMar>
          <w:top w:w="28" w:type="dxa"/>
          <w:left w:w="28" w:type="dxa"/>
          <w:bottom w:w="28" w:type="dxa"/>
          <w:right w:w="28" w:type="dxa"/>
        </w:tblCellMar>
      </w:tblPr>
      <w:tblGrid>
        <w:gridCol w:w="1276"/>
        <w:gridCol w:w="1119"/>
        <w:gridCol w:w="1132"/>
        <w:gridCol w:w="211"/>
        <w:gridCol w:w="481"/>
        <w:gridCol w:w="109"/>
        <w:gridCol w:w="109"/>
        <w:gridCol w:w="109"/>
        <w:gridCol w:w="109"/>
        <w:gridCol w:w="211"/>
        <w:gridCol w:w="376"/>
        <w:gridCol w:w="109"/>
        <w:gridCol w:w="109"/>
        <w:gridCol w:w="109"/>
        <w:gridCol w:w="109"/>
        <w:gridCol w:w="254"/>
        <w:gridCol w:w="255"/>
        <w:gridCol w:w="532"/>
        <w:gridCol w:w="109"/>
        <w:gridCol w:w="109"/>
        <w:gridCol w:w="109"/>
        <w:gridCol w:w="211"/>
        <w:gridCol w:w="481"/>
        <w:gridCol w:w="109"/>
        <w:gridCol w:w="109"/>
        <w:gridCol w:w="109"/>
        <w:gridCol w:w="109"/>
        <w:gridCol w:w="211"/>
        <w:gridCol w:w="481"/>
        <w:gridCol w:w="109"/>
        <w:gridCol w:w="109"/>
        <w:gridCol w:w="109"/>
        <w:gridCol w:w="109"/>
        <w:gridCol w:w="203"/>
        <w:gridCol w:w="201"/>
        <w:gridCol w:w="499"/>
      </w:tblGrid>
      <w:tr>
        <w:trPr/>
        <w:tc>
          <w:tcPr>
            <w:tcW w:w="127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professional fees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Legal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Settlements and penalties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200"/>
        <w:ind w:left="0" w:right="0" w:firstLine="360"/>
        <w:jc w:val="both"/>
        <w:rPr/>
      </w:pPr>
      <w:r>
        <w:rPr>
          <w:rFonts w:ascii="Helvetica;sans-serif" w:hAnsi="Helvetica;sans-serif"/>
          <w:b w:val="false"/>
          <w:color w:val="000000"/>
          <w:sz w:val="20"/>
          <w:shd w:fill="FFFFFF" w:val="clear"/>
        </w:rPr>
        <w:t xml:space="preserve">General and administrative costs </w:t>
      </w:r>
      <w:r>
        <w:rPr>
          <w:rFonts w:ascii="Helvetica;sans-serif" w:hAnsi="Helvetica;sans-serif"/>
          <w:b w:val="false"/>
          <w:color w:val="000000"/>
          <w:sz w:val="20"/>
        </w:rPr>
        <w:t>decreased</w:t>
      </w:r>
      <w:r>
        <w:rPr>
          <w:color w:val="000000"/>
          <w:shd w:fill="FFFFFF" w:val="clear"/>
        </w:rPr>
        <w:t xml:space="preserve"> </w:t>
      </w:r>
      <w:r>
        <w:rPr>
          <w:rFonts w:ascii="Helvetica;sans-serif" w:hAnsi="Helvetica;sans-serif"/>
          <w:b w:val="false"/>
          <w:color w:val="000000"/>
          <w:sz w:val="20"/>
          <w:shd w:fill="FFFFFF" w:val="clear"/>
        </w:rPr>
        <w:t xml:space="preserve">$2 million </w:t>
      </w:r>
      <w:r>
        <w:rPr>
          <w:rFonts w:ascii="Helvetica;sans-serif" w:hAnsi="Helvetica;sans-serif"/>
          <w:b w:val="false"/>
          <w:color w:val="000000"/>
          <w:sz w:val="20"/>
        </w:rPr>
        <w:t xml:space="preserve">for the three months ended June 30, 2025 and increased by </w:t>
      </w:r>
      <w:r>
        <w:rPr>
          <w:rFonts w:ascii="Helvetica;sans-serif" w:hAnsi="Helvetica;sans-serif"/>
          <w:b w:val="false"/>
          <w:color w:val="000000"/>
          <w:sz w:val="20"/>
          <w:shd w:fill="FFFFFF" w:val="clear"/>
        </w:rPr>
        <w:t>$13 million</w:t>
      </w:r>
      <w:r>
        <w:rPr>
          <w:color w:val="000000"/>
        </w:rPr>
        <w:t xml:space="preserve"> </w:t>
      </w:r>
      <w:r>
        <w:rPr>
          <w:rFonts w:ascii="Helvetica;sans-serif" w:hAnsi="Helvetica;sans-serif"/>
          <w:b w:val="false"/>
          <w:color w:val="000000"/>
          <w:sz w:val="20"/>
        </w:rPr>
        <w:t xml:space="preserve">for the six months ended June 30, 2025. The increase for the six months ended June 30, 2025 was primarily due to an increase of </w:t>
      </w:r>
      <w:r>
        <w:rPr>
          <w:rFonts w:ascii="Helvetica;sans-serif" w:hAnsi="Helvetica;sans-serif"/>
          <w:b w:val="false"/>
          <w:color w:val="000000"/>
          <w:sz w:val="20"/>
          <w:shd w:fill="FFFFFF" w:val="clear"/>
        </w:rPr>
        <w:t>$16 million</w:t>
      </w:r>
      <w:r>
        <w:rPr>
          <w:color w:val="000000"/>
        </w:rPr>
        <w:t xml:space="preserve"> </w:t>
      </w:r>
      <w:r>
        <w:rPr>
          <w:rFonts w:ascii="Helvetica;sans-serif" w:hAnsi="Helvetica;sans-serif"/>
          <w:b w:val="false"/>
          <w:color w:val="000000"/>
          <w:sz w:val="20"/>
        </w:rPr>
        <w:t xml:space="preserve">in SBC expenses primarily due to a reversal of </w:t>
      </w:r>
      <w:r>
        <w:rPr>
          <w:rFonts w:ascii="Helvetica;sans-serif" w:hAnsi="Helvetica;sans-serif"/>
          <w:b w:val="false"/>
          <w:color w:val="000000"/>
          <w:sz w:val="20"/>
          <w:shd w:fill="FFFFFF" w:val="clear"/>
        </w:rPr>
        <w:t>$11 million</w:t>
      </w:r>
      <w:r>
        <w:rPr>
          <w:color w:val="000000"/>
        </w:rPr>
        <w:t xml:space="preserve"> </w:t>
      </w:r>
      <w:r>
        <w:rPr>
          <w:rFonts w:ascii="Helvetica;sans-serif" w:hAnsi="Helvetica;sans-serif"/>
          <w:b w:val="false"/>
          <w:color w:val="000000"/>
          <w:sz w:val="20"/>
        </w:rPr>
        <w:t xml:space="preserve">of previously recognized expenses in the prior year as a result of the resignation of our co-founder and former Chief Creative Officer, and an increase of </w:t>
      </w:r>
      <w:r>
        <w:rPr>
          <w:rFonts w:ascii="Helvetica;sans-serif" w:hAnsi="Helvetica;sans-serif"/>
          <w:b w:val="false"/>
          <w:color w:val="000000"/>
          <w:sz w:val="20"/>
          <w:shd w:fill="FFFFFF" w:val="clear"/>
        </w:rPr>
        <w:t>$9 million</w:t>
      </w:r>
      <w:r>
        <w:rPr>
          <w:color w:val="000000"/>
        </w:rPr>
        <w:t xml:space="preserve"> </w:t>
      </w:r>
      <w:r>
        <w:rPr>
          <w:rFonts w:ascii="Helvetica;sans-serif" w:hAnsi="Helvetica;sans-serif"/>
          <w:b w:val="false"/>
          <w:color w:val="000000"/>
          <w:sz w:val="20"/>
        </w:rPr>
        <w:t xml:space="preserve">in other professional fees primarily due to costs incurred in connection with the TradePMR and Bitstamp acquisitions. Additionally, employee compensation, benefits, and overhead expenses increased </w:t>
      </w:r>
      <w:r>
        <w:rPr>
          <w:rFonts w:ascii="Helvetica;sans-serif" w:hAnsi="Helvetica;sans-serif"/>
          <w:b w:val="false"/>
          <w:color w:val="000000"/>
          <w:sz w:val="20"/>
          <w:shd w:fill="FFFFFF" w:val="clear"/>
        </w:rPr>
        <w:t>$7 million</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color w:val="000000"/>
          <w:sz w:val="20"/>
          <w:shd w:fill="FFFFFF" w:val="clear"/>
        </w:rPr>
        <w:t>$8 million</w:t>
      </w:r>
      <w:r>
        <w:rPr>
          <w:color w:val="000000"/>
        </w:rPr>
        <w:t xml:space="preserve"> </w:t>
      </w:r>
      <w:r>
        <w:rPr>
          <w:rFonts w:ascii="Helvetica;sans-serif" w:hAnsi="Helvetica;sans-serif"/>
          <w:b w:val="false"/>
          <w:color w:val="000000"/>
          <w:sz w:val="20"/>
        </w:rPr>
        <w:t xml:space="preserve">for the three and six months ended June 30, 2025 driven by increased average headcount. These increases were partially offset by decreases of </w:t>
      </w:r>
      <w:r>
        <w:rPr>
          <w:rFonts w:ascii="Helvetica;sans-serif" w:hAnsi="Helvetica;sans-serif"/>
          <w:b w:val="false"/>
          <w:color w:val="000000"/>
          <w:sz w:val="20"/>
          <w:shd w:fill="FFFFFF" w:val="clear"/>
        </w:rPr>
        <w:t>$14 million</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color w:val="000000"/>
          <w:sz w:val="20"/>
          <w:shd w:fill="FFFFFF" w:val="clear"/>
        </w:rPr>
        <w:t>$21 million</w:t>
      </w:r>
      <w:r>
        <w:rPr>
          <w:color w:val="000000"/>
        </w:rPr>
        <w:t xml:space="preserve"> </w:t>
      </w:r>
      <w:r>
        <w:rPr>
          <w:rFonts w:ascii="Helvetica;sans-serif" w:hAnsi="Helvetica;sans-serif"/>
          <w:b w:val="false"/>
          <w:color w:val="000000"/>
          <w:sz w:val="20"/>
        </w:rPr>
        <w:t xml:space="preserve">of legal expenses associated with certain historical matters for the three and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Provision for Income Taxes </w:t>
      </w:r>
    </w:p>
    <w:tbl>
      <w:tblPr>
        <w:tblW w:w="8667" w:type="dxa"/>
        <w:jc w:val="center"/>
        <w:tblInd w:w="0" w:type="dxa"/>
        <w:tblLayout w:type="fixed"/>
        <w:tblCellMar>
          <w:top w:w="28" w:type="dxa"/>
          <w:left w:w="28" w:type="dxa"/>
          <w:bottom w:w="28" w:type="dxa"/>
          <w:right w:w="28" w:type="dxa"/>
        </w:tblCellMar>
      </w:tblPr>
      <w:tblGrid>
        <w:gridCol w:w="886"/>
        <w:gridCol w:w="775"/>
        <w:gridCol w:w="783"/>
        <w:gridCol w:w="229"/>
        <w:gridCol w:w="294"/>
        <w:gridCol w:w="118"/>
        <w:gridCol w:w="118"/>
        <w:gridCol w:w="118"/>
        <w:gridCol w:w="118"/>
        <w:gridCol w:w="229"/>
        <w:gridCol w:w="409"/>
        <w:gridCol w:w="118"/>
        <w:gridCol w:w="109"/>
        <w:gridCol w:w="109"/>
        <w:gridCol w:w="109"/>
        <w:gridCol w:w="305"/>
        <w:gridCol w:w="305"/>
        <w:gridCol w:w="306"/>
        <w:gridCol w:w="109"/>
        <w:gridCol w:w="109"/>
        <w:gridCol w:w="109"/>
        <w:gridCol w:w="211"/>
        <w:gridCol w:w="271"/>
        <w:gridCol w:w="109"/>
        <w:gridCol w:w="109"/>
        <w:gridCol w:w="109"/>
        <w:gridCol w:w="109"/>
        <w:gridCol w:w="211"/>
        <w:gridCol w:w="376"/>
        <w:gridCol w:w="109"/>
        <w:gridCol w:w="109"/>
        <w:gridCol w:w="109"/>
        <w:gridCol w:w="109"/>
        <w:gridCol w:w="281"/>
        <w:gridCol w:w="281"/>
        <w:gridCol w:w="399"/>
      </w:tblGrid>
      <w:tr>
        <w:trPr/>
        <w:tc>
          <w:tcPr>
            <w:tcW w:w="8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Provision for income taxes increased by $53 million and $83 million for the three and six months ended June 30, 2025 primarily due the valuation allowance release of the U.S. federal and certain state deferred tax assets in the fourth quarter of 2024 and the growth of the business.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July 4, 2025, the President of the United States signed into law OBBBA. The OBBBA introduces broad changes to the U.S. tax code, including permitting the immediate deduction of domestic research and experimentation expenditures, allowing full expensing of acquired qualified property, and increasing the U.S. tax rate on intangible income derived from foreign sources. We believe the recent tax legislation changes provided under the OBBBA will not materially impact our income tax provision.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Sources and Uses of Funds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principal sources of liquidity are cash flows generated from operations and our cash, cash equivalents, and investments. Other sources of future funds may include potential borrowing under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48310"/>
                <wp:effectExtent l="0" t="0" r="0" b="0"/>
                <wp:wrapNone/>
                <wp:docPr id="55" name="Frame5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revolving lines of credit and potential issuance of new debt or equity. Our liquidity needs are primarily to support and invest in our core business, including investing in new ways to serve our customers, potentially seeking strategic acquisitions to leverage existing capabilities and further build our business, and for general capital needs (including capital requirements imposed by regulators and SROs and cash deposit and collateral requirements under the rules of the Depository Trust Company (“DTC”), the NSCC, the Options Clearing Corporation (“OCC”), and the Commodity Futures Trading Commission (“CFTC”)). Based on our current level of operations, we believe our primary sources of liquidity will be adequate to meet our current liquidity needs for the next 12 months.</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Liquid Assets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2025, we had cash and cash equivalents of $4.16 billion and held-to-maturity investments of $134 million. Refer to Note 7 - Investments and Fair Value Measurement, to our unaudited condensed consolidated financial statements in this Quarterly Report for further information.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Revolving Credit Facilities and Credit Card Funding Trust </w:t>
      </w:r>
    </w:p>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As of June 30, 2025, we had committed revolving credit facilities with a total borrowing capacity of up to $3.775 billion and a borrowing capacity for our Credit Card Funding Trust of up to $400 million. </w:t>
      </w:r>
      <w:r>
        <w:rPr>
          <w:rFonts w:ascii="Helvetica;sans-serif" w:hAnsi="Helvetica;sans-serif"/>
          <w:b w:val="false"/>
          <w:color w:val="000000"/>
          <w:sz w:val="20"/>
          <w:shd w:fill="FFFFFF" w:val="clear"/>
        </w:rPr>
        <w:t xml:space="preserve">Refer to </w:t>
      </w:r>
      <w:r>
        <w:rPr>
          <w:rFonts w:ascii="Helvetica;sans-serif" w:hAnsi="Helvetica;sans-serif"/>
          <w:b w:val="false"/>
          <w:color w:val="000000"/>
          <w:sz w:val="20"/>
        </w:rPr>
        <w:t xml:space="preserve">Note 10 - Financing Activities and Off-Balance Sheet Risk to our unaudited condensed consolidated financial statements in this Quarterly Report for further information. </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Commitments</w:t>
      </w:r>
    </w:p>
    <w:p>
      <w:pPr>
        <w:pStyle w:val="TextBody"/>
        <w:bidi w:val="0"/>
        <w:spacing w:lineRule="auto" w:line="288" w:before="0" w:after="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our short- and long-term material cash requirements for contractual obligations as of June 30, 2025:</w:t>
      </w:r>
    </w:p>
    <w:tbl>
      <w:tblPr>
        <w:tblW w:w="10205" w:type="dxa"/>
        <w:jc w:val="left"/>
        <w:tblInd w:w="0" w:type="dxa"/>
        <w:tblLayout w:type="fixed"/>
        <w:tblCellMar>
          <w:top w:w="28" w:type="dxa"/>
          <w:left w:w="28" w:type="dxa"/>
          <w:bottom w:w="28" w:type="dxa"/>
          <w:right w:w="28" w:type="dxa"/>
        </w:tblCellMar>
      </w:tblPr>
      <w:tblGrid>
        <w:gridCol w:w="1414"/>
        <w:gridCol w:w="1237"/>
        <w:gridCol w:w="1255"/>
        <w:gridCol w:w="211"/>
        <w:gridCol w:w="646"/>
        <w:gridCol w:w="109"/>
        <w:gridCol w:w="109"/>
        <w:gridCol w:w="109"/>
        <w:gridCol w:w="109"/>
        <w:gridCol w:w="362"/>
        <w:gridCol w:w="828"/>
        <w:gridCol w:w="187"/>
        <w:gridCol w:w="109"/>
        <w:gridCol w:w="109"/>
        <w:gridCol w:w="109"/>
        <w:gridCol w:w="226"/>
        <w:gridCol w:w="515"/>
        <w:gridCol w:w="116"/>
        <w:gridCol w:w="109"/>
        <w:gridCol w:w="109"/>
        <w:gridCol w:w="109"/>
        <w:gridCol w:w="249"/>
        <w:gridCol w:w="445"/>
        <w:gridCol w:w="128"/>
        <w:gridCol w:w="109"/>
        <w:gridCol w:w="109"/>
        <w:gridCol w:w="109"/>
        <w:gridCol w:w="273"/>
        <w:gridCol w:w="487"/>
        <w:gridCol w:w="209"/>
      </w:tblGrid>
      <w:tr>
        <w:trPr/>
        <w:tc>
          <w:tcPr>
            <w:tcW w:w="141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Payments Due by Period</w:t>
            </w:r>
          </w:p>
        </w:tc>
      </w:tr>
      <w:tr>
        <w:trPr/>
        <w:tc>
          <w:tcPr>
            <w:tcW w:w="3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Remainder of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2028-2029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Thereafter</w:t>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pPr>
            <w:r>
              <w:rPr>
                <w:rFonts w:ascii="Helvetica;sans-serif" w:hAnsi="Helvetica;sans-serif"/>
                <w:b w:val="false"/>
                <w:color w:val="000000"/>
                <w:sz w:val="20"/>
              </w:rPr>
              <w:t>Operating lease commitments</w:t>
            </w:r>
            <w:r>
              <w:rPr>
                <w:rFonts w:ascii="Helvetica;sans-serif" w:hAnsi="Helvetica;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Purchase commitments</w:t>
            </w:r>
            <w:r>
              <w:rPr>
                <w:rFonts w:ascii="Helvetica;sans-serif" w:hAnsi="Helvetica;sans-serif"/>
                <w:b w:val="false"/>
                <w:color w:val="000000"/>
                <w:sz w:val="13"/>
              </w:rPr>
              <w:t>(2)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Robinhood match incentives commitments</w:t>
            </w:r>
            <w:r>
              <w:rPr>
                <w:rFonts w:ascii="Helvetica;sans-serif" w:hAnsi="Helvetica;sans-serif"/>
                <w:b w:val="false"/>
                <w:color w:val="000000"/>
                <w:sz w:val="13"/>
              </w:rPr>
              <w:t>(3)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Credit Card Funding Trust borrowing principal and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495 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200"/>
        <w:ind w:left="0" w:right="0" w:hanging="180"/>
        <w:jc w:val="both"/>
        <w:rPr/>
      </w:pPr>
      <w:r>
        <w:rPr>
          <w:rFonts w:ascii="Helvetica;sans-serif" w:hAnsi="Helvetica;sans-serif"/>
          <w:b w:val="false"/>
          <w:color w:val="000000"/>
          <w:sz w:val="10"/>
          <w:shd w:fill="FFFFFF" w:val="clear"/>
        </w:rPr>
        <w:t>(1)</w:t>
      </w:r>
      <w:r>
        <w:rPr>
          <w:color w:val="000000"/>
          <w:shd w:fill="FFFFFF" w:val="clear"/>
        </w:rPr>
        <w:t xml:space="preserve"> </w:t>
      </w:r>
      <w:r>
        <w:rPr>
          <w:rFonts w:ascii="Helvetica;sans-serif" w:hAnsi="Helvetica;sans-serif"/>
          <w:b w:val="false"/>
          <w:color w:val="000000"/>
          <w:sz w:val="16"/>
          <w:shd w:fill="FFFFFF" w:val="clear"/>
        </w:rPr>
        <w:t xml:space="preserve">Operating lease commitments include tenant improvement allowance incentives amortized over the lease terms from 2025 to 2026. </w:t>
      </w:r>
    </w:p>
    <w:p>
      <w:pPr>
        <w:pStyle w:val="TextBody"/>
        <w:bidi w:val="0"/>
        <w:spacing w:lineRule="auto" w:line="288" w:before="0" w:after="200"/>
        <w:ind w:left="0" w:right="0" w:hanging="180"/>
        <w:jc w:val="both"/>
        <w:rPr/>
      </w:pPr>
      <w:r>
        <w:rPr>
          <w:rFonts w:ascii="Helvetica;sans-serif" w:hAnsi="Helvetica;sans-serif"/>
          <w:b w:val="false"/>
          <w:color w:val="000000"/>
          <w:sz w:val="10"/>
          <w:shd w:fill="FFFFFF" w:val="clear"/>
        </w:rPr>
        <w:t>(2)</w:t>
      </w:r>
      <w:r>
        <w:rPr>
          <w:color w:val="000000"/>
          <w:shd w:fill="FFFFFF" w:val="clear"/>
        </w:rPr>
        <w:t xml:space="preserve"> </w:t>
      </w:r>
      <w:r>
        <w:rPr>
          <w:rFonts w:ascii="Helvetica;sans-serif" w:hAnsi="Helvetica;sans-serif"/>
          <w:b w:val="false"/>
          <w:color w:val="000000"/>
          <w:sz w:val="16"/>
          <w:shd w:fill="FFFFFF" w:val="clear"/>
        </w:rPr>
        <w:t>Purchase commitments are determined based on the non-cancelable quantities or termination amounts to which we are contractually obligated. These primarily relate to commitments for cloud infrastructure and data se</w:t>
      </w:r>
      <w:r>
        <w:rPr>
          <w:rFonts w:ascii="Helvetica;sans-serif" w:hAnsi="Helvetica;sans-serif"/>
          <w:b w:val="false"/>
          <w:color w:val="000000"/>
          <w:sz w:val="16"/>
        </w:rPr>
        <w:t xml:space="preserve">rvices and business insurance. </w:t>
      </w:r>
    </w:p>
    <w:p>
      <w:pPr>
        <w:pStyle w:val="TextBody"/>
        <w:bidi w:val="0"/>
        <w:spacing w:lineRule="auto" w:line="288" w:before="0" w:after="200"/>
        <w:ind w:left="0" w:right="0" w:hanging="180"/>
        <w:jc w:val="both"/>
        <w:rPr/>
      </w:pPr>
      <w:r>
        <w:rPr>
          <w:rFonts w:ascii="Helvetica;sans-serif" w:hAnsi="Helvetica;sans-serif"/>
          <w:b w:val="false"/>
          <w:color w:val="000000"/>
          <w:sz w:val="10"/>
          <w:shd w:fill="FFFFFF" w:val="clear"/>
        </w:rPr>
        <w:t>(3)</w:t>
      </w:r>
      <w:r>
        <w:rPr>
          <w:color w:val="000000"/>
          <w:shd w:fill="FFFFFF" w:val="clear"/>
        </w:rPr>
        <w:t xml:space="preserve"> </w:t>
      </w:r>
      <w:r>
        <w:rPr>
          <w:rFonts w:ascii="Helvetica;sans-serif" w:hAnsi="Helvetica;sans-serif"/>
          <w:b w:val="false"/>
          <w:color w:val="000000"/>
          <w:sz w:val="16"/>
          <w:shd w:fill="FFFFFF" w:val="clear"/>
        </w:rPr>
        <w:t>Robinhood match incentives commitments represent non-cancelable future match payments on eligible cash deposits made by Robinhood Gold Subscribers</w:t>
      </w:r>
      <w:r>
        <w:rPr>
          <w:rFonts w:ascii="Helvetica;sans-serif" w:hAnsi="Helvetica;sans-serif"/>
          <w:b w:val="false"/>
          <w:color w:val="000000"/>
          <w:sz w:val="16"/>
        </w:rPr>
        <w:t>. The future match payments are forfeited if deposits are not held on the platform during the specific earning period.</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lease and purchase commitments, we have two committed financing agreements: one with a contractual term of 30 days and a daily minimum commitment of $25 million and another with a contractual term of 21 days with a daily minimum commitment of $35 million.</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48310"/>
                <wp:effectExtent l="0" t="0" r="0" b="0"/>
                <wp:wrapNone/>
                <wp:docPr id="56" name="Frame5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Regulatory Capital Requirements</w:t>
      </w:r>
    </w:p>
    <w:p>
      <w:pPr>
        <w:pStyle w:val="TextBody"/>
        <w:bidi w:val="0"/>
        <w:spacing w:lineRule="auto" w:line="288" w:before="240" w:after="200"/>
        <w:ind w:left="0" w:right="0" w:firstLine="360"/>
        <w:jc w:val="both"/>
        <w:rPr/>
      </w:pPr>
      <w:r>
        <w:rPr>
          <w:rFonts w:ascii="Helvetica;sans-serif" w:hAnsi="Helvetica;sans-serif"/>
          <w:b w:val="false"/>
          <w:color w:val="000000"/>
          <w:sz w:val="20"/>
          <w:shd w:fill="FFFFFF" w:val="clear"/>
        </w:rPr>
        <w:t xml:space="preserve">Our broker-dealer subsidiaries (RHS, RHF, and TradePMR) are subject to Rule 15c3-1 (the </w:t>
      </w:r>
      <w:r>
        <w:rPr>
          <w:color w:val="000000"/>
        </w:rPr>
        <w:t>“</w:t>
      </w:r>
      <w:r>
        <w:rPr>
          <w:rFonts w:ascii="Helvetica;sans-serif" w:hAnsi="Helvetica;sans-serif"/>
          <w:b w:val="false"/>
          <w:color w:val="000000"/>
          <w:sz w:val="20"/>
          <w:shd w:fill="FFFFFF" w:val="clear"/>
        </w:rPr>
        <w:t>SEC Uniform Net Capital Rule</w:t>
      </w:r>
      <w:r>
        <w:rPr>
          <w:color w:val="000000"/>
        </w:rPr>
        <w:t>”</w:t>
      </w:r>
      <w:r>
        <w:rPr>
          <w:rFonts w:ascii="Helvetica;sans-serif" w:hAnsi="Helvetica;sans-serif"/>
          <w:b w:val="false"/>
          <w:color w:val="000000"/>
          <w:sz w:val="20"/>
          <w:shd w:fill="FFFFFF" w:val="clear"/>
        </w:rPr>
        <w:t xml:space="preserve">) under the Exchange Act, administered by the SEC and FINRA, which requires the maintenance of minimum net capital, as defined. Net capital and the related net capital requirements may fluctuate on a daily basis. RHS and RHF compute net capital under the alternative method as permitted by the SEC Uniform Net Capital Rule. </w:t>
      </w:r>
    </w:p>
    <w:p>
      <w:pPr>
        <w:pStyle w:val="TextBody"/>
        <w:bidi w:val="0"/>
        <w:spacing w:lineRule="auto" w:line="288" w:before="240" w:after="200"/>
        <w:ind w:left="0" w:right="0" w:firstLine="36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 xml:space="preserve">Our Futures Commission Merchant (“FCM”) subsidiary, RHD, is subject to CFTC Regulation 1.17, administered by the CFTC and the NFA, which requires the maintenance of minimum net capital, as defined by CFTC Regulation 1.17. Net capital and the related net capital requirements may fluctuate on a daily basis. </w:t>
      </w:r>
    </w:p>
    <w:p>
      <w:pPr>
        <w:pStyle w:val="TextBody"/>
        <w:bidi w:val="0"/>
        <w:spacing w:lineRule="auto" w:line="276" w:before="0" w:after="200"/>
        <w:ind w:left="0" w:right="0" w:firstLine="36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The table below summarizes the net capital, capital requirements, and excess net capital of RHS, RHF, RHD, and TradePMR as of periods presented:</w:t>
      </w:r>
    </w:p>
    <w:tbl>
      <w:tblPr>
        <w:tblW w:w="8452"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213"/>
        <w:gridCol w:w="652"/>
        <w:gridCol w:w="110"/>
        <w:gridCol w:w="109"/>
        <w:gridCol w:w="109"/>
        <w:gridCol w:w="109"/>
        <w:gridCol w:w="457"/>
        <w:gridCol w:w="1045"/>
        <w:gridCol w:w="238"/>
        <w:gridCol w:w="109"/>
        <w:gridCol w:w="109"/>
        <w:gridCol w:w="109"/>
        <w:gridCol w:w="773"/>
        <w:gridCol w:w="2368"/>
        <w:gridCol w:w="56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Required Net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Capital in Excess of Required Net Capital</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2,671 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RHF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TradePMR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these subsidiaries were in compliance with their respective regulatory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Cash Flows</w:t>
      </w:r>
    </w:p>
    <w:p>
      <w:pPr>
        <w:pStyle w:val="TextBody"/>
        <w:bidi w:val="0"/>
        <w:spacing w:lineRule="auto" w:line="288" w:before="0" w:after="200"/>
        <w:ind w:left="0" w:right="0" w:hanging="108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cash flow activities:</w:t>
      </w:r>
    </w:p>
    <w:tbl>
      <w:tblPr>
        <w:tblW w:w="5030" w:type="dxa"/>
        <w:jc w:val="left"/>
        <w:tblInd w:w="0" w:type="dxa"/>
        <w:tblLayout w:type="fixed"/>
        <w:tblCellMar>
          <w:top w:w="28" w:type="dxa"/>
          <w:left w:w="28" w:type="dxa"/>
          <w:bottom w:w="28" w:type="dxa"/>
          <w:right w:w="28" w:type="dxa"/>
        </w:tblCellMar>
      </w:tblPr>
      <w:tblGrid>
        <w:gridCol w:w="908"/>
        <w:gridCol w:w="794"/>
        <w:gridCol w:w="802"/>
        <w:gridCol w:w="109"/>
        <w:gridCol w:w="109"/>
        <w:gridCol w:w="109"/>
        <w:gridCol w:w="211"/>
        <w:gridCol w:w="541"/>
        <w:gridCol w:w="109"/>
        <w:gridCol w:w="109"/>
        <w:gridCol w:w="109"/>
        <w:gridCol w:w="109"/>
        <w:gridCol w:w="211"/>
        <w:gridCol w:w="646"/>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 June 30,</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Operating activities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cash provided by operating activities increased $4.72 billion compared to the prior period primarily due to: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an increase of $377 million in net income;</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an increase of $199 million due to maturities of U.S. treasury securities segregated under federal and other regulations compared to a decrease of $547 million in the prior year due to cash used to purchase U.S. treasury securities segregated under federal and other regulations; and</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a decrease of $3.63 billion in securities loaned due to variable lending and funding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48310"/>
                <wp:effectExtent l="0" t="0" r="0" b="0"/>
                <wp:wrapNone/>
                <wp:docPr id="57" name="Frame5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Investing activities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cash provided by investing activities increased $900 million compared to the prior period primarily due to: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an increase of $1.30 billion of cash provided by collections of purchased credit card receivables;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an increase of $1.19 billion of cash, cash equivalents, and segregated cash acquired in business acquisitions;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an increase of $302 million driven by no purchases of held-to-maturity investments during the period;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a decrease of $1.46 billion due to cash used for purchases of credit card receivables; and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a decrease of $393 million due to cash used for consideration transferred for business acquisitions.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Financing activities</w:t>
      </w:r>
    </w:p>
    <w:p>
      <w:pPr>
        <w:pStyle w:val="TextBody"/>
        <w:bidi w:val="0"/>
        <w:spacing w:lineRule="auto" w:line="288" w:before="0" w:after="20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Net cash used in financing activities increase $631 million compared to the prior period primarily due to: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an increase of $446 million of cash used for share repurchases; and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an increase of $273 million of cash used for taxes related to net share settlement of equity awards.</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Critical Accounting Estimates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unaudited condensed consolidated financial statements are prepared in accordance with GAAP. The preparation of these unaudited condensed consolidated financial statements requires estimates and assumptions that affect the reported amounts of assets and liabilities, revenues and expenses, and related disclosures of contingent liabilities on our unaudited condensed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We also have other key accounting policies, which involve the use of estimates, judgments, and assumptions that are significant to understanding our results. Although we believe that our estimates, assumptions, and judgments are reasonable, they are based upon information presently available. Actual results might differ significantly from these estimates under different assumptions, judgments, or conditions.</w:t>
      </w:r>
    </w:p>
    <w:p>
      <w:pPr>
        <w:pStyle w:val="TextBody"/>
        <w:bidi w:val="0"/>
        <w:spacing w:lineRule="auto" w:line="288" w:before="0" w:after="26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have been no material changes to our critical accounting estimates during the six months ended June 30, 2025, as compared to those disclosed in “Management’s Discussion and Analysis of Financial Condition and Results of Operations — Critical Accounting Estimates”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Recent Accounting Pronouncements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See Item 1 of Part I, “Unaudited Financial Statements — Note 2 -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48310"/>
                <wp:effectExtent l="0" t="0" r="0" b="0"/>
                <wp:wrapNone/>
                <wp:docPr id="58" name="Frame5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3. QUANTITATIVE AND QUALITATIVE DISCLOSURES ABOUT MARKET RISK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Interest Rate Risk</w:t>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exposure to changes in interest rates primarily relates to interest revenue earned on our interest-earning assets that are subject to floating interest rates. Interest revenue is affected by various factors such as the distribution and composition of interest-earning assets and the federal funds rate. We use a net interest sensitivity analysis, which applies hypothetical 50, 100 or 150 basis point increases or decreases in interest rates to the period end balances of our interest-earning assets and liabilities, including interest rate sensitive off-balance sheet amounts related to our Coastal Bank Program Agreement, to evaluate the effect that changes in interest rates might have on total net revenues, net income, and cash flows, prior to any income tax effects, over the next 12 months.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sensitivity analysis assumes the asset and liability structure of the consolidated balance sheets would not change as a result of simulated changes in interest rates. Additionally, the analysis does not factor in any assumptions on the effect simulated changes in interest rates would have on trading activities across our platforms. For our Cash Sweep program, we earn a net interest spread on Cash Sweep balances based on the interest rate offered by the partner banks less the interest rate given to users, as stated in our program terms. For the vast majority of the Cash Sweep program, we have the ability to manage our net interest spread by adjusting the rate given to users as a result of changes in rates received from partner banks. As such, we do not consider the Cash Sweep balance to be subject to short-term interest rate risk and the sensitivity analysis excludes Cash Sweep balances. </w:t>
      </w:r>
    </w:p>
    <w:p>
      <w:pPr>
        <w:pStyle w:val="TextBody"/>
        <w:bidi w:val="0"/>
        <w:spacing w:before="0" w:after="0"/>
        <w:ind w:left="0" w:right="0" w:firstLine="360"/>
        <w:jc w:val="both"/>
        <w:rPr/>
      </w:pPr>
      <w:r>
        <w:rPr/>
      </w:r>
    </w:p>
    <w:p>
      <w:pPr>
        <w:pStyle w:val="TextBody"/>
        <w:bidi w:val="0"/>
        <w:spacing w:lineRule="auto" w:line="268"/>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impact to total net revenues, net income, and cash flows, prior to any income tax effects, as a result of a hypothetical interest rate change at the end of each reporting period would be:</w:t>
      </w:r>
    </w:p>
    <w:tbl>
      <w:tblPr>
        <w:tblW w:w="3635" w:type="dxa"/>
        <w:jc w:val="left"/>
        <w:tblInd w:w="0" w:type="dxa"/>
        <w:tblLayout w:type="fixed"/>
        <w:tblCellMar>
          <w:top w:w="28" w:type="dxa"/>
          <w:left w:w="28" w:type="dxa"/>
          <w:bottom w:w="28" w:type="dxa"/>
          <w:right w:w="28" w:type="dxa"/>
        </w:tblCellMar>
      </w:tblPr>
      <w:tblGrid>
        <w:gridCol w:w="522"/>
        <w:gridCol w:w="456"/>
        <w:gridCol w:w="461"/>
        <w:gridCol w:w="109"/>
        <w:gridCol w:w="109"/>
        <w:gridCol w:w="109"/>
        <w:gridCol w:w="211"/>
        <w:gridCol w:w="376"/>
        <w:gridCol w:w="109"/>
        <w:gridCol w:w="109"/>
        <w:gridCol w:w="109"/>
        <w:gridCol w:w="109"/>
        <w:gridCol w:w="211"/>
        <w:gridCol w:w="481"/>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50 basis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100 basis 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150 basis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w:t>
            </w:r>
          </w:p>
        </w:tc>
      </w:tr>
    </w:tbl>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change to total net revenues, net income, and cash flows, prior to any income tax effects, would be the same as total net revenues includes net interest revenue, which captures both the impact of any incremental interest revenue and interest expense, and changes in interest rates do not have a direct impact on operating expenses. The impact related to the change in interest rates is positively correlated, linear, and proportional. The change in the sensitivity analysis from prior year is in line with the change in interest-earning asset balances. </w:t>
      </w:r>
    </w:p>
    <w:p>
      <w:pPr>
        <w:pStyle w:val="TextBody"/>
        <w:bidi w:val="0"/>
        <w:spacing w:before="0" w:after="20"/>
        <w:ind w:left="0" w:right="0" w:firstLine="36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investment policy and strategy are focused on the preservation of capital and supporting our liquidity requirements. We invest in highly-rated debt securities that were considered held-to-maturity investments with average duration in the portfolio less than a year and the maximum maturity of two years. To provide a meaningful assessment of the interest rate risk associated with our investment portfolio, we performed a sensitivity analysis to determine the impact a change in interest rates would have on the value of the investment portfolio assuming a 100 basis point parallel shift in the yield curve. Based on investment positions as of June 30, 2025, a hypothetical 100 basis point increase in interest rates across all maturities would not be significant. Any losses would only be realized if we sold the investments prior to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48310"/>
                <wp:effectExtent l="0" t="0" r="0" b="0"/>
                <wp:wrapNone/>
                <wp:docPr id="59" name="Frame5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6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have exposure to changes in interest rates related to our variable-rate credit facilities. See Note 10 - Financing Activities and Off-Balance Sheet Risk, to our unaudited condensed consolidated financial statements in this Quarterly Report for further information. However, as there were no outstanding borrowings under our uncommitted revolving credit facilities as of June 30, 2025, we had limited financial exposure associated with changes in interest rates as of such date.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established a comprehensive interest rate risk management policy, which formalizes our approach to managing interest rate risk arising in connection with the operation of our businesses. The policy sets forth policies and procedures pursuant to which we will identify interest rate risk exposure, identify and implement appropriate hedging strategies and hedging instruments, and analyze the effectiveness of our hedging strategies. Interest rate instruments will be used for hedging purposes only and not for speculation.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measurement of interest rate risk involves assumptions that are inherently uncertain and, as a result, our analysis might not precisely estimate the actual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Market-Related Credit Risk</w:t>
      </w:r>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by requiring additional cash as collateral for securities loaned or return of collateral for securities borrowed when necessary, and by participating in a risk-sharing program offered through the OCC.</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4. CONTROLS AND PROCEDURES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Evaluation of Disclosure Controls and Procedures</w:t>
      </w:r>
    </w:p>
    <w:p>
      <w:pPr>
        <w:pStyle w:val="TextBody"/>
        <w:bidi w:val="0"/>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management, with the participation of our CEO and our Chief Financial Officer (“CFO”), has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48310"/>
                <wp:effectExtent l="0" t="0" r="0" b="0"/>
                <wp:wrapNone/>
                <wp:docPr id="60" name="Frame5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240" w:after="240"/>
        <w:jc w:val="both"/>
        <w:rPr>
          <w:rFonts w:ascii="Helvetica;sans-serif" w:hAnsi="Helvetica;sans-serif"/>
          <w:b w:val="false"/>
          <w:color w:val="000000"/>
          <w:sz w:val="20"/>
        </w:rPr>
      </w:pPr>
      <w:r>
        <w:rPr>
          <w:rFonts w:ascii="Helvetica;sans-serif" w:hAnsi="Helvetica;sans-serif"/>
          <w:b w:val="false"/>
          <w:color w:val="000000"/>
          <w:sz w:val="20"/>
        </w:rPr>
        <w:t>such evaluation, our CEO and CFO have concluded that, as of the end of the period covered by this Quarterly Report, our disclosure controls and procedures were effective.</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Changes in Internal Control Over Financial Reporting</w:t>
      </w:r>
    </w:p>
    <w:p>
      <w:pPr>
        <w:pStyle w:val="TextBody"/>
        <w:bidi w:val="0"/>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Except as noted below, there has been no change in our internal control over financial reporting (as defined in Rule 13a-15(f) and 15d-15(f) under the Exchange Act) during the three months ended June 30, 2025 that has materially affected, or is reasonably likely to materially affect, our internal control over financial reporting.</w:t>
      </w:r>
    </w:p>
    <w:p>
      <w:pPr>
        <w:pStyle w:val="TextBody"/>
        <w:bidi w:val="0"/>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June 2, 2025, we acquired Bitstamp as discussed in Note 3 – Business Combinations, to our unaudited condensed consolidated financial statements in this Quarterly Report for further information. We are in the process of evaluating and integrating Bitstamp into our system of internal control over financial reporting. In accordance with guidance issued by the staffs of the SEC’s Office of the Chief Accountant and the Division of Corporation Finance, companies are permitted to exclude acquisitions from their assessment of internal control over financial reporting for the first fiscal year in which the acquisition occurred and management currently expects to exclude Bitstamp from such assessment for 2025.</w:t>
      </w:r>
    </w:p>
    <w:p>
      <w:pPr>
        <w:pStyle w:val="TextBody"/>
        <w:bidi w:val="0"/>
        <w:spacing w:before="240" w:after="24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48310"/>
                <wp:effectExtent l="0" t="0" r="0" b="0"/>
                <wp:wrapNone/>
                <wp:docPr id="61" name="Frame6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1. LEGAL PROCEEDINGS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See Item 1 of Part I, “Unaudited Financial Statements — Note 14 - Commitments &amp;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1A. RISK FACTORS</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 description of the risks and uncertainties associated with our business is set forth below. You should carefully consider the risks and uncertainties described below, as well as the other information included in this Quarterly Report, including our unaudited condensed consolidated financial statements and the related notes and “Management’s Discussion and Analysis of Financial Condition and Results of Operations.”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might also adversely affect our business. Some statements in this Quarterly Report, including statements in the following risk factors, constitute forward-looking statements. Please refer to “Cautionary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 xml:space="preserve">Summary of Risk Factors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business is subject to a number of risks and uncertainties including those described at length in the Risk Factors section below. We consider the following to be our most material risks: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might not grow in line with historical rates.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Our results of operations and other operating metrics fluctuate from quarter to quarter, which makes these metrics difficult to predict.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Factors that affect transaction-based revenue — such as reduced spreads in securities pricing, reduced levels of trading activity generally, changes in our business relationships with or disruption in the services provided by Liquidity Providers (as defined below), and any new regulation of, or any bans on, PFOF and similar practices — might result in reduced profitability, increased compliance costs, and negative publicity.</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are directly and indirectly exposed to fluctuations in interest rates, and rapidly changing interest rate environments have in the past and could in the future reduce our net interest revenues and otherwise result in reduced profitability.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As registered broker-dealers, we are subject to “best execution” requirements under SEC guidelines and FINRA rules. We could be penalized if we fail to comply with these requirements and these requirements might be modified in the future in a way that could harm our business.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Unfavorable media coverage and other events that harm our brand and reputation could adversely affect our revenue and the size, engagement, and loyalty of our customer base.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business has been and might continue to be harmed by changes in business, economic, or political conditions that impact global financial markets, or by a systemic market event.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future success depends on the continuing efforts of our key employees and our ability to attract and retain senior management and other highly skilled personnel.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currently operate in certain international markets and plan to further expand our international operations, which exposes us to significant new risks, and our international expansion efforts might not succeed.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business is subject to extensive, complex and changing laws and regulations, and related regulatory proceedings and investigations. Changes in these laws and regulations, or our failure to comply with these laws and regulations, could harm our business.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are involved in numerous litigation matters that are expensive and time consuming, and, if resolved adversely, could expose us to significant liability and reputational harm.</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operate in highly competitive markets, and many of our competitors have greater resources than we do and may have products and services that are more appealing than ours to our current or potential customers.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If we fail to retain existing customers or attract new customers, or if our customers decrease their use of our products and services, our revenue will decline.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If we fail to provide and monetize new and innovative products and services that are adopted by customers, our business may become less competitive and our revenue might decline.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rely on third parties to perform some key functions, and their failure to perform those functions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are incorporating AI technologies into some of our products and processes. These technologies may present business, compliance, and reputational risks.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business could be materially and adversely affected by a cybersecurity breach or other attack involving our computer systems or data or those of our customers or third-party or fourth-party service providers.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If we do not maintain the net capital levels required by regulators, our broker-dealer business may be restricted and we may be fined or subject to other disciplinary or corrective actions.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compliance and risk management policies and procedures as a regulated financial services company might not be fully effective in identifying or mitigating compliance and risk exposure in all market environments or against all types of risk.</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In the United States, any particular cryptocurrency’s status as a “security” is subject to a high degree of uncertainty and if we have not properly characterized one or more cryptocurrencies, we might be subject to regulatory scrutiny, investigations, fines, and other penalties.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If the SEC, a state regulator or a private litigant alleges that our staking services offered in the U.S. involve unregistered offers and sales of securities or unregistered securities broker-dealer activity in violation of the Securities Act, the Exchange Act or applicable state laws or regulations, and the courts agree with such plaintiff, we may be required to cease our staking activities and may be subject to monetary and other penalties.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introduction of Robinhood Stock Tokens in the EEA may expose us to significant regulatory, litigation, contractual, operational, and reputational risks.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offering of consumer credit cards through Robinhood Credit increases our exposure to customer defaults and credit risk and could result in losses.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multi-class structure of our common stock has the effect of concentrating voting power with our founders, which limits your ability to influence the outcome of matters submitted to our stockholders for approval. In addition, the Founders’ Voting Agreement (as defined below) and any future issuances of our Class C common stock could prolong the duration of our founders’ voting control.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might not grow in line with historical rates.</w:t>
      </w:r>
    </w:p>
    <w:p>
      <w:pPr>
        <w:pStyle w:val="TextBody"/>
        <w:bidi w:val="0"/>
        <w:spacing w:before="0" w:after="0"/>
        <w:jc w:val="both"/>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grown rapidly since our founding. However, the circumstances that accelerated the growth of our business in the past, including an extended period of general macroeconomic growth in the U.S., as well as growth in the financial services and technology industries, have slowed in recent years and may not exist in the future. You should not rely on our revenue or key business metrics for any previous quarterly or annual period as any indication of our revenue, revenue growth, key business metrics or key business metrics growth in future periods.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We might experience declines in the growth of our business (or negative growth) as a result of a number of factors, including slowing demand for our platforms, insufficient growth in the number of customers that utilize our platforms, declines in the level of usage of our platforms by existing customers, macroeconomic factors, increasing competition, a decrease in the growth of our overall market, or our failure to continue to capitalize on growth opportunities, including as a result of our inability to scale to meet such growth and economic conditions that have, in some instances, and could continue to reduce financial activity and the maturation of our business, among others. We also may not realize the intended benefits of acquisitions of, or investments in, other companies, products or technologies intended to grow our business. Any failure to successfully address these risks and challenges as we encounter them, will negatively affect our growth. If our revenue growth rate continues to decline, investors’ perceptions of our business and the trading price of our Class A common stock could be adversely affected.</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expanded and continue to expand our operations rapidly, including continuing to introduce new products and services on our platforms as well as geographic expansion, which makes it difficult to evaluate our current business and future prospects, and subjects us to a number of uncertainties, including our ability to plan for, model, and manage potential future growth and risks. For example, we have undertaken multiple restructurings in recent years, including significant workforce reductions, and scaled back hiring plans. These actions were driven by a general downturn in economic and market conditions. While these steps were taken to improve operational efficiency, there can be no assurance that further restructuring or workforce reductions will not be necessary in the future. As part of our ongoing efforts in the normal course of business, we also continuously evaluate whether we are appropriately staffed to be cost efficient. From time to time we have reduced our staff in certain departments as we saw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increased productivity and opportunities for greater efficiency under a leaner operating model while continuing to deliver great service and innovation for our customers.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Such efforts to control costs have in the past resulted, and might in the future continue to result in reduced productivity and deteriorating workforce morale, which can cause our business initiatives to suffer. However, if market conditions improve, we also face a risk that renewed business growth could strain our existing resources, or that we are not able to effectively scale up in response, and we could experience ongoing operating difficulties in managing our business across numerous jurisdictions, including difficulties in hiring, training, and managing a dispersed employee base.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We have also encountered, and will continue to encounter, risks and difficulties frequently experienced by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as well as increased competition and the complexities of managing expenses as we expand our business. Additionally, as our business operations continue to expand, we have had and may continue to have difficulties meeting customer demand and expectations or face challenges with respect to new offerings or services we have not previously provided or have previously provided in a different capacity or smaller scale. For instance, as a result of our acquisition of Bitstamp in June 2025, we now provide additional cryptocurrency products and services to institutional customers both in the United States and internationally, including products and services such as on-exchange lending, off-exchange settlement and post-trade settlement. These offerings to certain institutional clients expose us to risks we have not historically faced at scale, including credit risk. We might fail to adequately address these and other challenges we may face, and our business might be adversely affected if we do not manage these risks successfully.</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results of operations and other operating metrics fluctuate from quarter to quarter, which makes these metrics difficult to predict.</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results of operations are heavily reliant on the level of trading activity on our platforms and Net Deposits. In the past, our results of operations and other operating metrics have fluctuated from quarter to quarter, including due to movements and trends in the underlying markets, changes in general economic conditions, interest in investing, and fluctuations in trading levels generally, each of which is outside our control and will continue to be outside of our control. As a result, period-to-period comparisons of our results of operations might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including the occurrence of any of the risks described elsewhere in this Risk Factors section, many of which we are unable to predict or are outside of our control. Factors contributing to quarterly fluctuations have included and could in the future include, among others: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retain and engage existing customers and attract new customers;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timing and success of new product and service introductions by us or our competitors, or other changes in the competitive landscape of our market;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volatility in the market, whether generally or as a result of certain or anticipated events (such as recent developments with respect to tariffs and trade policy shifts), or the occurrence of so-called “meme” trading in equities, options, cryptocurrencies, or futures (which includes options on futures, cleared swaps, and event contracts (“Futures”)) which can cause our trading volumes to fluctuate;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fluctuations in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increases in marketing, sales, compensation (for example, due to increased hiring competition for highly skilled personnel), cloud infrastructure, and other operating expenses that we might incur to grow and expand our operations and to remain competitive;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timing and amount of non-cash expenses, such as SBC and asset impairments;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success of our expansion into new markets or 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trading volume and the prevailing trading prices for cryptocurrencies, which can be highly volatile;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ceasing support for certain cryptocurrencies on our RHC platform that the SEC or a court has asserted or determined are securities or proactively removing certain cryptocurrencies because they share similarities with such cryptocurrencies;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the public’s perception, adoption, and use of cryptocurrencies and other asset classes;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inability of customers to place trades, due to system disruptions, outages, or trading restrictions;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events that damage customer confidence in Robinhood, such as breaches of security or privacy;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impacts of public health threats (including pandemics such as COVID-19), unemployment, and inflation;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domestic or global business or macroeconomic conditions, including as a result of tariffs and trade policy shifts, geopolitical conflicts, banking instability, or responses to these events;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tax laws or judicial or regulatory interpretations of tax laws, which are recorded in the period such laws are enacted or interpretations are issued, and might significantly affect the effective tax rate of that period.</w:t>
      </w:r>
    </w:p>
    <w:p>
      <w:pPr>
        <w:pStyle w:val="TextBody"/>
        <w:bidi w:val="0"/>
        <w:spacing w:before="0" w:after="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Any of the factors above or listed elsewhere in this Risk Factors section, or the cumulative effect of some of those factors, could result in significant fluctuations in our results of operations.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In most full year periods since our inception, we have incurred operating losses and might not be profitable in the future.</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generated positive full year GAAP net income for the first time in 2024. However, in most full year periods since our inception, we have incurred operating losses. We might not be able to maintain or increase our revenue and/or maintain or further reduce our operating expenses by sufficient amounts to continue to generate positive GAAP net income on a quarterly or yearly basis in the future.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Factors that affect transaction-based revenue — such as reduced spreads in securities pricing, reduced levels of trading activity generally, changes in our business relationships with or disruption in the services provided by Liquidity Providers, and any new regulation of, or any bans on, PFOF and similar practices — might result in reduced profitability, increased compliance costs, and negative publicity. </w:t>
      </w:r>
    </w:p>
    <w:p>
      <w:pPr>
        <w:pStyle w:val="TextBody"/>
        <w:bidi w:val="0"/>
        <w:spacing w:before="0" w:after="0"/>
        <w:jc w:val="both"/>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 large portion of our revenue is transaction-based, in that we receive consideration in exchange for routing our users’ equity, option, and cryptocurrency trade orders to market makers, wholesalers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other liquidity providers (together, the “Liquidity Providers”) for execution. With respect to equities and options trading, such fees are known as payment for order flow, or “PFOF.” With respect to cryptocurrency trading, currently we receive “Transaction Rebates.” Our transaction-based revenue is sensitive to and dependent on trading volumes and therefore tends to decline during periods in which we experience decreased levels of trading generally. Computer-generated buy/sell programs and other technological advances and regulatory changes in the marketplace might continue to tighten spreads on transactions, which could also lead to a decrease in our PFOF earned from Liquidity Providers. For example, the SEC recently adopted final rules (the “September 2024 Final Rules”) to, among other things, adopt an additional minimum pricing increment, or “tick size,” for the quoting of certain national market system (“NMS”) stocks under Rule 612 of Regulation NMS, reduce the access fee caps for protected quotations under Rule 610 of Regulation NMS and enhance the transparency of better priced orders. While the SEC granted a partial stay of the effectiveness of the final rules in December 2024 pending the completion of judicial review of the petition for review, it did not stay the effective date of the quote transparency rules. The quote transparency rules will make the information about smaller-sized orders publicly available and result in the contraction of spreads across several securities, which we expect will lead to a decrease in the PFOF earned from such orders once the rules go into effect in November 2025. In addition, the regulatory landscape involving cryptocurrencies is subject to change and is experiencing rapid evolution, and future regulatory actions or policies, including for instance, the assertion of jurisdiction by domestic and foreign regulators and governments over cryptocurrency and cryptocurrency markets, could reduce demand for cryptocurrency trading and might materially decrease our revenue derived from Transaction Rebates in absolute terms and as a proportion of our total revenues.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i/>
          <w:color w:val="000000"/>
          <w:sz w:val="20"/>
        </w:rPr>
      </w:pPr>
      <w:r>
        <w:rPr>
          <w:rFonts w:ascii="Arial;sans-serif" w:hAnsi="Arial;sans-serif"/>
          <w:b w:val="false"/>
          <w:i/>
          <w:color w:val="000000"/>
          <w:sz w:val="20"/>
        </w:rPr>
        <w:t>Risks Related to our Business Relationships with Liquidity Providers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Our PFOF and Transaction Rebate arrangements with Liquidity Providers are a matter of practice and business understanding and are often not documented under binding contracts (as is generally the case with Liquidity Providers in equities and options). If any Liquidity Providers were unwilling to continue to receive orders from us or to pay us for those orders (including, for example, as a result of unusually high volatility), we might have little to no recourse and, if there are no other Liquidity Providers that are willing to receive such orders from us or to pay us for such orders, or if we are unable to find replacement Liquidity Providers in a timely manner, our transaction-based revenue would be negatively impacted. With respect to cryptocurrencies, for instance, fewer Liquidity Providers are currently able to execute cryptocurrency trades. For instance, in May 2023, two prominent Liquidity Providers announced their respective decisions to limit their offerings in cryptocurrency trading within the United States. Although we have established relationships with third-party exchanges that may provide additional access to Liquidity Providers that are able to execute cryptocurrency trades, without additional Liquidity Providers supporting cryptocurrencies entering the industry in the United States, there is a risk that we may be unable to find suitable Liquidity Providers to support cryptocurrencies. Additionally, this risk is heightened for brokerage orders executed outside of regular market hours through Robinhood 24 Hour Market, as currently all brokerage trades executed overnight are routed through one Liquidity Provider — Virtu Financial, Inc. (“Virtu”). If Virtu becomes unwilling or unable to do business with us in the future, we may be unable to find additional Liquidity Providers to support Robinhood 24 Hour Market, which could negatively impact our transaction-based revenue. Furthermore, if any of our Liquidity Providers decide to alter our given fee arrangement, our transaction-based revenue could significantly decrease.</w:t>
      </w:r>
    </w:p>
    <w:p>
      <w:pPr>
        <w:pStyle w:val="TextBody"/>
        <w:bidi w:val="0"/>
        <w:spacing w:lineRule="auto" w:line="288" w:before="0" w:after="200"/>
        <w:ind w:left="0" w:right="0" w:firstLine="360"/>
        <w:jc w:val="both"/>
        <w:rPr/>
      </w:pPr>
      <w:r>
        <w:rPr>
          <w:rFonts w:ascii="Arial;sans-serif" w:hAnsi="Arial;sans-serif"/>
          <w:b w:val="false"/>
          <w:color w:val="000000"/>
          <w:sz w:val="20"/>
        </w:rPr>
        <w:t>Additionally, disruptions in the services provided by Liquidity Providers, whether due to technical malfunctions, operational mishaps, or financial instability of the Liquidity Providers, or external factors such as regulatory changes or market volatility, have in the past, and may in the future impair our ability to execute our client</w:t>
      </w:r>
      <w:r>
        <w:rPr>
          <w:color w:val="000000"/>
        </w:rPr>
        <w:t>’</w:t>
      </w:r>
      <w:r>
        <w:rPr>
          <w:rFonts w:ascii="Arial;sans-serif" w:hAnsi="Arial;sans-serif"/>
          <w:b w:val="false"/>
          <w:color w:val="000000"/>
          <w:sz w:val="20"/>
        </w:rPr>
        <w:t>s orders. Should a Liquidity Provider experience downtime or diminished performance, particularly during peak trading hours, our ability to execute customer orders could be compromised and could have an adverse impact on our business, financial condition, and results of operations.</w:t>
      </w:r>
    </w:p>
    <w:p>
      <w:pPr>
        <w:pStyle w:val="TextBody"/>
        <w:bidi w:val="0"/>
        <w:spacing w:lineRule="auto" w:line="288" w:before="0" w:after="200"/>
        <w:ind w:left="0" w:right="0" w:firstLine="360"/>
        <w:jc w:val="both"/>
        <w:rPr>
          <w:rFonts w:ascii="Arial;sans-serif" w:hAnsi="Arial;sans-serif"/>
          <w:b w:val="false"/>
          <w:i/>
          <w:color w:val="000000"/>
          <w:sz w:val="20"/>
        </w:rPr>
      </w:pPr>
      <w:r>
        <w:rPr>
          <w:rFonts w:ascii="Arial;sans-serif" w:hAnsi="Arial;sans-serif"/>
          <w:b w:val="false"/>
          <w:i/>
          <w:color w:val="000000"/>
          <w:sz w:val="20"/>
        </w:rPr>
        <w:t>Risks Related to Regulation of PFOF</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recent years, PFOF practices have drawn heightened scrutiny from the U.S. Congress, the SEC, state regulators, and other regulatory and legislative authorities. For example, in December 2020,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settled an SEC investigation into our best execution and PFOF practices and are defending a consolidated putative class action in federal district court relating to the same factual allegations. Additionally, since July 2023, we have been cooperating with an investigation being conducted by the New York Attorney General concerning brokerage execution quality. We also face the risk that the SEC, other regulatory authorities, or legislative bodies might adopt additional regulation or legislation relating to, or which may otherwise impact, PFOF practices as a result of such heightened scrutiny or otherwise. For instance, in March 2024, the SEC adopted amendments to enhance order execution disclosures under Rule 605 of Regulation NMS, which will apply for the first time to RHF and RHS beginning in December 2025. In September 2024, the SEC also adopted rule amendments related to order tick size and access fee caps (the “Tick Size and Access Fee Cap Rules”).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Beginning in December 2025, the Order Execution Disclosure Rules will require brokers, including RHF and RHS, to make new, publicly available execution quality disclosures that will allow customers, regulators, academics, the press and others to compare execution quality between brokers. Execution quality of brokers may vary based on the trading characteristics of the broker’s customers, including, but not limited to, the average number of shares traded, the types of securities (e.g., large cap, small cap, more liquid or less liquid, average spread size, etc.), what types of orders customers submit (e.g., market or limit) and when customers place their trades (e.g., market open, during the regular session or market close). Depending on how our order execution quality compares to other brokers, we could be subject to negative press or critical academic studies that could result in regulatory scrutiny or civil actions which could harm our brand and reputation.</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Beginning in November 2025, the Tick Size and Access Fee Cap Rules will make information about smaller-sized orders publicly available, which is likely to result in the contraction of spreads across many securities, and we expect will lead to a decrease in the PFOF earned from such orders. Any new or heightened PFOF regulation, including the September 2024 Final Rules will result in increased compliance costs and otherwise could materially decrease our transaction-based revenue, might make it more difficult for us to expand our platforms in certain jurisdictions, and could require us to make significant changes to our revenue model, which changes might not be successful. Because some of our competitors either do not engage in PFOF or derive a lower percentage of their revenues from PFOF than we do, any regulatory legal or regulatory change that impacts PFOF could have an outsized impact on our results of operations. Furthermore, depending on the nature of any new requirements, heightened regulation could also increase our risk of potential regulatory violations and civil litigation, which could result in fines or other penalties, as well as negative publicity.</w:t>
      </w:r>
    </w:p>
    <w:p>
      <w:pPr>
        <w:pStyle w:val="TextBody"/>
        <w:bidi w:val="0"/>
        <w:spacing w:lineRule="auto" w:line="288" w:before="0" w:after="200"/>
        <w:ind w:left="0" w:right="0" w:firstLine="360"/>
        <w:jc w:val="both"/>
        <w:rPr>
          <w:rFonts w:ascii="Arial;sans-serif" w:hAnsi="Arial;sans-serif"/>
          <w:b w:val="false"/>
          <w:i/>
          <w:color w:val="000000"/>
          <w:sz w:val="20"/>
        </w:rPr>
      </w:pPr>
      <w:r>
        <w:rPr>
          <w:rFonts w:ascii="Arial;sans-serif" w:hAnsi="Arial;sans-serif"/>
          <w:b w:val="false"/>
          <w:i/>
          <w:color w:val="000000"/>
          <w:sz w:val="20"/>
        </w:rPr>
        <w:t>Risks Related to Negative Publicity Associated with PFOF or our Market Makers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Additionally, any negative publicity surrounding PFOF or Transaction Rebate practices generally, or our implementation of these practices, could harm our brand and reputation. For example, as a result of the Early 2021 Trading Restrictions (as defined in Note 14 - Commitments &amp; Contingencies to our unaudited condensed consolidated financial statements in this Quarterly Report), we faced allegations that our decision to temporarily prevent our customers from purchasing specified securities was influenced by our relationship with certain market makers. Furthermore, as registered broker-dealers, market makers must comply with rules and regulations that are generally intended to prohibit them from 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 Developments in any proposals related to the regulation of PFOF or market structure design have generated and might continue to generate negative publicity associated with PFOF. For example, the intra-day trading price of our Class A common stock fell as much as 5.3% on December 14, 2022, the day the SEC announced the proposal of four equity market structure rules related to best execution, order competition, order execution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and order tick size and access fee caps. The best execution and order competition proposals were subsequently withdrawn in June 2025.</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Additionally, if our customers or potential customers believe that they might get better execution quality (including better price improvement) directly from stock exchanges or from our competitors that have different execution arrangements, or if our customers perceive our PFOF practices to create a conflict of interest between us and them, or if they begin to disfavor the specific market markers with which we do business due to any negative media attention, they might come to have an adverse view of our business model and might decide to limit or cease the use of our platforms. Some customers might prefer to invest through our competitors that do not engage in PFOF or Transaction Rebate practices or engage in them differently than do we. Any such loss of customer engagement as a result of any negative publicity associated with PFOF or Transaction Rebate practices could adversely affect our business, financial condition, and results of operations.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RHC has started to allow customers to choose a fee-based model in lieu of a liquidity provider rebate-based model (under which RHC receives Transaction Rebates from Liquidity Providers) for cryptocurrency orders routed to exchanges for execution. This shift may lead to negative publicity due to potential differences in total costs for customers under the two models. Depending on the nature of these cost differences, concerns might arise about (i) the use of PFOF with respect to other asset classes like equities and options and/or (ii) the replacement of liquidity provider rebates by customer fees for orders in cryptocurrency routed to exchanges for execution. Any negative publicity associated with adopting this model may have an adverse impact on our business, financial condition and results of operations.</w:t>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We are directly and indirectly exposed to fluctuations in interest rates, and rapidly changing interest rate environments have in the past and could in the future reduce our net interest revenues and otherwise result in reduced profitability.</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 portion of our revenue comes from interest income earned from our corporate cash and investment portfolio, our securities lending activities, cash sweep, and from interest-rate sensitive assets, including receivables from users’ margin-borrowing and other assets underlying the customer balances we hold on our balance sheets as customer accounts. Interest rates are the key driver of our net interest income and are subject to many factors beyond our control. Reductions in interest rates have negatively impacted, and a return to a low interest rate environment would negatively impact our total net revenues, net income (loss), and cash flows, prior to any income tax effects, and adversely impact our customers’ returns on their cash deposits. Changes to the level or mix of interest earning balances could also negatively impact our total net revenues, net income (loss), and cash flows, prior to any tax income effects, if customers react to the rising interest rate environment by moving cash that would have otherwise been spent on services or products with higher revenue potential for Robinhood into Robinhood accounts that offer customers high interest rates. For a more detailed discussion of interest rate risk and an estimate of how hypothetical 50, 100 or 150 basis point increases or decreases in interest rates to the period end balances of our interest-earning assets and liabilities could affect our total net revenues, net income (loss), and cash flows, prior to any income tax effects, see “Quantitative and Qualitative Disclosures about Market Risk—Interest Rate Risk” elsewhere in this report.</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Higher interest rates also lead to higher payment obligations by our customers to us and to their creditors under mortgage, credit card, and other consumer and merchant loans, which might reduce our customers’ ability to satisfy their obligations to us, including failing to pay for securities purchased, meet minimum credit card payments, deliver securities sold, or meet margin calls, and therefore lead to increased delinquencies, charge-offs, and allowances for loan and interest receivables, which could have an adverse effect on our net income. Fluctuations in interest rates could adversely impact our customers’ general spending levels and ability and willingness to invest and spend through our platforms.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registered broker-dealers, we are subject to “best execution” requirements under SEC guidelines and FINRA rules, which requires us to obtain the best reasonably available terms for customer orders. We have in the past and continue to be subject to investigations related to our best execution practices. We may face additional investigations and/or a risk of penalties in the future related to our best execution practices.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We also might be adversely affected in the future by regulatory changes related to our obligations with regard to best execution. In particular, receipt of PFOF and best execution requirements have drawn heightened scrutiny from the U.S. Congress, the SEC, and other regulatory and legislative authorities, who have at times alleged that PFOF arrangements, like those we have with our Liquidity Providers, can result in harm to customer execution quality. There is a risk that these bodies might adopt new laws or regulation relating to PFOF practices and best execution requirements as a result of such heightened scrutiny or otherwise. For instance, the SEC previously proposed rules relating to best execution requirements in December 2022 but formally withdrew them in June 2025. Any such new laws or regulations could have a material adverse impact on our business and one of our primary sources of revenue.</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might need additional capital to provide liquidity and support business growth and objectives, and this capital might not be available to us on reasonable terms, if at all, might result in stockholder dilution, or might be delayed or prohibited by applicable regulations. </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Maintaining adequate liquidity is crucial to our securities brokerage, cryptocurrency and our money services business operations, including key functions such as transaction settlement, custody requirements, and margin lending. The SEC and FINRA also have stringent rules with respect to the maintenance of specific levels of net capital by securities broker-dealers. We meet our liquidity needs primarily from working capital and cash generated by customer activity, as well as from external debt and equity financing. Despite these resources, increases in the number of customers, and fluctuations in customer cash or deposit balances, as well as market conditions or changes in regulatory treatment of customer deposits, could affect our ability to meet our liquidity needs. We might be adversely affected by regulatory changes related to our obligations with regard to capital maintenance requirements. For example, in December 2024, the SEC adopted amendments to the broker-dealer customer protection rule (SEC Rule 15c3-3) to require certain broker-dealers to compute their customer and broker-dealer reserve deposit requirements, and to make any required deposits, daily rather than weekly. These amendments, which require broker-dealer compliance by June 2026, will increase the operational complexity and burden related to such calculations and funding. Additionally, there is no definitive guidance on whether or how these rules may apply to cryptocurrencies, and we might be adversely affected in the future if the SEC determines that they do. </w:t>
      </w:r>
    </w:p>
    <w:p>
      <w:pPr>
        <w:pStyle w:val="TextBody"/>
        <w:bidi w:val="0"/>
        <w:spacing w:before="0" w:after="0"/>
        <w:ind w:left="0" w:right="0" w:firstLine="72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In addition, our clearing and carrying broker-dealer is subject to cash deposit and collateral requirements under the rules of the clearinghouses in which it participates (including DTC, NSCC, and OCC), which requirements fluctuate significantly from time to time based upon the nature and volume of customers’ trading activity and volatility in the market or individual securities. If we fail to meet any such deposit requirements, our ability to settle trades through the clearinghouse may be suspended or we might be forced to restrict trading in certain stocks in order to limit clearinghouse deposit requirements. For example, from January 28 to February 5, 2021, due to increased deposit requirements imposed on our clearing and carrying broker-dealer by NSCC in response to unprecedented market volatility, particularly in certain securities, we implemented the Early 2021 Trading Restrictions. This resulted in negative media attention, customer dissatisfaction, reputational harm, litigation, and regulatory and U.S. Congressional inquiries and investigations, as well as capital raising by us in order to lift the trading restrictions while remaining in compliance with our net capital and deposit requirements. We face a risk that similar events could occur in the future and, if we are unable to satisfy our deposit requirements, the clearinghouse may cease to act for us and may liquidate our unsettled clearing portfolio. We also need to hold capital and make deposits with respect to certain event contracts in accordance with applicable CFTC regulations and ForecastEx, LLC, Kalshi Klear LLC, and KalshiEx LLC’s Rulebooks for RHD.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Further, Robinhood Europe, UAB (“RHEU”) and Bitstamp Europe S.A., are licensed crypto asset service providers under the EU’s Markets in Crypto-Assets Regulation (“MiCA”), the provisions of which went into effect as of December 30, 2024. Among other requirements, RHEU and Bitstamp Europe S.A. are subject to mandatory capital requirements that vary based on the services we provide. Failure to meet these capital requirements or any future increases to these requirements could limit our ability to obtain or maintain authorization, constrain operational flexibility, or result in penalties or sanctions.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SROs or state regulators, and could ultimately lead to the liquidation of our broker-dealers or other regulated entities. Factors which might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Liquidity Providers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and/or excessive withdrawals or redemptions, or a suspension of redemptions or withdrawals of customer assets.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might also need additional capital to continue to support our business and any future growth and to respond to competitive challenges, including the need to promote our products and services, develop new products and services, enhance our existing products, services and operating infrastructure, acquire and invest in complementary businesses and technologies, and to fund payments on our obligations at the parent company level, such as the income tax withholding and remittance obligations that arise upon the vesting and/or settlement of our outstanding RSUs, and any debt obligations we might incur. To meet liquidity needs at the parent level, we might need to rely on dividends, distributions and other payments from our subsidiaries. Regulatory and other legal restrictions might limit our ability to transfer funds to or from some subsidiaries. For example, under FINRA rules applicable to RHS, a dividend of over 10% of a member firm’s excess net capital must not be paid without FINRA’s prior written approval.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When available cash is not sufficient, we might seek to engage in equity or debt financings to secure additional funds. However, such additional funding might not be available on terms attractive to us, or at all, and our inability to obtain additional funding when needed could have an adverse effect on our business, financial condition, and results of operations. If we issue equity or convertible debt securities, our stockholders could suffer significant dilution, and the new shares could have rights, preferences and privileges superior to those of our current stockholders. Any debt financing could involve restrictive covenants relating to our capital-raising activities and other financial and operational matters, which might make it more difficult for us to obtain additional capital and to pursue future business opportunities.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Unfavorable media coverage and other events that harm our brand and reputation could adversely affect our revenue and the size, engagement, and loyalty of our customer base.</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brand and our reputation are two of our most important assets. Our ability to attract, build trust with, engage, and retain existing and new customers might be adversely affected by events that harm our brand and reputation, such as public complaints and unfavorable media coverage about us, our platforms, and our customers, even if factually incorrect or based on isolated incidents.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receive a high volume of media coverage, which has included, and might continue to include, negative coverage regarding our products and services and the risk of our customers’ misuse or misunderstanding of our products and services, inappropriate or otherwise unauthorized behavior by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pPr>
      <w:r>
        <w:rPr>
          <w:rFonts w:ascii="Arial;sans-serif" w:hAnsi="Arial;sans-serif"/>
          <w:b w:val="false"/>
          <w:color w:val="000000"/>
          <w:sz w:val="20"/>
        </w:rPr>
        <w:t xml:space="preserve">customers and litigation or regulatory activity. In addition, given our public profile, any unanticipated system disruptions, outages, technical or security-related incidents, or other performance problems relating to our platforms, such as the November 2021 Data Security Incident (as defined in </w:t>
      </w:r>
      <w:r>
        <w:rPr>
          <w:rFonts w:ascii="Helvetica;sans-serif" w:hAnsi="Helvetica;sans-serif"/>
          <w:b w:val="false"/>
          <w:color w:val="000000"/>
          <w:sz w:val="20"/>
        </w:rPr>
        <w:t>Note 14 - Commitments &amp; Contingencies</w:t>
      </w:r>
      <w:r>
        <w:rPr>
          <w:color w:val="000000"/>
        </w:rPr>
        <w:t xml:space="preserve"> </w:t>
      </w:r>
      <w:r>
        <w:rPr>
          <w:rFonts w:ascii="Arial;sans-serif" w:hAnsi="Arial;sans-serif"/>
          <w:b w:val="false"/>
          <w:color w:val="000000"/>
          <w:sz w:val="20"/>
        </w:rPr>
        <w:t>to our unaudited condensed consolidated financial statements in this Quarterly Report) are likely to receive extensive media attention. Furthermore, any negative experiences our customers have in connection with their use of our products and services, including as a result of any such performance problems, could diminish customer confidence in us and our products and services, which could result in unfavorable media coverage or publicity. For example, we received customer complaints and significant media attention as a result of the Early 2021 Trading Restrictions.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Damage to our brand and reputation could also be caused by: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cybersecurity attacks, privacy or data security breaches, or other security incidents, payment disruptions or other incidents that impact the reliability of our platforms;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actual or alleged illegal, negligent, reckless, fraudulent or otherwise inappropriate behavior by our management team, our other employees or contractors, our customers or third-party service providers or partners as well as complaints or negative publicity about such individuals or companies;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future restructurings or any similar such reductions or activities in the future;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repeat imposition of temporary trading restrictions (similar to our Early 2021 Trading Restrictions), or any outright failure to meet our deposit requirements;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litigation, regulatory actions, settlements, or investigations involving our platforms or our business;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regulators requesting or requiring us to cease offering specific products or services;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failures to comply with legal, tax and regulatory requirements;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perceived or actual weakness in our financial strength or liquidity;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regulatory action or settlement that results in changes to, or prohibits us from offering, certain features, products or services;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new policies, features, products, or services, or changes to our policies, features, products, or services, that customers or others perceive as overly restrictive, unclear, inconsistent with our values or mission, or not clearly articulated;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 failure to operate our business in a way that is consistent with our values and mission;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inadequate or unsatisfactory customer support experiences;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negative responses by customers or regulators to our business model or to particular features, products or services;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 failure to adapt to new or changing customer preferences;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our decision to offer products viewed by some as controversial;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inability to successfully expand into new markets or make successful acquisitions of, or investments in, other companies, products or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a prolonged weakness in popular equities or cryptocurrencies specifically or in U.S. or international equity and cryptocurrency markets generally, or a sustained downturn in the U.S. or international economies;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negative claims or publicity involving our culture or businesses, regardless of whether such claims are accurate;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of the foregoing with respect to our competitors, to the extent the resulting negative perception affects the public’s perception of us or our industry as a whole.</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These and other events could negatively impact the willingness of our existing customers, and potential new customers, to do business with us, which could adversely affect our trading volumes and number of Funded Customers, as well as our ability to recruit and retain personnel, any of which could have an adverse effect on our business, financial condition, and results of operations, as well as the trading price of our Class A common stock. For instance, on November 8, 2022 (the day that FTX Trading Ltd. (“FTX”), a major international cryptocurrency exchange, halted all non-fiat customer withdrawals from its platform), the intra-day trading price of our Class A common stock fell as much as 18%.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could incur substantial losses from our cash and investment accounts if one or more of the financial institutions that we use fails or is taken over by the FDIC.</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maintain cash and investment accounts, as well as restricted cash as certificates of deposits for facility leases and other contractual obligations, at multiple financial institutions in amounts that are significantly in excess of the limits insured by the FDIC. In spring 2023, certain U.S. banks failed and were taken over by the FDIC (the “2023 Banking Events”). If any of the financial institutions where we hold significant deposits were to fail or be taken over by the FDIC, our ability to access such accounts has in the past and could be in the future temporarily or permanently limited, which could adversely affect our business. In particular, while we have taken steps to help ensure that the loss of all or a significant portion of any uninsured amount would not have an adverse effect on our ability to pay our operational expenses or make other payments, the failure of a financial institution where we hold significant deposits has in the past and may in the future require us to move funds to another bank, which could cause a temporary delay in making payments to our vendors and employees, or under other contractual arrangements, and cause other operational inconveniences. Additionally, any losses or delay in access to funds as a result of such events could have a material adverse effect on our ability to meet contractual obligations, earnings, financial condition, cash flows, and stock price.</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Our business has been and might continue to be harmed by changes in business, economic, or political conditions that impact global financial markets, or by a systemic market event.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we are a financial services company, our business, results of operations, and reputation are directly and indirectly affected by elements beyond our control, such as financial market volatility (such as we previously experienced during the COVID-19 pandemic or have experienced and may experience in the future due to recent trade policy shifts and the imposition or escalation of tariffs implemented by the United States and other countries or blocs, including China, Canada, and the EU, and those countries’ or blocs’ responses to such shifts and tariffs), economic and political conditions including unemployment rates, inflation, tax and interest rates, geopolitical conflicts, such as the Russian invasion of Ukraine and ongoing events in the Middle East, significant increases in the volatility or trading volume of particular securities, cryptocurrencies, or Futures (such as we experienced during the meme stock events of early 2021 and the Dogecoin surge of mid-2021), broad trends in business and finance, actual events or concerns involving liquidity, defaults, or non-performance by third-party financial institutions or transactional counterparties (such as the 2023 Banking Events), changes in volume of securities, cryptocurrencies, or Futures trading generally and changes in the markets in which such transactions occur, and changes in how such transactions are processed. These elements can arise suddenly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full impact of such conditions could have an adverse effect on our business results or remain uncertain indefinitely. Because a large percentage of our customers are first time investors, we might be disproportionately affected by declines in investor confidence caused by adverse economic conditions. A prolonged market weakness, such as a slowdown causing reduced trading volume in securities, derivatives, or cryptocurrency markets, has resulted, and could result in the future in reduced revenues and adversely affect our business, financial condition, and results of operations. Conversely, significant upturns in such markets or conditions might cause individuals to be less proactive in seeking ways to improve the returns on their trading or investment decisions and, thus, decrease the demand for our products and services.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Additionally, concerns regarding the U.S. and/or international financial systems, such as in connection with the 2023 Banking Events, could result in less favorable commercial financing terms available to us, including higher interest rates or costs and tighter financial and operating covenants, or systemic limitations on our access to credit and liquidity sources.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Any of these changes could cause our future performance to be uncertain or unpredictable, and could have an adverse effect on our business and results of operations.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future success depends on the continuing efforts of our key employees and our ability to attract and retain senior management and other highly skilled personnel.</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future success depends, in part, on our ability to continue to identify, attract, develop, integrate and retain qualified and highly skilled personnel. In particular, our CEO, Vladimir Tenev, has been critical to the development and execution of our business, vision, and strategic direction. In addition, we have heavily relied, and expect we will continue to heavily rely, on the services and performance of our senior management team, which provides leadership, contributes to the core areas of our business and helps us to efficiently execute our business. Although we have entered into employment offer letters with some of our key personnel, most of these agreements have no specific duration and are terminable by either party at-will and our senior management team has experienced recent changes. We do not maintain key person life insurance policies on any of our employees.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also might not be successful in attracting, integrating or retaining qualified personnel to fulfill our current or future needs. In particular, there continues to be particularly high competition in the San Francisco Bay Area for software engineers, computer scientists and other technical personnel. Given our heavy emphasis on SBC, the performance of our stock price has in the past had, and could continue to have, a significant impact on our ability to recruit, retain, and motivate highly skilled personnel. Additionally, our working model may negatively impact our ability to retain and recruit highly skilled personnel, especially to the extent other companies continue to allow more flexible remote working models. Attrition and workforce reorganizations and reductions have also and might continue to adversely affect our reputation among job seekers, demoralize our remaining employees, and result in a loss of institutional know-how, reduced productivity, slower customer service response, reduced effectiveness of internal compliance and risk-mitigation programs, and cancellations of or delays in completing new product developments and other strategic projects. For example, in the periods immediately following our recent restructurings, we experienced higher rates of voluntary employee attrition and declines in reported employee job satisfaction. We might continue to experience difficulty in hiring and retaining highly skilled employees with appropriate qualifications.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believe that a critical component of our efforts to attract and retain employees has been our corporate culture of innovation. We have invested substantial time and resources in building our team. As we continue to expand internationally, we will face new challenges to maintain our corporate culture of innovation among a larger number of geographically dispersed and remote employees, as well as other service providers. Failure to preserve our company culture could harm our ability to retain and recruit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If we are unable to attract, integrate, retain, or effectively replace our key employees and qualified and highly skilled personnel, our ability to effectively focus on and pursue our corporate objectives will decline, and our business and future growth prospects could be harmed.</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Acquisitions of, or investments in, other companies, products or technologies have in the past and could in the future require significant management attention, disrupt our business, dilute stockholder value, and adversely affect our results of operations.</w:t>
      </w:r>
    </w:p>
    <w:p>
      <w:pPr>
        <w:pStyle w:val="TextBody"/>
        <w:bidi w:val="0"/>
        <w:spacing w:before="0" w:after="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As part of our business strategy, we have made and might continue to make acquisitions of, or investments in, specialized employees or other compatible companies, products, or technologies. We also have entered into and might continue to enter into relationships with other businesses in order to expand our products and services. Negotiating these transactions can be time-consuming, difficult, and expensive. Our ability to close these transactions has been and might in the future be subject to third-party approvals and customary closing conditions, such as governmental and other regulatory approvals, some of which are beyond our control, and may take longer than expected to be obtained, if at all. If pending transactions are not completed, we have in the past and could in the future be subject to losses from legal fees and other expenses as well as impairment charges.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general, our efforts to grow through acquisitions are subject to the risks that we might be unable to find suitable acquisition or investment candidates or to complete acquisitions on favorable terms or in a timely manner, if at all. Moreover, these kinds of acquisitions or investments can result in unforeseen risks, operating difficulties and expenditures prior to and following closing, including disrupting our ongoing operations, diverting management from their primary responsibilities, subjecting us to additional liabilities, compliance obligations and/or regulatory costs and penalties, exposing us to increased regulatory risk in connection with acquired companies, increasing our expenses, and adversely impacting our business, financial condition and results of operations. In connection with such acquisitions, we have encountered and may encounter in the future challenges in successfully integrating the acquired personnel, operations, products, and technologies, including in connection with our recent acquisitions of TradePMR and Bitstamp, and have and may have in the future difficulty effectively managing the combined business following such acquisitions. Moreover, the anticipated benefits of any acquisition or investment might not be realized, the acquisition or investment might not perform in accordance with expectations, and we might be exposed to unknown liabilities or risks.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connection with these types of transactions, we might issue additional equity securities that would dilute our stockholders, use cash that we might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w:t>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We currently operate in certain international markets and plan to further expand our international operations, which exposes us to significant new risks, and our international expansion efforts might not succeed.</w:t>
      </w:r>
    </w:p>
    <w:p>
      <w:pPr>
        <w:pStyle w:val="TextBody"/>
        <w:bidi w:val="0"/>
        <w:spacing w:before="0" w:after="0"/>
        <w:jc w:val="both"/>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currently only offer select services to the public outside the United States in certain jurisdictions, including brokerage services in the U.K. through Robinhood U.K., Ltd., crypto and brokerage services in the EU, through RHEU, and our Robinhood Wallet, which is available in over 150 countries and offered through our Cayman Islands subsidiary, Robinhood Non-Custodial Ltd. In addition, Bitstamp, which we acquired in June 2025 and expect to help accelerate our international growth, currently has entities operating in the U.K., EU, Singapore, and the British Virgin Islands, and also offers services in other countries globally.</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intend to continue expanding our operations outside of the United States. International expansion requires significant resources and management attention and subjects us to additional regulatory, economic, operational, and political risks on top of those we already face in the United States. There are significant risks and costs inherent in establishing and doing business in international markets,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difficulty establishing and managing international entities, offices, and/or operations and the increased operations, travel, infrastructure, and legal and compliance costs associated with operations, entities, and/or people in different countries or regions;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the need to understand, interpret and comply with local laws, regulations and customs in multiple jurisdictions, including laws and regulations governing cryptocurrency-related, credit, payments services, derivatives, broker-dealer, money transmitter, or regulated entity practices, some of which do or might require permissions, registrations, authorizations, licenses or consents, or are or might be different from, or conflict with, those of other jurisdictions or foreign cybersecurity, data privacy or labor and employment laws;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the additional complexities of any merger or acquisition activity internationally, which could subject us to additional regulatory scrutiny, approvals, obligations, costs and penalties or risk;</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the need to adapt, localize, and position our products for specific countries (also known as “product-market fit”);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increased exposure to foreign fraud vectors;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increased competition from local providers of similar products and services;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challenges of obtaining, maintaining, protecting, defending and enforcing intellectual property rights abroad, including the challenge of extending or obtaining third-party intellectual property rights to use various technologies in new countries;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the need to offer customer support and other aspects of our offering (including websites, articles, blog posts, and customer support documentation) in various languages or locations;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compliance with anti-bribery and anti-corruption laws, such as the Foreign Corrupt Practices Act (“FCPA”) and equivalent anti-money laundering and sanctions rules and requirements in local markets, by us, our employees, and our business partners;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the need to recruit and manage staff in new countries and regions to support international operations, and comply with employment law, tax, payroll, and benefits requirements in multiple countries;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the need to enter into new business partnerships with third-party service providers in order to provide products and services in the local market, or to meet regulatory obligations;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varying levels of internet technology adoption and infrastructure, and increased or varying network and hosting service provider costs and differences in technology service delivery in different countries;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 xml:space="preserve">fluctuations in currency exchange rates, inflation, and tariffs and trade policy shifts could limit our ability to operate efficiently across or within borders, and the requirements of currency control regulations, which might restrict or prohibit conversion of other currencies into U.S. dollars;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double taxation of our international earnings and potentially adverse tax consequences due to requirements of or changes in the income and other tax laws of the United States or the international jurisdictions in which we operate;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political or social change or unrest or economic instability in a specific country or region in which we operate.</w:t>
      </w:r>
    </w:p>
    <w:p>
      <w:pPr>
        <w:pStyle w:val="TextBody"/>
        <w:bidi w:val="0"/>
        <w:spacing w:before="0" w:after="20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limited experience with international legal and regulatory environments and market practices, and we might not be able to enter, penetrate or successfully operate in the markets we choose. In addition, we might incur significant expenses as a result of our international expansion, and we might not be successful, which could lead to substantial losses. </w:t>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 xml:space="preserve">We are exposed to funding transaction losses due to reversals or insufficient funds.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Some of our products and services are paid for by electronic transfer from customers’ bank accounts which exposes us to risks associated with reversals and insufficient funds. Unwinding of funds transfers due to reversals, and insufficient funds could arise from fraud, misuse, unintentional use, settlement delay, or other activities. Also, criminals are using increasingly sophisticated methods to engage in illegal activities, such as counterfeiting and fraud. If we are unable to collect and retain such amounts from the customer, or if the customer refuses or is unable, due to bankruptcy or other reasons, to reimburse us, we bear the loss for the amount of the chargeback, refund, or return.</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These risks may be amplified as we continue to expand our operations internationally and increase our exposure to foreign fraud vectors.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working model, which allows a subset of our employees to work remotely, subjects us to heightened operational risks.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currently have a large segment of employees who work remotely and are not required to come into the office on a daily basis. Allowing employees to work remotely subjects us to heightened operational risks. For example, technologies in our employees’ homes might not be as robust or effective as in our offices and could lead to lower productivity and/or increased vulnerability to cybersecurity attacks or other privacy or data security incidents. There is no guarantee that the data security and privacy safeguards we have put in place will be completely effective or that we will not encounter risks associated with employees accessing company data and systems remotely. Additionally, in June 2024 FINRA’s new Residential Supervisory Location Designation Rule became effective, under which the homes of certain of our employees who work remotely could be treated as “residential supervisory locations” subject to inspections on a regular periodic schedule, which in turn has required certain operational changes and compliance adjustments. Non-compliance with the Residential Supervisory Location Designation Rule could subject us to fines, penalties or enforcement actions. We also face challenges due to the need to operate with a dispersed and remote workforce, as well as increased costs related to business continuity initiatives.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Allowing for remote work has in the past made and may continue to make it more difficult for us to preserve our corporate culture of innovation and our employees might have decreased opportunities to collaborate in meaningful ways. Further, we cannot guarantee that requiring a subset of employees to work in-office, or allowing certain employees to continue to work remotely, will not have a negative impact on employee morale or productivity. Any failure to overcome the challenges presented by our working model could harm our future success, including our ability to retain and recruit personnel, innovate and operate effectively, maintain product development velocity, and execute on our business strategy.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8"/>
        </w:rPr>
      </w:pPr>
      <w:r>
        <w:rPr>
          <w:rFonts w:ascii="Arial;sans-serif" w:hAnsi="Arial;sans-serif"/>
          <w:b w:val="false"/>
          <w:color w:val="000000"/>
          <w:sz w:val="28"/>
        </w:rPr>
        <w:t>Risks Related to Regulation and Litigation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Our business is subject to extensive, complex and changing laws and regulations, and related regulatory proceedings and investigations. Changes in these laws and regulations, or our failure to comply with these laws and regulations, could harm our business. </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are subject to a wide variety of local, state, federal, and international laws, regulations, licensing schemes, and industry standards in the United States, the U.K., the EU, Singapore and in other countries and regions in which we operate. These laws, regulations, and standards govern numerous areas that are important to our business, and include, or might in the future include, those relating to all aspects of financial services, the securities and futures markets, investment advisory, money transmission, the origination, marketing, servicing, and collection of consumer debt, foreign exchange, payments services and products (such as payment processing, settlement services, and credit cards), cryptocurrency (including crypto-asset perpetuals), derivatives, trading in shares and fractional shares, fraud detection, consumer protection, anti-money laundering, escheatment, sanctions regimes and export controls, data privacy, data protection, data security, as well as climate risk and environmental impact, including with respect to disclosure of greenhouse gas emissions and other metrics related to climate change.</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For example, after announcing in March 2024 the launch of the Robinhood Gold Card, which is offered through Robinhood Credit exclusively to Robinhood Gold Subscribers and provides rewards via the Robinhood Gold Credit Card Rewards Program, we received requests for information from the MSD related to the Robinhood Gold subscription service and the Robinhood Gold Card. After we began to offer certain event contracts in October 2024 related to the U.S. presidential election and in March 2025 related to the annual NCAA college basketball tournaments, we received requests for information and a subpoena from the MSD, respectively, as well as cease-and-desist letters from certain state gaming regulators. Regulations are intended to ensure the integrity of financial markets, to maintain appropriate capitalization of broker-dealers and other financial services companies, and to protect customers and their assets. These regulations could limit our business activities through capital, customer protection, and market conduct requirements, as well as restrictions on the activities that we are authorized to conduct.</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operate in a highly regulated industry and, despite our efforts to comply with applicable legal requirements,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might fail to establish and enforce procedures that comply with applicable legal requirements and regulations. We might be adversely affected by new laws or regulations, changes in the interpretation of existing laws or regulations, or more rigorous enforcement. For instance, the CFTC has proposed a rule amendment that has not been finalized—if adopted by the CFTC as proposed, we would likely be prohibited from offering election event contracts (similar to the ones we offered in November 2024) in the future. Furthermore, the U.S. Congress continues to consider potential legislation relating to digital assets. For example, on July 17, 2025, the House of Representatives passed the CLARITY Act, which seeks to provide for a system of regulation of the offer and sale of digital assets by the SEC and CFTC and establish a provisional registration regime. The CLARITY Act is currently under consideration by the U.S. Senate. Additionally, on July 18, 2025, the President signed into law the GENIUS Act, which establishes a federal regulatory framework for “payment stablecoins” and their issuers, as well as contemplates scope for state-only regulation. If the CLARITY Act is enacted, or as the GENIUS Act is implemented, we could be required to make significant operational changes and incur increased compliance costs. Our ability to offer certain products may also be impacted by actions taken by government regulators. There is a risk that regulators could request or require us to cease offering specific products or services. Such regulatory actions could lead to the suspension or termination of product offerings, which may result in increased compliance costs, financial losses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negative publicity. For example, in February 2025 after we began offering sports event contracts tied to the pro football championship, the CFTC formally requested that RHD “not permit customers to access” sports event contracts “until staff can complete a review,” leading us to suspend the rollout of that product. After we began offering sports event contracts tied to the annual NCAA college basketball tournaments in March 2025 and provided the CFTC with certain information and documents, the CFTC indicated it lacked a “legal justification” to prevent us from offering access to those event contracts. In addition to the MSD subpoena described above, the New Jersey Division of Gaming Enforcement issued a letter in March 2025 to RHM demanding that we, among other things, cease and desist from offering the sports event contracts, which it views as unlicensed sports wagering under state law. Other state regulators with authority over sports wagering have since sent RHM and RHD similar demands. On April 8, 2025, a federal district court in Nevada issued a preliminary injunction in KalshiEx, LLC v. Hendrick, et al. preventing the Nevada Gaming Commission and Nevada Gaming Control Board from enforcing applicable Nevada state laws and pursuing civil or criminal liability against KalshiEx, LLC for offering sports-related event contracts because the Commodity Exchange Act (“CEA”) grants the CFTC exclusive jurisdiction over event contracts that are traded or executed on a designated contract market and the CFTC has approved (or at least has not disapproved) the contracts. KalshiEx has filed for similar injunctive relief in New Jersey and Maryland. On April 28, 2025, the federal district court in the New Jersey lawsuit, KalshiEx LLC v. Flaherty, et al., issued a similar preliminary injunction against the New Jersey gaming regulators concluding that KalshiEx has demonstrated a reasonable chance of prevailing on its preemption arguments. The New Jersey gaming regulators have appealed this decision to the Third Circuit Court of Appeals, while the U.S. District Court for the District of Maryland continues to consider Kalshi’s motion for injunctive relief. Additionally, we may become subject to new state legislation relating to or implicating event contracts, which may result in increased compliance costs and limit our ability to offer access to such products within the state. Federal courts, including appellate courts, may come to different conclusions as to whether state laws attempting to prevent the trading of CFTC-permissible sports-related event contracts are preempted by the CEA, which may require us to cease offering certain event contracts in these states and could lead to adverse litigation and regulatory actions against us for doing so. We also might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 We are also subject to and have been named as a defendant in lawsuits by private plaintiffs and certain Indian tribes alleging regulatory violations, including that our sports event contracts constitute illegal sports betting, and seeking, among other things, damages and injunctive relief.</w:t>
      </w:r>
    </w:p>
    <w:p>
      <w:pPr>
        <w:pStyle w:val="TextBody"/>
        <w:bidi w:val="0"/>
        <w:spacing w:lineRule="auto" w:line="288" w:before="0" w:after="200"/>
        <w:ind w:left="0" w:right="0" w:firstLine="360"/>
        <w:jc w:val="both"/>
        <w:rPr>
          <w:rFonts w:ascii="Arial;sans-serif" w:hAnsi="Arial;sans-serif"/>
          <w:b w:val="false"/>
          <w:i/>
          <w:color w:val="000000"/>
          <w:sz w:val="20"/>
        </w:rPr>
      </w:pPr>
      <w:r>
        <w:rPr>
          <w:rFonts w:ascii="Arial;sans-serif" w:hAnsi="Arial;sans-serif"/>
          <w:b w:val="false"/>
          <w:i/>
          <w:color w:val="000000"/>
          <w:sz w:val="20"/>
        </w:rPr>
        <w:t>Broker-Dealer, FCM, Investment Adviser, and Insurance Regulations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broker-dealers, our subsidiaries RHF, RHS, and TradePMR are subject to extensive regulation by federal and state regulators and SROs (and our broker-dealer subsidiary in the U.K., Robinhood U.K. Ltd (“RHUK”), is subject to extensive regulation by the Financial Conduct Authority (“FCA”), and are subject to laws and regulations covering all aspects of the securities industry. Our TradePMR insurance agency subsidiary is subject to regulation by state insurance regulators. Federal and state regulators (and, in the case of RHUK, the FCA), and SROs, including the SEC and FINRA, can, among other things, investigate, censure or fine us, issue cease-and-desist orders or otherwise restrict our operations, require changes to our business practices, products or services, limit our acquisition activities or suspend or expel a broker-dealer or any of its officers or employees. Our subsidiary RHD, which is registered with the CFTC as a FCM, is also subject to extensive regulation by federal and state regulators and SROs related to offering our customers Futures products.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DOJ may institute civil or criminal proceedings against us for violating applicable laws, rules, or regulations. Our subsidiary, Robinhood Asset Management (“RAM”), is registered as an investment adviser with the SEC under the Investment Advisers Act of 1940 (the “Advisers Act”).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Advisers Act mandates a variety of requirements for RIAs, including fiduciary duties, record-keeping, operational protocols, and disclosure obligations. The Advisers Act grants regulatory bodies such as the SEC significant administrative authority to govern investment advisory firms. If the SEC or other government agencies determine that RAM has not complied with relevant laws or regulations, they can impose fines, suspend registrants and individual employees, or enact other sanctions, which may include revoking RAM’s registration under the Advisers Act.</w:t>
      </w:r>
    </w:p>
    <w:p>
      <w:pPr>
        <w:pStyle w:val="TextBody"/>
        <w:bidi w:val="0"/>
        <w:spacing w:lineRule="auto" w:line="288" w:before="0" w:after="200"/>
        <w:ind w:left="0" w:right="0" w:firstLine="360"/>
        <w:jc w:val="both"/>
        <w:rPr>
          <w:rFonts w:ascii="Arial;sans-serif" w:hAnsi="Arial;sans-serif"/>
          <w:b w:val="false"/>
          <w:i/>
          <w:color w:val="000000"/>
          <w:sz w:val="20"/>
        </w:rPr>
      </w:pPr>
      <w:r>
        <w:rPr>
          <w:rFonts w:ascii="Arial;sans-serif" w:hAnsi="Arial;sans-serif"/>
          <w:b w:val="false"/>
          <w:i/>
          <w:color w:val="000000"/>
          <w:sz w:val="20"/>
        </w:rPr>
        <w:t>Money-Transmitter Regulation</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As money transmitters, certain of our subsidiaries are subject to regulation, primarily at the state level. We are also subject to regulation by the Consumer Financial Protection Bureau (“CFPB”). We have obtained or are in the process of obtaining licenses to operate as a money transmitter (or as another type of regulated financial services institution, as applicable) in the United States and in the states where this is required. As a licensed money transmitter, we are subject to obligations and restrictions with respect to the movement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 other enforcement actions, and litigation if we are found to violate any of these requirements. There can be no assurance 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 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pStyle w:val="TextBody"/>
        <w:bidi w:val="0"/>
        <w:spacing w:lineRule="auto" w:line="288" w:before="0" w:after="200"/>
        <w:ind w:left="0" w:right="0" w:firstLine="360"/>
        <w:jc w:val="both"/>
        <w:rPr>
          <w:rFonts w:ascii="Arial;sans-serif" w:hAnsi="Arial;sans-serif"/>
          <w:b w:val="false"/>
          <w:i/>
          <w:color w:val="000000"/>
          <w:sz w:val="20"/>
        </w:rPr>
      </w:pPr>
      <w:r>
        <w:rPr>
          <w:rFonts w:ascii="Arial;sans-serif" w:hAnsi="Arial;sans-serif"/>
          <w:b w:val="false"/>
          <w:i/>
          <w:color w:val="000000"/>
          <w:sz w:val="20"/>
        </w:rPr>
        <w:t>Certain Non-U.S. Regulations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As investment firms and crypto-asset service providers, our subsidiaries RHEU, Bitstamp Europe S.A., Bitstamp Financial Services Ltd, Bitstamp Asia Pte. Ltd., and Bitstamp UK Limited are subject to extensive regulation by regulators in Lithuania, Luxembourg, Slovenia, Singapore, and the United Kingdom, respectively. Specifically, our subsidiaries, RHEU and Bitstamp Europe S.A., are licensed crypto asset service providers under MiCA, the provisions of which went into effect as of December 30, 2024. Among other provisions, MiCA introduces a comprehensive authorization and compliance regime for crypto asset service providers, including requirements related to governance, reserves, capital, asset safeguarding, segregation and security. In addition, our subsidiaries, RHEU and Bitstamp Financial Services Ltd. are licensed under the Markets in Financial Instruments Directive II (“MiFID”) to provide brokerage, multilateral trading facilities and/or investment advisory services. Compliance with MiFID imposes extensive regulatory requirements on our operations in the EU, including obligations related to client classification, product governance, transaction reporting, and best execution standards. As a result of holding both MiCA and MiFID licenses, we are subject to comprehensive regulation covering virtually all financial and crypto activities within the EU. This dual licensing framework subjects us to broad and evolving supervisory regimes governing traditional financial instruments, crypto-assets, client protections, disclosure obligations, and operational standards.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Certain of our subsidiaries, including Bitstamp Asia Pte. Ltd. and Bitstamp UK Limited, are registered or regulated in a number of other foreign jurisdictions and subject to oversight by the applicable regulators, including the Monetary Authority of Singapore (“MAS”) and the FCA. These regulatory frameworks generally impose ongoing compliance requirements related to customer due diligence, AML, transaction monitoring, reporting and governance. Maintaining and renewing any of these licenses,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qualifications and approvals could impose substantial costs, delay or preclude planned expansions of business activities, require significant and costly operational changes, impose restrictions, limitation or additional requirements on our business, products and services, or prevent us from providing our products or services in any given market. In addition, we could be subject to fines, enforcement actions and litigation if we are found to violate any of the requirements of such licenses, qualifications and approvals. There can be no assurance that we will be able to (or decide to) continue to apply for or obtain any such licenses, renewals, qualifications and approvals in any jurisdictions.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have been subject to regulatory investigations, actions, and settlements and we expect to continue to be subject to such proceedings in the future, which could cause us to incur substantial costs or require us to change our business practices in a materially adverse manner.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From time to time, we have been and currently are subject, and, given the highly regulated nature of the industries in which we operate, we expect that we will be subject in the future, to a number of legal and regulatory examinations and investigations arising out of our business practices and operations, conducted by the DOJ, SEC, FINRA, the CFTC and the National Futures Association or other federal agencies such as the Office of Foreign Assets Control (“OFAC”), the Financial Crimes Enforcement Network (“FinCEN”), the FDIC or CFPB, state regulatory agencies, such as the MSD, the California Attorney General’s Office, the New York State Department of Financial Services (“NYDFS”), and international regulatory agencies, such as the U.K.’s Financial Conduct Authority, Luxembourg’s Commission de Surveillance du Secteur Financier, Slovenia’s Agencija za trg vrednostnih papirjev, the Monetary Authority of Singapore, and the Bank of Lithuania, among other authorities. These examinations and investigations have in some instances in the past and might in the future lead to lawsuits, arbitration claims, and enforcement proceedings, as well as other actions and claims, that result in injunctions, fines, penalties, and monetary settlements. For example: </w:t>
      </w:r>
    </w:p>
    <w:p>
      <w:pPr>
        <w:pStyle w:val="TextBody"/>
        <w:bidi w:val="0"/>
        <w:spacing w:before="0" w:after="0"/>
        <w:ind w:left="0" w:right="0" w:firstLine="360"/>
        <w:jc w:val="both"/>
        <w:rPr/>
      </w:pPr>
      <w:r>
        <w:rPr/>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In connection with the Early 2021 Trading Restrictions, we and our employees, including our CEO, Vladimir Tenev, have received requests for information, and in some cases, subpoenas and requests for testimony from the USAO, the DOJ, Antitrust Division, the SEC Staff, FINRA, the New York Attorney General’s Office, other state attorneys general offices, and a number of state securities regulators. Also, a related search warrant was executed by the USAO to obtain Mr. Tenev’s cell phone. We received inquiries from the SEC’s Division of Examinations and Division of Enforcement and FINRA related to employee trading during the week of January 25, 2021 in some of the securities that were subject to the Early 2021 Trading Restrictions, including GameStop Corp. and AMC Entertainment Holdings, Inc., and specifically as to whether any employee trading in these securities may have occurred after the decision to impose the Early 2021 Trading Restrictions and before the public announcement of the Early 2021 Trading Restrictions on January 28, 2021. On January 10, 2025, SEC Enforcement advised us in writing that it had closed its investigation into the Early 2021 Trading Restrictions and any contemporaneous employee trading issues. On March 6, 2025, we resolved FINRA’s investigations into the Early 2021 Trading Restrictions and employee trading issues.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In January 2024, we settled a matter with the MSD related to supervision of certain product features and marketing strategies, the service outages on our U.S. stock trading platform on March 2-3, 2020 and March 9, 2020 (the “March 2020 Outages”), and our options trading approval process, as well as the November 2021 Data Security Incident, under which we paid a $7.5 million fine and engaged an independent consultant to review, among other things, implementation of the FINRA independent’s recommendations, policies and procedures regarding certain application features, and cybersecurity measures.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In August 2024, we settled a matter with the California Attorney General’s Office related to among other things, certain disclosures by RHC and delivery of customers’ cryptocurrency assets under California Corporations Code Sections 29520 and 29505 during the period January 2018 through April 2022. We paid a monetary penalty of $3.9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In January 2025, as part of the January 2025 SEC Settlement, we settled multiple matters with the SEC (including investigations into Regulation SHO, the timeliness of our broker-dealers’ suspicious activity reporting (“SAR”) filings, EBS submissions, various brokerage recordkeeping issues, the November 2021 Data Security Incident, and Regulation S-ID violations) in which RHF and RHS paid penalties totaling $45 million, and agreed to certain undertakings.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 xml:space="preserve">In March 2025, as part of the March 2025 FINRA Settlement, we settled multiple matters with FINRA (including investigations into RHF’s historical practice of collaring market orders, customer identification program (“CIP”), use of certain social media influencers, delivery of certain regulatory required documents to customers, and origin code designations for professional customers;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Central Repository, and the OCC; and both broker-dealers’ AML programs, registration of required personnel, and supervision of trading in associated persons’ brokerage accounts). RHF and RHS paid a penalty totaling $26 million, and agreed to pay restitution of approximately $3.76 million to customers plus interest and certain undertakings. </w:t>
      </w:r>
    </w:p>
    <w:p>
      <w:pPr>
        <w:pStyle w:val="TextBody"/>
        <w:bidi w:val="0"/>
        <w:spacing w:lineRule="auto" w:line="288" w:before="0" w:after="200"/>
        <w:ind w:left="0" w:right="0" w:firstLine="360"/>
        <w:jc w:val="both"/>
        <w:rPr/>
      </w:pPr>
      <w:r>
        <w:rPr>
          <w:rFonts w:ascii="Arial;sans-serif" w:hAnsi="Arial;sans-serif"/>
          <w:b w:val="false"/>
          <w:color w:val="000000"/>
          <w:sz w:val="20"/>
        </w:rPr>
        <w:t xml:space="preserve">These and other proceedings, some of which are described in </w:t>
      </w:r>
      <w:r>
        <w:rPr>
          <w:rFonts w:ascii="Helvetica;sans-serif" w:hAnsi="Helvetica;sans-serif"/>
          <w:b w:val="false"/>
          <w:color w:val="000000"/>
          <w:sz w:val="20"/>
        </w:rPr>
        <w:t>Note 14 - Commitments &amp; Contingencies</w:t>
      </w:r>
      <w:r>
        <w:rPr>
          <w:color w:val="000000"/>
        </w:rPr>
        <w:t xml:space="preserve"> </w:t>
      </w:r>
      <w:r>
        <w:rPr>
          <w:rFonts w:ascii="Arial;sans-serif" w:hAnsi="Arial;sans-serif"/>
          <w:b w:val="false"/>
          <w:color w:val="000000"/>
          <w:sz w:val="20"/>
        </w:rPr>
        <w:t xml:space="preserve">to our unaudited condensed consolidated financial statements in this Quarterly Report, have in the past and might in the future relate to broker-dealer, derivatives, investment adviser, credit card, cryptocurrency, and financial services rules and regulations, including our trading and supervisory policies and procedures, our clearing and routing practices, our trade reporting, our public communications, our compliance with FINRA registration requirements, anti-money laundering and other financial crimes regulations, cybersecurity matters, a particular cryptocurrency’s status as a “security,” and our licensing status, among other topics. These sorts of proceedings, inquiries, examinations, investigations, and other regulatory matters have in the past and might in the future subject us to fines, penalties, and monetary settlements, harm our reputation and brand, require substantial management attention, result in additional compliance requirements, result in certain of our subsidiaries losing or being unable to obtain their regulatory licenses or losing their ability to conduct business in some jurisdictions (which could, among other things, result in statutory disqualification by FINRA and the SEC),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other regulated subsidiaries or their officers or employees.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litigation settlements, we have in the past and might in the future be required to make expenditures to enhance our compliance activities. For example, in connection with the August 2022 NYDFS settlement, we engaged an independent consultant to perform a comprehensive evaluation of our compliance program and remediation efforts with respect to identified deficiencies and violations. The independent consultant completed its evaluation and made recommendations to implement enhancements in certain areas identified in the settlement, which required significant effort to implement.</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Additionally, while we offer select services and products in certain countries outside the United States, we are not currently licensed, authorized, or registered in every jurisdiction (and in some cases are not licensed in every state). Under the terms of our customer agreements, we currently offer services only to citizens and permanent residents with a legal address within those jurisdictions where we are authorized and registered, and our application includes features designed to block access to our services from unauthorized jurisdictions. However, to the extent a customer accesses our application or services outside of jurisdictions where we have obtained required governmental licenses and authorization, we face a risk of becoming subject to regulations in that local jurisdiction. A regulator’s investigation as to whether, or conclusion that we are servicing customers in its jurisdiction without being appropriately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licensed, registered, or authorized has in the past and could in the future result in fines or other enforcement actions or settlements. For example, in December 2024, we were required to pay fines and entered into consent orders with the Nebraska Department of Banking and Finance and the Massachusetts Division of Banks in connection with prior unlicensed activity.</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Previous statements by lawmakers, regulators and other public officials have signaled an increased focus on new or additional regulations that could impact our business and require us to make significant changes to our business model and practices.</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Various lawmakers, regulators and other public officials have previously made statements about our business and that of other broker-dealers signaling an increased focus on new or additional laws or regulations that, if acted upon, could impact our business. For instance, the former SEC Chair had previously indicated that he had instructed the SEC Staff to study, and in some cases make rulemaking recommendations to the SEC, relating to or had otherwise discussed the following, among other topics: PFOF, digital engagement practices, and whether broker-dealers are adequately disclosing their policies and procedures around potential trading restrictions; whether margin requirements and other payment requirements are sufficient; whether broker-dealers have appropriate tools to manage their liquidity and risk; conflicts that can arise from the use of predictive analytics, in particular conflicts that may arise to the extent advisors or brokers are optimizing their own interests as well as others; the use of mobile app features such as rewards, bonuses, push notifications and other prompts and that such prompts could promote behavior that is not in the interest of the customer, such as excessive trading, and whether expanded enforcement mechanisms are necessary; and digital engagement practices. Although the SEC, under the current administration, withdrew certain notices of proposed rulemaking that were issued under the former SEC Chair, if the SEC enacts similar rules in the future, whether in this current or future administration, such rules could impose additional regulatory requirements on our business and operations and could require us to make significant changes to our business model and practices. Additionally, from time to time, we have received requests from regulators, including from the SEC, regarding our collection and uses of customer data and related disclosures.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In addition, in 2022, FINRA issued a regulatory notice requesting comment on complex products and options including “whether the current regulatory framework…is appropriately tailored to address current concerns raised by complex products and options.” If FINRA amends its rules to impose additional requirements on firms with respect to determining customer eligibility and/or suitability to trade options, such rule changes could result in fewer Robinhood customers being approved to trade options which could negatively impact our options trading volumes and associated revenues.</w:t>
      </w:r>
    </w:p>
    <w:p>
      <w:pPr>
        <w:pStyle w:val="TextBody"/>
        <w:bidi w:val="0"/>
        <w:spacing w:lineRule="auto" w:line="288" w:before="0" w:after="200"/>
        <w:ind w:left="0" w:right="0" w:firstLine="360"/>
        <w:jc w:val="both"/>
        <w:rPr/>
      </w:pPr>
      <w:r>
        <w:rPr>
          <w:rFonts w:ascii="Arial;sans-serif" w:hAnsi="Arial;sans-serif"/>
          <w:b w:val="false"/>
          <w:color w:val="000000"/>
          <w:sz w:val="20"/>
        </w:rPr>
        <w:t>Also, in September 2021, FINRA announced that it is reviewing firms’ use of social media marketing, including social media influencers, which is a marketing channel that we actively utilize. In February 2022, FINRA opened an investigation into our use of social media marketing, which we resolved as part of the March 2025 FINRA Settlement. In February 2023, FINRA provided updated guidance about firms’ practices related to their acquisition of customers through social media channels, as well as firms</w:t>
      </w:r>
      <w:r>
        <w:rPr>
          <w:color w:val="000000"/>
        </w:rPr>
        <w:t xml:space="preserve">’ </w:t>
      </w:r>
      <w:r>
        <w:rPr>
          <w:rFonts w:ascii="Arial;sans-serif" w:hAnsi="Arial;sans-serif"/>
          <w:b w:val="false"/>
          <w:color w:val="000000"/>
          <w:sz w:val="20"/>
        </w:rPr>
        <w:t>sharing of customers’ usage information with affiliates and non-affiliated third parties. In light of this updated guidance, we narrowed the scope of our social media influencer and affiliate publisher programs. Any additional limits that FINRA might impose on our use of this marketing channel could make it more difficult for us to attract new customers, resulting in slower growth.</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are involved in numerous litigation matters that are expensive and time consuming, and, if resolved adversely, could expose us to significant liability and reputational harm. </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to regulatory proceedings, we are also involved in numerous other litigation matters, including putative class action lawsuits, and we anticipate that we will continue to be a target for litigation in the future. Potential litigation matters include commercial litigation matters, derivative matters, insurance matters, securities litigation matters, privacy and cybersecurity disputes, intellectual property disputes, contract disputes, consumer protection matters (including gambling loss recovery matters), and employment matters. This risk might be more pronounced during market downturns, during which the volume of legal claims and amount of damages sought in litigation and regulatory proceedings against financial services companies have historically increased.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Litigation matters brought against us have in the past and might in the future require substantial management attention and might result in settlements, awards, injunctions, fines, penalties, and other adverse results. A substantial judgment, settlement, fine, penalty, or injunctive relief could be material to our results of operations or cash flows for a particular period, or could cause us significant reputational harm.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 xml:space="preserve">For more information about the legal proceedings in which we are currently involved, see </w:t>
      </w:r>
      <w:r>
        <w:rPr>
          <w:rFonts w:ascii="Helvetica;sans-serif" w:hAnsi="Helvetica;sans-serif"/>
          <w:b w:val="false"/>
          <w:color w:val="000000"/>
          <w:sz w:val="20"/>
        </w:rPr>
        <w:t>Note 14 - Commitments &amp; Contingencies</w:t>
      </w:r>
      <w:r>
        <w:rPr>
          <w:color w:val="000000"/>
        </w:rPr>
        <w:t xml:space="preserve"> </w:t>
      </w:r>
      <w:r>
        <w:rPr>
          <w:rFonts w:ascii="Arial;sans-serif" w:hAnsi="Arial;sans-serif"/>
          <w:b w:val="false"/>
          <w:color w:val="000000"/>
          <w:sz w:val="20"/>
        </w:rPr>
        <w:t>to our unaudited condensed consolidated financial statements in this Quarterly Report.</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are subject to governmental laws and requirements regarding anti-corruption, anti-bribery, economic and trade sanctions, anti-money laundering, and counter-terror financing that could impair our ability to compete in international markets or subject us to criminal or civil liability if we violate them.</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are required to comply with U.S. economic and trade sanctions administered by OFAC and we have processes in place to facilitate compliance with the OFAC regulations. As part of our customer onboarding process, in accordance with the CIP rules under Section 326 of the USA Patriot Act, we screen all potential customers against OFAC watchlists and continue to screen all customers, vendors and employees daily against OFAC watchlists. Although our application includes features designed to block access to our services from sanctioned countries, if our services are accessed from a sanctioned country in violation of trade and economic sanctions, we could be subject to enforcement actions.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are subject to the FCPA, U.S. and foreign bribery laws, and other U.S. and foreign anti-corruption laws. Anti-corruption and anti-bribery laws have been enforced aggressively in recent years and while there may currently be a reduced focus on enforcement in the U.S. in light of a February 2025 Presidential executive order, these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The failure to comply with any such laws could subject us to criminal or civil liability, cause us significant reputational harm, and have an adverse effect on our business, financial condition, and results of operations.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are also subject to various anti-money laundering and counter-terrorist financing laws and regulations that prohibit, among other things, our involvement in transferring the proceeds of criminal activities. In the United States, most of our services are subject to anti-money laundering laws and regulations, including the Bank Secrecy Act, as amended, and similar laws and regulations. Regulators in the United States continue to increase their scrutiny of compliance with these obligations. For example, in August 2022, we settled an NYDFS investigation of our cryptocurrency business related primarily to anti-money laundering and cybersecurity-related issues, under which we paid a monetary penalty of $30 million and engaged an independent compliance consultant and in January 2025, as part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January 2025 SEC Settlement, RHF and RHS paid penalties totaling $13 million for violations of the timeliness of our broker-dealers’ compliance with SAR filing requirements from January 2020 through March 2022.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Although our operations are currently concentrated in the United States, we have expanded our operations outside of the United States. As we have started to expand internationally, we have become subject to additional non-U.S. laws, rules, regulations, and other requirements regarding economic and trade sanctions, anti-money laundering, and counter-terror financing. In order to comply with applicable laws, we have revised and expanded, and will continue to, revise and expand our compliance program, including the procedures we use to verify the identity of our customers and to conduct ongoing monitoring of our customers and their transactions on our systems, including payments to persons outside of the United States. The need to comply with multiple sets of laws, rules, regulations, and other requirements could substantially increase our compliance costs, impair our ability to compete in international markets, and subject us to risk of criminal or civil liability for violations.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Attracting, Retaining, and Engaging Customers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operate in highly competitive markets, and many of our competitors have greater resources than we do and may have products and services that are more appealing than ours to our current or potential customers.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markets in which we compete are evolving and highly competitive, with multiple participants competing for the same customers. Our current and potential future competition principally comes from incumbent brokerages, established financial technology companies, venture-backed financial technology firms, banks, cryptocurrency exchanges, asset management firms, financial institutions, consumer financial service providers and technology platforms. The majority of our competitors have longer operating histories and greater capital resources than we have and offer a wider range of products and services. Some of our competitors, particularly new and emerging technology companies, are not subject to the same regulatory requirements or scrutiny to which we are subject, which could allow them to innovate more quickly or take more risks, placing us at a competitive disadvantage. The impact of competitors with superior name recognition, greater market acceptance, larger customer bases, or stronger capital positions could adversely affect our results of operations and customer acquisition and retention. Our competitors might also be able to respond more quickly to new or changing opportunities and demands and withstand changing market conditions better than we can, especially larger competitors that might benefit from more diversified product and customer bases. For example, some of our competitors have quickly adopted, or are seeking to adopt, some of our key offerings and services, including commission-free trading, fractional share trading, no account minimums, and IRA match since their introduction on our platforms in order to compete with us. In addition, competitors might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might not be able to match the marketing efforts or prices of our competitors. In addition, our competitors might choose to forgo PFOF, which could create downward pressure on PFOF and make it more difficult for us to maintain our PFOF arrangements, which are a significant source of our revenue. We might also be subject to increased competition as our competitors enter into business combinations or partnerships, or established companies in other market segments expand to become competitive with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ability to compete successfully in the financial services and cryptocurrency markets depends on a number of factors, including,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maintaining competitive 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providing easy-to-use, innovative, and attractive products and services that are adopted by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retaining customers (such as by providing effective customer support and avoiding outages, security breaches, and trading restrictions);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recruiting and retaining highly skilled personnel and senior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maintaining and improving our reputation and the market perception of our brand and overall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maintaining our relationships with our counterparties;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adjusting to a dynamic regulatory environment.</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competitive position within our markets could be adversely affected if we are unable to adequately address these factors.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If we fail to retain existing customers or attract new customers, or if our customers decrease their use of our products and services, our revenue will decline.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have experienced customer growth in recent years, including a significant faction of new customers, often more than 50%, who have told us that Robinhood is their first brokerage account. Our business and revenue growth depends on our efforts to attract new customers, retain existing customers, and increase the amount that our customers use our products and services (including premium services, such as Robinhood Gold). It is particularly important that we retain and engage our most active brokerage customers, who account for a disproportionately large percentage of our brokerage trading volumes. Any erosion of this active customer base would have a disproportionately large negative impact on our revenues, which could cause the trading price of our Class A common stock to decline significantly. Our efforts to attract and retain customers might fail due to a number of factors, including our customers losing confidence in us or preferring a competitor’s offerings. Additional factors that could lead to a decline in our number of customers or their usage of our products and services or that could prevent us from increasing our number of customers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decline in our brand and reputation;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increased pricing for our products and services;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shift in pricing models, including allowing customers to choose a fee-based model for cryptocurrency orders;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ineffective marketing efforts or a reduction in marketing activity;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certain of our customers, due to being new and inexperienced, might be less loyal to our product or less likely to maintain historical trading patterns and interest in investing;</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broad decline in the equity or other financial markets, which could result in many of these investors feeling discouraged and exiting the markets altogether (such as the bear markets that developed for equities and crypto in the second quarter of 2022 and continued into 2023 (the “2022 Bear Markets”));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rising inflation resulting in less disposable income for our customers to invest;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customers experiencing difficulties using the Robinhood app as intended, due to any number of reasons such as design errors, service outages, or trading restrictions imposed by us;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customers experiencing security or data breaches, account intrusions, or other unauthorized access;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failure to provide adequate customer service;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customer resistance to and non-acceptance of cryptocurrencies;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customer dissatisfaction with the limited number of cryptocurrencies available on our platforms or with our ceasing support for cryptocurrencies on our RHC platform because they failed our regular listing committee review, or because the SEC or a court has asserted or determined are securities or our proactively removing certain cryptocurrencies from our RHC platform because they share similarities with such cryptocurrencies.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customers may choose to cease using our platforms, products, and services at any time, and may choose to transfer their accounts to another broker-dealer. For example, during the first quarter of 2021 many customers became upset by our imposition of the Early 2021 Trading Restrictions and we saw an increase in customers choosing to transfer their accounts to other broker-dealers.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If we fail to provide and monetize new and innovative products and services that are adopted by customers, our business may become less competitive and our revenue might decline.</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ability to attract, engage, and retain our customers and to increase our revenue depends heavily on our ability to evolve our existing products and services and to create and monetize new products and services that are adopted by customers. Rapid and significant technological changes continue to confront the financial services industry, including developments in the methods in which securities are traded and developments in cryptocurrencies. To keep pace or to innovate we have introduced and might continue to introduce significant changes to our existing products and services or acquire or introduce new and unproven products and services, including using technologies with which we have little or no prior development or operating experience (for instance, event contracts). Our efforts have been and might continue to be inhibited by industry-wide standards, legal restrictions, incompatible customer expectations, demands, and preferences, or third-party intellectual property rights. Our efforts to innovate have been and might continue to also be delayed or blocked by new or enhanced regulatory scrutiny or technical complications. Incorporating new technologies into our products and services, or realizing the intended benefits of acquisitions of, or investments in, other companies, products or technologies, has required and might continue to require substantial expenditures and take considerable time, and we might not be successful in realizing a return on these efforts in a timely manner or at all. It might be difficult to monetize products in a manner consistent with our brand’s focus on low prices. If we fail to innovate and deliver products and services with market fit and differentiation, or fail to do so quickly enough as compared to our competitors, we might fail to attract and retain customers and maintain customer engagement, causing our revenue to decline. Our international expansion efforts may increase these risks as we expect to adapt our product and service offerings to reflect local regulatory requirements, customer preferences, and other location-specific factors, as discussed in “—Risks Related to Our Business—We currently operate in certain international markets and plan to further expand our international operations, which exposes us to significant new risks, and our international expansion efforts might not succeed.”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Our Platforms, Systems, and Technology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products and services rely on software and systems that are highly technical and have been, and may in the future be, subject to interruption, instability, and other potential flaws due to software errors, design defects, and other processing, operational, and technological failures, whether internal or external.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rely on technology, including the internet and mobile services, to conduct much of our business activity and allow our customers to conduct financial transactions on our platforms. Our systems and operations, including our cloud-based operations and disaster recovery operations, those of the third parties on which we rely to conduct certain key functions, and those of companies we have acquired or may seek to acquire in the future,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vulnerabilities, human error, terrorism, improper operation, unauthorized entry, data loss, intentional bad actions, and other similar events and we have experienced such disruptions in the past. Further, we have in the past and might in the future be particularly vulnerable to any such internal technology failures because we rely heavily on our own self-clearing platform, proprietary order routing system, data platforms, and other back-end infrastructure for our operations, and any such failures could have an adverse effect on our reputation, business, financial condition, and results of operations.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products and internal systems also rely on software that is highly technical and complex (including software developed or maintained internally and/or by third parties and also including machine learning models) in order to collect, store, retrieve, transmit, manage and otherwise process immense amounts of data. The software on which we rely has in the past contained and might in the future contain errors, bugs, vulnerabilities, design defects, or technical limitations that might compromise our ability to meet our objectives. Some such problems are inherently difficult to detect and some such problems might only be discovered after code has been released for external or internal use. Media outlets have in the past and might in the future learn of our plans for features by examining hidden but unprotected images and code in publicly available beta versions of our app, resulting in unwanted publicity prior to our intended announcement dates. Such problems might also lead to negative customer experiences (including the communication of inaccurate information to customers), compromised ability of our products to perform in a manner consistent with customer expectations, delayed product introductions, compromised ability to protect data and intellectual property, or an inability to provide some or all of our services.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While we have made, and continue to make, significant investments designed to correct software errors and design defects and to enhance the reliability and scalability of our platforms and operations, the risk of software and system failures and design defects is always present, we do not have fully redundant systems, and we might fail to maintain, expand, and upgrade our systems and infrastructure to meet future requirements and mitigate future risks on a timely basis. It might become increasingly difficult to maintain and improve the availability of our platforms, especially as our platforms and product offerings become more complex and our customer base grows. For instance, we have needed and will continue to need to have adequate capacity and infrastructure on our platform with respect to the rollout, offering, and settlement of event contracts. We might also encounter technical issues in connection with changes and upgrades to the underlying networks of supported cryptocurrencies. 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surges in trading volume on our platforms have in the past and might in the future cause our systems to operate at diminished speed or even fail, temporarily or for a more prolonged period of time, which would affect our ability to process transactions and potentially result in some customers’ orders being executed at prices they did not anticipate, executed incorrectly, or not executed at all. For example, we experienced (i) the March 2020 Outages, which resulted in some of our customers being unable to buy and sell securities and other financial products on our U.S. trading platform for a period of time, and (ii) the partial service outages and degraded service on our RHC cryptocurrency platform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time to time in mid-April and early May 2021 caused by a surging demand for cryptocurrency trading (the “April-May 2021 Disruptions”), which resulted in some of our customers being unable to buy and sell cryptocurrencies for a period of time. Our platforms have otherwise in the past and might in the future experience outages. The March 2020 Outages resulted in putative class action lawsuits, arbitrations, and regulatory examinations and investigations, as well as cash remediation payments. Disruptions to, destruction of, improper access to, breach of, instability of, or failure to effectively maintain our information technology systems (including our data processing systems, self-clearing platform, and order routing system) that allow our customers to use our products and services, and any associated degradations or interruptions of service could result in damage to our reputation, loss of customers, loss of revenue, regulatory or governmental investigations, civil litigation, and liability for damages. In addition, our customer service team from time to time experiences backlogs responding to customer support requests. These backlogs have compounded when we have experienced any market outages, provider network disruptions, or platform outages or errors, including, for example, in connection with the March 2020 Outages and the April-May 2021 Disruptions, and may compound in the future as a result of such events. Frequent or persistent interruptions, or perceptions of such interruptions whether true or not, in our products and services could cause customers to believe that our products and services are unreliable, leading them to switch to our competitors or to otherwise avoid our products and services. Additionally, our insurance policies might be insufficient to cover a claim made against us by any such customers affected by any disruptions, outages, or other performance or infrastructure problems.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Our success depends in part upon continued distribution through app stores and effective operation with mobile operating systems, networks, technologies, products, hardware and standards that we do not control. </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 substantial majority of our customers’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For example, from time to time we have experienced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customers’ use of our platforms.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financial condition or results of operations.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Additionally, in order to deliver a high-quality mobile experience for our customers, it is important that our products and services work well with a range of mobile technologies, products, systems, networks, hardware and standards that we do not control. We need to continuously modify, enhance, and improve our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networks or standards or in bringing them to market quickly or cost-effectively in response to market demands. If our customers choose to not update our app to the latest version, or if it is otherwise difficult for them to access or use our app on their mobile devices, or if they use mobile products that do not offer access to our app, our customer growth and engagement could be adversely affected and our revenues might decline. In addition, if our customers use older versions of our app it may result in customer complaints and regulatory inquiries that could lead to arbitration claims or regulatory sanctions.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rely on third parties to perform some key functions, and their failure to perform those functions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rely on certain third-party computer systems or third-party service providers, including several cloud technology providers such as Amazon Web Services (on which we primarily rely to deliver our services to customers on our platforms), internet service providers, payment services providers, market and third-party data providers, regulatory services providers, clearing systems, Liquidity Providers, exchanges, facilitators of cryptocurrency staking services, alternative trading systems (such as BOATS with respect to Robinhood 24 Hour Market), exchange systems (such as ForecastEx, LLC and KalshiEx LLC, with respect to certain event contracts), banking systems, payment gateways that link us to the payment card and bank clearing networks to process transactions, co-location facilities, communications facilities, and other third-party facilities to run our platforms, facilitate trades by our customers (such as Wells Fargo Clearing Services, LLC for TradePMR customers), provide the technology we use to manage some of our cryptocurrency custody, transfer, and settlement operations and support or carry out some regulatory obligations. In addition, external content providers provide us with financial information, market news, charts, option and stock quotes, cryptocurrency quotes, research reports, and other fundamental data that we provide to our customers. These providers have been and are susceptible to processing, operational, technological and security vulnerabilities, including security breaches, which might impact our business, and our ability to monitor our third-party service providers’ data security is limited. In addition, these third-party service providers might rely on subcontractors to provide services to us that face similar risks.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We face a risk that our third-party service providers might be unable or unwilling to continue to provide these services to meet our current needs in an efficient, cost-effective manner or to expand their services to meet our needs in the future. Any failures by our third-party service providers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Regulators might also hold us responsible for the failures of our providers. For example, after BOATS, the trading venue that primarily supports overnight trading on Robinhood 24 Hour Market (8:00 pm - 4:00 am ET), experienced disruptions during the overnight trading session on August 4-5, 2024, we received requests for information from certain regulators.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are incorporating AI technologies into some of our products and processes. These technologies may present business, compliance, and reputational risks.</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currently use machine learning and AI to improve our products and processes in certain circumstances, such as to increase the efficiency of our in-app chat support, customer support workflows, fraud detection systems, and software coding optimization, as well as to improve the customer experience in our newsfeed. This is also via our acquisition of Pluto Capital, an AI powered investment research platform, and we have plans to continue to expand our use of AI in the future. Our research and development of such technology also remains ongoing. As with many new and emerging technologies, AI presents numerous risks and challenges that could adversely affect our business. If we fail to keep pace with rapidly evolving AI technological developments, especially in the financial technology sector, our competitive position and business results may suffer. At the same time, use of AI has recently become the source of significant media attention and political debate. The introduction and use of AI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 and financial results. For example, AI technologies can lead to unintended consequences, including generating content that appears correct but is factually inaccurate, misleading or otherwise flawed, or that results in unintended biases and discriminatory outcomes, which could negatively impact our customers, harm our reputation and business, and expose us to liability. Laws, regulations or industry standards that develop in response to the use of AI may be burdensome or may restrict our ability to use, develop, or deploy AI, particularly generative AI technologies, in our products or processes, or our efforts to expand our business. For example, the EU's AI Act, which became effective on August 1, 2024, governs the development, marketing and use of AI in the EU and could impose significant additional costs on us to comply or significant fines for failing to comply.</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We also use AI technologies from third parties, which may include open source software. If we are unable to maintain rights to use these AI technologies on commercially reasonable terms, we may be forced to acquire or develop alternate AI technologies, which may limit or delay our ability to provide competitive offerings and may increase our costs. These AI technologies also may incorporate data from third-party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use, development, or adoption of AI technologies into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infringing use.</w:t>
      </w:r>
    </w:p>
    <w:p>
      <w:pPr>
        <w:pStyle w:val="TextBody"/>
        <w:bidi w:val="0"/>
        <w:spacing w:lineRule="auto" w:line="288" w:before="0" w:after="0"/>
        <w:jc w:val="both"/>
        <w:rPr>
          <w:rFonts w:ascii="Arial;sans-serif" w:hAnsi="Arial;sans-serif"/>
          <w:b w:val="false"/>
          <w:color w:val="000000"/>
          <w:sz w:val="28"/>
        </w:rPr>
      </w:pPr>
      <w:r>
        <w:rPr>
          <w:rFonts w:ascii="Arial;sans-serif" w:hAnsi="Arial;sans-serif"/>
          <w:b w:val="false"/>
          <w:color w:val="000000"/>
          <w:sz w:val="28"/>
        </w:rPr>
        <w:t>Risks Related to Cybersecurity and Data Privacy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business could be materially and adversely affected by a cybersecurity breach or other attack involving our computer systems or data or those of our customers or third-party or fourth-party service providers.</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systems, including those of companies we have acquired or may seek to acquire in the future, and those of our customers and third-party service providers have been and might in the future be vulnerable to cybersecurity issues. We, like other financial technology organizations, routinely are subject to cybersecurity threats and our technologies, systems, and networks have been and might in the future be subject to attempted cybersecurity attacks. Such issues are increasing in frequency and evolving in nature, including employee and contractor theft or misuse, denial-of-service attacks, and sophisticated nation-state and nation-state-supported actors engaging in attacks. The operation of our platforms involves the use, collection, storage, sharing, disclosure, transfer, and other processing of customer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Cybersecurity attacks and other malicious internet-based activity continue to increase and financial technology platform providers have been and expect to continue to be targeted. In light of media attention, we might be a particularly attractive target of attacks seeking to access customer data or assets and have experienced negative publicity in connection with previous security incidents and might in the future experience similar adverse effects relating to real or perceived security incidents, whether or not related to the security of our platforms or systems. We have also received customer complaints and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subject to litigation and regulatory inquiries, examinations, enforcement actions, and investigations by various state and federal regulatory bodies, including the SEC, FINRA, and certain state regulators, including the NYDFS and the New York Attorney General, related to these events. The increasing sophistication and resources of cyber criminals and other non-state threat actors and increased actions by nation-state actors make it difficult to keep up with new threats and could result in a breach of security. Additionally, there is an increased risk that we might experience cybersecurity-related incidents as a result of any of our employees, service providers, or other third-parties working remotely on less secure systems and environments. While we take significant efforts to protect our systems and data, including establishing internal processes and implementing technological measures designed to provide multiple layers of security, our safety and security measures might be insufficient to prevent damage to, or interruption or breach of, our information systems, data (including personal data), and operations, such as the November 2021 Data Security Incident.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is increased. Third-party risks include insufficient security measures, data location uncertainty, vulnerabilities and the possibility of data storage in inappropriate jurisdictions where laws or security measures might be inadequate. Our ability to monitor, and our resources to optimize integration with, third-party service providers’ data security practices are also limited.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For example, in late October 2024, a cyberattack occurred on our Newsroom in which a cyberattacker gained access to our Newsroom website, control of which is subcontracted to a third party vendor, for a limited number of hours. The cyberattack did not result in any unauthorized access of customer information. In addition, in December 2024, a cyberattack occurred at Cyberhaven, a data protection company we utilize as a third-party vendor, creating the potential for attackers to steal sensitive data through a malicious version of a Google Chrome extension. Although we do not believe at this time that this third party vulnerability impacted us, the attack highlights the growing risk from cybersecurity threats against third-party service providers.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Additionally, we could also be exposed to information security vulnerabilities or failures at third parties’ common suppliers or vendors (known as “fourth parties”) that could also impact the security of our data, and we may not be able to effectively directly monitor or mitigate such fourth-party risks, in particular as such risks relate to the use of common suppliers or vendors by the third parties that perform functions and services for us and our limited ability to assess the fourth party’s operational controls.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 core aspect of our business is the reliability and security of our platforms. Any unauthorized access to or disclosure, loss, destruction, disablement or encryption of, use or misuse of or modification of data, including personal data, cybersecurity breach or other security incident that we, our customers or our third-party or fourth-party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our and our third party partners’ efforts to improve security and protect data from compromise has in the past identified and might in the future identify previously undiscovered security breaches or vulnerabilities. There could be public announcements regarding any security incidents or vulnerabilities and any steps we take to respond to or remediate such incidents, and if securities analysts or investors perceive these announcements to be negative, it could have an adverse effect on the trading price of our Class A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 or that our insurer will cover all cybersecurity incident-related claims. The successful assertion of one or more significant claims against us or changes in our cybersecurity insurance coverage, premiums, or deductibles may adversely affect our reputation, business, financial condition or results of operations.</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are subject to stringent laws, rules, regulations, policies, industry standards and contractual obligations regarding data privacy and security and might become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are subject to a variety of federal, state, local, and non-U.S. laws, directives, rules, policies, industry standards and regulations, as well as contractual obligations, relating to privacy and the collection, protection, use, retention, security, disclosure, transfer and other processing of personal data and other data, including the Gramm-Leach-Bliley Act of 1999, Section 5 of the Federal Trade Commission Act and state laws such as the California Consumer Privacy Act, which provides consumers with the right to know what personal data is being collected, know whether their personal data is sold or disclosed and to whom and opt out of the sale of their personal data, among other rights. We also face particular privacy, data security and data protection risks in connection with our expansion into the U.K. and the EU and other jurisdictions in connection with the General Data Protection Regulation, the Digital Operational Resilience Act, the ePrivacy Directive (including its national implementations), and other data protection regulations including but not limited to facing complexity in interpreting, applying, implementing and complying with such regulations. The regulatory framework for data privacy and security worldwide is also evolving and, as a result, interpretation, implementation standards and enforcement practices are likely to remain uncertain for the foreseeable future. New laws, amendments to or reinterpretations of existing laws, regulations, standards and other obligations might require us to incur additional costs and restrict our business operations, and might require us to change how we use, collect, store, transfer or otherwise process certain types of personal data, to implement new processes to comply with those laws and our customers’ exercise of their rights thereunder, and could greatly increase the cost of providing our offerings, require significant changes to our operations, or even prevent us from providing some offerings in jurisdictions in which we currently operate and in which we might operate in the future or incur potential liability in an effort to comply with certain legislation. There is a risk of enforcement actions in response to rules and regulations promulgated under the authority of federal and international agencies and state attorneys general and legislatures and consumer protection agencies. For instance, we have in the past (as discussed in Note 14 - Commitments &amp; Contingencies, to our unaudited condensed consolidated financial statements in this Quarterly Report) and may in the future be subject to investigations and examinations regarding, among other things, our cybersecurity practices. In addition, if we fail to follow these security standards, even if no customer information is compromised, we might incur significant fines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or experience a significant increase in costs. Following the November 2021 Data Security Incident, we received requests for information from regulatory authorities regarding, among other things, the adequacy of our information security measures, and as part of the January 2025 SEC Settlement, RHF and RHS paid penalties for violating Regulation S-P.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Our Brokerage Products and Services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If we do not maintain the net capital levels required by regulators, our broker-dealer business may be restricted and we may be fined or subject to other disciplinary or corrective actions.</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SEC, FINRA, and various state regulators have stringent rules or proposed rules with respect to the maintenance of specific levels of net capital by securities broker-dealers. For example, our broker-dealer subsidiaries are each subject to the SEC Uniform Net Capital Rule, which specifies minimum capital requirements intended to ensure the general financial soundness and liquidity of broker-dealers, and our clearing and carrying broker-dealer subsidiary is subject to Rule 15c3-3 under the Act, which requires broker-dealers to maintain a reserve account to ensure customer securities are protected and accessible, even in cases of firm insolvency. Our failure to maintain the required net capital levels and protect customer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entities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For example, in December 2024, the SEC adopted proposed amendments to Rule 15c3-3, which require certain broker-dealers, including RHF and RHS, by June 2026 to increase the frequency with which they perform computations of the net cash they owe to customers and other broker-dealers from weekly to daily. A large operating loss or charge against net capital could have adverse effects on our ability to maintain or expand our business.</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Our compliance and risk management policies and procedures as a regulated financial services company might not be fully effective in identifying or mitigating compliance and risk exposure in all market environments or against all types of risk.</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a financial services company, our business exposes us to a number of heightened risks. We have devoted significant resources to develop our compliance and risk management policies and procedures and will continue to do so, but our efforts might be insufficient. Our previous and continued expanded operations evolving business, and unpredictable periods of rapid growth make it difficult to predict all of the risks and challenges we might encounter and therefore increase the risk that our policies and procedures for identifying, monitoring, and managing compliance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customers, catastrophe occurrences,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are also exposed to heightened regulatory risk because our business is subject to extensive regulation and oversight in a variety of areas and geographies, and such regulations are subject to revision, supplementation, or evolving interpretations and application, and it can be difficult to predict how they might be applied to our business, particularly as we introduce new products and services and expand into new jurisdictions. For example, in December 2022, RHF and RHS received investigative requests from the SEC Division of Enforcement regarding their record keeping and preservation practices, including use of personal devices for brokerage communications. RHF and RHS settled the SEC’s investigation into these practices as part of the January 2025 SEC Settlement, paying penalties totaling $8 million and agreeing to complete an internal audit review of electronic communications retention.</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are subject to potential losses as a result of our clearing and execution activities. </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provide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Self-clearing securities firms are subject to substantially more regulatory control and examination than introducing brokers that rely on others to perform clearing functions. Errors in performing clearing functions, including clerical and other errors related to the handling of funds and securities on behalf of customers, (i) could lead to civil penalties, as well as losses and liability as a result of related lawsuits brought by customers and others and any out-of-pocket costs associated with remediating customers for losses, and (ii) have led to, and could in the future lead to the risk of, fines or other actions by regulators. For example, as part of the January 2025 SEC Settlement, RHS settled investigations with the SEC related to suspicious activity reporting, identity theft protection, unauthorized access to Robinhood systems, off-channel communications, retention of brokerage data, failure to maintain certain templated customer communications, EBS submissions and Regulation SHO in connection with fractional share trading and stock lending, which resulted in RHS paying combined monetary penalties of $33.5 million and agreeing to certain undertakings. Furthermore, as part of the March 2025 FINRA Settlement, RHS resolved multiple matters with FINRA, including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and OCC, and RHS’s AML program, registration of required personnel, and supervision of trading in associated persons’ brokerage accounts. RHS, along with RHF, paid a penalty totaling $26 million and agreed to pay restitution and to certain undertakings to resolve these investigations, among others.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All customers can place limit orders to buy whole shares of the most traded exchange-traded funds and individual stocks – 24 hours a day, five days a week, through Robinhood 24 Hour Market. Offering U.S. stock trading overnight has heightened risks related to our clearing and execution activities as we do not have previous experience operating or staffing our systems for around-the-clock coverage and may not be able to accurately anticipate the volume of trading activity that will occur outside of regular market hours. Overnight trading on Robinhood 24 Hour Market is primarily supported by BOATS, a trading venue that replicates the role that stock exchanges play during regular market hours. If BOATS becomes unwilling or unable to do business with us or one of our Liquidity Providers in the future, we may be unable to find another trading platform to support Robinhood 24 Hour Market, which could negatively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94</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impact our transaction-based revenue and generate negative publicity. Additionally, any disruptions in the services provided by BOATS, whether due to technical malfunctions, operational mishaps, or external factors such as regulatory changes or market volatility, have in the past, and may in the future impair our ability to execute our client's orders. Should BOATS experience downtime or diminished performance (as it has in the past and could again in the future), particularly during overnight trading hours, our ability to execute customer orders through Robinhood 24 Hour Market could be compromised and could have an adverse impact on our business, financial condition, results of operations, and/or brand and reputation. For example, on August 5, 2024, BOATS did not open for overnight trading and as a result, Robinhood customers were unable to execute any trades during that overnight session.</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Our clearing operations (including for TradePMR customers through TradePMR’s contract with its clearing firm, Wells Fargo Clearing Services, LLC) also require a commitment of our capital and, despite safeguards implemented through both manual and automated controls, involve risks of losses due to the potential failure of our customers or counterparties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designed to manage risks related to our clearing and execution services, we face a risk that such systems and processes might be inadequate. Any liability arising from clearing and margin operations could have an adverse effect on our business, financial condition and results of operations.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In addition, as a clearing member firm of securities and derivatives clearinghouses in the United States, we are also exposed to clearing member credit risk. Securities and derivatives clearinghouses require member firms to deposit cash, stock and/or government securities for margin requirements and for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 Furthermore, in the event that a significant amount of our customers’ open trades fail to settle, we might be exposed to potential loss of the capital we committed to meet our deposit requirements.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Our exposure to credit risk with customers, Liquidity Providers, and other counterparties could result in losses. </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extend margin credit and leverage to customers, which are collateralized by customer securities. By permitting customers to purchase securities on margin, we are subject to risks inherent in extending credit, especially during periods of rapidly declining markets (including rapid declines in the trading price of individual securities) in which the value of the collateral held by us could fall below the amount of a customer’s indebtedness. We also lend and borrow securities in connection with our broker-dealer business. In accordance with regulatory guidelines, we hold cash as collateral when we lend securities, and likewise, we collateralize our borrowings of securities by depositing cash with lenders. Sharp changes in market values of substantial amounts of securities in a short period of time and the failure by parties to the lending or borrowing transactions to honor their commitments could result in substantial losses.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pPr>
      <w:r>
        <w:rPr>
          <w:rFonts w:ascii="Arial;sans-serif" w:hAnsi="Arial;sans-serif"/>
          <w:b w:val="false"/>
          <w:color w:val="000000"/>
          <w:sz w:val="20"/>
        </w:rPr>
        <w:t>We are also exposed to credit risk in our dealings with the Liquidity Providers to which we route cryptocurrency orders. Unlike equities and option trades, cryptocurrency trades do not settle through any central clearinghouses but rather are conducted under bilateral agreements between us and each crypto Liquidity Provider (the risk of the Liquidity Provider</w:t>
      </w:r>
      <w:r>
        <w:rPr>
          <w:color w:val="000000"/>
        </w:rPr>
        <w:t>’</w:t>
      </w:r>
      <w:r>
        <w:rPr>
          <w:rFonts w:ascii="Arial;sans-serif" w:hAnsi="Arial;sans-serif"/>
          <w:b w:val="false"/>
          <w:color w:val="000000"/>
          <w:sz w:val="20"/>
        </w:rPr>
        <w:t>s default therefore falls upon us rather than being distributed among a clearinghouse</w:t>
      </w:r>
      <w:r>
        <w:rPr>
          <w:color w:val="000000"/>
        </w:rPr>
        <w:t>’</w:t>
      </w:r>
      <w:r>
        <w:rPr>
          <w:rFonts w:ascii="Arial;sans-serif" w:hAnsi="Arial;sans-serif"/>
          <w:b w:val="false"/>
          <w:color w:val="000000"/>
          <w:sz w:val="20"/>
        </w:rPr>
        <w:t xml:space="preserve">s members). The terms of these bilateral agreements vary but spot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95</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transactions are generally aggregated and settled on a net basis once per business day (with the crypto deliveries occurring first and the net cash moving within 24 hours thereafter) and payment obligations are generally unsecured during the interval between delivery and payment. It is not uncommon for us to have an intra-day outstanding net receivable of $100 million that we are owed by any one cryptocurrency Liquidity Provider. Similarly, we routinely have unsecured PFOF receivables from equities and options Liquidity Providers. Any payment default by a market maker could have adverse effects on our financial condition and results of operations. Our acquisition of Bitstamp has resulted in increased credit risk associated with certain Liquidity Providers, given that some of these firms are also customers of Bitstamp.</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Additionally, RHD is obligated to establish and maintain an appropriate Residual Interest Targeted Amount (“RITA”), which is the amount of RHD’s own capital held in segregation in excess of the amount required to be segregated based on customer positions. RHD also maintains additional firm capital in segregation greater than the established RITA amount, (i.e., excess segregated funds). If the aggregate customer margin deficiency amount on any day exceeds the excess segregated funds amount to the point where RHD breaches its RITA, RHD would be in violation of CFTC rules and would potentially be subject to monetary penalties, sanctions, or other disciplinary actions for failing to maintain an appropriate RITA.</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a result of our acquisition of Bitstamp, we now provide additional cryptocurrency products and services to institutional customers both in the United States and internationally, including products and services such as on-exchange lending, off-exchange settlement and post-trade settlement. These offerings to certain institutional clients expose us to risks we have not historically faced at scale, including credit risk.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policies and procedures designed to manage credit risk, but we face a risk that such policies and procedures might not be fully effective. We regularly update our risk management framework and practices, but eliminating credit risk entirely is difficult. </w:t>
      </w:r>
    </w:p>
    <w:p>
      <w:pPr>
        <w:pStyle w:val="TextBody"/>
        <w:bidi w:val="0"/>
        <w:spacing w:lineRule="auto" w:line="288" w:before="0" w:after="0"/>
        <w:jc w:val="both"/>
        <w:rPr/>
      </w:pPr>
      <w:r>
        <w:rPr>
          <w:rFonts w:ascii="Arial;sans-serif" w:hAnsi="Arial;sans-serif"/>
          <w:b/>
          <w:i/>
          <w:color w:val="000000"/>
          <w:sz w:val="20"/>
        </w:rPr>
        <w:t>Providing investment advice and recommendations could subject us to investigations, penalties, and liability for customer losses if we fail to comply with applicable regulatory standards, and providing investment education tools could subject us to additional risks if such tools are construed to be investment advice or recommendations.</w:t>
      </w:r>
      <w:r>
        <w:rPr>
          <w:color w:val="C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Risks associated with providing investment advice and recommendations include those arising from how we disclose and address possible conflicts of interest, inadequate due diligence, inadequate disclosure, and human error. The Advisers Act and its related rules and interpretations impose a fiduciary duty on our provision of investment advisory services to customers, and other regulations, such as the SEC’s Regulation Best Interest and certain state broker-dealer regulations, impose heightened conduct standards and requirements on recommendations to retail investors. For example, the North American Securities Administrators Association (“NASAA”) (an association of state securities administrators) has adopted amendments to the NASAA model rule regarding Dishonest or Unethical Business Practices of Broker-Dealers and Agents, which are intended to address Regulation Best Interest and other developments in the securities industry. In addition, the SEC and various states have considered or are considering potential regulations or have already adopted certain regulations that could impose additional standards of conduct or other obligations on us to the extent we provide investment advice or recommendations to our customers or use certain covered technologies while communicating with existing or prospective customers.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also provide customers with a variety of educational materials in various jurisdictions, investment tools, and financial news and information, such as our “Snacks” newsletter (which is offered by Sherwood Media), the suite of other editorial offerings that Sherwood Media has launched and will continue to launch, and the Robinhood Investor Index. Additionally, Robinhood Gold members have access to stock research reports prepared by our third-party collaborator, Morningstar, Inc. and Level II market data from Nasdaq. Based on current law and regulations, we believe these services do not constitute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96</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advice or investment recommendations. If the law were to change or if a court or regulator were to interpret current law and regulations in a novel manner, we face a risk that these services could come to be considered as investment advice.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If services that we do not consider to be recommendations (such as educational materials, and our editorial offerings, including Snacks) are construed as constituting investment advice or recommendations, we have been and could be in the future subject to investigations by regulatory agencies. For example, in December 2020, the Enforcement Section of MSD filed a complaint against us alleging that a fiduciary conduct standard applies to us under Massachusetts securities law by claiming that certain of our product features and marketing strategies amount to investment recommendations. Changes in law or changes in interpretations of existing law might also require us to modify the nature of these services or discontinue them altogether, one or more of which could have an adverse effect on our ability to attract and retain customers.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To the extent our investment education tools, news and information, or digital engagement practices are determined to constitute investment advice or recommendations and to the extent those recommendations fail to satisfy regulatory requirements, or we fail to know our customers, or improperly advise our customers, or if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pStyle w:val="TextBody"/>
        <w:bidi w:val="0"/>
        <w:spacing w:lineRule="auto" w:line="288" w:before="0" w:after="200"/>
        <w:ind w:left="0" w:right="0" w:firstLine="360"/>
        <w:jc w:val="both"/>
        <w:rPr>
          <w:rFonts w:ascii="Arial;sans-serif" w:hAnsi="Arial;sans-serif"/>
          <w:b/>
          <w:i/>
          <w:color w:val="000000"/>
          <w:sz w:val="20"/>
        </w:rPr>
      </w:pPr>
      <w:r>
        <w:rPr>
          <w:rFonts w:ascii="Arial;sans-serif" w:hAnsi="Arial;sans-serif"/>
          <w:b/>
          <w:i/>
          <w:color w:val="000000"/>
          <w:sz w:val="20"/>
        </w:rPr>
        <w:t>Our provision of brokerage and custodial services to RIAs exposes us to operational, regulatory and reputational risks.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Our provision of brokerage and custodial services through TradePMR to RIAs and their clients is subject to extensive federal and state regulation, including oversight by the SEC, FINRA, and applicable state securities regulators. Regulatory changes or enhanced enforcement activity may require significant system changes, and increased compliance resources, which could materially affect our business operations and results of operations. Non-compliance with applicable regulations by us or by TradePMR’s clearing firm, Wells Fargo Clearing Services, LLC, could result in censures, fines, or reputational harm.</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We rely heavily on proprietary and third-party technology platforms to provide brokerage, custodial, and administrative services. A failure in these systems, including outages, cyberattacks, data breaches, or programming errors, could interrupt our operations or those of our RIA clients, resulting in financial losses, regulatory exposure, or damage to our relationships with advisors and end clients.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Possessing client assets and sensitive personal information exposes us to cybersecurity threats and data privacy obligations. A breach of our systems or those of our vendors could result in unauthorized access to confidential information, potentially triggering legal liabilities, regulatory investigations, remediation costs, and reputational harm. Continued investment in information security infrastructure and incident response protocols is necessary to mitigate this risk.</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We may be subject to legal claims and arbitration proceedings arising from the actions or omissions of RIAs to whom we provide custodial support. Although we do not provide investment advice to end clients, disputes may arise regarding account management, trade execution, or data integrity. Any such claims could result in costly litigation, adverse judgments, or settlements.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Our revenue from custodial relationships is largely dependent on assets under custody, cash balances, and the trading activity of advisory clients. Adverse market conditions, rising interest rate volatility, or shifts in client behavior may reduce trading volumes or asset levels, which could negatively impact our fee-based and spread income.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ability to retain and grow our RIA client base depends in part on our reputation for service quality, platform stability, and regulatory compliance. Negative publicity arising from operational failures,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97</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regulatory sanctions, or advisor misconduct may harm our brand and result in the loss of key relationships or reduced advisor onboarding.</w:t>
      </w:r>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Cryptocurrency Products and Services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loss, destruction or unauthorized use or access of a private key required to access any of the cryptocurrencies we hold on behalf of customers could result in irreversible loss of such cryptocurrencies. If we are unable to access the private keys or if we experience a hack or other data loss relating to the cryptocurrencies we hold on behalf of customers, our customers might be unable to trade their cryptocurrency, our reputation and business could be harmed, and we might be liable for losses in excess of our ability to pay.</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we expand our cryptocurrency product and service offerings, the risks associated with failing to safeguard and manage cryptocurrencies we hold on behalf of our customers increase. Our success and the success of our offerings requires significant public confidence in our ability to properly manage customers’ balances and handle large transaction volumes and amounts of customer funds. Any failure by us to maintain the necessary controls or to manage the cryptocurrencies we hold on behalf of our customers and funds appropriately and in compliance with applicable regulatory requirements could result in reputational harm, significant financial losses, lead customers to discontinue or reduce their use of our services, and result in significant penalties and fines and additional restrictions.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hold all settled cryptocurrencies in custody on behalf of customers in two types of wallets: (i) hot wallets, which are managed online, and (ii) cold wallets, which are managed entirely offline and require physical access controls. With the exception of Bitstamp (discussed below), Robinhood does not utilize third-party custodians for settled cryptocurrencies, but does integrate proprietary technology from a third-party industry-standard vendor into the systems Robinhood uses to support the custody, transfer and settlement operations to its wallets. As noted, Bitstamp does use third party custodians. Failures, problems or issues at these third party custodians could subject Bitstamp to various forms of risk and may have a significant impact on Bitstamp’s business and reputation, which, in turn, could harm Robinhood’s business and reputation more broadly.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general, the overwhelming majority of cryptocurrency coins on our platforms are held in cold storage, though some coins are held in hot wallets to support day-to-day operations. As a public company, we are required to comply with the Sarbanes-Oxley Act of 2002. As part of this, we are required to establish and maintain adequate internal control over financial reporting and evaluate the effectiveness of our internal control over financial reporting (in accordance with guidance issued by the staffs of the SEC’s Office of the Chief Accountant and the Division of Corporation Finance, companies are permitted to exclude acquisitions from their assessment of internal control over financial reporting for the first fiscal year in which the acquisition occurred and we currently expect to exclude Bitstamp, which we acquired in June 2025, from such assessment for 2025). The effectiveness of Robinhood’s internal control over financial reporting and our financial statements and related notes are audited by Ernst &amp; Young LLP, our independent registered public accounting firm. Under blockchain protocol, in order to access or transfer cryptocurrency stored in a wallet, we need to use a private key. Robinhood maintains backup copies of private keys in multiple separate locations. Bitstamp safeguards its private keys internally and with custodians. We have several layers of cybersecurity defense in place to protect our omnibus wallets. However, to the extent any private keys are lost, destroyed, unable to be accessed by us, or otherwise compromised and all of their backups are lost, we will be unable to access the assets held in the related hot or cold wallet. Further, we cannot provide assurance that any or all of our wallets will not be hacked, exposed, or compromised such that cryptocurrencies are sent to one or more private addresses that we do not control, which could result in the loss of some or all of the cryptocurrencies that we hold in custody on behalf of customers. Any such losses could be significant, and we may not be able to obtain insurance coverage for some or all of those losses. Cryptocurrencies and blockchain technologies have been, and might in the future be, subject to security breaches, hacking, or other malicious activities,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98</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targeted physical attacks. For example, in August 2021, hackers were able to momentarily take over the Bitcoin SV (“BSV”) network, allowing them to spend coins they did not have and prevent transactions from completing. Any exposure or loss of private keys relating to, or hack or other compromise of, the hot wallets or cold wallets we use to store our customers’ cryptocurrencies could result in total loss of customers’ cryptocurrencies (because customers’ cryptocurrency balances are not protected by the Securities Investor Protection Corporation (the “SIPC”)) or adversely affect our customers’ ability to sell their assets, and could result in our being required to reimburse customers for some or all of their losses, subjecting us to significant financial losses. Because many insurance carriers do not provide insurance coverage for crypto-related risks, comprehensive coverage for such events is not readily available on commercially reasonable terms. Our current coverage is limited and may not cover the extent of loss, nor the nature of such loss, in which case we may be liable for the full amount of losses suffered, which could be greater than all of our remaining assets. The total value of cryptocurrencies under our control on behalf of customers is significantly greater than the current total value of insurance coverage that would compensate us in the event of theft or other loss of such assets. Furthermore, the term of our current insurance policy expires in the third quarter of 2026, with our option to renew annually or for the carrier to terminate coverage with advance written notice. Any loss of our insurance coverage would impede our ability to mitigate any losses our customers might suffer if we are unable to access private keys. Additionally, any such security compromises or any business continuity issues affecting our cryptocurrency Liquidity Providers might affect the ability or willingness of our customers to trade or hold cryptocurrencies on our platforms, might result in litigation and regulatory enforcement actions, and could harm customer trust in us and our products generally.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prices of most cryptocurrencies are extremely volatile. Fluctuations in the price of various cryptocurrencies might cause uncertainty in the market and could negatively impact trading volumes of cryptocurrencies, and we may not effectively identify, prevent or mitigate cryptocurrency market risks, any of which would adversely affect the success of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prices of most cryptocurrencies are based in part on market adoption and future expectations, which might or might not be realized. As a result of these and other factors, the prices of cryptocurrencies are highly speculative. The prices of cryptocurrencies have been subject to dramatic fluctuations (including as a result of the 2022 Bear Markets), which have impacted, and will continue to impact, our trading volumes and operating results and might adversely impact our growth strategy and business. Several factors could affect a cryptocurrency’s price, including, but not limited to:</w:t>
      </w:r>
    </w:p>
    <w:p>
      <w:pPr>
        <w:pStyle w:val="TextBody"/>
        <w:bidi w:val="0"/>
        <w:spacing w:before="0" w:after="0"/>
        <w:ind w:left="0" w:right="0" w:firstLine="36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Changes in the software, software requirements or hardware requirements underlying a blockchain network, such as a fork. Forks have occurred and are likely to occur again in the future and could result in a sustained decline in the market price of cryptocurrencies.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Changes in the rights, obligations, incentives, or rewards for the various participants in a blockchain network.</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The maintenance and development of the software protocol of cryptocurrencies.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Cryptocurrency exchanges’ deposit and withdrawal policies and practices, liquidity on such exchanges and interruptions in service from or failures of such exchanges.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99</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Regulatory measures, if any, that affect the use and value of cryptocurrencies or regulatory or judicial assertions or determinations that certain cryptocurrencies are securities.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Competition for and among various cryptocurrencies that exist and market preferences and expectations with respect to adoption of individual currencies.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Actual or perceived manipulation of the markets for cryptocurrencies.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Actual or perceived connections between cryptocurrencies (and related activities such as mining) and adverse environmental effects or illegal activities.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Social media posts and other public communications by high-profile individuals relating to specific cryptocurrencies, or listing or other business decisions by cryptocurrency companies relating to specific cryptocurrencies.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Expectations with respect to the rate of inflation in the economy, monetary policies of governments, trade restrictions, and currency devaluations and revaluations.</w:t>
      </w:r>
    </w:p>
    <w:p>
      <w:pPr>
        <w:pStyle w:val="TextBody"/>
        <w:bidi w:val="0"/>
        <w:spacing w:before="0" w:after="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While we have observed a positive trend in the total market capitalization of cryptocurrency assets over the long term, driven by increased adoption of cryptocurrency trading by both retail and institutional investors as well as continued growth of various non-investing use cases, historical trends are not indicative of future adoption, and it is possible that the rate of adoption of cryptocurrencies might slow or decline, which would negatively impact our business, financial condition, and results of operations.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While we currently support several cryptocurrencies for trading, market interest in particular cryptocurrencies can also be volatile and there are many cryptocurrencies in the market that we do not support. Our business could be adversely affected, and growth in our net revenue earned from cryptocurrency transactions could slow or decline, if the markets for the cryptocurrencies we support deteriorate or if demand moves to other cryptocurrencies not supported by our platforms. The listing committees of RHC and RHEU conduct regular reviews of the cryptocurrencies available on our platforms to ensure that they continue to meet our requirements under our internal policies and procedures (collectively, the “Crypto Listing Frameworks”) for continued support on our platforms and possess the authority to delist and cease support for any asset based on various factors. Bitstamp also conducts similar reviews of cryptocurrencies available on its platform in accordance with its internal listing procedures and processes. Ceasing support for a cryptocurrency with substantial market interest (or if our consideration to cease supporting such a cryptocurrency becomes known) has in the past exposed, and may continue to expose us to negative attention, adversely impacting our business, including revenue loss from no longer supporting a cryptocurrency or customer reaction to such a decision. For instance, in the past we have encountered an influx of customer complaints related to our decisions to cease support for certain cryptocurrencies.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Volatility in the values of cryptocurrencies caused by the factors described above or other factors might impact our regulatory net worth requirements as well as the demand for our services and therefore have an adverse effect on our business, financial condition and results of operations.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Although neither our board of directors nor management have to date identified any material gaps or weaknesses with respect to our existing risk management processes and policies in light of recent cryptocurrency market conditions, we remain subject to cryptocurrency market risks. If we are unable to effectively identify, prevent or mitigate such risks, the success of our business, our financial condition and results of our operations may be adversely affected. As part of our overall risk management processes, the Enterprise Risk Management (“ERM”) team maintains an enterprise wide risk management standard to ensure risks are evaluated in a clear and transparent manner and partners with various front-line risk teams and risk owners across Robinhood to foster consistent risk management practices across Robinhood. In particular, the ERM team provides governance over risk management practices and reports top risks to the Safety, Risk and Regulatory Committee of the board of directors (the “Safety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100</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Committee”), along with planned mitigants and monitoring procedures. The Safety Committee reviews management’s exercise of its responsibility to identify, assess, manage, monitor and mitigate material risks not specifically allocated to the board of directors or another of its committees. In addition to RHM-level processes, entity-level risk teams affiliated with our operating subsidiaries, including one at RHC, perform ongoing risk operations, including risk and control self-assessments and maintaining risk and control registers. As management identifies operational risks, the entity-level risk team tracks the risk drivers and planned mitigating measures and escalates such risks, as needed, to the ERM team.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In light of events in 2022, cryptocurrency market risks were identified as a key risk to the Company and management has accordingly implemented certain measures, including enhanced monitoring for cryptocurrency markets (such as reducing net open position limits with liquidity partners through more frequent settlement; adding additional banking and liquidity partners; monitoring on-platform trading activity, coin deposits and withdrawals; and ongoing diligence for listings and banking relationships). The ERM team has also provided quarterly updates to the Safety Committee with respect to such risks and responses. In addition, RHC and RHEU maintain listing committees as described above.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In June 2025, we started offering leverage to customers of RHEU and Bitstamp Financial Services Ltd investing in crypto-asset perpetuals. By permitting customers to invest in crypto-asset perpetuals with the use of leverage, both our customers and we are subject to certain risks, especially during periods of extreme volatility in the crypto-asset markets.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In the United States, any particular cryptocurrency’s status as a “security” is subject to a high degree of uncertainty and if we have not properly characterized one or more cryptocurrencies, we might be subject to regulatory scrutiny, investigations, fines, and other penalties.</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currently facilitate customer trades for certain cryptocurrencies that we have analyzed under applicable internal policies and procedures and, for cryptocurrencies supported on our RHC and Bitstamp US platforms, that we believe are not securities under relevant U.S. federal and state securities laws. Determining whether any given cryptocurrency is a security is a highly complex, fact-driven analysis, which may change and evolve over time based on changes in the cryptocurrency and its related ecosystem and on evolving legal and regulatory developments. Different parties may reach different conclusions about the outcome of this analysis based on the same facts. The analysis may become clearer depending on the outcome in certain cases currently pending in varying stages of litigation. Further, guidance and statements from the SEC and states, including recent SEC Division of Corporation Finance (“Corp Fin”) staff statements, have provided some degree of additional clarity concerning the analysis for specific cryptocurrencies, although much uncertainty still exists. The SEC Staff has indicated that the determination of whether or not a cryptocurrency is a security depends on the characteristics and use of that particular asset. The SEC and the SEC Staff have previously taken positions that certain cryptocurrencies are “securities” in the context of settled or litigated enforcement actions. Although the SEC had not historically provided advance confirmation on the status of any particular cryptocurrency as a security, (i) Corp Fin staff recently published statements that they do not view the offers and sales of certain “stablecoins” and “meme coins” to constitute the offer and sale of securities under the federal securities laws and (ii) senior officials at the SEC have previously indicated that the SEC does not intend to take the position that Bitcoin or Ethereum are securities (in their current forms). However, such statements and views are not official policy statements by the SEC and reflect only the SEC Staff’s and speakers’ views, which are not binding on the SEC or any court or other agency (including, for instance, the NYDFS, which recently published a consumer alert concerning meme coins that did not opine on whether meme coins constituted securities but warned consumers of the risks of such coins), may be withdrawn at any time without notice or comment by the SEC or its senior officials, cannot be generalized to any other cryptocurrency, and might evolve (including, for instance, proposed legislation may provide guidelines for the regulation of stablecoins in the U.S. and may differ from the views set forth in the Corp Fin staff statement). With respect to all cryptocurrencies other than Bitcoin and Ethereum, there is less certainty about whether they would be viewed as securities under the applicable federal and securities laws. Furthermore, U.S. regulators have expressed concerns about cryptocurrency platforms adding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101</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multiple new coins, some of which they may view as unregistered securities. Additionally, the current presidential administration and control of Congress in the U.S. present considerable uncertainty as to cryptocurrency regulations and how regulators will apply the securities laws to cryptocurrencies and what changes Congress may enact with respect to cryptocurrencies. Although our policies and procedures are intended to enable us to make risk-based assessments regarding the likelihood that a particular cryptocurrency could be deemed a security under applicable laws, including federal securities laws, our assessments are not definitive legal determinations as to whether a particular digital asset is a security under such laws. Accordingly, regardless of our conclusions, we could be subject to legal or regulatory action in the event the SEC, a state regulator, or a court were to assert or determine that a cryptocurrency supported by our RHC or Bitstamp US platforms is a “security” under U.S. law.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example, in June 2023, the SEC charged Binance Holdings Ltd., and its affiliated U.S. entity, among others (collectively, “Binance”) and, separately, Coinbase Global, Inc., and Coinbase, Inc. (collectively, “Coinbase”) with operating their respective cryptocurrency trading platforms as unregistered national securities exchanges, brokers, and clearing agencies, also alleging that certain cryptocurrencies supported on their respective platforms are securities. The charges also implicated Coinbase’s staking-as-a-service program and its non-custodial wallet. In November 2023, the SEC brought similar charges against Payward, Inc. and Payward Ventures Inc.) (collectively, “Kraken”), alleging that it operated as an unregistered securities exchange, brokerage and clearing agency. In February 2025, a 60-day stay was granted in the SEC’s lawsuit against Binance in response to a joint request by both the SEC and Binance, which acknowledged that the SEC’s newly formed Crypto Task Force’s focus on developing a federal securities laws framework for digital assets may resolve the case. In February 2025, Coinbase and the SEC entered into a court-approved joint stipulation to dismiss the SEC’s lawsuit with prejudice. In March 2025, the SEC filed a stipulation against Kraken to dismiss the SEC’s lawsuit with prejudice. Several other digital assets market participants, including us, have also announced that the SEC informed them that the SEC was terminating its investigation or enforcement action into their firm. Also, in April 2025, the Office of the Deputy Attorney General issued a memorandum (the “April DOJ Memo”), setting out new enforcement priorities for digital asset-related investigations and prosecutions by the DOJ. The April DOJ Memo directed prosecutors not to “target virtual currency exchanges, mixing and tumbling services, and offline wallets for the acts of their end users or unwitting violations of regulations”. The April DOJ Memo explained that the DOJ will instead prioritize cases against individuals who cause financial harm to digital asset investors and consumers and/or use digital assets in furtherance of other criminal conduct. The outcome of these matters (to the extent not yet dismissed) and decisions by regulators not to bring enforcement actions provides, and any other action, settlement, or related investigation by regulators, might provide, additional guidance on the legal status of cryptocurrencies as securities more generally, which has affected and might significantly affect the actual or perceived regulatory status and value of cryptocurrencies we currently support or might support in the future. On January 21, 2025, the SEC announced that SEC Acting Chairman Mark Uyeda “launched a crypto task force dedicated to developing a comprehensive and clear regulatory framework for crypto assets.” The task force will be focused on helping the SEC “draw clear regulatory lines, provide realistic paths to registration, craft sensible disclosure frameworks, and deploy enforcement resources judiciously.” While the SEC has formed the Crypto Task Force to provide clarity on the application of the federal securities laws to the crypto asset market and to recommend practical policy measures that aim to foster innovation and protect investors, the task force has only recently begun. </w:t>
      </w:r>
    </w:p>
    <w:p>
      <w:pPr>
        <w:pStyle w:val="TextBody"/>
        <w:bidi w:val="0"/>
        <w:spacing w:lineRule="auto" w:line="288" w:before="0" w:after="200"/>
        <w:ind w:left="0" w:right="0" w:firstLine="360"/>
        <w:jc w:val="both"/>
        <w:rPr/>
      </w:pPr>
      <w:r>
        <w:rPr>
          <w:rFonts w:ascii="Arial;sans-serif" w:hAnsi="Arial;sans-serif"/>
          <w:b w:val="false"/>
          <w:color w:val="000000"/>
          <w:sz w:val="20"/>
        </w:rPr>
        <w:t xml:space="preserve">From time to time, we also have received with respect to our RHC platform, and might in the future receive SEC inquiries regarding specific cryptocurrencies supported on our RHC or Bitstamp US platforms and added features and since December 2022, we have received investigative subpoenas from the SEC regarding, among other topics, RHC’s supported cryptocurrencies, custody of cryptocurrencies, and platform operations. During our discussions with the SEC Staff in the fourth quarter of 2023, the Staff asserted that they are considering whether, and may recommend that the SEC find that, certain cryptocurrencies supported by our RHC platform are securities, and in the second quarter of 2024, we received the May 2024 Wells Notice (as defined in </w:t>
      </w:r>
      <w:r>
        <w:rPr>
          <w:rFonts w:ascii="Helvetica;sans-serif" w:hAnsi="Helvetica;sans-serif"/>
          <w:b w:val="false"/>
          <w:color w:val="000000"/>
          <w:sz w:val="20"/>
        </w:rPr>
        <w:t>Note 14 - Commitments &amp; Contingencies</w:t>
      </w:r>
      <w:r>
        <w:rPr>
          <w:color w:val="000000"/>
        </w:rPr>
        <w:t xml:space="preserve"> </w:t>
      </w:r>
      <w:r>
        <w:rPr>
          <w:rFonts w:ascii="Arial;sans-serif" w:hAnsi="Arial;sans-serif"/>
          <w:b w:val="false"/>
          <w:color w:val="000000"/>
          <w:sz w:val="20"/>
        </w:rPr>
        <w:t xml:space="preserve">to our unaudited condensed consolidated financial statements in this Quarterly Report). On February 21,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102</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SEC Enforcement closed the investigation, advising RHC in writing that it had concluded its investigation and did not intend to move forward with recommending an enforcement action.</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To the extent that the SEC or a court asserts or determines that any cryptocurrencies supported by our RHC or Bitstamp US platforms are securities, that assertion or determination could prevent us from continuing to facilitate trading of those cryptocurrencies (including ceasing support for such cryptocurrencies on our RHC or Bitstamp US platforms). It could also result in regulatory enforcement penalties and financial losses in the event that we have liability to our customers and need to compensate them for any losses or damages. We could be subject to judicial or administrative sanctions, including disgorgement or penalties which could be material, for failing to offer or sell the cryptocurrency in compliance with securities registration requirements, or for acting as a securities broker or dealer, national securities exchange, clearing agency, or other regulated entity without appropriate registration. Such an action could result in injunctions and cease and desist orders, as well as civil monetary penalties, fines, and disgorgement, criminal liability, and reputational harm. Customers that traded such supported cryptocurrency through our RHC or Bitstamp US platforms and suffered trading losses might also seek to rescind transactions that we facilitated on the basis that they were conducted in violation of applicable law, which could subject us to significant liability and losses. We might also be required to cease facilitating transactions in the supported cryptocurrency, which could negatively impact our business, operating results, and financial condition. Further, if any supported cryptocurrency is deemed to be a security, it might have adverse consequences for such supported cryptocurrency. For instance, all transactions in such supported cryptocurrency would have to be registered with the SEC or other foreign authority, or conducted in accordance with an exemption from registration, which could severely limit its liquidity, usability, and transactability. Moreover, the networks on which such supported cryptocurrencies are used might be required to be regulated as securities intermediaries, and subject to applicable rules, which could effectively render the network impracticable for its existing purposes. For instance, in April 2023, the SEC reopened the comment period and provided supplemental information on proposed amendments to the definition of “exchange” under Exchange Act Rule 3b-16, including reiterating the applicability of existing rules to platforms that trade crypto asset securities. In addition, our growth might be adversely affected if we are not able to expand our RHC platform to include additional cryptocurrencies that the SEC has determined to be securities or that we believe are likely to be determined to be securities.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continue to analyze the cryptocurrencies supported on the RHC and Bitstamp US platforms under our Crypto Listing Frameworks and Bitstamp’s similar internal policies, respectively, on a periodic basis to ensure that they continue to meet the applicable internal requirements for continued support on the RHC and Bitstamp US platforms which include, among other factors, that we continue to believe they are not securities under relevant U.S. federal and state securities laws. We may make the determination to cease support for a cryptocurrency for any one or a variety of factors based on a totality of the circumstances under our Crypto Listing Frameworks and Bitstamp’s similar internal policies, as applicable. However, an assertion or determination by the SEC or a court that a cryptocurrency supported by our RHC or Bitstamp US platforms constitutes a security could also result in our determination that it is advisable to remove that cryptocurrency and others with similar characteristics to the cryptocurrency that was asserted or determined to be a security from our RHC or Bitstamp US platforms. If we proactively remove certain cryptocurrencies from our RHC or Bitstamp US platforms because the SEC, a state, or a court has asserted or determined they constitute securities or because they share similarities with such cryptocurrencies or otherwise do not meet our Crypto Listing Frameworks and Bitstamp’s similar internal policies, as applicable, it has and could in the future negatively impact customer sentiment and our business, operating results, and financial condition, especially to the extent that our competitors continue to support such cryptocurrency on their platforms.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in June 2024, we launched “Robinhood Stock Tokens” in certain jurisdictions in the EEA, which are designed to provide eligible customers in the EEA with exposure to certain U.S. exchange-listed stocks and exchange-traded funds (“ETFs”). While we currently only offer Robinhood Stock Tokens in the EEA, because the assets underlying the tokens are certain U.S. stocks and ETFs, the SEC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103</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assert jurisdiction over our Robinhood Stock Token offering and claim that transactions in our Robinhood Stock Tokens must be conducted in compliance with applicable federal laws and regulations. See “—Our introduction of Robinhood Stock Tokens in the EEA may expose us to significant regulatory, litigation, contractual, operational, and reputational risks” for more information.</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If the SEC, a state regulator or a private litigant alleges that our staking services offered in the U.S. involve unregistered offers and sales of securities or unregistered securities broker-dealer activity in violation of the Securities Act, the Exchange Act or applicable state laws or regulations, and the courts agree with such plaintiff, we may be required to cease our staking activities and may be subject to monetary and other penalties.</w:t>
      </w:r>
    </w:p>
    <w:p>
      <w:pPr>
        <w:pStyle w:val="TextBody"/>
        <w:bidi w:val="0"/>
        <w:spacing w:before="0" w:after="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June 2025, we announced that RHC will be offering crypto staking services to eligible customers in certain jurisdictions in the United States. In several enforcement actions filed by the SEC under the prior administration, the SEC alleged that certain companies had offered staking services to retail customers for various digital assets as unregistered securities or acted as unregistered securities broker-dealers in facilitating offers or sales of third-party staking services in violation of the registration provisions of the Securities Act or the Exchange Act. For example, as described under “—Risks Related to Cryptocurrency Products and Services—In the United States, any particular cryptocurrency’s status as a “security” is subject to a high degree of uncertainty and if we have not properly characterized one or more cryptocurrencies, we might be subject to regulatory scrutiny, investigations, fines, and other penalties,” in 2023 the SEC charged Kraken, Coinbase and Binance with offering and selling digital asset staking-as-a-service programs to retail customers as unregistered investment contract schemes in violation of the Securities Act. In June 2024, the SEC charged Consensys Software Inc. with acting as an underwriter of unregistered securities in violation of the Securities Act and as an unregistered broker in violation of the Exchange Act by marketing the Lido and Rocket Pool third-party liquid staking-as-a-service programs to retail customers through Consensys’ “Metamask Staking” platform. As noted above, the litigation against Binance, Coinbase, and Kraken has been stayed or dismissed, and the SEC filed a stipulation to dismiss its lawsuit against Consensys with prejudice in March 2025.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We believe that our staking services do not offer or sell any “securities” subject to the securities laws or SEC regulations. We also believe that the structure, terms and other characteristics of the staking services offered by RHC generally align with those described in the Staff’s Statement on Certain Protocol Staking Activities issued in May 2025, wherein the Staff stated that it is the Staff’s view that the staking services of the nature described therein do not involve the offer and sale of “securities” within the meaning of the Securities Act and the Exchange Act. However, the Staff’s statement does not constitute a rule, regulation, guidance or statement of the SEC, and may be withdrawn at any time without notice and comment by the Staff or the SEC. Accordingly, we do not know if the SEC will agree with our interpretation of the applicable federal laws or regulations, or if we will be successful if we seek relief from the courts.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there is no guarantee that state regulators will agree with our interpretation of applicable state laws or regulations. For example, several state regulators have issued cease and desist orders to, or filed lawsuits against, Coinbase with respect to its staking services, alleging that Coinbase’s staking services constitute unregistered securities offerings under applicable state laws and regulations. While certain of the state regulators have since dismissed their lawsuits against Coinbase with respect to its staking services, not all state regulators have done so.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If the SEC, a state regulator or a private litigant were to prevail on claims that our staking services offered in the United States violate the Securities Act, Exchange Act or applicable state laws and regulations, we may be subject to monetary penalties, liabilities, reputational harm, and may be required to cease offering these services.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104</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Domestic and foreign regulators and governments are increasingly focused on the regulation of cryptocurrencies. In the United States, cryptocurrencies are regulated by both federal and state authorities, depending on the context of their usage. For example, on October 13, 2023, California enacted the DFAL, which, upon effectiveness on July 1, 2026, will prohibit any person or entity engaging in digital financial asset business activity or holding itself out as being engaged in digital financial asset business activity, with or on behalf of a resident of California (including businesses with a place of business in California), unless that person or entity either (i) holds a license under the DFAL, (ii) has submitted an application for such license on or before July 1, 2026 and is awaiting approval or denial of that application, or (iii) is exempt from licensure. Once licensed, the licensee must comply with requirements related to record maintenance, fee and risk disclosures, cybersecurity, customer protection, and anti-fraud and anti-money laundering. We expect to apply for a license under DFAL in connection with our cryptocurrency trading operations in California. In addition, the NYDFS requires that any persons or entity engaging in virtual currency activity for third parties in or involving New York, excluding merchants and consumers, must apply for a license, commonly referred to as a BitLicense, from the NYDFS and must comply with anti-money laundering, cybersecurity, consumer protection, and financial and reporting requirements, among others, or must be chartered under the New York Banking Law and be approved by the NYDFS to engage in virtual currency business activity. We will continue to monitor developments in state-level legislation, guidance or regulations applicable to us. Cryptocurrency market disruptions and resulting governmental interventions are unpredictable, and might make cryptocurrencies, or certain cryptocurrency business activities, illegal altogether. As regulation of cryptocurrencies continues to evolve, there is a substantial risk of inconsistent regulatory guidance among federal and state agencies and among state governments which, along with potential accounting and tax issues or other requirements relating to cryptocurrencies, could impede the growth of our cryptocurrency operations. The current presidential administration and control of Congress in the U.S. also present considerable uncertainty as to future cryptocurrency regulations. Additionally, regulation in response to the climate impact of cryptocurrency mining could negatively impact cryptocurrency trading on our platforms.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cryptocurrency accounting rules and regulations that we must comply with are complex and subject to interpretation by the FASB, the SEC, and various bodies formed to promulgate and interpret accounting principles. A change in these rules and regulations or interpretations could have a significant effect on our reported financial results and financial position, and could even affect the reporting of transactions completed before the announcement or effectiveness of a change. Further, there are a limited number of precedents for the financial accounting treatment of cryptocurrency assets (including related issues of valuation and revenue recognition), and no official guidance has been provided by the FASB or the SEC. Accordingly, there remains significant uncertainty as to the appropriate accounting for cryptocurrency asset transactions, cryptocurrency assets, and related revenues. Uncertainties in or changes in regulatory or financial accounting standards could result in the need to change our accounting methods and/or restate our financial statements, and could impair our ability to provide timely and accurate financial information, which could adversely affect our financial statements, and result in a loss of investor confidence.</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future regulatory actions or policies, including, for instance, the assertion of jurisdiction by domestic and foreign regulators and governments over cryptocurrency and cryptocurrency markets could limit or restrict cryptocurrency usage, custody, or trading, or the ability to convert cryptocurrencies to fiat currencies. This includes recent legislative actions related to the CLARITY Act and GENIUS Act. See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Additionally, some lawmakers and regulators have raised questions about Transaction Rebates from cryptocurrency trading. Transaction Rebates from cryptocurrency trading have historically, and might continue, to comprise a significant percentage of our total net revenues. The current presidential administration and control of Congress in the U.S. also present considerable uncertainty as to such regulatory actions or policies. Any future regulatory actions or policies could reduce the demand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105</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cryptocurrency trading and might materially decrease our revenue derived from Transaction Rebates in absolute terms and as a proportion of our total revenues.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January 2023, the Bankruptcy Court for the Southern District of New York issued a ruling in In re Celsius Network LLC, that certain crypto assets held by Celsius customer accounts were the property of Celsius’s estate and that the holders of such accounts are unsecured creditors. However, unlike the terms of our user agreement, the terms of Celsius’s user agreement unambiguously provided that the rights to cryptocurrency held, including ownership rights, belonged to Celsius. Based on the terms of our user agreement, the structure of our crypto offerings, and applicable law, and, although we have not obtained a formal legal opinion on this matter, after consultation with internal and external legal counsel, we believe that the cryptocurrency we hold in custody for users of our platforms should be respected as users’ property (and should not be available to satisfy the claims of our general creditors) in the event we were to enter bankruptcy. Although we are well-capitalized, to the extent users are concerned that cryptocurrencies might not be secure in a bankruptcy generally, their willingness to hold crypto in custodial accounts and their general interest in trading cryptocurrencies might decline.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Furthermore, the Infrastructure Investment and Jobs Act significantly changes the tax reporting requirements applicable to brokers and holders of cryptocurrency and digital assets. On August 25, 2023, the Treasury Department and Internal Revenue Service released proposed regulations on the sale and exchange of digital assets by brokers. On June 28, 2024, final regulations were released that require information reporting by digital asset brokers on certain digital asset sales or exchanges that occur on or after January 1, 2025, and basis tracking for digital assets that are treated as “covered securities” if acquired on or after January 1, 2026. The implementation of these requirements, and any further legislative changes or related guidance from the Internal Revenue Service and the Treasury Department, might significantly impact our tax reporting and withholding processes and result in increased compliance costs. Failure to comply with these new information reporting and withholding requirements might subject us to significant tax liabilities and penalties. Similarly, the Organization for Economic Cooperation and Development has published final guidance on a new “crypto-asset reporting framework” and amendments to the existing rules for reporting crypto assets under the global “common reporting standard” that might apply to our international operations. These new rules might give rise to potential liabilities or disclosure requirements, and implementation of these requirements might significantly impact our operations and result in increased costs.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continued efforts to expand our business internationally also subject us to additional laws, regulations, or other government or regulatory scrutiny as discussed in “—Risks Related to Our Business—We currently operate in certain international markets and plan to further expand our international operations, which exposes us to significant new risks, and our international expansion efforts might not succeed” and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Various foreign jurisdictions have adopted, and may continue to adopt laws, regulations or directives that affect a crypto-asset industry participants, the crypto-asset markets, and their users, particularly trading platforms and service providers that fall within such jurisdictions’ regulatory scope. For example, the provisions of MiCA went into effect as of December 30, 2024. Accordingly, in addition to the licenses RHEU and Bitstamp Financial Services Ltd. obtained under MiFID, RHEU and Bitstamp Europe S.A. have obtained licenses to operate as crypto asset service providers under MiCA. As noted above, monitoring and maintaining our compliance with the laws and regulations to which we are subject is complex and requires us to expend significant resources. In addition, any failure to comply with any applicable laws and regulations could result in regulatory fines, suspensions of personnel or other sanctions, including revocation of our registration or that of our subsidiaries, which could, among other things, require changes to our business practices and scope of operations or harm our reputation, which, in turn could have a material adverse effect on our results of operations, financial condition or business. In addition, new laws or regulations, or new interpretations of existing laws or regulations, could have a materially adverse impact on our ability to operate as currently intended, or require us to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106</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additional or newly-created registrations or licenses in the future and cause us to incur significant expense in order to ensure compliance. Additionally, under recommendations from FinCEN, and the Financial Action Task Force, the United States and several international jurisdictions in which RHEU or Bitstamp operate have imposed the Funds Travel Rule and the Funds Transfer Rule (commonly referred to collectively as the Travel Rule) on financial service providers in the cryptoeconomy. We may incur high costs to implement and comply with the Travel Rule, and could also face penalties for technical violations or lose customers if it negatively impacts customer experience.</w:t>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Our Crypto Transfers, crypto staking and lending, Robinhood Wallet, and Robinhood Connect features could result in loss of customer assets, customer disputes, and other liabilities, which could harm our reputation and adversely impact trading volumes and transaction-based revenues.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the United States, we allow customers to deposit and withdraw cryptocurrencies to and from our RHC and Bitstamp platforms through our Crypto Transfers feature in the states in which RHC or Bitstamp operates (other than New York for RHC, where RHC’s regulatory application is still pending). Since the third quarter of 2024, we also allow customers of RHEU to deposit and withdraw crypto to and from our RHEU platform. Bitstamp also allows its customers to deposit and withdraw crypto to and from the Bitstamp platform. Crypto Transfers are processed using Robinhood’s or Bitstamp’s general custodial infrastructure in which we hold some cryptocurrencies on behalf of customers; when transactions are completed, coins are allocated to and from individuals’ accounts in our customer records. Additionally, RHC U.S. customers have access to Robinhood Connect, allowing their customers to use their RHC accounts to buy and transfer crypto, and fund their self-custody wallets.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Crypto Transfers initiated by users are subject to a heightened risk of user error. Under blockchain protocol, recording a transfer of cryptocurrency on the blockchain involves both the private key of the sending wallet and the unique public key of the receiving wallet. Such keys are strings of alphanumeric characters. In order for a customer to receive cryptocurrency on our platforms, the customer will need to arrange for the owner of an external source wallet to “sign” a transaction with the private key of that external wallet, directing a transfer of the cryptocurrency to our receiving custodial wallet by inputting the public key (which we will provide to the customer) of our custodial wallet. Similarly, in order to withdraw cryptocurrency from our platforms, the customer will need to provide us with the public key of the external wallet to which the cryptocurrency is to be transferred, and we will “sign” the transaction using the private key of our wallet. Some crypto networks might require additional information to be provided in connection with any transfer of cryptocurrency to or from our platforms. A number of errors could occur in the process of depositing or withdrawing cryptocurrencies to or from our platforms, such as typos, mistakes, or the failure to include information required by the blockchain network. For instance, a user might include typos when entering our custodial wallet’s public key or the desired recipient’s public key when depositing to and withdrawing from our platforms, respectively. Alternatively, a user could mistakenly transfer cryptocurrencies to a wallet address that he or she does not own or control, or for which the user has lost the private key. In addition, each wallet address is compatible only with the underlying blockchain network on which it is created. For instance, a Bitcoin wallet address can be used to send and receive Bitcoin only. If any Ethereum, Dogecoin, or other cryptocurrency is sent to a Bitcoin wallet address, for example, or if any of the other foregoing errors occur, such cryptocurrencies could be permanently and irretrievably lost with no means of recovery.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also provide crypto staking services through our RHC, RHEU and Bitstamp platforms in which eligible customers of RHC, RHEU and Bitstamp are given the option to “stake” eligible crypto-assets. Staking allows customers to earn rewards by locking up the cryptocurrencies, subject to the network and cryptocurrency’s requirements and bonding periods, and so limits customers’ access to their funds during such time. Once a customer chooses to opt in to our staking services, we delegate the amount of crypto-assets identified by such customer for staking to a validator operated by either (i) RHC, RHEU or Bitstamp, as applicable, or (ii) a third-party service provider we engage in connection with such services. Some networks may further require customer assets to be transferred into smart contracts on the underlying blockchain networks not under our or anyone’s control. If our third-party service provider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107</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such smart contracts fail to behave as expected, suffer cybersecurity attacks, experience security issues, or encounter other problems, customers’ assets may be irretrievably lost. In addition, certain blockchain networks dictate requirements for participation in the relevant decentralized governance activity, and may impose penalties, or “slashing,” if the relevant activities are not performed correctly, such as if the staker, delegator, or baker acts maliciously on the network, “double signs” any transactions, or experience extended downtimes. If we or our third-party service provider are slashed by the underlying blockchain network, customers’ assets may be confiscated, withdrawn, or burnt by the network, resulting in losses for which we may be responsible. Furthermore, certain types of staking require the payment of transaction fees on the underlying blockchain network and such fees can become significant as the amount and complexity of the transaction grows, depending on the degree of network congestion and the price of the network token. If we experience a high volume of such staking requests from customers on an ongoing basis, we could incur significant costs.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Bitstamp Europe S.A., Bitstamp Limited and Bitstamp Global Limited market crypto-asset lending services which are provided directly to customers by a third-party service provider. Customers lend their crypto-assets directly to a third party and the third party then on-lends to borrowers. Customer crypto-assets leave the custody of Bitstamp when customers access these services. There is a risk that borrowers may default on loans by the third-party service provider causing a financial loss to customers and in a worst case scenario the insolvency of the third-party service provider or its related group companies. Any of these risks could negatively impact our reputation, business, financial condition, and results of operations and discourage existing and future customers from utilizing our products and services.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With Robinhood Wallet, our self-custody, web3 wallet, users have sole access and control over their cryptocurrencies on certain networks and personally hold and maintain their private keys. Although we do not custody cryptocurrencies held in a user’s Robinhood Wallet and do not have access to users’ private keys, users who lose their private keys, and thus access to their Robinhood Wallet balances, may react negatively. Although our account agreements for Crypto Transfers and licensing agreements for Robinhood Wallet disclaim responsibility for losses caused by user errors, such incidents could result in user disputes, damage to our brand and reputation, legal claims against us, and financial liabilities.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Additionally, allowing customers to deposit and withdraw cryptocurrencies to and from our platforms increases the risk that our platforms might be exploited to facilitate illegal activity such as fraud, gambling, money laundering, tax evasion, and scams. Crypto Transfers, Robinhood Wallet, and Robinhood Connect also expose us to heightened risks related to potential violations of trade sanctions, including OFAC regulations, and anti-money laundering and counter-terrorist financing laws, which among other things impose strict liability for transacting with prohibited persons. We engage blockchain analytics vendors to help determine whether the external wallets involved in Crypto Transfers are controlled by persons on prohibited lists or involved in fraudulent or illegal activity. However, fraudulent and illegal transactions and prohibited status could be difficult or impossible for us and our vendors to detect in some circumstances. The use of our platforms for illegal or improper purposes could subject us to claims, individual and class action lawsuits, and government and regulatory investigations, prosecutions, enforcement actions, inquiries, or requests that could result in significant liabilities and reputational harm for us and could cause cryptocurrency trading volumes and transaction-based revenues to decline. </w:t>
      </w:r>
    </w:p>
    <w:p>
      <w:pPr>
        <w:pStyle w:val="TextBody"/>
        <w:bidi w:val="0"/>
        <w:spacing w:lineRule="auto" w:line="288" w:before="0" w:after="0"/>
        <w:jc w:val="both"/>
        <w:rPr/>
      </w:pPr>
      <w:r>
        <w:rPr>
          <w:rFonts w:ascii="Arial;sans-serif" w:hAnsi="Arial;sans-serif"/>
          <w:b/>
          <w:i/>
          <w:color w:val="000000"/>
          <w:sz w:val="20"/>
        </w:rPr>
        <w:t>A temporary or permanent blockchain “fork” could adversely affect our business.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although such modifications might cause certain cryptocurrencies to fail our Crypto Listing Frameworks. However, if less than a substantial majority of users and miners consent to the proposed modification, and the modification is not compatible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108</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Both Bitcoin and Ethereum protocols have been subject to “forks” that resulted in the creation of new networks, including, among others, Bitcoin Cash, BSV, Bitcoin Diamond, Bitcoin Gold, Ethereum Classic, and Ethereum Proof-of-Work.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 to customers as to the nature of cryptocurrencies they hold on platforms. In addition, several of these forks were contentious and as a result, participants in certain communities might harbor ill will towards other communities. As a result, certain community members might take actions that adversely impact the use, adoption and price of Bitcoin, Ethereum or any of their forked alternatives.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Another possible result of a fork is an inherent decrease in the level of security due to the splitting of some mining power across networks, making it easier for a malicious actor to gain the majority of the mining power of that network. Such disruption and loss could cause our company to be exposed to liability, even in circumstances where we have no intention of supporting a cryptocurrency compromised by a fork.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Moreover, we might decide not to or not be able to support a cryptocurrency resulting from the fork of a network which might cause our customers to lose confidence in us or reduce their engagement on our platforms. In assessing whether we will support a cryptocurrency resulting from the fork of a network, among our top priorities is to safeguard our customer’s assets, and we spend extensive time designing, building, testing, reviewing and auditing our systems to check whether the cryptocurrencies we support remain safe and secure. There are several considerations that we consider as part of our Crypto Listing Frameworks (including security or infrastructure concerns that might arise with the integration of any new cryptocurrency into the technical infrastructure that allows us to secure customer cryptocurrencies and to transact securely in corresponding blockchains), which might operate to limit our ability to support forks. Further, we generally do not support a forked cryptocurrency that does not have support from a majority of the affiliated third-party miner and developer community. To the extent that we decide not to support, or to cease support of, certain forked cryptocurrencies, it could negatively impact customer sentiment and our business, operating results, and financial condition, especially to the extent that our competitors continue to support such forked cryptocurrencies on their platforms.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Whether we are obligated to provide services for a new and previously unsupported cryptocurrency is a question of contract, as recognized in recent published rulings of the California appellate courts and federal district courts. The user agreement each customer enters into in order to trade cryptocurrencies on our platforms clearly indicates that we have the sole discretion to determine whether we will support a forked network and the approach to such forked cryptocurrencies and that we may temporarily suspend trading for a cryptocurrency whose network is undergoing a fork without advanced notice to the customer. Regardless of the foregoing, we might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might be required to pay significant damages, fines or other fees to compensate customers for their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109</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Any inability to maintain adequate relationships with third-party banks, Liquidity Providers, and exchanges with respect to, and any inability to settle customer trades related to, our cryptocurrency offerings, would disrupt our ability to offer cryptocurrency trading to customers. </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rely heavily on third-party banks, Liquidity Providers and exchanges in connection with our provision of cryptocurrency products and services to our customers, with the exception of a cryptocurrency exchange operated by Bitstamp and acquired by Robinhood in June 2025. The cryptocurrency market operates 24 hours a day, seven days a week. The cryptocurrency market does not have a centralized clearinghouse, and the transactions in cryptocurrencies on our platforms rely on direct settlements between us and our customers and direct settlements between us and our Liquidity Providers or exchanges after customer trades are executed. Accordingly, we rely on third-party banks to facilitate cash settlements with customers’ brokerage accounts and we rely on the ability of Liquidity Providers and Bitstamp, where applicable, to complete cryptocurrency settlements with us to obtain cryptocurrency for customer accounts. In addition, we must maintain cash assets in our bank accounts sufficient to meet the working capital needs of our business, which includes deploying available working capital to facilitate cash settlements with our customers, Liquidity Providers and exchanges (as well as maintaining the minimum capital required by regulators). If we, third-party banks, Liquidity Providers, or exchanges have operational failures and cannot perform and facilitate our routine cash and cryptocurrency settlement transactions, we will be unable to support normal trading operations on our cryptocurrency trading platforms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customer trading activity, such failure could impair our ability to support normal trading operations on our cryptocurrency platforms, which could cause cryptocurrency trading volumes and transaction-based revenues to decline significantly.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might also be harmed by the loss of any of our banking partners and Liquidity Providers. As a result of the risks of cryptocurrencies generally, many financial institutions have decided, and other financial institutions might in the future decide, not to provide bank accounts (or access to bank accounts), payments services, or other financial services to companies providing cryptocurrency products, including us. For instance, in May 2023, two prominent Liquidity Providers announced their respective decisions to limit their offerings in cryptocurrency trading within the United States. If we, our exchanges or our Liquidity Providers cannot maintain sufficient relationships with the banks that provide these services, if banking regulators restrict or prohibit banking of cryptocurrency businesses, if these banks impose significant operational restrictions, or if these banks were to fail or be taken over by the FDIC, such as occurred in the 2023 Banking Events, it could be difficult for us to find alternative business partners for our cryptocurrency offerings, which would disrupt our business and could cause cryptocurrency trading volumes and transaction-based revenues to decline significantly.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might also be harmed by the loss of any of our liquidity partners. Unlike our customers’ orders for other cryptocurrencies, which are currently fulfilled by Liquidity Providers, our RHC customers’ orders for USD Coin (“USDC”), a stablecoin backed by dollar denominated assets held by the issuer in segregated accounts with U.S. regulated financial institutions, are fulfilled directly from Circle Internet Financial, LLC (“Circle”), the original issuer and main liquidity provider of USDC. If in the future we decide to offer other stablecoins, which are cryptocurrencies designed to minimize price volatility, we may also work directly with other liquidity partners to fulfill those orders. If we cannot maintain sufficient relationships with Circle or any other Liquidity Providers, it could be difficult for us to find alternative liquidity partners for our stablecoin offerings, which would disrupt our business and could cause cryptocurrency trading volumes and transaction-based revenues to decline significantly.</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From time to time, we might encounter technical issues in connection with changes and upgrades to the underlying networks of supported cryptocurrencies, which could cause revenues to decline and expose us to potential liability for customer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110</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 all of which could cause trading volumes and transaction-based revenue to decline and expose us to potential liability for customer losses.</w:t>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Our introduction of Robinhood Stock Tokens in the EEA may expose us to significant regulatory, litigation, contractual, operational, and reputational risks.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June 2025, we launched Robinhood Stock Tokens for eligible customers in certain EEA jurisdictions. These products are designed to provide economic exposure to the price performance of certain U.S. stocks issued by publicly-listed U.S. companies and certain U.S. ETFs, without conveying legal ownership or shareholder rights, such as voting rights, related to such underlying stocks and ETFs. From time to time, we have offered, and may offer, token products that reference privately-held U.S. companies in connection with certain limited promotional initiatives in certain EEA jurisdictions (the “Private Company Stock Token Promotion”). Such tokens and Robinhood Stock Tokens do not represent, or entitle the holder to receive or convert into, actual securities of the referenced companies, and the value of the tokens is based on a defined reference price such as the market price of those securities or the price of those securities upon a liquidity event. </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cryptocurrency industry is rapidly evolving, and the tokenization of real-world assets is a nascent development in the industry. Accordingly, there remains considerable regulatory uncertainty regarding how transactions, products, services or offerings involving tokenized real-world assets, including tokenized financial instruments, are or should be regulated. While certain lawmakers, regulators and other public officials in the U.S. and in foreign jurisdictions have previously made statements or issued guidance relating to the legal and regulatory framework applicable to tokenized real-world assets, the legal and regulatory framework is still in the early stages, is continuing to evolve rapidly and remains uncertain and fragmented across jurisdictions. For example, in July 2025, SEC Commissioner Hester M. Peirce issued a statement noting that tokenized securities are still securities, and therefore transactions involving tokenized securities are subject to federal securities laws. Advisory committees and staff of the CFTC have also discussed exploring a potential regulatory framework for tokenization of assets, including tokenized collateral. </w:t>
      </w:r>
    </w:p>
    <w:p>
      <w:pPr>
        <w:pStyle w:val="TextBody"/>
        <w:bidi w:val="0"/>
        <w:spacing w:lineRule="auto" w:line="288" w:before="0" w:after="200"/>
        <w:ind w:left="0" w:right="0" w:firstLine="360"/>
        <w:jc w:val="both"/>
        <w:rPr/>
      </w:pPr>
      <w:r>
        <w:rPr>
          <w:rFonts w:ascii="Arial;sans-serif" w:hAnsi="Arial;sans-serif"/>
          <w:b w:val="false"/>
          <w:color w:val="000000"/>
          <w:sz w:val="20"/>
        </w:rPr>
        <w:t>Regulatory approaches to tokenized real-world assets outside of the U.S. are similarly in the early stages and vary by jurisdiction. For example, in the EU, MiCA and MiFID operate as complementary regimes within the EU</w:t>
      </w:r>
      <w:r>
        <w:rPr>
          <w:color w:val="000000"/>
        </w:rPr>
        <w:t>’</w:t>
      </w:r>
      <w:r>
        <w:rPr>
          <w:rFonts w:ascii="Arial;sans-serif" w:hAnsi="Arial;sans-serif"/>
          <w:b w:val="false"/>
          <w:color w:val="000000"/>
          <w:sz w:val="20"/>
        </w:rPr>
        <w:t xml:space="preserve">s financial regulatory framework, with MiCA governing crypto-assets that do not qualify as financial instruments and MiFID continuing to apply to crypto-assets that meet the definition of financial instruments. Accordingly, the application of MiCA or MiFID depend on the characteristics of the specific tokenized real-world asset. In Singapore, the MAS has issued guidance stating that a crypto-asset may constitute, among other things, a “share” where it confers or represents ownership interest in a corporation or a “securities-based derivatives contract” where the underlying asset is a share, debenture or unit in a business, which would require transactions in such crypto-assets to be conducted in compliance with applicable law and the applicable licenses.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currently only offer Robinhood Stock Tokens and the Private Company Stock Token Promotion to eligible customers of RHEU in certain jurisdictions in the EEA, and while we believe that such operations are in compliance with MiFID requirements applicable to derivatives, we cannot ensure that regulators would agree with our conclusions. For example, we have received requests for clarifications from the Bank of Lithuania, which has issued RHEU licenses under MiCA and MiFID, regarding our Robinhood Stock Tokens and the Private Company Stock Token Promotion in connection with the launch of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111</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offering. Responding to such requests may divert management attention and require us to expend additional resources. If the Bank of Lithuania determines that our Robinhood Stock Token offering or the Private Company Stock Token Promotion is not being conducted in compliance with applicable laws or regulations, such determination could result in financial penalties or other non-monetary penalties, limitation of certain of our business activities (including with respect to our Robinhood Stock Token offering), loss or non-renewal of existing licenses or authorizations, increased scrutiny from other regulators, loss of our customers and reputational harm. In addition, any change in applicable laws or regulations, or change in interpretations of existing laws or regulations, could have a materially adverse impact on our ability to operate our Robinhood Stock Token offering as currently intended. In addition, because the assets underlying our Robinhood Stock Tokens and the Private Company Stock Token Promotion are certain U.S. securities, the SEC or other U.S. regulators, including the CFTC, could assert jurisdiction over our Robinhood Stock Token offering or the Private Company Stock Token Promotion and claim that transactions in related tokens must be conducted in compliance with applicable U.S. laws and regulations. Such a determination could result in lawsuits, regulatory action and enforcement proceedings that result in injunctions, fines, penalties and other monetary damages, and could require us to obtain additional registrations or licenses in the future and cause us to incur significant expenses in order to ensure compliance with applicable laws and regulations.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We may also face contractual or legal challenges from the issuers of the referenced securities. Some companies, particularly private companies with transfer restrictions, may object to the creation of synthetic instruments such as tokens which reference their securities and are facilitated by Robinhood or one of its affiliates holding an interest in a special purpose vehicle (“SPV”) that holds the referenced securities or instruments representing a contingent interest in the referenced securities. In such cases, the issuer may assert that our interest in the SPV is invalid, void or otherwise unenforceable or that we have violated applicable transfer restrictions, which could result in a loss or impairment of the SPV’s rights to the underlying securities, which could in turn prevent us from effectively hedging our exposure to the associated tokens held by our customers. For example, OpenAI has publicly stated that OpenAI tokens issued in connection with the Private Company Stock Token Promotion are not OpenAI equity, that they did not partner with us and did not endorse the OpenAI tokens, and that any transfer of OpenAI equity requires OpenAI’s approval and OpenAI did not approve such transfer. Accordingly, Robinhood or our affiliates may be exposed to risks relating to litigation, reputational harm, or the need to suspend or revise affected offerings.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 Robinhood Stock Token offering and the Private Company Stock Token Promotion also involve operational risks, in addition to existing cryptocurrency risks. They rely on accurate and timely price data, functioning systems for custody and valuation, and clear communication to customers about how the tokens work. If these systems fail, or if customers misunderstand that the tokens don’t represent actual securities, we could face regulatory action, legal exposure, or reputational harm.</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If we are unable to adequately manage these risks, or if regulators, issuers, or other counterparties take adverse action, our Robinhood Stock Token initiative could be curtailed or terminated, which could adversely affect our crypto and international business operations, expose us to significant liability and harm our brand.</w:t>
      </w:r>
    </w:p>
    <w:p>
      <w:pPr>
        <w:pStyle w:val="TextBody"/>
        <w:bidi w:val="0"/>
        <w:spacing w:lineRule="auto" w:line="288" w:before="0" w:after="0"/>
        <w:jc w:val="both"/>
        <w:rPr>
          <w:rFonts w:ascii="Arial;sans-serif" w:hAnsi="Arial;sans-serif"/>
          <w:b w:val="false"/>
          <w:color w:val="000000"/>
          <w:sz w:val="28"/>
        </w:rPr>
      </w:pPr>
      <w:r>
        <w:rPr>
          <w:rFonts w:ascii="Arial;sans-serif" w:hAnsi="Arial;sans-serif"/>
          <w:b w:val="false"/>
          <w:color w:val="000000"/>
          <w:sz w:val="28"/>
        </w:rPr>
        <w:t>Risks Related to Our Spending and Payments Products and Services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spending and payments products and services subject us to risks related to bank partnerships, FDIC pass-through insurance and other regulatory obligations.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offer a Spending Account (in connection with a partnership with J.P. Morgan Chase Bank, N.A.), and we have also partnered, on a non-exclusive basis, with Sutton Bank (“Sutton”), an Ohio-chartered bank, pursuant to a license from Mastercard International Incorporated, to offer the Robinhood Cash Card. Under the terms of our program agreement with Sutton, Robinhood Cash Card accounts for our users are opened and maintained by Sutton. We act as the service provider to, among other things,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112</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facilitate communication between our users and Sutton for which we receive compensation from Sutton. Additionally, Robinhood branded credit cards are issued by Coastal Bank, a Washington-chartered bank, pursuant to a partnership with Visa U.S.A. Inc. Our partner banks are members of the FDIC.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believe our record keeping for our users’ funds held in Robinhood Cash Card accounts at Sutton and held in a Spending Account at our other partner bank complies with all applicable requirements for each participating user’s deposits to be eligible for FDIC pass-through insurance coverage, up to the applicable maximum deposit insurance amount. However, if the FDIC were to disagree, the FDIC might not recognize users’ claims as covered by deposit insurance in the event of bank failure and bank receivership proceedings under the Federal Deposit Insurance Act. If the FDIC were to determine that our users’ funds held at our partner banks are not covered by deposit insurance, participating users might decide to withdraw their funds, which could adversely affect our brand and our business. Due to the fact that we are deemed a service-provider to our partner banks, we are subject to audit standards for third-party vendors in accordance with bank regulatory guidance and examinations by federal bank regulatory authorities and the CFPB.</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a result of the stored value Spending Account program and the Robinhood Cash Card, we are subject to federal and state consumer protection laws and regulations, including the Electronic Fund Transfer Act and Regulation E as implemented by the CFPB. As a result of Robinhood Credit, we are also subject to a number of state licensing and other regulatory requirements and to payment card association operating rules, including data security rules and certification requirements, which could change or be reinterpreted to make it difficult or impossible for us to comply. Robinhood Credit is in the process of acquiring licenses in all states where required to do so. Failure to obtain or maintain these licenses, failure to comply with these rules or requirements, or conducting such activity without a license, as well as any breach, compromise, or failure to otherwise detect or prevent fraudulent activity involving our data security systems, could result in our being liable for card issuing banks’ costs, and subject to regulatory fines, penalties, or criminal charges. For example, in December 2024, Robinhood Credit paid a penalty of $200,000 to the Massachusetts Division of Banks for previously engaging in the business of a third party loan servicer in Massachusetts without the appropriate registration. Violations of any of these requirements could result in the assessment of significant actual damages or statutory damages or penalties (including treble damages in some instances) and plaintiffs’ attorneys’ fees.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offering of consumer credit cards through Robinhood Credit increases our exposure to customer defaults and credit risk and could result in losses.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market consumer credit cards, such as the Robinhood Gold Card, originated by our partner bank, Coastal Bank, pursuant to the Program Agreement, and indemnify Coastal Bank for certain losses under the Program Agreement. We partner with Coastal Bank to develop proprietary scoring models and other analytical techniques that are designed to set terms and credit limits to appropriately compensate for credit risk in connection with selecting customers, managing accounts and establishing terms and credit limits. The revenue generated from the Program Agreement and the extent of credit losses incurred, as well as our ability to offer competitive features such as the Robinhood Gold Card Rewards Program, depends in part on managing credit risk while attracting new customers with profitable usage patterns. The models and approaches used to manage credit risk may not accurately predict future charge-offs and our ability to avoid high charge-off rates also may be adversely affected by general economic conditions including unemployment, the availability of consumer credit and the competitive environment, as well as events that may be difficult to predict, such as a general downturn in economic conditions (like the one that occurred in 2022) or public health threats (like the COVID-19 pandemic). Additionally, if any of these factors make it economically unfeasible for us to continue to offer the Robinhood Gold Card Rewards Program and we cease to offer such rewards, it might make Robinhood Credit products less desirable to customers. Any material increase in credit losses and defaults or inability to retain existing or attract new Robinhood Credit customers could have adverse effects on our financial condition and results of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113</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pPr>
      <w:r>
        <w:rPr>
          <w:rFonts w:ascii="Arial;sans-serif" w:hAnsi="Arial;sans-serif"/>
          <w:b/>
          <w:i/>
          <w:color w:val="000000"/>
          <w:sz w:val="20"/>
        </w:rPr>
        <w:t>Use of our spending and payments services for illegal activities or improper purposes could harm our business</w:t>
      </w:r>
      <w:r>
        <w:rPr>
          <w:rFonts w:ascii="Arial;sans-serif" w:hAnsi="Arial;sans-serif"/>
          <w:b w:val="false"/>
          <w:i/>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highly automated nature of, and liquidity offered by, our spending and payments services to move money make us and our customers a target for illegal or improper uses, including scams and fraud directed at our stored value Spending Account, Robinhood Cash Card, and Robinhood Credit customers,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customer might be found responsible for intentionally or inadvertently importing or exporting illegal goods, resulting in liability for us. Owners of intellectual property rights or government authorities might seek to bring legal action against providers of payments solutions, including Robinhood, that are peripherally involved in the sale of infringing or allegedly infringing items. While we invest in measures intended to prevent and detect illegal activities with respect to our spending and payments services, these measures require continuous improvement and might not be effective in detecting and preventing illegal activity or improper uses.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Any illegal or improper uses of our spending and payments services by our users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spending and payments services for illegal or improper activity, and our failure to detect or prevent such use. Illegitimate transactions can also prevent us from satisfying our contractual obligations to our third-party partners, which might cause us to be in breach of our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Our Intellectual Property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Any failure to obtain, maintain, protect, defend or enforce our intellectual property rights could adversely affect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success and ability to compete depend in part upon our ability to obtain, maintain, protect, defend and enforce our intellectual property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obtain trademark or copyright protection 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United States and some non-U.S. countries, and our intellectual property rights might not receive the same degree of protection in non-U.S. countries as they would in the United States because of the differences in non-U.S. patent, trademark, copyright, and other laws concerning intellectual property and proprietary rights. In addition, if we do not adequately protect our rights in our trademarks from infringement and unauthorized use, any goodwill that we have developed in those trademarks could be lost or impaired, which could harm our brand and our business. Our trademarks might also be opposed, contested, circumvented or found to be unenforceable, weak or invalid, and we might not be able to prevent third parties from infringing or otherwise violating them or using similar marks in a manner that causes confusion or dilutes the value or strength of our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114</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agreements relating to confidentiality and invention assignments, and third parties we share information with to enter into nondisclosure and confidentiality agreements. However, we might not have any such agreements in place with some of the parties who have developed intellectual property on our behalf and/or with some of the parties that have or might have had access to our confidential information, know-how, and trade secrets. Even where these agreements are in place, they might be insufficient or breached, or might not effectively prevent unauthorized access to or unauthorized use, disclosure, misappropriation, or reverse engineering of our confidential information, intellectual property, or technology. Moreover, these agreements might not provide an adequate remedy for breaches or in the event of unauthorized use or disclosure of our confidential information or technology, or infringement of our intellectual property. If any of our trade secrets were to be lawfully obtained or independently developed by a competitor or other third party, we would have no right to prevent them from using that technology or information to compete with us, and our competitive position could be materially and adversely harmed.</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loss of trade secret protection could make it easier for third parties to compete with our products and services by copying functionality. Additionally, individuals not subject to invention assignment agreements might make adverse ownership claims to our current and future intellectual property, and, to the extent that our employees, independent contractors, or other third parties with whom we do business use intellectual property owned by others in their work for us, disputes might arise as to the rights in related or resulting know-how and inventions. </w:t>
      </w:r>
    </w:p>
    <w:p>
      <w:pPr>
        <w:pStyle w:val="TextBody"/>
        <w:bidi w:val="0"/>
        <w:spacing w:before="0" w:after="0"/>
        <w:jc w:val="left"/>
        <w:rPr/>
      </w:pPr>
      <w:r>
        <w:rPr/>
      </w:r>
    </w:p>
    <w:p>
      <w:pPr>
        <w:pStyle w:val="TextBody"/>
        <w:bidi w:val="0"/>
        <w:spacing w:lineRule="auto" w:line="276" w:before="0" w:after="0"/>
        <w:ind w:left="0" w:right="0" w:firstLine="360"/>
        <w:jc w:val="both"/>
        <w:rPr/>
      </w:pPr>
      <w:r>
        <w:rPr>
          <w:rFonts w:ascii="Arial;sans-serif" w:hAnsi="Arial;sans-serif"/>
          <w:b w:val="false"/>
          <w:color w:val="000000"/>
          <w:sz w:val="20"/>
        </w:rPr>
        <w:t>In addition, we might need to expend significant resources to apply for, maintain, enforce and monitor our intellectual property rights and such efforts might be ineffective and could result in substantial costs and diversion of resources.</w:t>
      </w:r>
      <w:r>
        <w:rPr>
          <w:color w:val="000000"/>
        </w:rPr>
        <w:t xml:space="preserve"> </w:t>
      </w:r>
      <w:r>
        <w:rPr>
          <w:rFonts w:ascii="Arial;sans-serif" w:hAnsi="Arial;sans-serif"/>
          <w:b w:val="false"/>
          <w:color w:val="000000"/>
          <w:sz w:val="20"/>
        </w:rPr>
        <w:t>An adverse outcome in any such litigation or proceedings might expose us to a loss of our competitive position, significant liabilities, and damage to our brand, or require us to seek licenses that might not be available on commercially acceptable terms, if at all.</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have been, and might in the future be, subject to claims that we violated third-party intellectual property rights, which, even where meritless, can be costly to defend and could materially adversely affect our business, results of operations, and financial condition.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success depends, in part, on our ability to develop and commercialize our products and services without infringing, misappropriating or otherwise violating the intellectual property rights of third parties. However, we might not be aware that our products, services, or marketing materials are infringing, misappropriating or otherwise violating third-party intellectual property rights and such third parties might bring claims alleging such infringement, misappropriation or violation. As we face increasing competition and become increasingly high profile, the possibility of receiving a larger number of intellectual property claims against us grows. In addition, various “non-practicing entities,” and other intellectual property rights holders have in the past and might in the future attempt to assert intellectual property claims against us or seek to monetize the intellectual property rights they own to extract value through licensing or other settlements.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use of third-party software and other intellectual property rights might be subject to claims of infringement or misappropriation. The vendors who provide us with technology that we incorporate in our product offerings also could become subject to various infringement claims.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From time to time, our competitors or other third parties might claim, and have in the past claimed, that we are infringing upon, misappropriating or otherwise violating their intellectual property rights.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115</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might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Some of our products and services contain open source software, which could pose particular risks to our proprietary software, products, and services in a manner that could harm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use open source software in our products and services (as well as in some of our internally developed systems) and we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might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proprietary software source code freely available, purchase a costly license, or cease offering the implicated products or services unless and until we can offer a different solution, which might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can be ambiguous, vague, or subject to various interpretations, especially given the absence of controlling case law in the U.S. or other courts. Additionally, we may open source some of our own proprietary source code and/or may make contributions to open source software. There is a risk that our proprietary software or contributions may be used in such a manner that we may need to enforce our rights to ownership of such open source software, including seeking proper usage, compliance with our license terms, or through litigation. Any actual or claimed requirement to disclose our proprietary source code or pay damages for breach of license terms, or failure to enforce our ownership rights over the use of our proprietary source code could harm our business and could help third parties, including our competitors, develop products and services that are similar to or better than ours.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116</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Finance, Accounting and Tax Matters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Covenants in our credit agreements could restrict our operations and if we do not effectively manage our business to comply with these covenants, our financial condition could be adversely impacted.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have entered into certain credit agreements and might enter into additional agreements for other borrowing in the future. These agreements contain various restrictive covenants, including, among other things, minimum liquidity and tangible net worth requirements,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These restrictions might restrict our current and future operations, including our ability to incur debt to increase our liquidity position.</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ability to meet these restrictive covenants can be impacted by events beyond our control that could cause us to be unable to comply. The credit agreements provide that our breach or failure to satisfy some of these covenants constitutes an event of default. Upon the occurrence of an event of default, our lenders could elect to declare all amounts outstanding under our debt agreements to be immediately due and payable. In addition, our lenders might have the right to proceed against the assets we provided as collateral pursuant to the agreements.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pStyle w:val="TextBody"/>
        <w:bidi w:val="0"/>
        <w:spacing w:before="0" w:after="0"/>
        <w:jc w:val="left"/>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 xml:space="preserve">Our insurance coverage might be inadequate or expensive.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use a combination of third-party insurance and self-insurance mechanisms, including a wholly owned captive insurance subsidiary. We are subject to claims in the ordinary course of business. These claims can involve substantial amounts of money and involve significant defense costs. It is not possible to prevent or detect all activities giving rise to claims and the precautions we take might not be effective in all cases. We maintain voluntary and required insurance coverage, including, among others, general liability, property, director and officer, excess-SIPC, cyber and data breach, crime, and fidelity bond insurance. Our insurance coverage is expensive and maintaining or expanding our insurance coverage might have an adverse effect on our results of operations and financial condition.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insurance coverage is subject to terms such as deductibles, coinsurance, limits and policy exclusions, as well as risk of counterparty denial of coverage, default or insolvency, and might be insufficient to protect us against all losses and costs stemming from processing, operational, and technological failures. Furthermore, for certain lines of coverage, continued insurance coverage might not be available to us in the future on economically reasonable terms, or at all. The successful assertion of one or more large claims against us that exceed available insurance coverage, or the occurrence of material changes in our insurance policies, including premium increases or the imposition of large deductible or co-insurance requirements,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Changes in U.S. and foreign tax laws and policies could adversely impact our tax liabilities.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are, and may in the future become, subject to complex and evolving U.S. and foreign tax laws and regulations, which might in the future make changes to corporate income tax rates, the treatment of foreign earnings, or other income tax laws that could have an adverse impact on our business, result of operations, financial condition and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9"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117</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determination of our tax liability is subject to review by applicable tax authorities. The determination of our tax liabilities requires significant judgment and, in the ordinary course of business, there are transactions and calculations where the ultimate tax determination is complex and uncertain. Although we believe our determinations are reasonable, the ultimate amount of our tax obligations owed might differ from the amounts recorded in our financial statements in the event of a review by applicable tax authorities and any such difference could have an adverse effect on our results of operations. Tax authorities might also disagree with certain positions we have taken or might take in the future, which could subject us to additional tax liabilities.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corporate structure and associated transfer pricing policies also contemplate future growth in international markets, and consider the functions, risks, and assets of various entities involved in intercompany transactions. The taxing authorities of the jurisdictions in which we operate may challenge our methodologies for valuing intercompany transactions pursuant to our intercompany arrangements or disagree with our determinations as to the income and expenses attributable to specific jurisdictions.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addition, from time to time, proposals are introduced in the U.S. Congress and state legislatures, as well as by foreign governments, to impose new taxes on a broad range of financial transactions, including transactions that occur on our platforms, such as the buying and selling of stocks, derivative transactions, and cryptocurrencies. If enacted, such financial transaction taxes could increase the cost to customers of investing or trading on our platforms and reduce or adversely affect U.S. market conditions and liquidity, general levels of interest in investing, and the volume of trades and other transactions from which we derive transaction-based revenues. Any financial transaction tax implemented in any jurisdiction in which we operate could materially and adversely affect our business, financial condition, or results of operations, and as a retail brokerage we could be impacted to a greater degree than other market participants.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also are subject to non-income taxes, such as payroll, sales, use, value-added, net worth, excise, goods and services, and property taxes in the United States and various foreign jurisdictions. Specifically, we might be subject to “digital service taxes” or new allocations of tax as a result of increasing efforts by certain jurisdictions to tax cross border activities that might not have been subject to tax under existing international tax principles. Companies such as ours could be adversely impacted by such taxes.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ability to use our net operating losses to offset future taxable income could be subject to certain limitations.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June 30, 2025, we have U.S. federal, state and non-U.S. net operating loss carryforwards (“NOLs”) available to reduce future taxable income subject to certain limitations. Under Sections 382 and 383 of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any companies that we acquire in the future may be subject to limitations. In addition, there may be periods during which the use of NOLs is suspended or otherwise limited. For instance, for state income tax purposes, a California franchise tax law change limits the usability of California state NOLs to offset California taxable income in taxable years beginning on or after January 1, 2024 and before January 1, 2027. For these reasons, we might not be able to utilize our NOLs, even if we maintain profitability. </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Our tax information reporting obligations are subject to change.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20"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118</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Although we believe we are compliant with the tax reporting and withholding requirements with respect to our customers’ transactions in the jurisdictions in which we operate, various U.S., state or foreign tax authorities might significantly change applicable tax reporting requirements or disagree with the exact application of new or existing requirements. If the taxing authorities determine that we are not in compliance with our tax reporting or withholding requirements with respect to customer asset transactions, we may be exposed to additional withholding obligations, which could increase our compliance costs and result in penalties.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track certain operational metrics, which are subject to inherent challenges in measurement, and real or perceived inaccuracies in such metrics could harm our reputation, adversely affect our stock price, and result in litigation. </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track certain operational metrics using internal company data gathered on an analytics platform that we developed and operate, including metrics such as Funded Customers, Total Platform Assets, Net Deposits, and Robinhood Gold Subscribers, as well as cohorts of our customers, which have not been validated by any independent third party and which might differ from estimates or similar metrics published by other parties due to differences in sources, methodologies, or the assumptions on which we rely. Our internal systems and tools are subject to a number of limitations and our methodologies for tracking these metrics have changed in the past and might change further over time, which could result in unexpected changes to our metrics or otherwise cause the comparability of such metrics from period to period to suffer, including the metrics we publicly disclose. For example, prior to our becoming self-clearing in November 2018, we relied on a third-party provider for our clearing operations, and used data collected by that third party to compute certain metrics, such as Funded Customers, that, since November 2018, we have calculated based on data sourced and processed internally. In addition, if the internal systems and tools we use to track these metrics undercount or overcount performance or contain algorithmic or other technical errors, the data we report might not be accurate. While these numbers are based on what we believe to be reasonable estimates of our metrics for the applicable period of measurement, there are inherent challenges in measuring how our platforms are used across large populations globally. Further, with our acquisition of TradePMR in February 2025, we are clearing through a third party for TradePMR related accounts and using data collected by that third party to compute certain metrics. So for TradePMR-related accounts only, if the third-party systems and tools we use to track this data undercount or overcount performance or contain algorithmic or other technical errors, the relevant metrics we report that rely on such data might not be accurate.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If our operational metrics are not accurate representations of our business, or if investors do not perceive these metrics to be accurate, or if we discover material inaccuracies with respect to these figures, our reputation could be significantly harmed, the trading price of our Class A common stock could decline and we might be subject to stockholder litigation, which could be costly.</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If we fail to maintain effective internal control over financial reporting, as well as required disclosure controls and procedures, our ability to produce timely and accurate consolidated financial statements or comply with applicable regulations could be impaired.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Sarbanes-Oxley Act of 2002 and related rules of the SEC require,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current controls and any new controls that we develop could become inadequate because of changes in conditions in our business. In addition, changes in accounting principles or interpretations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1"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119</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might be harmed if we experience problems with any new systems and controls that result in delays in their implementation or increased costs to correct any post-implementation issues that might arise. Further, weaknesses in our disclosure controls and internal control over financial reporting could be discovered in the future. Any failure to develop or maintain effective controls or any difficulties encountered in their implementation or improvement could harm our business or cause us to fail to meet our reporting obligations and could result in a restatement of our consolidated financial statements for prior periods.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are required in our periodic reports filed with the SEC. Ineffective disclosure controls and procedures or internal control over financial reporting could harm our business, cause investors to lose confidence in the accuracy and completeness of our reported financial and other information, and result in us becoming subject to investigations by the stock exchange on which our securities are listed, the SEC or other regulatory authorities, any of which would likely have a negative effect on the trading price of our Class A common stock and have a material and adverse effect on our business, results of operations, financial condition and prospects. In addition, if we are unable to continue to meet these requirements, we might not be able to remain listed on the Nasdaq.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8"/>
        </w:rPr>
      </w:pPr>
      <w:r>
        <w:rPr>
          <w:rFonts w:ascii="Arial;sans-serif" w:hAnsi="Arial;sans-serif"/>
          <w:b w:val="false"/>
          <w:color w:val="000000"/>
          <w:sz w:val="28"/>
        </w:rPr>
        <w:t>Risks Related to Our Class A 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trading price for our Class A common stock has been and might continue to be volatile and you could lose all or part of your investment.</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trading price of our Class A common stock has been and might continue to be highly volatile and could continue to be subject to fluctuations in response to one or more of the risk factors described in this report, many of which are beyond our control. For example, on November 8, 2022 (the day that FTX halted all non-fiat customer withdrawals from its platform), the intra-day trading price of our Class A common stock declined by as much as 18%, and on March 10, 2025 (amid a significant downturn in the equity markets driven by recession concerns and macroeconomic uncertainty), the intra-day trading price of our Class A common stock declined by as much as 20%. These fluctuations could cause you to lose all or part of your investment in our Class A common stock since you might be unable to sell your shares at or above the price you paid. Additional factors that could have a significant effect on the trading price of our Class A common stock include: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announcements by us or our competitors of new offerings or platform features;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public’s perception of the quality and accuracy of our key metrics on our customer base and engagement;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public’s reaction to our media statements, other public announcements and filings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2"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120</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rumors and market speculation involving us or other companies in our industry;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extent to which retail and other individual investors (as distinguished from institutional investors), including our customers, invest in our Class A common stock, which might result in increased volatility;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media coverage related to certain individuals and entities identified as having owned our stock, and any speculation related to plans to dispose of their holdings.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addition, in the past, following periods of volatility in the overall market and the trading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Further, if the market price of our Class A common stock is above the level that investors determine is reasonable for our Class A common stock, some investors might attempt to short our Class A common stock, which would create additional downward pressure on the trading price of our Class A 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Substantial future issuances or sales of shares of our Class A common stock in the public market could result in significant dilution to our stockholders and such issuances or sales, or the perception that they may occur, could cause the trading price of our Class A common stock to fall. </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June 30, 2025, our founders and their related entities hold approximately 13% of our outstanding common stock (and, as described in the following risk factor, over 50% of the voting power of our outstanding capital stock). If our founders or other significant stockholders sell, or indicate an intent to sell, large amounts of stock in the public market, such sales, or the perception that these sales might occur, could cause the trading price of our Class A common stock to decline substantially.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pPr>
      <w:r>
        <w:rPr>
          <w:rFonts w:ascii="Arial;sans-serif" w:hAnsi="Arial;sans-serif"/>
          <w:b w:val="false"/>
          <w:color w:val="000000"/>
          <w:sz w:val="20"/>
        </w:rPr>
        <w:t xml:space="preserve">Similarly, significant numbers of shares are subject to future issuance including under outstanding warrants held by pre-IPO investors, and under outstanding stock options and RSUs held by employees and other service providers, and significant numbers of additional shares are available for award grant purposes under our 2021 Plan (as defined in </w:t>
      </w:r>
      <w:r>
        <w:rPr>
          <w:rFonts w:ascii="Helvetica;sans-serif" w:hAnsi="Helvetica;sans-serif"/>
          <w:b w:val="false"/>
          <w:color w:val="000000"/>
          <w:sz w:val="20"/>
        </w:rPr>
        <w:t>Note 11 - Common Stock and Stockholders’ Equity</w:t>
      </w:r>
      <w:r>
        <w:rPr>
          <w:color w:val="000000"/>
        </w:rPr>
        <w:t xml:space="preserve"> </w:t>
      </w:r>
      <w:r>
        <w:rPr>
          <w:rFonts w:ascii="Arial;sans-serif" w:hAnsi="Arial;sans-serif"/>
          <w:b w:val="false"/>
          <w:color w:val="000000"/>
          <w:sz w:val="20"/>
        </w:rPr>
        <w:t xml:space="preserve">to our unaudited condensed consolidated financial statements in this Quarterly Report) and for issuance under our Employee Share Purchase Plan (“ESPP”). All of these shares will become eligible for sale in the public market upon exercise, vesting, or settlement, as applicable (and to the extent granted in the discretion of our board of directors, in the case of shares available for grant). These and any future issuances of shares of our capital stock, or of securities convertible into or exercisable for our capital stock could depress the market price of our Class A common stock and result in a significant dilution for stockholders. </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We have authorized more capital stock in recent years to provide additional stock options and RSUs to our employees and to permit for the consummation of equity and equity-linked financings and might continue to do so in the future. Our employee headcount has increased in the past few years, so the amount of dilution due to awards of equity-based compensation to our employees could be substantial. Further, any sales of our Class A common stock (including shares of Class A common stock issuable upon conversion of our Class B common stock, as stock options are exercised, or as RSUs are settled) might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3"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121</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There are no guarantees that we will repurchase shares under the Repurchase Program or that the Repurchase Program will result in increased shareholder value.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 xml:space="preserve">On May 28, 2024, Robinhood announced that its board of directors approved the Repurchase Program authorizing the Company to repurchase up to $1 billion of its outstanding Class A common stock to return value to shareholders. In July 2024, Robinhood began to execute on the Repurchase Program and on April 30, 2025, we announced that the board of directors has authorized an additional $500 million, bringing the Repurchase Program authorization to a total of $1.5 billion. As of </w:t>
      </w:r>
      <w:r>
        <w:rPr>
          <w:rFonts w:ascii="Helvetica;sans-serif" w:hAnsi="Helvetica;sans-serif"/>
          <w:b w:val="false"/>
          <w:color w:val="000000"/>
          <w:sz w:val="20"/>
        </w:rPr>
        <w:t>June 30, 2025</w:t>
      </w:r>
      <w:r>
        <w:rPr>
          <w:rFonts w:ascii="Arial;sans-serif" w:hAnsi="Arial;sans-serif"/>
          <w:b w:val="false"/>
          <w:color w:val="000000"/>
          <w:sz w:val="20"/>
        </w:rPr>
        <w:t xml:space="preserve">, Robinhood has made share repurchases of </w:t>
      </w:r>
      <w:r>
        <w:rPr>
          <w:rFonts w:ascii="Helvetica;sans-serif" w:hAnsi="Helvetica;sans-serif"/>
          <w:b w:val="false"/>
          <w:color w:val="000000"/>
          <w:sz w:val="20"/>
        </w:rPr>
        <w:t>$703 million</w:t>
      </w:r>
      <w:r>
        <w:rPr>
          <w:color w:val="000000"/>
        </w:rPr>
        <w:t xml:space="preserve"> </w:t>
      </w:r>
      <w:r>
        <w:rPr>
          <w:rFonts w:ascii="Arial;sans-serif" w:hAnsi="Arial;sans-serif"/>
          <w:b w:val="false"/>
          <w:color w:val="000000"/>
          <w:sz w:val="20"/>
        </w:rPr>
        <w:t>under the Repurchase Program. While the Repurchase Program does not have an expiration date, the Company’s management expects to complete the remainder of the authorization over the next roughly two years, with flexibility to accelerate if market conditions warrant. The timing and amount of repurchase transactions will be determined by the Company from time to time at its discretion based on its evaluation of market conditions, share price, and other factors, and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the Company to acquire any particular amount of Class A common stock, and the Repurchase Program may be suspended or discontinued at any time at the Company’s discretion. As a result, there is no guarantee with respect to the timing or amount of any future share repurchases, or that we will repurchase the full amount authorized under the Repurchase Program. Other factors, including changes in tax or securities laws, such as the U.S. Inflation Reduction Act of 2022 which imposes a corporate excise tax of 1% on net stock repurchases, could also impact our stock repurchases.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There are a number of ways in which the Repurchase Program could fail to result in enhanced shareholder value. For example, any failure to repurchase stock after we have announced our intention to do so may negatively impact the trading price of our Class A common stock. The existence of the Repurchase Program could also cause our stock price to trade higher than it otherwise would and could potentially reduce the market liquidity for our stock. The trading price of our Class A common stock could decline below the levels at which we repurchased shares and short-term stock price fluctuations could reduce the effectiveness of the Repurchase Program. Any announcement of a pause in, or termination of, the Repurchase Program may also result in a decrease in the trading price of our Class A common stock. Furthermore, there is no guarantee that our stock repurchases will be able to successfully mitigate the dilutive effect of the equity awards we grant to our employees.</w:t>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Additionally, repurchasing our Class A common stock will reduce the amount of cash, cash equivalents and marketable securities we have available to fund working capital, capital expenditures, capital preserving investments, strategic acquisitions or business opportunities, and other general corporate purposes, and there are no guarantees that the Repurchase Program will result in increased shareholder value. Furthermore, the timing and amount of repurchases, if any, will be subject to liquidity, market and economic conditions, compliance with applicable legal requirements and other relevant factors. If we are unable to, or choose not to, repurchase shares under the Repurchase Program, this may have a negative impact on the perception of the Company as an investment opportunity by shareholders or investment analysts, which may in turn negatively impact the trading price of our Class A common stock.</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multi-class structure of our common stock has the effect of concentrating voting power with our founders, which limits your ability to influence the outcome of matters submitted to our stockholders for approval. In addition, the Founders’ Voting Agreement and any future issuances of our Class C common stock could prolong the duration of our founders’ voting control.</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Class A common stock has one vote per share, our Class B common stock has 10 votes per share and our Class C common stock has no voting rights, except as otherwise required by law. Our founders and certain of their related entities (“Founder Affiliates”) together hold all of the issued and outstanding shares of our Class B common stock. Accordingly, Mr. Tenev, who is also our CEO, President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4"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122</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and Chair of our board of directors, and Mr. Bhatt, who is a director, collectively with their related entities hold over 50% of the voting power of our outstanding capital stock. As a result, our founders have the ability to determine or significantly influence any action requiring the approval of our stockholders, including the election of our board of directors, the adoption of amendments to our Charter and our Amended and Restated Bylaws (our “Bylaws”) and the approval of any merger, consolidation, sale of all or substantially all of our assets or other major corporate transaction.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our founders and Founder Affiliates have entered into a voting agreement (the “Founders’ Voting Agreement”) in which they have agreed, among other things, (i) to vote all of the shares of our common stock held by such founder or Founder Affiliate for the election of each founder to, and against the removal of each founder from, our board of directors, (ii) to vote together in the election of other directors generally, subject to deferring to the decision of the nominating and corporate governance committee in the event of any disagreement between the founders, (iii) effective upon a founder’s death or disability, to grant a voting proxy to the other founder with respect to shares of our common stock held by the deceased or disabled founder or over which he was entitled to vote (or direct the voting) immediately prior to his death or disability, and (iv) to grant each other rights of first offer in the event of proposed transfers that would otherwise cause Class B shares to convert into Class A shares under our Charter. The Founders’ Voting Agreement has the effect of concentrating voting power in our founders (or either one of them).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Further pursuant to the equity exchange right agreements entered into between us and each of our founders in connection with our IPO, each of our founders has a right (but not an obligation) to require us to exchange, for shares of Class B common stock, any shares of Class A common stock received by them upon the vesting and settlement of pre-IPO RSUs (the “Equity Exchange Rights”). Any exercise by our founders of these Equity Exchange Rights will dilute the voting power of holders of our Class A common stock.</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founders might have interests that differ from yours and might vote in a way with which you disagree and which may be adverse to your interests. Therefore, the founders’ concentrated voting control might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might result in our founders undertaking, or causing us to undertake, actions that would be desirable for our founders but would not be desirable for our other stockholders.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no current plans to issue shares of our Class C common stock. Because the shares of our Class C common stock have no voting rights, except as required by law, if we issue Class C common stock in the future, the voting control of our founders could be maintained for a longer period of time than would be the case if we issued Class A common stock rather than Class C common stock.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Certain provisions in our Charter and our Bylaws and of Delaware law as well as certain FINRA rules might prevent or delay an acquisition of Robinhood, which could decrease the trading price of our Class A common stock.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Charter and our Bylaws contain, and Delaware law contains, provisions that might have the effect of deterring takeovers by making such takeovers more expensive to the bidder and by encouraging prospective acquirers to negotiate with our board of directors rather than to attempt a hostile takeover, such as a classified board, limitations on the ability of stockholders to take action by written consent, and the ability of our board of directors to designate the terms of preferred stock and authorize its issuance without stockholder approval. 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25"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123</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apply even if the offer might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would be beneficial to Robinhood and our stockholders, such stockholders might elect to sell their shares in Robinhood and the trading price of our Class A common stock could decrease. These and other provisions of our Charter, our Bylaws and the Delaware General Corporation Law could have the effect of delaying or deterring a change in control, which might limit the opportunity for our stockholders to receive a premium for their shares of our Class A common stock and might also affect the price that some investors are willing to pay for our Class A common stock.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addition, a third party attempting to acquire us or a substantial position in our Class A common stock might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and similar approval from the FCA, which regulates our U.K. authorized broker-dealer subsidiary, must be obtained in connection with any transaction resulting in a person or entity holding, directly or indirectly, 10% or more of the equity or voting power of a U.K. authorized person or the parent of a U.K. authorized person. These and any other applicable regulations relating to changes in control of us or our regulated subsidiaries could further have the effect of delaying or deterring a change in control of us.</w:t>
      </w:r>
    </w:p>
    <w:p>
      <w:pPr>
        <w:pStyle w:val="TextBody"/>
        <w:bidi w:val="0"/>
        <w:spacing w:before="0" w:after="0"/>
        <w:jc w:val="left"/>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 xml:space="preserve">The exclusive forum provisions of our Charter could limit our stockholders’ ability to choose the judicial forum for some types of lawsuits against us or our directors, officers, or employees.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Charter provides that, unless we consent in writing to the selection of an alternative forum, to the fullest extent permitted by law, the sole and exclusive forum for a number of types of actions or proceedings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also provides that the federal district courts of the United States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Any person or entity purchasing or otherwise acquiring or holding any interest in any of our securities shall be deemed to have notice of and consented to these provisions. These exclusive forum provisions might limit a stockholder’s ability to bring a claim in a judicial forum of its choosing for disputes with us or our directors, officers, or other employees, which might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If a court were to find the exclusive forum provisions in our Charter to be inapplicable or unenforceable in an action, we might incur additional costs associated with resolving the dispute in other jurisdictions, which could adversely affect our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26"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124</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2. UNREGISTERED SALES OF EQUITY SECURITIES AND USE OF PROCEEDS</w:t>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Sales of Unregistered Securities</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February 26, 2025, the Company completed the acquisition of TradePMR. The acquisition date fair value of the consideration transferred for TradePMR was approximately $175 million following customary purchase price adjustments and was entirely paid in cash. The post-close compensation consisted of 2,049,711 unvested shares of the Company's Class A common stock, valued at approximately $100 million as of the closing date of the acquisition, which will vest over a four-year period post-acquisition, subject to the terms of a vesting agreement, in a transaction exempt from registration pursuant to Section 4(a)(2) of the Securities Act. Refer to Note 3 - Business Combinations to our unaudited condensed consolidated financial statements in this Quarterly Report for more information on this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than the above, from January 1, 2025 through June 30, 2025, the Company did not sell any shares of Class A common stock (or other equity securities of RHM) that were not registered under the Securities Act.</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Issuer Purchases of Equity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repurchases of shares of our Class A common stock during the three months ended June 30, 2025:</w:t>
      </w:r>
    </w:p>
    <w:tbl>
      <w:tblPr>
        <w:tblW w:w="10205" w:type="dxa"/>
        <w:jc w:val="left"/>
        <w:tblInd w:w="0" w:type="dxa"/>
        <w:tblLayout w:type="fixed"/>
        <w:tblCellMar>
          <w:top w:w="28" w:type="dxa"/>
          <w:left w:w="28" w:type="dxa"/>
          <w:bottom w:w="28" w:type="dxa"/>
          <w:right w:w="28" w:type="dxa"/>
        </w:tblCellMar>
      </w:tblPr>
      <w:tblGrid>
        <w:gridCol w:w="410"/>
        <w:gridCol w:w="340"/>
        <w:gridCol w:w="342"/>
        <w:gridCol w:w="759"/>
        <w:gridCol w:w="453"/>
        <w:gridCol w:w="455"/>
        <w:gridCol w:w="109"/>
        <w:gridCol w:w="109"/>
        <w:gridCol w:w="109"/>
        <w:gridCol w:w="285"/>
        <w:gridCol w:w="873"/>
        <w:gridCol w:w="147"/>
        <w:gridCol w:w="109"/>
        <w:gridCol w:w="109"/>
        <w:gridCol w:w="109"/>
        <w:gridCol w:w="1033"/>
        <w:gridCol w:w="774"/>
        <w:gridCol w:w="776"/>
        <w:gridCol w:w="109"/>
        <w:gridCol w:w="109"/>
        <w:gridCol w:w="109"/>
        <w:gridCol w:w="641"/>
        <w:gridCol w:w="1459"/>
        <w:gridCol w:w="477"/>
      </w:tblGrid>
      <w:tr>
        <w:trPr/>
        <w:tc>
          <w:tcPr>
            <w:tcW w:w="41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 xml:space="preserve">Period </w:t>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 xml:space="preserve">Average Price Paid per Share </w:t>
            </w:r>
            <w:r>
              <w:rPr>
                <w:rFonts w:ascii="Helvetica;sans-serif" w:hAnsi="Helvetica;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 xml:space="preserve">Total Number of Shares Purchased as Part of Publicly Announced Plans or Programs </w:t>
            </w:r>
            <w:r>
              <w:rPr>
                <w:rFonts w:ascii="Helvetica;sans-serif" w:hAnsi="Helvetica;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Approximate Dollar Value of Shares that May Yet Be Purchased Under the Plans or Programs</w:t>
            </w:r>
            <w:r>
              <w:rPr>
                <w:color w:val="000000"/>
              </w:rPr>
              <w:t xml:space="preserve"> </w:t>
            </w:r>
            <w:r>
              <w:rPr>
                <w:rFonts w:ascii="Helvetica;sans-serif" w:hAnsi="Helvetica;sans-serif"/>
                <w:b/>
                <w:color w:val="000000"/>
                <w:sz w:val="10"/>
              </w:rPr>
              <w:t>(2)</w:t>
            </w:r>
          </w:p>
        </w:tc>
      </w:tr>
      <w:tr>
        <w:trPr/>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i/>
                <w:color w:val="000000"/>
                <w:sz w:val="16"/>
              </w:rPr>
            </w:pPr>
            <w:r>
              <w:rPr>
                <w:rFonts w:ascii="Helvetica;sans-serif" w:hAnsi="Helvetica;sans-serif"/>
                <w:b w:val="false"/>
                <w:i/>
                <w:color w:val="000000"/>
                <w:sz w:val="16"/>
              </w:rPr>
              <w:t>(in millions)</w:t>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April 1, 2025 - April 30, 2025</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2,471,752 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36.60 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2,471,752 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831 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May 1, 2025 - May 31, 2025</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307,171 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307,171 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814 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June 1, 2025 - June 30, 2025</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222,832 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74.81 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222,832 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2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3,001,755 </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3,001,755 </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(1)</w:t>
      </w:r>
      <w:r>
        <w:rPr>
          <w:color w:val="000000"/>
          <w:shd w:fill="FFFFFF" w:val="clear"/>
        </w:rPr>
        <w:t xml:space="preserve"> </w:t>
      </w:r>
      <w:r>
        <w:rPr>
          <w:rFonts w:ascii="Helvetica;sans-serif" w:hAnsi="Helvetica;sans-serif"/>
          <w:b w:val="false"/>
          <w:color w:val="000000"/>
          <w:sz w:val="16"/>
          <w:shd w:fill="FFFFFF" w:val="clear"/>
        </w:rPr>
        <w:t xml:space="preserve">The average cost per share excludes the 1% excise tax on net share repurchase and commissions. </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 xml:space="preserve">(2) </w:t>
      </w:r>
      <w:r>
        <w:rPr>
          <w:rFonts w:ascii="Helvetica;sans-serif" w:hAnsi="Helvetica;sans-serif"/>
          <w:b w:val="false"/>
          <w:color w:val="000000"/>
          <w:sz w:val="16"/>
          <w:shd w:fill="FFFFFF" w:val="clear"/>
        </w:rPr>
        <w:t>On May 28, 2024, we announced that the board of directors approved the Repurchase Program authorizing the Company to repurchase up to $1 billion of its outstanding Class A common stock. On April 30, 2025, we announced that the board of directors has authorized an additional $500 million, bringing the Repurchase Program authorization to a total of $1.5 billion.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Refer to Note 11 - Common Stock and Stockholders’ Equity of our unaudited condensed consolidated financial statements in this Quarterly Report for more information about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27"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125</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3. DEFAULTS UPON SENIOR SECURITIES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4. MINE SAFETY DISCLOSURES</w:t>
      </w:r>
    </w:p>
    <w:p>
      <w:pPr>
        <w:pStyle w:val="TextBody"/>
        <w:bidi w:val="0"/>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5. OTHER INFORMATION</w:t>
      </w:r>
    </w:p>
    <w:p>
      <w:pPr>
        <w:pStyle w:val="TextBody"/>
        <w:bidi w:val="0"/>
        <w:spacing w:lineRule="auto" w:line="288" w:before="24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 During the three months ended June 30, 2025, no director or “officer” of the Company adopted or terminated a “Rule 10b5-1 trading arrangement” or “non-Rule 10b5-1 trading arrangement,” as each term is defined in Item 408 of Regulation S-K.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certain of our officers may, from time to time, make elections to participate in our ESPP and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28" name="Frame1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0"/>
        <w:jc w:val="left"/>
        <w:rPr>
          <w:rFonts w:ascii="Helvetica;sans-serif" w:hAnsi="Helvetica;sans-serif"/>
          <w:b w:val="false"/>
          <w:color w:val="000000"/>
          <w:sz w:val="28"/>
        </w:rPr>
      </w:pPr>
      <w:r>
        <w:rPr>
          <w:rFonts w:ascii="Helvetica;sans-serif" w:hAnsi="Helvetica;sans-serif"/>
          <w:b w:val="false"/>
          <w:color w:val="000000"/>
          <w:sz w:val="28"/>
        </w:rPr>
        <w:t>ITEM 6. EXHIBIT INDEX</w:t>
      </w:r>
    </w:p>
    <w:p>
      <w:pPr>
        <w:pStyle w:val="TextBody"/>
        <w:bidi w:val="0"/>
        <w:spacing w:lineRule="auto" w:line="288" w:before="0" w:after="2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documents listed below are filed (or furnished, as noted) as exhibits to this Quarterly Report on Form 10-Q:</w:t>
      </w:r>
    </w:p>
    <w:tbl>
      <w:tblPr>
        <w:tblW w:w="10205" w:type="dxa"/>
        <w:jc w:val="left"/>
        <w:tblInd w:w="0" w:type="dxa"/>
        <w:tblLayout w:type="fixed"/>
        <w:tblCellMar>
          <w:top w:w="28" w:type="dxa"/>
          <w:left w:w="28" w:type="dxa"/>
          <w:bottom w:w="28" w:type="dxa"/>
          <w:right w:w="28" w:type="dxa"/>
        </w:tblCellMar>
      </w:tblPr>
      <w:tblGrid>
        <w:gridCol w:w="313"/>
        <w:gridCol w:w="275"/>
        <w:gridCol w:w="276"/>
        <w:gridCol w:w="109"/>
        <w:gridCol w:w="109"/>
        <w:gridCol w:w="109"/>
        <w:gridCol w:w="1754"/>
        <w:gridCol w:w="1536"/>
        <w:gridCol w:w="1551"/>
        <w:gridCol w:w="109"/>
        <w:gridCol w:w="109"/>
        <w:gridCol w:w="109"/>
        <w:gridCol w:w="179"/>
        <w:gridCol w:w="179"/>
        <w:gridCol w:w="180"/>
        <w:gridCol w:w="116"/>
        <w:gridCol w:w="116"/>
        <w:gridCol w:w="116"/>
        <w:gridCol w:w="241"/>
        <w:gridCol w:w="217"/>
        <w:gridCol w:w="218"/>
        <w:gridCol w:w="116"/>
        <w:gridCol w:w="116"/>
        <w:gridCol w:w="116"/>
        <w:gridCol w:w="220"/>
        <w:gridCol w:w="220"/>
        <w:gridCol w:w="221"/>
        <w:gridCol w:w="109"/>
        <w:gridCol w:w="109"/>
        <w:gridCol w:w="109"/>
        <w:gridCol w:w="274"/>
        <w:gridCol w:w="274"/>
        <w:gridCol w:w="400"/>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Filing Date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Filed Herewith</w:t>
            </w:r>
          </w:p>
        </w:tc>
      </w:tr>
      <w:tr>
        <w:trPr/>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Helvetica;sans-serif" w:hAnsi="Helvetica;sans-serif"/>
                  <w:b w:val="false"/>
                  <w:color w:val="0000FF"/>
                  <w:sz w:val="20"/>
                  <w:u w:val="single"/>
                </w:rPr>
                <w:t>Amended and Restated Certificate of Incorporation of Robinhood Markets, Inc., dated August 2,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2021-08-02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Helvetica;sans-serif" w:hAnsi="Helvetica;sans-serif"/>
                  <w:b w:val="false"/>
                  <w:color w:val="0000FF"/>
                  <w:sz w:val="20"/>
                  <w:u w:val="single"/>
                </w:rPr>
                <w:t xml:space="preserve">Amended and Restated Bylaws of Robinhood Markets, Inc., dated December 14, 2022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2022-12-16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Helvetica;sans-serif" w:hAnsi="Helvetica;sans-serif"/>
                  <w:b w:val="false"/>
                  <w:color w:val="0000FF"/>
                  <w:sz w:val="20"/>
                  <w:u w:val="single"/>
                </w:rPr>
                <w:t>Form of Class A Common Stock Certificate of Robinhood Markets,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S-1/A</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2021-07-19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Helvetica;sans-serif" w:hAnsi="Helvetica;sans-serif"/>
                  <w:b w:val="false"/>
                  <w:color w:val="0000FF"/>
                  <w:sz w:val="20"/>
                  <w:u w:val="single"/>
                </w:rPr>
                <w:t>Form of ten-year Warrant to Purchase Stock of Robinhood Markets, Inc., issued to multiple investors on February 12,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2021-07-01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htm">
              <w:r>
                <w:rPr>
                  <w:rStyle w:val="InternetLink"/>
                  <w:rFonts w:ascii="Helvetica;sans-serif" w:hAnsi="Helvetica;sans-serif"/>
                  <w:b w:val="false"/>
                  <w:color w:val="000080"/>
                  <w:sz w:val="20"/>
                  <w:u w:val="single"/>
                </w:rPr>
                <w:t xml:space="preserve">Non-employee </w:t>
              </w:r>
            </w:hyperlink>
            <w:hyperlink w:anchor="exhibit101.htm">
              <w:r>
                <w:rPr>
                  <w:rStyle w:val="InternetLink"/>
                  <w:rFonts w:ascii="Helvetica;sans-serif" w:hAnsi="Helvetica;sans-serif"/>
                  <w:b w:val="false"/>
                  <w:color w:val="000080"/>
                  <w:sz w:val="20"/>
                  <w:u w:val="single"/>
                </w:rPr>
                <w:t>Di</w:t>
              </w:r>
            </w:hyperlink>
            <w:hyperlink w:anchor="exhibit101.htm">
              <w:r>
                <w:rPr>
                  <w:rStyle w:val="InternetLink"/>
                  <w:rFonts w:ascii="Helvetica;sans-serif" w:hAnsi="Helvetica;sans-serif"/>
                  <w:b w:val="false"/>
                  <w:color w:val="000080"/>
                  <w:sz w:val="20"/>
                  <w:u w:val="single"/>
                </w:rPr>
                <w:t xml:space="preserve">rector </w:t>
              </w:r>
            </w:hyperlink>
            <w:hyperlink w:anchor="exhibit101.htm">
              <w:r>
                <w:rPr>
                  <w:rStyle w:val="InternetLink"/>
                  <w:rFonts w:ascii="Helvetica;sans-serif" w:hAnsi="Helvetica;sans-serif"/>
                  <w:b w:val="false"/>
                  <w:color w:val="000080"/>
                  <w:sz w:val="20"/>
                  <w:u w:val="single"/>
                </w:rPr>
                <w:t>Compensation</w:t>
              </w:r>
            </w:hyperlink>
            <w:hyperlink w:anchor="exhibit101.htm">
              <w:r>
                <w:rPr>
                  <w:rStyle w:val="InternetLink"/>
                  <w:rFonts w:ascii="Helvetica;sans-serif" w:hAnsi="Helvetica;sans-serif"/>
                  <w:b w:val="false"/>
                  <w:color w:val="000080"/>
                  <w:sz w:val="20"/>
                  <w:u w:val="single"/>
                </w:rPr>
                <w:t xml:space="preserve"> Program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section302certificat.htm">
              <w:r>
                <w:rPr>
                  <w:rStyle w:val="InternetLink"/>
                  <w:rFonts w:ascii="Helvetica;sans-serif" w:hAnsi="Helvetica;sans-serif"/>
                  <w:b w:val="false"/>
                  <w:color w:val="0000FF"/>
                  <w:sz w:val="20"/>
                  <w:u w:val="single"/>
                </w:rPr>
                <w:t>CEO Certification pursuant to Section 302 of the Sarbanes-Oxley Act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section302certificat.htm">
              <w:r>
                <w:rPr>
                  <w:rStyle w:val="InternetLink"/>
                  <w:rFonts w:ascii="Helvetica;sans-serif" w:hAnsi="Helvetica;sans-serif"/>
                  <w:b w:val="false"/>
                  <w:color w:val="0000FF"/>
                  <w:sz w:val="20"/>
                  <w:u w:val="single"/>
                </w:rPr>
                <w:t>CFO Certification pursuant to Section 302 of the Sarbanes-Oxley Act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section906certificat.htm">
              <w:r>
                <w:rPr>
                  <w:rStyle w:val="InternetLink"/>
                  <w:rFonts w:ascii="Helvetica;sans-serif" w:hAnsi="Helvetica;sans-serif"/>
                  <w:b w:val="false"/>
                  <w:color w:val="0000FF"/>
                  <w:sz w:val="20"/>
                  <w:u w:val="single"/>
                </w:rPr>
                <w:t>CEO Certification pursuant to Section 906 of the Sarbanes-Oxley Act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section906certificat.htm">
              <w:r>
                <w:rPr>
                  <w:rStyle w:val="InternetLink"/>
                  <w:rFonts w:ascii="Helvetica;sans-serif" w:hAnsi="Helvetica;sans-serif"/>
                  <w:b w:val="false"/>
                  <w:color w:val="0000FF"/>
                  <w:sz w:val="20"/>
                  <w:u w:val="single"/>
                </w:rPr>
                <w:t>CFO Certification pursuant to Section 906 of the Sarbanes-Oxley Act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(Inline eXtensible Business Reporting Language)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bl>
    <w:p>
      <w:pPr>
        <w:pStyle w:val="TextBody"/>
        <w:bidi w:val="0"/>
        <w:spacing w:lineRule="auto" w:line="288" w:before="0" w:after="200"/>
        <w:jc w:val="left"/>
        <w:rPr>
          <w:rFonts w:ascii="Helvetica;sans-serif" w:hAnsi="Helvetica;sans-serif"/>
          <w:b w:val="false"/>
          <w:color w:val="000000"/>
          <w:sz w:val="16"/>
        </w:rPr>
      </w:pPr>
      <w:r>
        <w:rPr>
          <w:rFonts w:ascii="Helvetica;sans-serif" w:hAnsi="Helvetica;sans-serif"/>
          <w:b w:val="false"/>
          <w:color w:val="000000"/>
          <w:sz w:val="16"/>
        </w:rPr>
        <w:t>__________________</w:t>
      </w:r>
    </w:p>
    <w:p>
      <w:pPr>
        <w:pStyle w:val="TextBody"/>
        <w:bidi w:val="0"/>
        <w:spacing w:lineRule="auto" w:line="288" w:before="0" w:after="60"/>
        <w:ind w:left="0" w:right="0" w:hanging="180"/>
        <w:jc w:val="both"/>
        <w:rPr>
          <w:rFonts w:ascii="Helvetica;sans-serif" w:hAnsi="Helvetica;sans-serif"/>
          <w:b w:val="false"/>
          <w:color w:val="000000"/>
          <w:sz w:val="16"/>
        </w:rPr>
      </w:pPr>
      <w:r>
        <w:rPr>
          <w:rFonts w:ascii="Helvetica;sans-serif" w:hAnsi="Helvetica;sans-serif"/>
          <w:b w:val="false"/>
          <w:color w:val="000000"/>
          <w:sz w:val="16"/>
        </w:rPr>
        <w:t>*    File number is 001-40691 except that the S-1 (and S-1/A) file number is 333-257602.</w:t>
      </w:r>
    </w:p>
    <w:p>
      <w:pPr>
        <w:pStyle w:val="TextBody"/>
        <w:bidi w:val="0"/>
        <w:spacing w:lineRule="auto" w:line="288" w:before="0" w:after="60"/>
        <w:jc w:val="both"/>
        <w:rPr>
          <w:rFonts w:ascii="Helvetica;sans-serif" w:hAnsi="Helvetica;sans-serif"/>
          <w:b w:val="false"/>
          <w:color w:val="000000"/>
          <w:sz w:val="16"/>
        </w:rPr>
      </w:pPr>
      <w:r>
        <w:rPr>
          <w:rFonts w:ascii="Helvetica;sans-serif" w:hAnsi="Helvetica;sans-serif"/>
          <w:b w:val="false"/>
          <w:color w:val="000000"/>
          <w:sz w:val="16"/>
        </w:rPr>
        <w:t>+ Indicates a management contract or compensatory plan.</w:t>
      </w:r>
    </w:p>
    <w:p>
      <w:pPr>
        <w:pStyle w:val="TextBody"/>
        <w:bidi w:val="0"/>
        <w:spacing w:lineRule="auto" w:line="288" w:before="0" w:after="60"/>
        <w:ind w:left="0" w:right="0" w:hanging="180"/>
        <w:jc w:val="both"/>
        <w:rPr>
          <w:color w:val="000000"/>
        </w:rPr>
      </w:pPr>
      <w:r>
        <w:rPr>
          <w:color w:val="000000"/>
        </w:rPr>
        <w:t>‡    </w:t>
      </w:r>
      <w:r>
        <w:rPr>
          <w:rFonts w:ascii="Helvetica;sans-serif" w:hAnsi="Helvetica;sans-serif"/>
          <w:b w:val="false"/>
          <w:color w:val="000000"/>
          <w:sz w:val="16"/>
        </w:rPr>
        <w:t>The certifications attached as Exhibits 32.1 and 32.2 that accompany this Quarterly Report on Form 10-Q are deemed furnished and not filed with the Securities and Exchange Commission and are not to be incorporated by reference into any filing of Robinhood Markets,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29" name="Frame1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127</w:t>
                      </w:r>
                    </w:p>
                  </w:txbxContent>
                </v:textbox>
                <w10:wrap type="none"/>
              </v:rect>
            </w:pict>
          </mc:Fallback>
        </mc:AlternateContent>
      </w:r>
    </w:p>
    <w:p>
      <w:pPr>
        <w:pStyle w:val="TextBody"/>
        <w:bidi w:val="0"/>
        <w:spacing w:lineRule="auto" w:line="288" w:before="0" w:after="200"/>
        <w:jc w:val="both"/>
        <w:rPr/>
      </w:pPr>
      <w:hyperlink w:anchor="i649f205f172241eca558017a908d846a_7">
        <w:r>
          <w:rPr>
            <w:rStyle w:val="InternetLink"/>
            <w:rFonts w:ascii="Helvetica;sans-serif" w:hAnsi="Helvetica;sans-serif"/>
            <w:b w:val="false"/>
            <w:color w:val="000080"/>
            <w:sz w:val="20"/>
            <w:u w:val="single"/>
          </w:rPr>
          <w:t>T</w:t>
        </w:r>
      </w:hyperlink>
      <w:hyperlink w:anchor="i649f205f172241eca558017a908d846a_7">
        <w:r>
          <w:rPr>
            <w:rStyle w:val="InternetLink"/>
            <w:rFonts w:ascii="Helvetica;sans-serif" w:hAnsi="Helvetica;sans-serif"/>
            <w:b w:val="false"/>
            <w:color w:val="000080"/>
            <w:sz w:val="20"/>
            <w:u w:val="single"/>
          </w:rPr>
          <w:t>able of Contents</w:t>
        </w:r>
      </w:hyperlink>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SIGNATURES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signed this report to be signed on its behalf by the undersigned, thereunto duly authorized, in Menlo Park, California, on July 30, 2025.</w:t>
      </w:r>
    </w:p>
    <w:tbl>
      <w:tblPr>
        <w:tblW w:w="6467" w:type="dxa"/>
        <w:jc w:val="right"/>
        <w:tblInd w:w="0" w:type="dxa"/>
        <w:tblLayout w:type="fixed"/>
        <w:tblCellMar>
          <w:top w:w="28" w:type="dxa"/>
          <w:left w:w="28" w:type="dxa"/>
          <w:bottom w:w="28" w:type="dxa"/>
          <w:right w:w="28" w:type="dxa"/>
        </w:tblCellMar>
      </w:tblPr>
      <w:tblGrid>
        <w:gridCol w:w="397"/>
        <w:gridCol w:w="350"/>
        <w:gridCol w:w="350"/>
        <w:gridCol w:w="1570"/>
        <w:gridCol w:w="1570"/>
        <w:gridCol w:w="2230"/>
      </w:tblGrid>
      <w:tr>
        <w:trPr/>
        <w:tc>
          <w:tcPr>
            <w:tcW w:w="3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r>
      <w:tr>
        <w:trPr/>
        <w:tc>
          <w:tcPr>
            <w:tcW w:w="64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Robinhood Markets, Inc.</w:t>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/s/ Vladimir Tenev </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Vladimir Tenev</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Chief Executive Officer and President</w:t>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Jason Warnick</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Jason Warnick</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Chief Financial Officer</w:t>
            </w:r>
          </w:p>
          <w:p>
            <w:pPr>
              <w:pStyle w:val="TableContents"/>
              <w:bidi w:val="0"/>
              <w:spacing w:lineRule="auto" w:line="240" w:before="0" w:after="0"/>
              <w:jc w:val="left"/>
              <w:rPr>
                <w:rFonts w:ascii="Helvetica;sans-serif" w:hAnsi="Helvetica;sans-serif"/>
                <w:b w:val="false"/>
                <w:i/>
                <w:color w:val="000000"/>
                <w:sz w:val="20"/>
              </w:rPr>
            </w:pPr>
            <w:r>
              <w:rPr>
                <w:rFonts w:ascii="Helvetica;sans-serif" w:hAnsi="Helvetica;sans-serif"/>
                <w:b w:val="false"/>
                <w:i/>
                <w:color w:val="000000"/>
                <w:sz w:val="20"/>
              </w:rPr>
              <w:t>(Principal Financial Officer and Principal Accounting Officer)</w:t>
            </w:r>
          </w:p>
        </w:tc>
      </w:tr>
    </w:tbl>
    <w:p>
      <w:pPr>
        <w:pStyle w:val="TextBody"/>
        <w:bidi w:val="0"/>
        <w:spacing w:before="0" w:after="220"/>
        <w:jc w:val="center"/>
        <w:rPr/>
      </w:pPr>
      <w:r>
        <w:rPr/>
      </w:r>
    </w:p>
    <w:p>
      <w:pPr>
        <w:pStyle w:val="TextBody"/>
        <w:bidi w:val="0"/>
        <w:spacing w:before="0" w:after="2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30" name="Frame1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128</w:t>
                      </w:r>
                    </w:p>
                  </w:txbxContent>
                </v:textbox>
                <w10:wrap type="none"/>
              </v:rect>
            </w:pict>
          </mc:Fallback>
        </mc:AlternateConten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Robinhood Markets, Inc.</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NON-EMPLOYEE DIRECTOR COMPENSATION PROGRAM</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Effective upon the closing of the Company’s initial public offering</w:t>
      </w:r>
    </w:p>
    <w:p>
      <w:pPr>
        <w:pStyle w:val="TextBody"/>
        <w:bidi w:val="0"/>
        <w:spacing w:lineRule="auto" w:line="288" w:before="0" w:after="240"/>
        <w:jc w:val="left"/>
        <w:rPr/>
      </w:pPr>
      <w:r>
        <w:rPr>
          <w:rFonts w:ascii="sans-serif" w:hAnsi="sans-serif"/>
          <w:b w:val="false"/>
          <w:color w:val="000000"/>
          <w:sz w:val="22"/>
        </w:rPr>
        <w:t>The purpose of this Non-Employee Director Compensation Program (the “</w:t>
      </w:r>
      <w:r>
        <w:rPr>
          <w:rFonts w:ascii="sans-serif" w:hAnsi="sans-serif"/>
          <w:b/>
          <w:color w:val="000000"/>
          <w:sz w:val="22"/>
        </w:rPr>
        <w:t>Program</w:t>
      </w:r>
      <w:r>
        <w:rPr>
          <w:color w:val="000000"/>
        </w:rPr>
        <w:t>”</w:t>
      </w:r>
      <w:r>
        <w:rPr>
          <w:rFonts w:ascii="sans-serif" w:hAnsi="sans-serif"/>
          <w:b w:val="false"/>
          <w:color w:val="000000"/>
          <w:sz w:val="22"/>
        </w:rPr>
        <w:t>) of Robinhood Markets, Inc., a Delaware corporation (the “</w:t>
      </w:r>
      <w:r>
        <w:rPr>
          <w:rFonts w:ascii="sans-serif" w:hAnsi="sans-serif"/>
          <w:b/>
          <w:color w:val="000000"/>
          <w:sz w:val="22"/>
        </w:rPr>
        <w:t>Company</w:t>
      </w:r>
      <w:r>
        <w:rPr>
          <w:color w:val="000000"/>
        </w:rPr>
        <w:t>”</w:t>
      </w:r>
      <w:r>
        <w:rPr>
          <w:rFonts w:ascii="sans-serif" w:hAnsi="sans-serif"/>
          <w:b w:val="false"/>
          <w:color w:val="000000"/>
          <w:sz w:val="22"/>
        </w:rPr>
        <w:t>), is to promote the interests of the Company’s stockholders by providing a total compensation package that attracts and retains, on a long-term basis, exceptional directors who are not employees of the Company or its subsidiaries (“</w:t>
      </w:r>
      <w:r>
        <w:rPr>
          <w:rFonts w:ascii="sans-serif" w:hAnsi="sans-serif"/>
          <w:b/>
          <w:color w:val="000000"/>
          <w:sz w:val="22"/>
        </w:rPr>
        <w:t>Non-Employee Directors</w:t>
      </w:r>
      <w:r>
        <w:rPr>
          <w:color w:val="000000"/>
        </w:rPr>
        <w:t>”</w:t>
      </w:r>
      <w:r>
        <w:rPr>
          <w:rFonts w:ascii="sans-serif" w:hAnsi="sans-serif"/>
          <w:b w:val="false"/>
          <w:color w:val="000000"/>
          <w:sz w:val="22"/>
        </w:rPr>
        <w:t>). In furtherance of this purpose, all Non-Employee Directors on the Company’s Board of Directors (the “</w:t>
      </w:r>
      <w:r>
        <w:rPr>
          <w:rFonts w:ascii="sans-serif" w:hAnsi="sans-serif"/>
          <w:b/>
          <w:color w:val="000000"/>
          <w:sz w:val="22"/>
        </w:rPr>
        <w:t>Board</w:t>
      </w:r>
      <w:r>
        <w:rPr>
          <w:color w:val="000000"/>
        </w:rPr>
        <w:t>”</w:t>
      </w:r>
      <w:r>
        <w:rPr>
          <w:rFonts w:ascii="sans-serif" w:hAnsi="sans-serif"/>
          <w:b w:val="false"/>
          <w:color w:val="000000"/>
          <w:sz w:val="22"/>
        </w:rPr>
        <w:t>) shall be compensated for services provided to the Company in such capacity as set forth below. This Program was approved by the Board on February 4, 2021 and amended on June 8, 2021 and June 24, 2025.</w:t>
      </w:r>
    </w:p>
    <w:p>
      <w:pPr>
        <w:pStyle w:val="TextBody"/>
        <w:bidi w:val="0"/>
        <w:spacing w:lineRule="auto" w:line="288" w:before="0" w:after="240"/>
        <w:jc w:val="left"/>
        <w:rPr/>
      </w:pPr>
      <w:r>
        <w:rPr>
          <w:rFonts w:ascii="Arial;sans-serif" w:hAnsi="Arial;sans-serif"/>
          <w:b/>
          <w:color w:val="000000"/>
          <w:sz w:val="22"/>
        </w:rPr>
        <w:t>1.</w:t>
      </w:r>
      <w:r>
        <w:rPr>
          <w:rFonts w:ascii="sans-serif" w:hAnsi="sans-serif"/>
          <w:b/>
          <w:color w:val="000000"/>
          <w:sz w:val="22"/>
        </w:rPr>
        <w:t>Annual Cash Retainers</w:t>
      </w:r>
      <w:r>
        <w:rPr>
          <w:color w:val="000000"/>
        </w:rPr>
        <w:t xml:space="preserve"> </w:t>
      </w:r>
    </w:p>
    <w:p>
      <w:pPr>
        <w:pStyle w:val="TextBody"/>
        <w:bidi w:val="0"/>
        <w:spacing w:lineRule="auto" w:line="288" w:before="0" w:after="240"/>
        <w:jc w:val="left"/>
        <w:rPr/>
      </w:pPr>
      <w:r>
        <w:rPr>
          <w:rFonts w:ascii="sans-serif" w:hAnsi="sans-serif"/>
          <w:b w:val="false"/>
          <w:color w:val="000000"/>
          <w:sz w:val="22"/>
        </w:rPr>
        <w:t>Subject to Section 3 hereof, effective as of the closing of the Company’s initial public offering (such date, the “</w:t>
      </w:r>
      <w:r>
        <w:rPr>
          <w:rFonts w:ascii="sans-serif" w:hAnsi="sans-serif"/>
          <w:b/>
          <w:color w:val="000000"/>
          <w:sz w:val="22"/>
        </w:rPr>
        <w:t>Effective Date</w:t>
      </w:r>
      <w:r>
        <w:rPr>
          <w:color w:val="000000"/>
        </w:rPr>
        <w:t>”</w:t>
      </w:r>
      <w:r>
        <w:rPr>
          <w:rFonts w:ascii="sans-serif" w:hAnsi="sans-serif"/>
          <w:b w:val="false"/>
          <w:color w:val="000000"/>
          <w:sz w:val="22"/>
        </w:rPr>
        <w:t>), each Non-Employee Director shall receive annual cash retainers as follows.</w:t>
      </w:r>
    </w:p>
    <w:p>
      <w:pPr>
        <w:pStyle w:val="TextBody"/>
        <w:bidi w:val="0"/>
        <w:spacing w:lineRule="auto" w:line="288" w:before="0" w:after="240"/>
        <w:ind w:left="0" w:right="0" w:hanging="720"/>
        <w:jc w:val="left"/>
        <w:rPr/>
      </w:pPr>
      <w:r>
        <w:rPr>
          <w:rFonts w:ascii="sans-serif" w:hAnsi="sans-serif"/>
          <w:b/>
          <w:color w:val="000000"/>
          <w:sz w:val="22"/>
        </w:rPr>
        <w:t xml:space="preserve">A.Annual Cash Retainer for Board Membership: </w:t>
      </w:r>
      <w:r>
        <w:rPr>
          <w:rFonts w:ascii="sans-serif" w:hAnsi="sans-serif"/>
          <w:b w:val="false"/>
          <w:color w:val="000000"/>
          <w:sz w:val="22"/>
        </w:rPr>
        <w:t>$50,000 per year for service as a member of the Board.</w:t>
      </w:r>
    </w:p>
    <w:p>
      <w:pPr>
        <w:pStyle w:val="TextBody"/>
        <w:bidi w:val="0"/>
        <w:spacing w:lineRule="auto" w:line="288" w:before="0" w:after="240"/>
        <w:ind w:left="0" w:right="0" w:hanging="720"/>
        <w:jc w:val="left"/>
        <w:rPr/>
      </w:pPr>
      <w:r>
        <w:rPr>
          <w:rFonts w:ascii="sans-serif" w:hAnsi="sans-serif"/>
          <w:b/>
          <w:color w:val="000000"/>
          <w:sz w:val="22"/>
        </w:rPr>
        <w:t>B.Additional Annual Cash Retainer for Non-Executive Chair of the Board</w:t>
      </w:r>
      <w:r>
        <w:rPr>
          <w:rFonts w:ascii="sans-serif" w:hAnsi="sans-serif"/>
          <w:b w:val="false"/>
          <w:color w:val="000000"/>
          <w:sz w:val="22"/>
        </w:rPr>
        <w:t>: $50,000 per year for service as the Non-Executive Chair of the Board.</w:t>
      </w:r>
    </w:p>
    <w:p>
      <w:pPr>
        <w:pStyle w:val="TextBody"/>
        <w:bidi w:val="0"/>
        <w:spacing w:lineRule="auto" w:line="288" w:before="0" w:after="240"/>
        <w:ind w:left="0" w:right="0" w:hanging="720"/>
        <w:jc w:val="left"/>
        <w:rPr/>
      </w:pPr>
      <w:r>
        <w:rPr>
          <w:rFonts w:ascii="sans-serif" w:hAnsi="sans-serif"/>
          <w:b/>
          <w:color w:val="000000"/>
          <w:sz w:val="22"/>
        </w:rPr>
        <w:t>C.Additional Annual Cash Retainer for Lead Independent Director</w:t>
      </w:r>
      <w:r>
        <w:rPr>
          <w:rFonts w:ascii="sans-serif" w:hAnsi="sans-serif"/>
          <w:b w:val="false"/>
          <w:color w:val="000000"/>
          <w:sz w:val="22"/>
        </w:rPr>
        <w:t>: $30,000 per year for service as the Lead Independent Director of the Board.</w:t>
      </w:r>
    </w:p>
    <w:p>
      <w:pPr>
        <w:pStyle w:val="TextBody"/>
        <w:bidi w:val="0"/>
        <w:spacing w:lineRule="auto" w:line="288" w:before="0" w:after="240"/>
        <w:ind w:left="0" w:right="0" w:hanging="720"/>
        <w:jc w:val="left"/>
        <w:rPr/>
      </w:pPr>
      <w:r>
        <w:rPr>
          <w:rFonts w:ascii="sans-serif" w:hAnsi="sans-serif"/>
          <w:b/>
          <w:color w:val="000000"/>
          <w:sz w:val="22"/>
        </w:rPr>
        <w:t>D.Additional Annualized Cash Retainers for Committee Membership</w:t>
      </w:r>
      <w:r>
        <w:rPr>
          <w:rFonts w:ascii="sans-serif" w:hAnsi="sans-serif"/>
          <w:b w:val="false"/>
          <w:color w:val="000000"/>
          <w:sz w:val="22"/>
        </w:rPr>
        <w:t>:</w:t>
      </w:r>
    </w:p>
    <w:tbl>
      <w:tblPr>
        <w:tblW w:w="7311" w:type="dxa"/>
        <w:jc w:val="left"/>
        <w:tblInd w:w="0" w:type="dxa"/>
        <w:tblLayout w:type="fixed"/>
        <w:tblCellMar>
          <w:top w:w="28" w:type="dxa"/>
          <w:left w:w="28" w:type="dxa"/>
          <w:bottom w:w="28" w:type="dxa"/>
          <w:right w:w="28" w:type="dxa"/>
        </w:tblCellMar>
      </w:tblPr>
      <w:tblGrid>
        <w:gridCol w:w="2136"/>
        <w:gridCol w:w="1877"/>
        <w:gridCol w:w="1882"/>
        <w:gridCol w:w="256"/>
        <w:gridCol w:w="1006"/>
        <w:gridCol w:w="154"/>
      </w:tblGrid>
      <w:tr>
        <w:trPr/>
        <w:tc>
          <w:tcPr>
            <w:tcW w:w="2136"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i/>
                <w:color w:val="000000"/>
                <w:sz w:val="22"/>
              </w:rPr>
            </w:pPr>
            <w:r>
              <w:rPr>
                <w:rFonts w:ascii="sans-serif" w:hAnsi="sans-serif"/>
                <w:b w:val="false"/>
                <w:i/>
                <w:color w:val="000000"/>
                <w:sz w:val="22"/>
              </w:rPr>
              <w:t>Audit Committee</w:t>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2"/>
              </w:rPr>
            </w:pPr>
            <w:r>
              <w:rPr>
                <w:rFonts w:ascii="sans-serif" w:hAnsi="sans-serif"/>
                <w:b w:val="false"/>
                <w:color w:val="000000"/>
                <w:sz w:val="22"/>
              </w:rPr>
              <w:t>Chair</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2"/>
              </w:rPr>
            </w:pPr>
            <w:r>
              <w:rPr>
                <w:rFonts w:ascii="sans-serif" w:hAnsi="sans-serif"/>
                <w:b w:val="false"/>
                <w:color w:val="000000"/>
                <w:sz w:val="22"/>
              </w:rPr>
              <w:t>Member (Other than Chair)</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sans-serif" w:hAnsi="sans-serif"/>
                <w:b w:val="false"/>
                <w:i/>
                <w:color w:val="000000"/>
                <w:sz w:val="22"/>
              </w:rPr>
            </w:pPr>
            <w:r>
              <w:rPr>
                <w:rFonts w:ascii="sans-serif" w:hAnsi="sans-serif"/>
                <w:b w:val="false"/>
                <w:i/>
                <w:color w:val="000000"/>
                <w:sz w:val="22"/>
              </w:rPr>
              <w:t>Nominating and Corporate Governance Committee</w:t>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2"/>
              </w:rPr>
            </w:pPr>
            <w:r>
              <w:rPr>
                <w:rFonts w:ascii="sans-serif" w:hAnsi="sans-serif"/>
                <w:b w:val="false"/>
                <w:color w:val="000000"/>
                <w:sz w:val="22"/>
              </w:rPr>
              <w:t>Chair</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12,000 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2"/>
              </w:rPr>
            </w:pPr>
            <w:r>
              <w:rPr>
                <w:rFonts w:ascii="sans-serif" w:hAnsi="sans-serif"/>
                <w:b w:val="false"/>
                <w:color w:val="000000"/>
                <w:sz w:val="22"/>
              </w:rPr>
              <w:t>Member (Other than Chair)</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sans-serif" w:hAnsi="sans-serif"/>
                <w:b w:val="false"/>
                <w:i/>
                <w:color w:val="000000"/>
                <w:sz w:val="22"/>
              </w:rPr>
            </w:pPr>
            <w:r>
              <w:rPr>
                <w:rFonts w:ascii="sans-serif" w:hAnsi="sans-serif"/>
                <w:b w:val="false"/>
                <w:i/>
                <w:color w:val="000000"/>
                <w:sz w:val="22"/>
              </w:rPr>
              <w:t>People and Compensation Committee</w:t>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2"/>
              </w:rPr>
            </w:pPr>
            <w:r>
              <w:rPr>
                <w:rFonts w:ascii="sans-serif" w:hAnsi="sans-serif"/>
                <w:b w:val="false"/>
                <w:color w:val="000000"/>
                <w:sz w:val="22"/>
              </w:rPr>
              <w:t>Chair</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2"/>
              </w:rPr>
            </w:pPr>
            <w:r>
              <w:rPr>
                <w:rFonts w:ascii="sans-serif" w:hAnsi="sans-serif"/>
                <w:b w:val="false"/>
                <w:color w:val="000000"/>
                <w:sz w:val="22"/>
              </w:rPr>
              <w:t>Member (Other than Chair)</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8,500 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0"/>
              <w:ind w:left="0" w:right="0" w:firstLine="228"/>
              <w:jc w:val="left"/>
              <w:rPr/>
            </w:pPr>
            <w:r>
              <w:rPr/>
            </w:r>
          </w:p>
          <w:p>
            <w:pPr>
              <w:pStyle w:val="TableContents"/>
              <w:bidi w:val="0"/>
              <w:spacing w:lineRule="auto" w:line="288" w:before="0" w:after="0"/>
              <w:jc w:val="left"/>
              <w:rPr>
                <w:rFonts w:ascii="sans-serif" w:hAnsi="sans-serif"/>
                <w:b w:val="false"/>
                <w:i/>
                <w:color w:val="000000"/>
                <w:sz w:val="22"/>
              </w:rPr>
            </w:pPr>
            <w:r>
              <w:rPr>
                <w:rFonts w:ascii="sans-serif" w:hAnsi="sans-serif"/>
                <w:b w:val="false"/>
                <w:i/>
                <w:color w:val="000000"/>
                <w:sz w:val="22"/>
              </w:rPr>
              <w:t>Safety, Risk and Regulatory Committee</w:t>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2"/>
              </w:rPr>
            </w:pPr>
            <w:r>
              <w:rPr>
                <w:rFonts w:ascii="sans-serif" w:hAnsi="sans-serif"/>
                <w:b w:val="false"/>
                <w:color w:val="000000"/>
                <w:sz w:val="22"/>
              </w:rPr>
              <w:t>Chair</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2"/>
              </w:rPr>
            </w:pPr>
            <w:r>
              <w:rPr>
                <w:rFonts w:ascii="sans-serif" w:hAnsi="sans-serif"/>
                <w:b w:val="false"/>
                <w:color w:val="000000"/>
                <w:sz w:val="22"/>
              </w:rPr>
              <w:t>Member (Other than Chair)</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8,500 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13055"/>
                <wp:effectExtent l="0" t="0" r="0" b="0"/>
                <wp:wrapNone/>
                <wp:docPr id="131" name="Frame13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r>
                              <w:br w:type="page"/>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Non-Employee Director Compensation Program    (Updated and effective as of June 24,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Non-Employee Director Compensation Program    (Updated and effective as of June 24, 2025)</w:t>
                      </w:r>
                    </w:p>
                  </w:txbxContent>
                </v:textbox>
                <w10:wrap type="none"/>
              </v:rect>
            </w:pict>
          </mc:Fallback>
        </mc:AlternateContent>
      </w:r>
    </w:p>
    <w:p>
      <w:pPr>
        <w:pStyle w:val="TextBody"/>
        <w:bidi w:val="0"/>
        <w:spacing w:lineRule="auto" w:line="288" w:before="200" w:after="240"/>
        <w:jc w:val="left"/>
        <w:rPr/>
      </w:pPr>
      <w:r>
        <w:rPr>
          <w:rFonts w:ascii="sans-serif" w:hAnsi="sans-serif"/>
          <w:b/>
          <w:color w:val="000000"/>
          <w:sz w:val="22"/>
        </w:rPr>
        <w:t>E.     Payment of Annual Retainers; Pro-Ration.</w:t>
      </w:r>
      <w:r>
        <w:rPr>
          <w:color w:val="000000"/>
        </w:rPr>
        <w:t xml:space="preserve"> </w:t>
      </w:r>
      <w:r>
        <w:rPr>
          <w:rFonts w:ascii="sans-serif" w:hAnsi="sans-serif"/>
          <w:b w:val="false"/>
          <w:color w:val="000000"/>
          <w:sz w:val="22"/>
        </w:rPr>
        <w:t xml:space="preserve">The annual cash retainers listed above shall be paid in four equal quarterly installments in arrears. Each installment shall be paid as soon as practicable on or following the final calendar day of each fiscal quarter (or, if earlier, a director’s final day of Board service). Cash retainers shall be pro-rated (i) for any Non-Employee Director who assumes or vacates a position on the Board or any committee thereof during a fiscal quarter and (ii) for the fiscal quarter in which the Effective Date occurs, in each case, based on the number of days during such fiscal quarter that such Non-Employee Director served in the relevant positions for which the cash retainers are payable under this Program (as compared to the full number of days in such fiscal quarter). </w:t>
      </w:r>
    </w:p>
    <w:p>
      <w:pPr>
        <w:pStyle w:val="TextBody"/>
        <w:bidi w:val="0"/>
        <w:spacing w:lineRule="auto" w:line="288" w:before="0" w:after="240"/>
        <w:jc w:val="left"/>
        <w:rPr/>
      </w:pPr>
      <w:r>
        <w:rPr>
          <w:rFonts w:ascii="sans-serif" w:hAnsi="sans-serif"/>
          <w:b/>
          <w:color w:val="000000"/>
          <w:sz w:val="22"/>
        </w:rPr>
        <w:t>F.     Election to Receive Equity Grants in Lieu of Cash Retainers.</w:t>
      </w:r>
      <w:r>
        <w:rPr>
          <w:color w:val="000000"/>
        </w:rPr>
        <w:t xml:space="preserve"> </w:t>
      </w:r>
      <w:r>
        <w:rPr>
          <w:rFonts w:ascii="sans-serif" w:hAnsi="sans-serif"/>
          <w:b w:val="false"/>
          <w:color w:val="000000"/>
          <w:sz w:val="22"/>
        </w:rPr>
        <w:t>Each Non-Employee Director may elect to receive all or a portion of his or her cash retainers in the form of restricted stock units (“</w:t>
      </w:r>
      <w:r>
        <w:rPr>
          <w:rFonts w:ascii="sans-serif" w:hAnsi="sans-serif"/>
          <w:b/>
          <w:color w:val="000000"/>
          <w:sz w:val="22"/>
        </w:rPr>
        <w:t>RSUs</w:t>
      </w:r>
      <w:r>
        <w:rPr>
          <w:color w:val="000000"/>
        </w:rPr>
        <w:t>”</w:t>
      </w:r>
      <w:r>
        <w:rPr>
          <w:rFonts w:ascii="sans-serif" w:hAnsi="sans-serif"/>
          <w:b w:val="false"/>
          <w:color w:val="000000"/>
          <w:sz w:val="22"/>
        </w:rPr>
        <w:t>), which shall be fully vested upon grant, shall be issued under the Company’s 2021 Omnibus Incentive Plan (or any successor plan) (the “</w:t>
      </w:r>
      <w:r>
        <w:rPr>
          <w:rFonts w:ascii="sans-serif" w:hAnsi="sans-serif"/>
          <w:b/>
          <w:color w:val="000000"/>
          <w:sz w:val="22"/>
        </w:rPr>
        <w:t>Plan</w:t>
      </w:r>
      <w:r>
        <w:rPr>
          <w:color w:val="000000"/>
        </w:rPr>
        <w:t>”</w:t>
      </w:r>
      <w:r>
        <w:rPr>
          <w:rFonts w:ascii="sans-serif" w:hAnsi="sans-serif"/>
          <w:b w:val="false"/>
          <w:color w:val="000000"/>
          <w:sz w:val="22"/>
        </w:rPr>
        <w:t>), shall be evidenced by an award agreement in the standard form approved by the Board prior to such grant, and shall cover the number of shares of the Company’s Class A common stock (“</w:t>
      </w:r>
      <w:r>
        <w:rPr>
          <w:rFonts w:ascii="sans-serif" w:hAnsi="sans-serif"/>
          <w:b/>
          <w:color w:val="000000"/>
          <w:sz w:val="22"/>
        </w:rPr>
        <w:t>Common Stock</w:t>
      </w:r>
      <w:r>
        <w:rPr>
          <w:color w:val="000000"/>
        </w:rPr>
        <w:t>”</w:t>
      </w:r>
      <w:r>
        <w:rPr>
          <w:rFonts w:ascii="sans-serif" w:hAnsi="sans-serif"/>
          <w:b w:val="false"/>
          <w:color w:val="000000"/>
          <w:sz w:val="22"/>
        </w:rPr>
        <w:t xml:space="preserve">) having an aggregate Fair Market Value (as defined in the Plan) on the grant date equal to the amount (or applicable portion) of the cash retainer otherwise payable to him or her on such date, rounded down to the nearest whole share; </w:t>
      </w:r>
      <w:r>
        <w:rPr>
          <w:rFonts w:ascii="sans-serif" w:hAnsi="sans-serif"/>
          <w:b w:val="false"/>
          <w:color w:val="000000"/>
          <w:sz w:val="22"/>
          <w:u w:val="single"/>
        </w:rPr>
        <w:t>provided</w:t>
      </w:r>
      <w:r>
        <w:rPr>
          <w:rFonts w:ascii="sans-serif" w:hAnsi="sans-serif"/>
          <w:b w:val="false"/>
          <w:color w:val="000000"/>
          <w:sz w:val="22"/>
        </w:rPr>
        <w:t xml:space="preserve">, </w:t>
      </w:r>
      <w:r>
        <w:rPr>
          <w:rFonts w:ascii="sans-serif" w:hAnsi="sans-serif"/>
          <w:b w:val="false"/>
          <w:color w:val="000000"/>
          <w:sz w:val="22"/>
          <w:u w:val="single"/>
        </w:rPr>
        <w:t>however</w:t>
      </w:r>
      <w:r>
        <w:rPr>
          <w:rFonts w:ascii="sans-serif" w:hAnsi="sans-serif"/>
          <w:b w:val="false"/>
          <w:color w:val="000000"/>
          <w:sz w:val="22"/>
        </w:rPr>
        <w:t>, that if no Deferral Election (as defined below) is in effect by the Deferral Election Deadline (as defined below), such Grant in Lieu shall be granted under the Plan in the form of fully vested Common Stock, rather than as an RSU (whether granted as an RSU or as Common Stock, “</w:t>
      </w:r>
      <w:r>
        <w:rPr>
          <w:rFonts w:ascii="sans-serif" w:hAnsi="sans-serif"/>
          <w:b/>
          <w:color w:val="000000"/>
          <w:sz w:val="22"/>
        </w:rPr>
        <w:t>Grants in Lieu</w:t>
      </w:r>
      <w:r>
        <w:rPr>
          <w:color w:val="000000"/>
        </w:rPr>
        <w:t>”</w:t>
      </w:r>
      <w:r>
        <w:rPr>
          <w:rFonts w:ascii="sans-serif" w:hAnsi="sans-serif"/>
          <w:b w:val="false"/>
          <w:color w:val="000000"/>
          <w:sz w:val="22"/>
        </w:rPr>
        <w:t xml:space="preserve">). Grants in Lieu shall occur automatically on the final calendar day of each fiscal quarter (or, if earlier, on the director’s final day of Board service) with respect to which a cash retainer would otherwise be payable. Any such election shall be made pursuant to a form of election (reasonably satisfactory to the Board) specifying the percentage of the Non-Employee Director’s cash retainers that he or she wishes to receive in the form of Grants in Lieu. Any such election must be received by the Corporate Secretary at least two weeks prior to the applicable grant date and shall remain in effect until revoked in writing by the Non-Employee Director; provided, however, that if a Deferral Election is in effect, any revocation of an election to receive Grants in Lieu shall not become effective until the following calendar year. </w:t>
      </w:r>
    </w:p>
    <w:p>
      <w:pPr>
        <w:pStyle w:val="TextBody"/>
        <w:bidi w:val="0"/>
        <w:spacing w:lineRule="auto" w:line="288" w:before="0" w:after="240"/>
        <w:jc w:val="left"/>
        <w:rPr/>
      </w:pPr>
      <w:r>
        <w:rPr>
          <w:rFonts w:ascii="Arial;sans-serif" w:hAnsi="Arial;sans-serif"/>
          <w:b/>
          <w:color w:val="000000"/>
          <w:sz w:val="22"/>
        </w:rPr>
        <w:t>2.</w:t>
      </w:r>
      <w:r>
        <w:rPr>
          <w:rFonts w:ascii="sans-serif" w:hAnsi="sans-serif"/>
          <w:b/>
          <w:color w:val="000000"/>
          <w:sz w:val="22"/>
        </w:rPr>
        <w:t>Equity Awards</w:t>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Grants of equity awards to Non-Employee Directors pursuant to this Program shall be automatic and nondiscretionary (without the need for any additional corporate action by the Board or the People and Compensation Committee of the Board) and shall be made in accordance with Section 1.F above and the following provisions:</w:t>
      </w:r>
    </w:p>
    <w:p>
      <w:pPr>
        <w:pStyle w:val="TextBody"/>
        <w:bidi w:val="0"/>
        <w:spacing w:lineRule="auto" w:line="288" w:before="0" w:after="240"/>
        <w:jc w:val="left"/>
        <w:rPr/>
      </w:pPr>
      <w:r>
        <w:rPr>
          <w:rFonts w:ascii="sans-serif" w:hAnsi="sans-serif"/>
          <w:b/>
          <w:color w:val="000000"/>
          <w:sz w:val="22"/>
        </w:rPr>
        <w:t>A.     Initial Equity Grant.</w:t>
      </w:r>
      <w:r>
        <w:rPr>
          <w:color w:val="000000"/>
        </w:rPr>
        <w:t xml:space="preserve"> </w:t>
      </w:r>
      <w:r>
        <w:rPr>
          <w:rFonts w:ascii="sans-serif" w:hAnsi="sans-serif"/>
          <w:b w:val="false"/>
          <w:color w:val="000000"/>
          <w:sz w:val="22"/>
        </w:rPr>
        <w:t>Subject to Section 3 hereof, each Non-Employee Director who is first elected or appointed to the Board shall automatically be granted, on the effective date of his or her election or appointment to the Board, an initial award of RSUs under the Plan in respect of a number of shares of Common Stock determined by dividing $265,000 by the Fair Market Value (as defined in the Plan) of a share of Common Stock on the date of grant, rounded down to the nearest whole share, and evidenced by an award agreement in the standard form approved by the Board prior to such grant (the “</w:t>
      </w:r>
      <w:r>
        <w:rPr>
          <w:rFonts w:ascii="sans-serif" w:hAnsi="sans-serif"/>
          <w:b/>
          <w:color w:val="000000"/>
          <w:sz w:val="22"/>
        </w:rPr>
        <w:t>Initial Equity Grant</w:t>
      </w:r>
      <w:r>
        <w:rPr>
          <w:color w:val="000000"/>
        </w:rPr>
        <w:t>”</w:t>
      </w:r>
      <w:r>
        <w:rPr>
          <w:rFonts w:ascii="sans-serif" w:hAnsi="sans-serif"/>
          <w:b w:val="false"/>
          <w:color w:val="000000"/>
          <w:sz w:val="22"/>
        </w:rPr>
        <w:t>). The RSUs subject to the Initial Equity Grant shall vest in equal quarterly installments over approximately three years on each three-month anniversary of the first day of the first calendar month that commences on or after the applicable grant date, subject to such Non-Employee Director’s continued service as a Non-Employee Director through each such vesting date.</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13055"/>
                <wp:effectExtent l="0" t="0" r="0" b="0"/>
                <wp:wrapNone/>
                <wp:docPr id="132" name="Frame13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r>
                              <w:br w:type="page"/>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Non-Employee Director Compensation Program    (Updated and effective as of June 24,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Non-Employee Director Compensation Program    (Updated and effective as of June 24, 2025)</w:t>
                      </w:r>
                    </w:p>
                  </w:txbxContent>
                </v:textbox>
                <w10:wrap type="none"/>
              </v:rect>
            </w:pict>
          </mc:Fallback>
        </mc:AlternateContent>
      </w:r>
    </w:p>
    <w:p>
      <w:pPr>
        <w:pStyle w:val="TextBody"/>
        <w:bidi w:val="0"/>
        <w:spacing w:lineRule="auto" w:line="288" w:before="0" w:after="240"/>
        <w:jc w:val="left"/>
        <w:rPr/>
      </w:pPr>
      <w:r>
        <w:rPr>
          <w:rFonts w:ascii="sans-serif" w:hAnsi="sans-serif"/>
          <w:b/>
          <w:color w:val="000000"/>
          <w:sz w:val="22"/>
        </w:rPr>
        <w:t xml:space="preserve">B.     Annual Equity Grant. </w:t>
      </w:r>
      <w:r>
        <w:rPr>
          <w:rFonts w:ascii="sans-serif" w:hAnsi="sans-serif"/>
          <w:b w:val="false"/>
          <w:color w:val="000000"/>
          <w:sz w:val="22"/>
        </w:rPr>
        <w:t>Subject to Section 3 hereof, on the day of each regular annual meeting of the Company’s stockholders (each, an “</w:t>
      </w:r>
      <w:r>
        <w:rPr>
          <w:rFonts w:ascii="sans-serif" w:hAnsi="sans-serif"/>
          <w:b/>
          <w:color w:val="000000"/>
          <w:sz w:val="22"/>
        </w:rPr>
        <w:t>Annual Meeting</w:t>
      </w:r>
      <w:r>
        <w:rPr>
          <w:color w:val="000000"/>
        </w:rPr>
        <w:t>”</w:t>
      </w:r>
      <w:r>
        <w:rPr>
          <w:rFonts w:ascii="sans-serif" w:hAnsi="sans-serif"/>
          <w:b w:val="false"/>
          <w:color w:val="000000"/>
          <w:sz w:val="22"/>
        </w:rPr>
        <w:t>), each Non-Employee Director who is continuing in service after the shareholder vote shall automatically be granted an annual award of RSUs under the Plan in respect of a number of shares of Common Stock determined by dividing $265,000 by the Fair Market Value (as defined in the Plan) of a share of Common Stock on the date of grant, rounded down to the nearest whole share, and evidenced by an award agreement in the standard form approved by the Board prior to such grant (the “</w:t>
      </w:r>
      <w:r>
        <w:rPr>
          <w:rFonts w:ascii="sans-serif" w:hAnsi="sans-serif"/>
          <w:b/>
          <w:color w:val="000000"/>
          <w:sz w:val="22"/>
        </w:rPr>
        <w:t>Annual Equity Grant</w:t>
      </w:r>
      <w:r>
        <w:rPr>
          <w:rFonts w:ascii="sans-serif" w:hAnsi="sans-serif"/>
          <w:b w:val="false"/>
          <w:color w:val="000000"/>
          <w:sz w:val="22"/>
        </w:rPr>
        <w:t>,” which term shall also encompass the pro-rated awards described in the paragraph immediately below). The RSUs subject to these full year</w:t>
      </w:r>
      <w:r>
        <w:rPr>
          <w:color w:val="000000"/>
        </w:rPr>
        <w:t xml:space="preserve"> </w:t>
      </w:r>
      <w:r>
        <w:rPr>
          <w:rFonts w:ascii="sans-serif" w:hAnsi="sans-serif"/>
          <w:b w:val="false"/>
          <w:color w:val="000000"/>
          <w:sz w:val="22"/>
        </w:rPr>
        <w:t>Annual Equity Grants shall vest in four equal quarterly installments on each three-month anniversary of the first day of the first calendar month that commences on or after the applicable grant date, except that the fourth vesting date of each such Annual Equity Grant shall occur no later than the day prior to the date of the next Annual Meeting following the applicable grant date, in each case, subject to such Non-Employee Director’s continued service as a Non-Employee Director through each such vesting date.</w:t>
      </w:r>
    </w:p>
    <w:p>
      <w:pPr>
        <w:pStyle w:val="TextBody"/>
        <w:bidi w:val="0"/>
        <w:spacing w:lineRule="auto" w:line="288" w:before="0" w:after="240"/>
        <w:ind w:left="0" w:right="0" w:firstLine="720"/>
        <w:jc w:val="left"/>
        <w:rPr/>
      </w:pPr>
      <w:r>
        <w:rPr>
          <w:rFonts w:ascii="sans-serif" w:hAnsi="sans-serif"/>
          <w:b w:val="false"/>
          <w:color w:val="000000"/>
          <w:sz w:val="22"/>
        </w:rPr>
        <w:t>Subject to Section 3 hereof, any Non-Employee Director who joins the Board other than on an Annual Meeting date shall (in addition to the Initial Equity Grant) automatically be granted on the date he or she joins the Board an award of RSUs under the Plan in respect of a number of shares of Common Stock with a target value determined by multiplying $265,000 by a fraction, the numerator of which is the number of days (the “</w:t>
      </w:r>
      <w:r>
        <w:rPr>
          <w:rFonts w:ascii="sans-serif" w:hAnsi="sans-serif"/>
          <w:b/>
          <w:color w:val="000000"/>
          <w:sz w:val="22"/>
        </w:rPr>
        <w:t>Remaining Days</w:t>
      </w:r>
      <w:r>
        <w:rPr>
          <w:color w:val="000000"/>
        </w:rPr>
        <w:t>”</w:t>
      </w:r>
      <w:r>
        <w:rPr>
          <w:rFonts w:ascii="sans-serif" w:hAnsi="sans-serif"/>
          <w:b w:val="false"/>
          <w:color w:val="000000"/>
          <w:sz w:val="22"/>
        </w:rPr>
        <w:t xml:space="preserve">) from and including the date of grant to but excluding the one-year anniversary of the immediately preceding Annual Meeting date (with the 2021 Annual Meeting deemed to have occurred on June 10, 2021) and the denominator of which is 365. The total number of RSUs granted shall be determined by dividing such target value by the Fair Market Value (as defined in the Plan) of a share of Common Stock on the date of grant, rounded down to the nearest whole share. Such RSUs shall vest in tandem with the remaining quarterly vesting dates applicable to a full-year award granted on the Annual Meeting date immediately preceding the date of grant (with the number of RSUs allocated to each vesting date determined so that the ratio of such number compared to the total number of RSUs is approximately equal to the ratio of the number of days of service in such vesting period compared to the total number of days from the date of grant to the final vesting date), subject to such Non-Employee Director’s continued service as a Non-Employee Director through each such vesting date. </w:t>
      </w:r>
    </w:p>
    <w:p>
      <w:pPr>
        <w:pStyle w:val="TextBody"/>
        <w:bidi w:val="0"/>
        <w:spacing w:lineRule="auto" w:line="288" w:before="0" w:after="240"/>
        <w:jc w:val="left"/>
        <w:rPr/>
      </w:pPr>
      <w:r>
        <w:rPr>
          <w:rFonts w:ascii="sans-serif" w:hAnsi="sans-serif"/>
          <w:b/>
          <w:color w:val="000000"/>
          <w:sz w:val="22"/>
        </w:rPr>
        <w:t>C.     Deferral of Equity Award Settlement.</w:t>
      </w:r>
      <w:r>
        <w:rPr>
          <w:color w:val="000000"/>
        </w:rPr>
        <w:t xml:space="preserve"> </w:t>
      </w:r>
      <w:r>
        <w:rPr>
          <w:rFonts w:ascii="sans-serif" w:hAnsi="sans-serif"/>
          <w:b w:val="false"/>
          <w:color w:val="000000"/>
          <w:sz w:val="22"/>
        </w:rPr>
        <w:t>Each Non-Employee Director may elect to defer the settlement of any Initial Equity Grant, Annual Equity Grant, or Grant in Lieu that would otherwise be settled on or following the date such grant vests pursuant to the terms of Sections 2.A, 2.B, and 1.F above (the “</w:t>
      </w:r>
      <w:r>
        <w:rPr>
          <w:rFonts w:ascii="sans-serif" w:hAnsi="sans-serif"/>
          <w:b/>
          <w:color w:val="000000"/>
          <w:sz w:val="22"/>
        </w:rPr>
        <w:t>Deferral Election</w:t>
      </w:r>
      <w:r>
        <w:rPr>
          <w:color w:val="000000"/>
        </w:rPr>
        <w:t>”</w:t>
      </w:r>
      <w:r>
        <w:rPr>
          <w:rFonts w:ascii="sans-serif" w:hAnsi="sans-serif"/>
          <w:b w:val="false"/>
          <w:color w:val="000000"/>
          <w:sz w:val="22"/>
        </w:rPr>
        <w:t xml:space="preserve">). Unless otherwise determined by the Board, for any such Deferral Election to be effective, it must be submitted on or prior to December 31 of the year preceding the calendar year in which the applicable grant will be made; </w:t>
      </w:r>
      <w:r>
        <w:rPr>
          <w:rFonts w:ascii="sans-serif" w:hAnsi="sans-serif"/>
          <w:b w:val="false"/>
          <w:color w:val="000000"/>
          <w:sz w:val="22"/>
          <w:u w:val="single"/>
        </w:rPr>
        <w:t>provided</w:t>
      </w:r>
      <w:r>
        <w:rPr>
          <w:rFonts w:ascii="sans-serif" w:hAnsi="sans-serif"/>
          <w:b w:val="false"/>
          <w:color w:val="000000"/>
          <w:sz w:val="22"/>
        </w:rPr>
        <w:t xml:space="preserve">, </w:t>
      </w:r>
      <w:r>
        <w:rPr>
          <w:rFonts w:ascii="sans-serif" w:hAnsi="sans-serif"/>
          <w:b w:val="false"/>
          <w:color w:val="000000"/>
          <w:sz w:val="22"/>
          <w:u w:val="single"/>
        </w:rPr>
        <w:t>however</w:t>
      </w:r>
      <w:r>
        <w:rPr>
          <w:rFonts w:ascii="sans-serif" w:hAnsi="sans-serif"/>
          <w:b w:val="false"/>
          <w:color w:val="000000"/>
          <w:sz w:val="22"/>
        </w:rPr>
        <w:t>, that (i) with respect to the calendar year in which the Effective Date occurs, such Deferral Election must be submitted within 30 days following the Effective Date and (ii) in the case of any individual who first becomes a Non-Employee Director following the Effective Date, such Deferral Election must be submitted within 30 days after the individual first becomes a Non-Employee Director (such date, the “</w:t>
      </w:r>
      <w:r>
        <w:rPr>
          <w:rFonts w:ascii="sans-serif" w:hAnsi="sans-serif"/>
          <w:b/>
          <w:color w:val="000000"/>
          <w:sz w:val="22"/>
        </w:rPr>
        <w:t>Deferral Election Deadline</w:t>
      </w:r>
      <w:r>
        <w:rPr>
          <w:color w:val="000000"/>
        </w:rPr>
        <w:t>”</w:t>
      </w:r>
      <w:r>
        <w:rPr>
          <w:rFonts w:ascii="sans-serif" w:hAnsi="sans-serif"/>
          <w:b w:val="false"/>
          <w:color w:val="000000"/>
          <w:sz w:val="22"/>
        </w:rPr>
        <w:t xml:space="preserve">). Any Deferral Election shall be irrevocable with respect to the following calendar year and subject to such rules, conditions and procedures as shall be determined by (or under the oversight of) the Board, in its sole discretion, which rules, conditions and procedures shall at all times comply with the requirements of Section 409A (as defined below), unless otherwise specifically determined by the Board. Deferral Elections shall be made pursuant to a form of deferral election reasonably satisfactory to the Board. Any Deferral Election shall remain in effect from year to year until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13055"/>
                <wp:effectExtent l="0" t="0" r="0" b="0"/>
                <wp:wrapNone/>
                <wp:docPr id="133" name="Frame13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r>
                              <w:br w:type="page"/>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Non-Employee Director Compensation Program    (Updated and effective as of June 24,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Non-Employee Director Compensation Program    (Updated and effective as of June 24, 2025)</w:t>
                      </w:r>
                    </w:p>
                  </w:txbxContent>
                </v:textbox>
                <w10:wrap type="none"/>
              </v:rect>
            </w:pict>
          </mc:Fallback>
        </mc:AlternateContent>
      </w:r>
    </w:p>
    <w:p>
      <w:pPr>
        <w:pStyle w:val="TextBody"/>
        <w:bidi w:val="0"/>
        <w:spacing w:lineRule="auto" w:line="288" w:before="0" w:after="240"/>
        <w:jc w:val="left"/>
        <w:rPr/>
      </w:pPr>
      <w:r>
        <w:rPr>
          <w:rFonts w:ascii="sans-serif" w:hAnsi="sans-serif"/>
          <w:b w:val="false"/>
          <w:color w:val="000000"/>
          <w:sz w:val="22"/>
        </w:rPr>
        <w:t>revoked in writing by the Non-Employee Director, but any revocation shall become effective only with respect to RSUs that are granted in calendar years beginning after receipt and acceptance by the Company of a written revocation</w:t>
      </w:r>
      <w:r>
        <w:rPr>
          <w:rFonts w:ascii="sans-serif" w:hAnsi="sans-serif"/>
          <w:b w:val="false"/>
          <w:i/>
          <w:color w:val="000000"/>
          <w:sz w:val="22"/>
        </w:rPr>
        <w:t>.</w:t>
      </w:r>
    </w:p>
    <w:p>
      <w:pPr>
        <w:pStyle w:val="TextBody"/>
        <w:bidi w:val="0"/>
        <w:spacing w:lineRule="auto" w:line="288" w:before="0" w:after="240"/>
        <w:jc w:val="left"/>
        <w:rPr/>
      </w:pPr>
      <w:r>
        <w:rPr>
          <w:rFonts w:ascii="sans-serif" w:hAnsi="sans-serif"/>
          <w:b/>
          <w:color w:val="000000"/>
          <w:sz w:val="22"/>
        </w:rPr>
        <w:t>D.     Change in Control Acceleration.</w:t>
      </w:r>
      <w:r>
        <w:rPr>
          <w:color w:val="000000"/>
        </w:rPr>
        <w:t xml:space="preserve"> </w:t>
      </w:r>
      <w:r>
        <w:rPr>
          <w:rFonts w:ascii="sans-serif" w:hAnsi="sans-serif"/>
          <w:b w:val="false"/>
          <w:color w:val="000000"/>
          <w:sz w:val="22"/>
        </w:rPr>
        <w:t>In the event of a Change in Control (as defined in the Plan), all RSUs granted to Non-Employee Directors pursuant to this Program shall, to the extent then outstanding and unvested, vest in full upon the Change of Control.</w:t>
      </w:r>
    </w:p>
    <w:p>
      <w:pPr>
        <w:pStyle w:val="TextBody"/>
        <w:bidi w:val="0"/>
        <w:spacing w:lineRule="auto" w:line="288" w:before="0" w:after="240"/>
        <w:jc w:val="left"/>
        <w:rPr/>
      </w:pPr>
      <w:r>
        <w:rPr>
          <w:rFonts w:ascii="Arial;sans-serif" w:hAnsi="Arial;sans-serif"/>
          <w:b/>
          <w:color w:val="000000"/>
          <w:sz w:val="22"/>
        </w:rPr>
        <w:t>3.</w:t>
      </w:r>
      <w:r>
        <w:rPr>
          <w:rFonts w:ascii="sans-serif" w:hAnsi="sans-serif"/>
          <w:b/>
          <w:color w:val="000000"/>
          <w:sz w:val="22"/>
        </w:rPr>
        <w:t>Annual Compensation Limit</w:t>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No Non-Employee Director may be paid, issued or granted, in any calendar year, cash compensation and equity awards with an aggregate value greater than $1,000,000 (with the value of each equity award based on its grant date fair value (determined in accordance with U.S. generally accepted accounting principles) and counted toward this limit for the year in which it is granted). Any cash compensation paid or equity awards granted to an individual for his or her services as an employee or a consultant to the Company (other than as an Non-Employee Director) or any cash compensation paid or equity awards granted to an individual prior to the Effective Date, in each case, will not count for purposes of the limitation under this Program. Any cash compensation that is deferred will be counted toward this limit for the calendar year in which it was first earned, and not when paid or settled if later.</w:t>
      </w:r>
    </w:p>
    <w:p>
      <w:pPr>
        <w:pStyle w:val="TextBody"/>
        <w:bidi w:val="0"/>
        <w:spacing w:lineRule="auto" w:line="288" w:before="0" w:after="240"/>
        <w:jc w:val="left"/>
        <w:rPr/>
      </w:pPr>
      <w:r>
        <w:rPr>
          <w:rFonts w:ascii="Arial;sans-serif" w:hAnsi="Arial;sans-serif"/>
          <w:b/>
          <w:color w:val="000000"/>
          <w:sz w:val="22"/>
        </w:rPr>
        <w:t>4.</w:t>
      </w:r>
      <w:r>
        <w:rPr>
          <w:rFonts w:ascii="sans-serif" w:hAnsi="sans-serif"/>
          <w:b/>
          <w:color w:val="000000"/>
          <w:sz w:val="22"/>
        </w:rPr>
        <w:t xml:space="preserve">Expenses. </w:t>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The Company shall reimburse each Non-Employee Director for reasonable out-of-pocket expenses incurred in attending meetings of the Board or any committee thereof within a reasonable amount of time following submission by such Non-Employee Director of reasonable written substantiation for such expenses.</w:t>
      </w:r>
    </w:p>
    <w:p>
      <w:pPr>
        <w:pStyle w:val="TextBody"/>
        <w:bidi w:val="0"/>
        <w:spacing w:lineRule="auto" w:line="288" w:before="0" w:after="240"/>
        <w:jc w:val="left"/>
        <w:rPr/>
      </w:pPr>
      <w:r>
        <w:rPr>
          <w:rFonts w:ascii="Arial;sans-serif" w:hAnsi="Arial;sans-serif"/>
          <w:b/>
          <w:color w:val="000000"/>
          <w:sz w:val="22"/>
        </w:rPr>
        <w:t>5.</w:t>
      </w:r>
      <w:r>
        <w:rPr>
          <w:rFonts w:ascii="sans-serif" w:hAnsi="sans-serif"/>
          <w:b/>
          <w:color w:val="000000"/>
          <w:sz w:val="22"/>
        </w:rPr>
        <w:t>Section 409A</w:t>
      </w:r>
      <w:r>
        <w:rPr>
          <w:rFonts w:ascii="sans-serif" w:hAnsi="sans-serif"/>
          <w:b w:val="false"/>
          <w:color w:val="000000"/>
          <w:sz w:val="22"/>
        </w:rPr>
        <w:t>.</w:t>
      </w:r>
    </w:p>
    <w:p>
      <w:pPr>
        <w:pStyle w:val="TextBody"/>
        <w:bidi w:val="0"/>
        <w:spacing w:lineRule="auto" w:line="288" w:before="0" w:after="240"/>
        <w:jc w:val="left"/>
        <w:rPr/>
      </w:pPr>
      <w:r>
        <w:rPr>
          <w:rFonts w:ascii="sans-serif" w:hAnsi="sans-serif"/>
          <w:b w:val="false"/>
          <w:color w:val="000000"/>
          <w:sz w:val="22"/>
        </w:rPr>
        <w:t>This Program and all cash compensation and equity awards paid or granted pursuant to this Program are intended to meet the requirements of Section 409A of the Internal Revenue Code of 1986, as amended, including the rules and regulations promulgated thereunder, or any state law equivalent (“</w:t>
      </w:r>
      <w:r>
        <w:rPr>
          <w:rFonts w:ascii="sans-serif" w:hAnsi="sans-serif"/>
          <w:b/>
          <w:color w:val="000000"/>
          <w:sz w:val="22"/>
        </w:rPr>
        <w:t>Section 409A</w:t>
      </w:r>
      <w:r>
        <w:rPr>
          <w:color w:val="000000"/>
        </w:rPr>
        <w:t>”</w:t>
      </w:r>
      <w:r>
        <w:rPr>
          <w:rFonts w:ascii="sans-serif" w:hAnsi="sans-serif"/>
          <w:b w:val="false"/>
          <w:color w:val="000000"/>
          <w:sz w:val="22"/>
        </w:rPr>
        <w:t>) and will be construed and interpreted in accordance with such intent, except as otherwise determined in the sole discretion of the Administrator. To the extent that an equity award or payment, or the settlement or deferral thereof, is subject to Section 409A, the equity award will be granted, paid, settled or deferred in a manner that will meet the requirements of Section 409A in order to avoid taxes or penalties under Section 409A. Each payment made pursuant to this Program shall be considered a separate payment for purposes of Section 409A. In no event will the Company reimburse a Non-Employee Director for any taxes imposed or other costs incurred as a result of Section 409A.</w:t>
      </w:r>
    </w:p>
    <w:p>
      <w:pPr>
        <w:pStyle w:val="TextBody"/>
        <w:bidi w:val="0"/>
        <w:spacing w:lineRule="auto" w:line="288" w:before="0" w:after="240"/>
        <w:jc w:val="left"/>
        <w:rPr/>
      </w:pPr>
      <w:r>
        <w:rPr>
          <w:rFonts w:ascii="Arial;sans-serif" w:hAnsi="Arial;sans-serif"/>
          <w:b/>
          <w:color w:val="000000"/>
          <w:sz w:val="22"/>
        </w:rPr>
        <w:t>6.</w:t>
      </w:r>
      <w:r>
        <w:rPr>
          <w:rFonts w:ascii="sans-serif" w:hAnsi="sans-serif"/>
          <w:b/>
          <w:color w:val="000000"/>
          <w:sz w:val="22"/>
        </w:rPr>
        <w:t>Revisions</w:t>
      </w:r>
      <w:r>
        <w:rPr>
          <w:rFonts w:ascii="sans-serif" w:hAnsi="sans-serif"/>
          <w:b w:val="false"/>
          <w:color w:val="000000"/>
          <w:sz w:val="22"/>
        </w:rPr>
        <w:t>.</w:t>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 xml:space="preserve">The Board may amend, alter, suspend or terminate this Program at any time and for any reason. No amendment, alteration, suspension or termination of this Program shall materially impair the rights of a Non-Employee Director with respect to compensation that already has been paid or awarded, unless otherwise mutually agreed in writing between the Non-Employee Director and the Company.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Exhibit 31.1</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13055"/>
                <wp:effectExtent l="0" t="0" r="0" b="0"/>
                <wp:wrapNone/>
                <wp:docPr id="134" name="Frame133"/>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Non-Employee Director Compensation Program    (Updated and effective as of June 24,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Non-Employee Director Compensation Program    (Updated and effective as of June 24, 2025)</w:t>
                      </w:r>
                    </w:p>
                  </w:txbxContent>
                </v:textbox>
                <w10:wrap type="none"/>
              </v:rect>
            </w:pict>
          </mc:Fallback>
        </mc:AlternateContent>
      </w:r>
    </w:p>
    <w:p>
      <w:pPr>
        <w:pStyle w:val="TextBody"/>
        <w:bidi w:val="0"/>
        <w:spacing w:lineRule="auto" w:line="319" w:before="180" w:after="283"/>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CERTIFICATION PURSUANT TO RULE 13a-14(a) AND 15d-14(a) OF THE SECURITIES EXCHANGE ACT OF 1934, AS ADOPTED</w:t>
      </w:r>
    </w:p>
    <w:p>
      <w:pPr>
        <w:pStyle w:val="TextBody"/>
        <w:bidi w:val="0"/>
        <w:spacing w:lineRule="auto" w:line="319"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PURSUANT TO SECTION 302 OF THE SARBANES-OXLEY ACT OF 2002</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 Vladimir Tenev, certify that: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1.     I have reviewed this Quarterly Report on Form 10-Q of Robinhood Markets, Inc.;</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Date: July 30, 2025</w:t>
      </w:r>
    </w:p>
    <w:p>
      <w:pPr>
        <w:pStyle w:val="TextBody"/>
        <w:bidi w:val="0"/>
        <w:spacing w:lineRule="auto" w:line="319" w:before="0" w:after="0"/>
        <w:jc w:val="both"/>
        <w:rPr/>
      </w:pPr>
      <w:r>
        <w:rPr>
          <w:rFonts w:ascii="Helvetica;sans-serif" w:hAnsi="Helvetica;sans-serif"/>
          <w:b w:val="false"/>
          <w:color w:val="1D1C1D"/>
          <w:sz w:val="20"/>
        </w:rPr>
        <w:t>/s/</w:t>
      </w:r>
      <w:r>
        <w:rPr>
          <w:rFonts w:ascii="Helvetica;sans-serif" w:hAnsi="Helvetica;sans-serif"/>
          <w:b w:val="false"/>
          <w:color w:val="000000"/>
          <w:sz w:val="20"/>
        </w:rPr>
        <w:t>Vladimir Tenev</w:t>
      </w:r>
    </w:p>
    <w:p>
      <w:pPr>
        <w:pStyle w:val="TextBody"/>
        <w:bidi w:val="0"/>
        <w:spacing w:lineRule="auto" w:line="319" w:before="0" w:after="0"/>
        <w:jc w:val="both"/>
        <w:rPr>
          <w:rFonts w:ascii="Helvetica;sans-serif" w:hAnsi="Helvetica;sans-serif"/>
          <w:b w:val="false"/>
          <w:color w:val="000000"/>
          <w:sz w:val="20"/>
        </w:rPr>
      </w:pPr>
      <w:r>
        <w:rPr>
          <w:rFonts w:ascii="Helvetica;sans-serif" w:hAnsi="Helvetica;sans-serif"/>
          <w:b w:val="false"/>
          <w:color w:val="000000"/>
          <w:sz w:val="20"/>
        </w:rPr>
        <w:t>Vladimir Tenev</w:t>
      </w:r>
    </w:p>
    <w:p>
      <w:pPr>
        <w:pStyle w:val="TextBody"/>
        <w:bidi w:val="0"/>
        <w:spacing w:lineRule="auto" w:line="319"/>
        <w:jc w:val="both"/>
        <w:rPr>
          <w:rFonts w:ascii="Helvetica;sans-serif" w:hAnsi="Helvetica;sans-serif"/>
          <w:b w:val="false"/>
          <w:color w:val="000000"/>
          <w:sz w:val="20"/>
        </w:rPr>
      </w:pPr>
      <w:r>
        <w:rPr>
          <w:rFonts w:ascii="Helvetica;sans-serif" w:hAnsi="Helvetica;sans-serif"/>
          <w:b w:val="false"/>
          <w:color w:val="000000"/>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Exhibit 31.2</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180" w:after="283"/>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CERTIFICATION PURSUANT TO RULE 13a-14(a) AND 15d-14(a) OF THE SECURITIES EXCHANGE ACT OF 1934, AS ADOPTED</w:t>
      </w:r>
    </w:p>
    <w:p>
      <w:pPr>
        <w:pStyle w:val="TextBody"/>
        <w:bidi w:val="0"/>
        <w:spacing w:lineRule="auto" w:line="319"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PURSUANT TO SECTION 302 OF THE SARBANES-OXLEY ACT OF 2002</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 Jason Warnick, certify that: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1.     I have reviewed this Quarterly Report on Form 10-Q of Robinhood Markets, Inc.;</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9"/>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Date: July 30, 2025</w: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/s/Jason Warnick</w: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Jason Warnick</w:t>
      </w:r>
    </w:p>
    <w:p>
      <w:pPr>
        <w:pStyle w:val="TextBody"/>
        <w:bidi w:val="0"/>
        <w:spacing w:lineRule="auto" w:line="319"/>
        <w:jc w:val="both"/>
        <w:rPr>
          <w:rFonts w:ascii="Helvetica;sans-serif" w:hAnsi="Helvetica;sans-serif"/>
          <w:b w:val="false"/>
          <w:color w:val="1D1C1D"/>
          <w:sz w:val="20"/>
        </w:rPr>
      </w:pPr>
      <w:r>
        <w:rPr>
          <w:rFonts w:ascii="Helvetica;sans-serif" w:hAnsi="Helvetica;sans-serif"/>
          <w:b w:val="false"/>
          <w:color w:val="1D1C1D"/>
          <w:sz w:val="20"/>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Exhibit 32.1</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 xml:space="preserve">CERTIFICATION BY THE CHIEF EXECUTIVE OFFICER </w:t>
      </w:r>
    </w:p>
    <w:p>
      <w:pPr>
        <w:pStyle w:val="TextBody"/>
        <w:bidi w:val="0"/>
        <w:spacing w:lineRule="auto" w:line="288" w:before="0" w:after="0"/>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PURSUANT TO 18 U.S.C. SECTION 1350, AS</w:t>
      </w:r>
    </w:p>
    <w:p>
      <w:pPr>
        <w:pStyle w:val="TextBody"/>
        <w:bidi w:val="0"/>
        <w:spacing w:lineRule="auto" w:line="288" w:before="0" w:after="0"/>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pPr>
      <w:r>
        <w:rPr>
          <w:rFonts w:ascii="Helvetica;sans-serif" w:hAnsi="Helvetica;sans-serif"/>
          <w:b w:val="false"/>
          <w:color w:val="000000"/>
          <w:sz w:val="20"/>
        </w:rPr>
        <w:t xml:space="preserve">Pursuant to 18 U.S.C. Section 1350, I, Vladimir Tenev, hereby certify that, to the best of my knowledge, Robinhood Markets, Inc.’s Quarterly Report on Form 10-Q for the quarterly period ended </w:t>
      </w:r>
      <w:r>
        <w:rPr>
          <w:rFonts w:ascii="Helvetica;sans-serif" w:hAnsi="Helvetica;sans-serif"/>
          <w:b w:val="false"/>
          <w:color w:val="1D1C1D"/>
          <w:sz w:val="20"/>
          <w:shd w:fill="FFFFFF" w:val="clear"/>
        </w:rPr>
        <w:t>June 30, 2025</w:t>
      </w:r>
      <w:r>
        <w:rPr>
          <w:color w:val="000000"/>
        </w:rPr>
        <w:t xml:space="preserve"> </w:t>
      </w:r>
      <w:r>
        <w:rPr>
          <w:rFonts w:ascii="Helvetica;sans-serif" w:hAnsi="Helvetica;sans-serif"/>
          <w:b w:val="false"/>
          <w:color w:val="000000"/>
          <w:sz w:val="20"/>
        </w:rPr>
        <w:t>(the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pStyle w:val="TextBody"/>
        <w:bidi w:val="0"/>
        <w:spacing w:lineRule="auto" w:line="288" w:before="0" w:after="0"/>
        <w:jc w:val="left"/>
        <w:rPr>
          <w:rFonts w:ascii="Helvetica;sans-serif" w:hAnsi="Helvetica;sans-serif"/>
          <w:b w:val="false"/>
          <w:color w:val="1D1C1D"/>
          <w:sz w:val="20"/>
          <w:shd w:fill="FFFFFF" w:val="clear"/>
        </w:rPr>
      </w:pPr>
      <w:r>
        <w:rPr>
          <w:rFonts w:ascii="Helvetica;sans-serif" w:hAnsi="Helvetica;sans-serif"/>
          <w:b w:val="false"/>
          <w:color w:val="1D1C1D"/>
          <w:sz w:val="20"/>
          <w:shd w:fill="FFFFFF" w:val="clear"/>
        </w:rPr>
        <w:t>Date: July 30, 2025</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/s/Vladimir Tenev</w:t>
      </w:r>
    </w:p>
    <w:p>
      <w:pPr>
        <w:pStyle w:val="TextBody"/>
        <w:bidi w:val="0"/>
        <w:spacing w:lineRule="auto" w:line="288" w:before="0" w:after="0"/>
        <w:jc w:val="left"/>
        <w:rPr>
          <w:rFonts w:ascii="Helvetica;sans-serif" w:hAnsi="Helvetica;sans-serif"/>
          <w:b w:val="false"/>
          <w:color w:val="1D1C1D"/>
          <w:sz w:val="20"/>
          <w:shd w:fill="FFFFFF" w:val="clear"/>
        </w:rPr>
      </w:pPr>
      <w:r>
        <w:rPr>
          <w:rFonts w:ascii="Helvetica;sans-serif" w:hAnsi="Helvetica;sans-serif"/>
          <w:b w:val="false"/>
          <w:color w:val="1D1C1D"/>
          <w:sz w:val="20"/>
          <w:shd w:fill="FFFFFF" w:val="clear"/>
        </w:rPr>
        <w:t>Vladimir Tenev</w:t>
      </w:r>
    </w:p>
    <w:p>
      <w:pPr>
        <w:pStyle w:val="TextBody"/>
        <w:bidi w:val="0"/>
        <w:spacing w:lineRule="auto" w:line="288"/>
        <w:jc w:val="left"/>
        <w:rPr>
          <w:rFonts w:ascii="Helvetica;sans-serif" w:hAnsi="Helvetica;sans-serif"/>
          <w:b w:val="false"/>
          <w:color w:val="1D1C1D"/>
          <w:sz w:val="20"/>
        </w:rPr>
      </w:pPr>
      <w:r>
        <w:rPr>
          <w:rFonts w:ascii="Helvetica;sans-serif" w:hAnsi="Helvetica;sans-serif"/>
          <w:b w:val="false"/>
          <w:color w:val="1D1C1D"/>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Exhibit 32.2</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 xml:space="preserve">CERTIFICATION BY THE CHIEF FINANCIAL OFFICER </w:t>
      </w:r>
    </w:p>
    <w:p>
      <w:pPr>
        <w:pStyle w:val="TextBody"/>
        <w:bidi w:val="0"/>
        <w:spacing w:lineRule="auto" w:line="288" w:before="0" w:after="0"/>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PURSUANT TO 18 U.S.C. SECTION 1350, AS</w:t>
      </w:r>
    </w:p>
    <w:p>
      <w:pPr>
        <w:pStyle w:val="TextBody"/>
        <w:bidi w:val="0"/>
        <w:spacing w:lineRule="auto" w:line="288" w:before="0" w:after="0"/>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ADOPTED PURSUANT TO SECTION 906 OF THE SARBANES-OXLEY ACT OF 2002</w:t>
      </w:r>
    </w:p>
    <w:p>
      <w:pPr>
        <w:pStyle w:val="TextBody"/>
        <w:bidi w:val="0"/>
        <w:spacing w:lineRule="auto" w:line="319" w:before="0" w:after="0"/>
        <w:jc w:val="both"/>
        <w:rPr/>
      </w:pPr>
      <w:r>
        <w:rPr>
          <w:rFonts w:ascii="Helvetica;sans-serif" w:hAnsi="Helvetica;sans-serif"/>
          <w:b w:val="false"/>
          <w:color w:val="000000"/>
          <w:sz w:val="20"/>
        </w:rPr>
        <w:t xml:space="preserve">Pursuant to 18 U.S.C. Section 1350, I, Jason Warnick, hereby certify that, to the best of my knowledge, Robinhood Markets, Inc.’s Quarterly Report on Form 10-Q for the quarterly period ended </w:t>
      </w:r>
      <w:r>
        <w:rPr>
          <w:rFonts w:ascii="Helvetica;sans-serif" w:hAnsi="Helvetica;sans-serif"/>
          <w:b w:val="false"/>
          <w:color w:val="1D1C1D"/>
          <w:sz w:val="20"/>
          <w:shd w:fill="FFFFFF" w:val="clear"/>
        </w:rPr>
        <w:t>June 30, 2025</w:t>
      </w:r>
      <w:r>
        <w:rPr>
          <w:color w:val="000000"/>
        </w:rPr>
        <w:t xml:space="preserve"> </w:t>
      </w:r>
      <w:r>
        <w:rPr>
          <w:rFonts w:ascii="Helvetica;sans-serif" w:hAnsi="Helvetica;sans-serif"/>
          <w:b w:val="false"/>
          <w:color w:val="000000"/>
          <w:sz w:val="20"/>
        </w:rPr>
        <w:t>(the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pStyle w:val="TextBody"/>
        <w:bidi w:val="0"/>
        <w:spacing w:lineRule="auto" w:line="319" w:before="0" w:after="0"/>
        <w:jc w:val="left"/>
        <w:rPr>
          <w:rFonts w:ascii="Helvetica;sans-serif" w:hAnsi="Helvetica;sans-serif"/>
          <w:b w:val="false"/>
          <w:color w:val="1D1C1D"/>
          <w:sz w:val="20"/>
          <w:shd w:fill="FFFFFF" w:val="clear"/>
        </w:rPr>
      </w:pPr>
      <w:r>
        <w:rPr>
          <w:rFonts w:ascii="Helvetica;sans-serif" w:hAnsi="Helvetica;sans-serif"/>
          <w:b w:val="false"/>
          <w:color w:val="1D1C1D"/>
          <w:sz w:val="20"/>
          <w:shd w:fill="FFFFFF" w:val="clear"/>
        </w:rPr>
        <w:t>Date: July 30, 2025</w: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/s/Jason Warnick</w:t>
      </w:r>
    </w:p>
    <w:p>
      <w:pPr>
        <w:pStyle w:val="TextBody"/>
        <w:bidi w:val="0"/>
        <w:spacing w:lineRule="auto" w:line="319" w:before="0" w:after="0"/>
        <w:jc w:val="left"/>
        <w:rPr>
          <w:rFonts w:ascii="Helvetica;sans-serif" w:hAnsi="Helvetica;sans-serif"/>
          <w:b w:val="false"/>
          <w:color w:val="1D1C1D"/>
          <w:sz w:val="20"/>
        </w:rPr>
      </w:pPr>
      <w:r>
        <w:rPr>
          <w:rFonts w:ascii="Helvetica;sans-serif" w:hAnsi="Helvetica;sans-serif"/>
          <w:b w:val="false"/>
          <w:color w:val="1D1C1D"/>
          <w:sz w:val="20"/>
        </w:rPr>
        <w:t>Jason Warnick</w:t>
      </w:r>
    </w:p>
    <w:p>
      <w:pPr>
        <w:pStyle w:val="TextBody"/>
        <w:bidi w:val="0"/>
        <w:spacing w:lineRule="auto" w:line="319" w:before="0" w:after="0"/>
        <w:jc w:val="left"/>
        <w:rPr>
          <w:rFonts w:ascii="Helvetica;sans-serif" w:hAnsi="Helvetica;sans-serif"/>
          <w:b w:val="false"/>
          <w:color w:val="1D1C1D"/>
          <w:sz w:val="20"/>
        </w:rPr>
      </w:pPr>
      <w:r>
        <w:rPr>
          <w:rFonts w:ascii="Helvetica;sans-serif" w:hAnsi="Helvetica;sans-serif"/>
          <w:b w:val="false"/>
          <w:color w:val="1D1C1D"/>
          <w:sz w:val="20"/>
        </w:rPr>
        <w:t>Chief Financial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783879/000162828021015177/exhibit31-8xkx8221.htm" TargetMode="External"/><Relationship Id="rId4" Type="http://schemas.openxmlformats.org/officeDocument/2006/relationships/hyperlink" Target="https://www.sec.gov/Archives/edgar/data/1783879/000178387922000044/exhibit32.htm" TargetMode="External"/><Relationship Id="rId5" Type="http://schemas.openxmlformats.org/officeDocument/2006/relationships/hyperlink" Target="https://www.sec.gov/Archives/edgar/data/1783879/000162828021013986/exhibit41-sx1a1.htm" TargetMode="External"/><Relationship Id="rId6" Type="http://schemas.openxmlformats.org/officeDocument/2006/relationships/hyperlink" Target="https://www.sec.gov/Archives/edgar/data/1783879/000162828021013318/exhibit42-sx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72460</Words>
  <Characters>401183</Characters>
  <CharactersWithSpaces>470652</CharactersWithSpaces>
  <Paragraphs>5403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