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9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FORM 8-K</w:t>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26, 2024</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Robinhood Markets,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49"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3080" w:type="dxa"/>
            <w:vAlign w:val="bottom"/>
            <w:tcBorders>
              <w:bottom w:val="single" w:sz="8" w:color="auto"/>
            </w:tcBorders>
          </w:tcPr>
          <w:p>
            <w:pPr>
              <w:jc w:val="center"/>
              <w:ind w:left="476"/>
              <w:spacing w:after="0"/>
              <w:rPr>
                <w:sz w:val="20"/>
                <w:szCs w:val="20"/>
                <w:color w:val="auto"/>
              </w:rPr>
            </w:pPr>
            <w:r>
              <w:rPr>
                <w:rFonts w:ascii="Arial" w:cs="Arial" w:eastAsia="Arial" w:hAnsi="Arial"/>
                <w:sz w:val="18"/>
                <w:szCs w:val="18"/>
                <w:b w:val="1"/>
                <w:bCs w:val="1"/>
                <w:color w:val="auto"/>
              </w:rPr>
              <w:t>Delaware</w:t>
            </w:r>
          </w:p>
        </w:tc>
        <w:tc>
          <w:tcPr>
            <w:tcW w:w="56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3100" w:type="dxa"/>
            <w:vAlign w:val="bottom"/>
            <w:tcBorders>
              <w:bottom w:val="single" w:sz="8" w:color="auto"/>
            </w:tcBorders>
          </w:tcPr>
          <w:p>
            <w:pPr>
              <w:jc w:val="right"/>
              <w:ind w:right="1033"/>
              <w:spacing w:after="0"/>
              <w:rPr>
                <w:sz w:val="20"/>
                <w:szCs w:val="20"/>
                <w:color w:val="auto"/>
              </w:rPr>
            </w:pPr>
            <w:r>
              <w:rPr>
                <w:rFonts w:ascii="Arial" w:cs="Arial" w:eastAsia="Arial" w:hAnsi="Arial"/>
                <w:sz w:val="18"/>
                <w:szCs w:val="18"/>
                <w:b w:val="1"/>
                <w:bCs w:val="1"/>
                <w:color w:val="auto"/>
              </w:rPr>
              <w:t>001-40691</w:t>
            </w:r>
          </w:p>
        </w:tc>
        <w:tc>
          <w:tcPr>
            <w:tcW w:w="4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jc w:val="center"/>
              <w:ind w:right="636"/>
              <w:spacing w:after="0"/>
              <w:rPr>
                <w:sz w:val="20"/>
                <w:szCs w:val="20"/>
                <w:color w:val="auto"/>
              </w:rPr>
            </w:pPr>
            <w:r>
              <w:rPr>
                <w:rFonts w:ascii="Arial" w:cs="Arial" w:eastAsia="Arial" w:hAnsi="Arial"/>
                <w:sz w:val="18"/>
                <w:szCs w:val="18"/>
                <w:b w:val="1"/>
                <w:bCs w:val="1"/>
                <w:color w:val="auto"/>
                <w:w w:val="99"/>
              </w:rPr>
              <w:t>46-4364776</w:t>
            </w:r>
          </w:p>
        </w:tc>
      </w:tr>
      <w:tr>
        <w:trPr>
          <w:trHeight w:val="504"/>
        </w:trPr>
        <w:tc>
          <w:tcPr>
            <w:tcW w:w="3080" w:type="dxa"/>
            <w:vAlign w:val="bottom"/>
          </w:tcPr>
          <w:p>
            <w:pPr>
              <w:jc w:val="center"/>
              <w:ind w:left="476"/>
              <w:spacing w:after="0"/>
              <w:rPr>
                <w:sz w:val="20"/>
                <w:szCs w:val="20"/>
                <w:color w:val="auto"/>
              </w:rPr>
            </w:pPr>
            <w:r>
              <w:rPr>
                <w:rFonts w:ascii="Arial" w:cs="Arial" w:eastAsia="Arial" w:hAnsi="Arial"/>
                <w:sz w:val="16"/>
                <w:szCs w:val="16"/>
                <w:color w:val="auto"/>
              </w:rPr>
              <w:t>(State or other jurisdiction</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40" w:type="dxa"/>
            <w:vAlign w:val="bottom"/>
            <w:gridSpan w:val="3"/>
          </w:tcPr>
          <w:p>
            <w:pPr>
              <w:jc w:val="center"/>
              <w:ind w:right="1140"/>
              <w:spacing w:after="0"/>
              <w:rPr>
                <w:sz w:val="20"/>
                <w:szCs w:val="20"/>
                <w:color w:val="auto"/>
              </w:rPr>
            </w:pPr>
            <w:r>
              <w:rPr>
                <w:rFonts w:ascii="Arial" w:cs="Arial" w:eastAsia="Arial" w:hAnsi="Arial"/>
                <w:sz w:val="16"/>
                <w:szCs w:val="16"/>
                <w:color w:val="auto"/>
              </w:rPr>
              <w:t>(Commission</w:t>
            </w:r>
          </w:p>
        </w:tc>
        <w:tc>
          <w:tcPr>
            <w:tcW w:w="2920" w:type="dxa"/>
            <w:vAlign w:val="bottom"/>
          </w:tcPr>
          <w:p>
            <w:pPr>
              <w:jc w:val="center"/>
              <w:ind w:right="616"/>
              <w:spacing w:after="0"/>
              <w:rPr>
                <w:sz w:val="20"/>
                <w:szCs w:val="20"/>
                <w:color w:val="auto"/>
              </w:rPr>
            </w:pPr>
            <w:r>
              <w:rPr>
                <w:rFonts w:ascii="Arial" w:cs="Arial" w:eastAsia="Arial" w:hAnsi="Arial"/>
                <w:sz w:val="16"/>
                <w:szCs w:val="16"/>
                <w:color w:val="auto"/>
              </w:rPr>
              <w:t>(IRS Employer</w:t>
            </w:r>
          </w:p>
        </w:tc>
      </w:tr>
      <w:tr>
        <w:trPr>
          <w:trHeight w:val="229"/>
        </w:trPr>
        <w:tc>
          <w:tcPr>
            <w:tcW w:w="3080" w:type="dxa"/>
            <w:vAlign w:val="bottom"/>
          </w:tcPr>
          <w:p>
            <w:pPr>
              <w:jc w:val="center"/>
              <w:ind w:left="476"/>
              <w:spacing w:after="0"/>
              <w:rPr>
                <w:sz w:val="20"/>
                <w:szCs w:val="20"/>
                <w:color w:val="auto"/>
              </w:rPr>
            </w:pPr>
            <w:r>
              <w:rPr>
                <w:rFonts w:ascii="Arial" w:cs="Arial" w:eastAsia="Arial" w:hAnsi="Arial"/>
                <w:sz w:val="16"/>
                <w:szCs w:val="16"/>
                <w:color w:val="auto"/>
              </w:rPr>
              <w:t>of incorporation)</w:t>
            </w: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40" w:type="dxa"/>
            <w:vAlign w:val="bottom"/>
            <w:gridSpan w:val="3"/>
          </w:tcPr>
          <w:p>
            <w:pPr>
              <w:jc w:val="center"/>
              <w:ind w:right="1140"/>
              <w:spacing w:after="0"/>
              <w:rPr>
                <w:sz w:val="20"/>
                <w:szCs w:val="20"/>
                <w:color w:val="auto"/>
              </w:rPr>
            </w:pPr>
            <w:r>
              <w:rPr>
                <w:rFonts w:ascii="Arial" w:cs="Arial" w:eastAsia="Arial" w:hAnsi="Arial"/>
                <w:sz w:val="16"/>
                <w:szCs w:val="16"/>
                <w:color w:val="auto"/>
              </w:rPr>
              <w:t>File Number)</w:t>
            </w:r>
          </w:p>
        </w:tc>
        <w:tc>
          <w:tcPr>
            <w:tcW w:w="2920" w:type="dxa"/>
            <w:vAlign w:val="bottom"/>
          </w:tcPr>
          <w:p>
            <w:pPr>
              <w:jc w:val="center"/>
              <w:ind w:right="616"/>
              <w:spacing w:after="0"/>
              <w:rPr>
                <w:sz w:val="20"/>
                <w:szCs w:val="20"/>
                <w:color w:val="auto"/>
              </w:rPr>
            </w:pPr>
            <w:r>
              <w:rPr>
                <w:rFonts w:ascii="Arial" w:cs="Arial" w:eastAsia="Arial" w:hAnsi="Arial"/>
                <w:sz w:val="16"/>
                <w:szCs w:val="16"/>
                <w:color w:val="auto"/>
              </w:rPr>
              <w:t>Identification No.)</w:t>
            </w:r>
          </w:p>
        </w:tc>
      </w:tr>
      <w:tr>
        <w:trPr>
          <w:trHeight w:val="685"/>
        </w:trPr>
        <w:tc>
          <w:tcPr>
            <w:tcW w:w="3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4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99"/>
              </w:rPr>
              <w:t>85 Willow Road</w:t>
            </w:r>
          </w:p>
        </w:tc>
        <w:tc>
          <w:tcPr>
            <w:tcW w:w="2920" w:type="dxa"/>
            <w:vAlign w:val="bottom"/>
          </w:tcPr>
          <w:p>
            <w:pPr>
              <w:spacing w:after="0"/>
              <w:rPr>
                <w:sz w:val="24"/>
                <w:szCs w:val="24"/>
                <w:color w:val="auto"/>
              </w:rPr>
            </w:pPr>
          </w:p>
        </w:tc>
      </w:tr>
      <w:tr>
        <w:trPr>
          <w:trHeight w:val="221"/>
        </w:trPr>
        <w:tc>
          <w:tcPr>
            <w:tcW w:w="3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4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rPr>
              <w:t>Menlo Park, CA 94025</w:t>
            </w:r>
          </w:p>
        </w:tc>
        <w:tc>
          <w:tcPr>
            <w:tcW w:w="2920" w:type="dxa"/>
            <w:vAlign w:val="bottom"/>
          </w:tcPr>
          <w:p>
            <w:pPr>
              <w:spacing w:after="0"/>
              <w:rPr>
                <w:sz w:val="19"/>
                <w:szCs w:val="19"/>
                <w:color w:val="auto"/>
              </w:rPr>
            </w:pPr>
          </w:p>
        </w:tc>
      </w:tr>
      <w:tr>
        <w:trPr>
          <w:trHeight w:val="215"/>
        </w:trPr>
        <w:tc>
          <w:tcPr>
            <w:tcW w:w="3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80" w:type="dxa"/>
            <w:vAlign w:val="bottom"/>
            <w:gridSpan w:val="4"/>
          </w:tcPr>
          <w:p>
            <w:pPr>
              <w:jc w:val="center"/>
              <w:ind w:right="700"/>
              <w:spacing w:after="0"/>
              <w:rPr>
                <w:sz w:val="20"/>
                <w:szCs w:val="20"/>
                <w:color w:val="auto"/>
              </w:rPr>
            </w:pPr>
            <w:r>
              <w:rPr>
                <w:rFonts w:ascii="Arial" w:cs="Arial" w:eastAsia="Arial" w:hAnsi="Arial"/>
                <w:sz w:val="16"/>
                <w:szCs w:val="16"/>
                <w:color w:val="auto"/>
              </w:rPr>
              <w:t>(Address of principal executive offices) (Zip Code)</w:t>
            </w:r>
          </w:p>
        </w:tc>
        <w:tc>
          <w:tcPr>
            <w:tcW w:w="2920" w:type="dxa"/>
            <w:vAlign w:val="bottom"/>
          </w:tcPr>
          <w:p>
            <w:pPr>
              <w:spacing w:after="0"/>
              <w:rPr>
                <w:sz w:val="18"/>
                <w:szCs w:val="18"/>
                <w:color w:val="auto"/>
              </w:rPr>
            </w:pPr>
          </w:p>
        </w:tc>
      </w:tr>
      <w:tr>
        <w:trPr>
          <w:trHeight w:val="312"/>
        </w:trPr>
        <w:tc>
          <w:tcPr>
            <w:tcW w:w="3080" w:type="dxa"/>
            <w:vAlign w:val="bottom"/>
          </w:tcPr>
          <w:p>
            <w:pPr>
              <w:spacing w:after="0"/>
              <w:rPr>
                <w:sz w:val="24"/>
                <w:szCs w:val="24"/>
                <w:color w:val="auto"/>
              </w:rPr>
            </w:pPr>
          </w:p>
        </w:tc>
        <w:tc>
          <w:tcPr>
            <w:tcW w:w="4100" w:type="dxa"/>
            <w:vAlign w:val="bottom"/>
            <w:gridSpan w:val="3"/>
          </w:tcPr>
          <w:p>
            <w:pPr>
              <w:jc w:val="right"/>
              <w:ind w:right="853"/>
              <w:spacing w:after="0"/>
              <w:rPr>
                <w:sz w:val="20"/>
                <w:szCs w:val="20"/>
                <w:color w:val="auto"/>
              </w:rPr>
            </w:pPr>
            <w:r>
              <w:rPr>
                <w:rFonts w:ascii="Arial" w:cs="Arial" w:eastAsia="Arial" w:hAnsi="Arial"/>
                <w:sz w:val="18"/>
                <w:szCs w:val="18"/>
                <w:b w:val="1"/>
                <w:bCs w:val="1"/>
                <w:color w:val="auto"/>
              </w:rPr>
              <w:t>(844) 428-5411</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15"/>
        </w:trPr>
        <w:tc>
          <w:tcPr>
            <w:tcW w:w="3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80" w:type="dxa"/>
            <w:vAlign w:val="bottom"/>
            <w:gridSpan w:val="4"/>
          </w:tcPr>
          <w:p>
            <w:pPr>
              <w:jc w:val="center"/>
              <w:ind w:right="720"/>
              <w:spacing w:after="0"/>
              <w:rPr>
                <w:sz w:val="20"/>
                <w:szCs w:val="20"/>
                <w:color w:val="auto"/>
              </w:rPr>
            </w:pPr>
            <w:r>
              <w:rPr>
                <w:rFonts w:ascii="Arial" w:cs="Arial" w:eastAsia="Arial" w:hAnsi="Arial"/>
                <w:sz w:val="16"/>
                <w:szCs w:val="16"/>
                <w:color w:val="auto"/>
              </w:rPr>
              <w:t>(Registrant’s telephone number, including area code)</w:t>
            </w:r>
          </w:p>
        </w:tc>
        <w:tc>
          <w:tcPr>
            <w:tcW w:w="2920" w:type="dxa"/>
            <w:vAlign w:val="bottom"/>
          </w:tcPr>
          <w:p>
            <w:pPr>
              <w:spacing w:after="0"/>
              <w:rPr>
                <w:sz w:val="18"/>
                <w:szCs w:val="18"/>
                <w:color w:val="auto"/>
              </w:rPr>
            </w:pPr>
          </w:p>
        </w:tc>
      </w:tr>
      <w:tr>
        <w:trPr>
          <w:trHeight w:val="298"/>
        </w:trPr>
        <w:tc>
          <w:tcPr>
            <w:tcW w:w="3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4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99"/>
              </w:rPr>
              <w:t>not applicable</w:t>
            </w:r>
          </w:p>
        </w:tc>
        <w:tc>
          <w:tcPr>
            <w:tcW w:w="2920" w:type="dxa"/>
            <w:vAlign w:val="bottom"/>
          </w:tcPr>
          <w:p>
            <w:pPr>
              <w:spacing w:after="0"/>
              <w:rPr>
                <w:sz w:val="24"/>
                <w:szCs w:val="24"/>
                <w:color w:val="auto"/>
              </w:rPr>
            </w:pPr>
          </w:p>
        </w:tc>
      </w:tr>
      <w:tr>
        <w:trPr>
          <w:trHeight w:val="215"/>
        </w:trPr>
        <w:tc>
          <w:tcPr>
            <w:tcW w:w="3080" w:type="dxa"/>
            <w:vAlign w:val="bottom"/>
          </w:tcPr>
          <w:p>
            <w:pPr>
              <w:spacing w:after="0"/>
              <w:rPr>
                <w:sz w:val="18"/>
                <w:szCs w:val="18"/>
                <w:color w:val="auto"/>
              </w:rPr>
            </w:pPr>
          </w:p>
        </w:tc>
        <w:tc>
          <w:tcPr>
            <w:tcW w:w="5240" w:type="dxa"/>
            <w:vAlign w:val="bottom"/>
            <w:gridSpan w:val="5"/>
          </w:tcPr>
          <w:p>
            <w:pPr>
              <w:jc w:val="center"/>
              <w:ind w:right="160"/>
              <w:spacing w:after="0"/>
              <w:rPr>
                <w:sz w:val="20"/>
                <w:szCs w:val="20"/>
                <w:color w:val="auto"/>
              </w:rPr>
            </w:pPr>
            <w:r>
              <w:rPr>
                <w:rFonts w:ascii="Arial" w:cs="Arial" w:eastAsia="Arial" w:hAnsi="Arial"/>
                <w:sz w:val="16"/>
                <w:szCs w:val="16"/>
                <w:color w:val="auto"/>
              </w:rPr>
              <w:t>(Former name or former address, if changed since last report)</w:t>
            </w:r>
          </w:p>
        </w:tc>
        <w:tc>
          <w:tcPr>
            <w:tcW w:w="2920" w:type="dxa"/>
            <w:vAlign w:val="bottom"/>
          </w:tcPr>
          <w:p>
            <w:pPr>
              <w:spacing w:after="0"/>
              <w:rPr>
                <w:sz w:val="18"/>
                <w:szCs w:val="18"/>
                <w:color w:val="auto"/>
              </w:rPr>
            </w:pPr>
          </w:p>
        </w:tc>
      </w:tr>
    </w:tbl>
    <w:p>
      <w:pPr>
        <w:spacing w:after="0" w:line="226"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0" w:lineRule="exact"/>
        <w:rPr>
          <w:sz w:val="24"/>
          <w:szCs w:val="24"/>
          <w:color w:val="auto"/>
        </w:rPr>
      </w:pPr>
    </w:p>
    <w:p>
      <w:pPr>
        <w:ind w:left="760" w:hanging="734"/>
        <w:spacing w:after="0"/>
        <w:tabs>
          <w:tab w:leader="none" w:pos="7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48" w:lineRule="exact"/>
        <w:rPr>
          <w:rFonts w:ascii="MS PGothic" w:cs="MS PGothic" w:eastAsia="MS PGothic" w:hAnsi="MS PGothic"/>
          <w:sz w:val="16"/>
          <w:szCs w:val="16"/>
          <w:color w:val="auto"/>
        </w:rPr>
      </w:pPr>
    </w:p>
    <w:p>
      <w:pPr>
        <w:ind w:left="760" w:hanging="734"/>
        <w:spacing w:after="0"/>
        <w:tabs>
          <w:tab w:leader="none" w:pos="7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48" w:lineRule="exact"/>
        <w:rPr>
          <w:rFonts w:ascii="MS PGothic" w:cs="MS PGothic" w:eastAsia="MS PGothic" w:hAnsi="MS PGothic"/>
          <w:sz w:val="16"/>
          <w:szCs w:val="16"/>
          <w:color w:val="auto"/>
        </w:rPr>
      </w:pPr>
    </w:p>
    <w:p>
      <w:pPr>
        <w:ind w:left="760" w:hanging="734"/>
        <w:spacing w:after="0"/>
        <w:tabs>
          <w:tab w:leader="none" w:pos="7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48" w:lineRule="exact"/>
        <w:rPr>
          <w:rFonts w:ascii="MS PGothic" w:cs="MS PGothic" w:eastAsia="MS PGothic" w:hAnsi="MS PGothic"/>
          <w:sz w:val="16"/>
          <w:szCs w:val="16"/>
          <w:color w:val="auto"/>
        </w:rPr>
      </w:pPr>
    </w:p>
    <w:p>
      <w:pPr>
        <w:ind w:left="760" w:hanging="734"/>
        <w:spacing w:after="0"/>
        <w:tabs>
          <w:tab w:leader="none" w:pos="7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20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Trading Symbol(s)</w:t>
            </w:r>
          </w:p>
        </w:tc>
        <w:tc>
          <w:tcPr>
            <w:tcW w:w="220" w:type="dxa"/>
            <w:vAlign w:val="bottom"/>
          </w:tcPr>
          <w:p>
            <w:pPr>
              <w:spacing w:after="0"/>
              <w:rPr>
                <w:sz w:val="16"/>
                <w:szCs w:val="16"/>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198"/>
        </w:trPr>
        <w:tc>
          <w:tcPr>
            <w:tcW w:w="4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Class A Common Stock, $0.0001 par value per share</w:t>
            </w: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HOOD</w:t>
            </w:r>
          </w:p>
        </w:tc>
        <w:tc>
          <w:tcPr>
            <w:tcW w:w="4540" w:type="dxa"/>
            <w:vAlign w:val="bottom"/>
          </w:tcPr>
          <w:p>
            <w:pPr>
              <w:jc w:val="center"/>
              <w:spacing w:after="0"/>
              <w:rPr>
                <w:sz w:val="20"/>
                <w:szCs w:val="20"/>
                <w:color w:val="auto"/>
              </w:rPr>
            </w:pPr>
            <w:r>
              <w:rPr>
                <w:rFonts w:ascii="Arial" w:cs="Arial" w:eastAsia="Arial" w:hAnsi="Arial"/>
                <w:sz w:val="14"/>
                <w:szCs w:val="14"/>
                <w:b w:val="1"/>
                <w:bCs w:val="1"/>
                <w:color w:val="auto"/>
              </w:rPr>
              <w:t>The Nasdaq Stock Market LLC</w:t>
            </w:r>
          </w:p>
        </w:tc>
      </w:tr>
    </w:tbl>
    <w:p>
      <w:pPr>
        <w:spacing w:after="0" w:line="200" w:lineRule="exact"/>
        <w:rPr>
          <w:sz w:val="24"/>
          <w:szCs w:val="24"/>
          <w:color w:val="auto"/>
        </w:rPr>
      </w:pPr>
    </w:p>
    <w:p>
      <w:pPr>
        <w:spacing w:after="0" w:line="314" w:lineRule="exact"/>
        <w:rPr>
          <w:sz w:val="24"/>
          <w:szCs w:val="24"/>
          <w:color w:val="auto"/>
        </w:rPr>
      </w:pPr>
    </w:p>
    <w:p>
      <w:pPr>
        <w:ind w:left="20" w:right="1020"/>
        <w:spacing w:after="0" w:line="251"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3" w:lineRule="exact"/>
        <w:rPr>
          <w:sz w:val="24"/>
          <w:szCs w:val="24"/>
          <w:color w:val="auto"/>
        </w:rPr>
      </w:pPr>
    </w:p>
    <w:p>
      <w:pPr>
        <w:ind w:left="8300"/>
        <w:spacing w:after="0" w:line="184" w:lineRule="exact"/>
        <w:tabs>
          <w:tab w:leader="none" w:pos="1060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48" w:lineRule="exact"/>
        <w:rPr>
          <w:sz w:val="24"/>
          <w:szCs w:val="24"/>
          <w:color w:val="auto"/>
        </w:rPr>
      </w:pPr>
    </w:p>
    <w:p>
      <w:pPr>
        <w:ind w:left="20" w:right="480"/>
        <w:spacing w:after="0" w:line="20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t>
      </w:r>
      <w:r>
        <w:rPr>
          <w:rFonts w:ascii="MS PGothic" w:cs="MS PGothic" w:eastAsia="MS PGothic" w:hAnsi="MS PGothic"/>
          <w:sz w:val="16"/>
          <w:szCs w:val="16"/>
          <w:color w:val="auto"/>
        </w:rPr>
        <w:t>☐</w:t>
      </w:r>
      <w:r>
        <w:rPr>
          <w:rFonts w:ascii="Arial" w:cs="Arial" w:eastAsia="Arial" w:hAnsi="Arial"/>
          <w:sz w:val="16"/>
          <w:szCs w:val="16"/>
          <w:color w:val="auto"/>
        </w:rPr>
        <w:t xml:space="preserve"> with any new or revised financial accounting standards provided pursuant to Section 13(a) of the Exchange Act.</w:t>
      </w:r>
    </w:p>
    <w:p>
      <w:pPr>
        <w:sectPr>
          <w:pgSz w:w="11900" w:h="16838" w:orient="portrait"/>
          <w:cols w:equalWidth="0" w:num="1">
            <w:col w:w="11240"/>
          </w:cols>
          <w:pgMar w:left="320" w:top="1020" w:right="339" w:bottom="1440" w:gutter="0" w:footer="0" w:header="0"/>
        </w:sectPr>
      </w:pPr>
    </w:p>
    <w:p>
      <w:pPr>
        <w:spacing w:after="0" w:line="200" w:lineRule="exact"/>
        <w:rPr>
          <w:sz w:val="24"/>
          <w:szCs w:val="24"/>
          <w:color w:val="auto"/>
        </w:rPr>
      </w:pPr>
    </w:p>
    <w:p>
      <w:pPr>
        <w:spacing w:after="0" w:line="392"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Meeting of Stockholders</w:t>
      </w:r>
    </w:p>
    <w:p>
      <w:pPr>
        <w:spacing w:after="0" w:line="277" w:lineRule="exact"/>
        <w:rPr>
          <w:sz w:val="20"/>
          <w:szCs w:val="20"/>
          <w:color w:val="auto"/>
        </w:rPr>
      </w:pPr>
    </w:p>
    <w:p>
      <w:pPr>
        <w:jc w:val="both"/>
        <w:ind w:firstLine="486"/>
        <w:spacing w:after="0" w:line="334" w:lineRule="auto"/>
        <w:rPr>
          <w:sz w:val="20"/>
          <w:szCs w:val="20"/>
          <w:color w:val="auto"/>
        </w:rPr>
      </w:pPr>
      <w:r>
        <w:rPr>
          <w:rFonts w:ascii="Arial" w:cs="Arial" w:eastAsia="Arial" w:hAnsi="Arial"/>
          <w:sz w:val="18"/>
          <w:szCs w:val="18"/>
          <w:color w:val="auto"/>
        </w:rPr>
        <w:t>On June 26, 2024, Robinhood Markets, Inc. (the “Company” or “our”) held its 2024 Annual Meeting of Stockholders (the “Annual Meeting”).</w:t>
      </w:r>
    </w:p>
    <w:p>
      <w:pPr>
        <w:spacing w:after="0" w:line="180" w:lineRule="exact"/>
        <w:rPr>
          <w:sz w:val="20"/>
          <w:szCs w:val="20"/>
          <w:color w:val="auto"/>
        </w:rPr>
      </w:pPr>
    </w:p>
    <w:p>
      <w:pPr>
        <w:jc w:val="both"/>
        <w:ind w:firstLine="486"/>
        <w:spacing w:after="0" w:line="295" w:lineRule="auto"/>
        <w:rPr>
          <w:sz w:val="20"/>
          <w:szCs w:val="20"/>
          <w:color w:val="auto"/>
        </w:rPr>
      </w:pPr>
      <w:r>
        <w:rPr>
          <w:rFonts w:ascii="Arial" w:cs="Arial" w:eastAsia="Arial" w:hAnsi="Arial"/>
          <w:sz w:val="18"/>
          <w:szCs w:val="18"/>
          <w:color w:val="auto"/>
        </w:rPr>
        <w:t>At the Annual Meeting, our stockholders voted on three proposals, each of which is described in more detail in our definitive proxy statement filed with the Securities and Exchange Commission on April 26, 2024. Holders of Class A common stock were entitled to cast one vote for each share held as of the close of business on April 29, 2024 (the “Record Date”), and holders of Class B common stock were entitled to cast ten votes for each share held as of the close of business on the Record Date. Holders of Class A common stock and Class B common stock voted together as a single class on all matters at the Annual Meeting. At the close of business on the Record Date, 754,859,821 shares of Class A common stock and 123,976,064 shares of Class B common stock were outstanding and entitled to vote.</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Set forth below are the matters voted on at the Annual Meeting and the final voting results on each matter.</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One: Election of Directors</w:t>
      </w:r>
    </w:p>
    <w:p>
      <w:pPr>
        <w:spacing w:after="0" w:line="291"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8"/>
          <w:szCs w:val="18"/>
          <w:color w:val="auto"/>
        </w:rPr>
        <w:t>Our stockholders re-elected Vladimir Tenev, Baiju Bhatt, Paula Loop, Meyer Malka, Jonathan Rubinstein, Susan Segal, Dara Treseder and Robert Zoellick to the Company’s Board of Directors to serve until the 2025 annual meeting of stockholders. Voting results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Nominee</w:t>
            </w:r>
          </w:p>
        </w:tc>
        <w:tc>
          <w:tcPr>
            <w:tcW w:w="740" w:type="dxa"/>
            <w:vAlign w:val="bottom"/>
          </w:tcPr>
          <w:p>
            <w:pPr>
              <w:spacing w:after="0"/>
              <w:rPr>
                <w:sz w:val="17"/>
                <w:szCs w:val="17"/>
                <w:color w:val="auto"/>
              </w:rPr>
            </w:pPr>
          </w:p>
        </w:tc>
        <w:tc>
          <w:tcPr>
            <w:tcW w:w="15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98"/>
              </w:rPr>
              <w:t>Votes For</w:t>
            </w:r>
          </w:p>
        </w:tc>
        <w:tc>
          <w:tcPr>
            <w:tcW w:w="2880" w:type="dxa"/>
            <w:vAlign w:val="bottom"/>
            <w:gridSpan w:val="3"/>
          </w:tcPr>
          <w:p>
            <w:pPr>
              <w:ind w:left="540"/>
              <w:spacing w:after="0"/>
              <w:rPr>
                <w:sz w:val="20"/>
                <w:szCs w:val="20"/>
                <w:color w:val="auto"/>
              </w:rPr>
            </w:pPr>
            <w:r>
              <w:rPr>
                <w:rFonts w:ascii="Arial" w:cs="Arial" w:eastAsia="Arial" w:hAnsi="Arial"/>
                <w:sz w:val="18"/>
                <w:szCs w:val="18"/>
                <w:b w:val="1"/>
                <w:bCs w:val="1"/>
                <w:color w:val="auto"/>
              </w:rPr>
              <w:t>Votes Against</w:t>
            </w:r>
          </w:p>
        </w:tc>
        <w:tc>
          <w:tcPr>
            <w:tcW w:w="200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9"/>
              </w:rPr>
              <w:t>Abstentions</w:t>
            </w:r>
          </w:p>
        </w:tc>
        <w:tc>
          <w:tcPr>
            <w:tcW w:w="18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Broker Non-Votes</w:t>
            </w: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0"/>
        </w:trPr>
        <w:tc>
          <w:tcPr>
            <w:tcW w:w="2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Vladimir Tenev</w:t>
            </w:r>
          </w:p>
        </w:tc>
        <w:tc>
          <w:tcPr>
            <w:tcW w:w="22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1,606,250,756</w:t>
            </w:r>
          </w:p>
        </w:tc>
        <w:tc>
          <w:tcPr>
            <w:tcW w:w="174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9"/>
              </w:rPr>
              <w:t>5,212,040</w:t>
            </w:r>
          </w:p>
        </w:tc>
        <w:tc>
          <w:tcPr>
            <w:tcW w:w="11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2,249,312</w:t>
            </w:r>
          </w:p>
        </w:tc>
        <w:tc>
          <w:tcPr>
            <w:tcW w:w="96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172,846,253</w:t>
            </w:r>
          </w:p>
        </w:tc>
        <w:tc>
          <w:tcPr>
            <w:tcW w:w="360" w:type="dxa"/>
            <w:vAlign w:val="bottom"/>
            <w:shd w:val="clear" w:color="auto" w:fill="CCEEFF"/>
          </w:tcPr>
          <w:p>
            <w:pPr>
              <w:spacing w:after="0"/>
              <w:rPr>
                <w:sz w:val="19"/>
                <w:szCs w:val="19"/>
                <w:color w:val="auto"/>
              </w:rPr>
            </w:pPr>
          </w:p>
        </w:tc>
      </w:tr>
      <w:tr>
        <w:trPr>
          <w:trHeight w:val="229"/>
        </w:trPr>
        <w:tc>
          <w:tcPr>
            <w:tcW w:w="2220" w:type="dxa"/>
            <w:vAlign w:val="bottom"/>
            <w:gridSpan w:val="3"/>
          </w:tcPr>
          <w:p>
            <w:pPr>
              <w:ind w:left="20"/>
              <w:spacing w:after="0"/>
              <w:rPr>
                <w:sz w:val="20"/>
                <w:szCs w:val="20"/>
                <w:color w:val="auto"/>
              </w:rPr>
            </w:pPr>
            <w:r>
              <w:rPr>
                <w:rFonts w:ascii="Arial" w:cs="Arial" w:eastAsia="Arial" w:hAnsi="Arial"/>
                <w:sz w:val="18"/>
                <w:szCs w:val="18"/>
                <w:color w:val="auto"/>
              </w:rPr>
              <w:t>Baiju Bhatt</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rPr>
              <w:t>1,608,755,157</w:t>
            </w:r>
          </w:p>
        </w:tc>
        <w:tc>
          <w:tcPr>
            <w:tcW w:w="1740" w:type="dxa"/>
            <w:vAlign w:val="bottom"/>
            <w:gridSpan w:val="2"/>
          </w:tcPr>
          <w:p>
            <w:pPr>
              <w:jc w:val="center"/>
              <w:ind w:left="450"/>
              <w:spacing w:after="0"/>
              <w:rPr>
                <w:sz w:val="20"/>
                <w:szCs w:val="20"/>
                <w:color w:val="auto"/>
              </w:rPr>
            </w:pPr>
            <w:r>
              <w:rPr>
                <w:rFonts w:ascii="Arial" w:cs="Arial" w:eastAsia="Arial" w:hAnsi="Arial"/>
                <w:sz w:val="18"/>
                <w:szCs w:val="18"/>
                <w:color w:val="auto"/>
                <w:w w:val="99"/>
              </w:rPr>
              <w:t>3,610,666</w:t>
            </w:r>
          </w:p>
        </w:tc>
        <w:tc>
          <w:tcPr>
            <w:tcW w:w="11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1,346,285</w:t>
            </w:r>
          </w:p>
        </w:tc>
        <w:tc>
          <w:tcPr>
            <w:tcW w:w="96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172,846,253</w:t>
            </w:r>
          </w:p>
        </w:tc>
        <w:tc>
          <w:tcPr>
            <w:tcW w:w="360" w:type="dxa"/>
            <w:vAlign w:val="bottom"/>
          </w:tcPr>
          <w:p>
            <w:pPr>
              <w:spacing w:after="0"/>
              <w:rPr>
                <w:sz w:val="19"/>
                <w:szCs w:val="19"/>
                <w:color w:val="auto"/>
              </w:rPr>
            </w:pPr>
          </w:p>
        </w:tc>
      </w:tr>
      <w:tr>
        <w:trPr>
          <w:trHeight w:val="230"/>
        </w:trPr>
        <w:tc>
          <w:tcPr>
            <w:tcW w:w="2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Paula Loop</w:t>
            </w:r>
          </w:p>
        </w:tc>
        <w:tc>
          <w:tcPr>
            <w:tcW w:w="22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1,606,251,373</w:t>
            </w:r>
          </w:p>
        </w:tc>
        <w:tc>
          <w:tcPr>
            <w:tcW w:w="174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9"/>
              </w:rPr>
              <w:t>5,679,042</w:t>
            </w:r>
          </w:p>
        </w:tc>
        <w:tc>
          <w:tcPr>
            <w:tcW w:w="11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1,781,693</w:t>
            </w:r>
          </w:p>
        </w:tc>
        <w:tc>
          <w:tcPr>
            <w:tcW w:w="96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172,846,253</w:t>
            </w:r>
          </w:p>
        </w:tc>
        <w:tc>
          <w:tcPr>
            <w:tcW w:w="360" w:type="dxa"/>
            <w:vAlign w:val="bottom"/>
            <w:shd w:val="clear" w:color="auto" w:fill="CCEEFF"/>
          </w:tcPr>
          <w:p>
            <w:pPr>
              <w:spacing w:after="0"/>
              <w:rPr>
                <w:sz w:val="19"/>
                <w:szCs w:val="19"/>
                <w:color w:val="auto"/>
              </w:rPr>
            </w:pPr>
          </w:p>
        </w:tc>
      </w:tr>
      <w:tr>
        <w:trPr>
          <w:trHeight w:val="230"/>
        </w:trPr>
        <w:tc>
          <w:tcPr>
            <w:tcW w:w="2220" w:type="dxa"/>
            <w:vAlign w:val="bottom"/>
            <w:gridSpan w:val="3"/>
          </w:tcPr>
          <w:p>
            <w:pPr>
              <w:ind w:left="20"/>
              <w:spacing w:after="0"/>
              <w:rPr>
                <w:sz w:val="20"/>
                <w:szCs w:val="20"/>
                <w:color w:val="auto"/>
              </w:rPr>
            </w:pPr>
            <w:r>
              <w:rPr>
                <w:rFonts w:ascii="Arial" w:cs="Arial" w:eastAsia="Arial" w:hAnsi="Arial"/>
                <w:sz w:val="18"/>
                <w:szCs w:val="18"/>
                <w:color w:val="auto"/>
              </w:rPr>
              <w:t>Meyer Malka</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rPr>
              <w:t>1,608,654,868</w:t>
            </w:r>
          </w:p>
        </w:tc>
        <w:tc>
          <w:tcPr>
            <w:tcW w:w="1740" w:type="dxa"/>
            <w:vAlign w:val="bottom"/>
            <w:gridSpan w:val="2"/>
          </w:tcPr>
          <w:p>
            <w:pPr>
              <w:jc w:val="center"/>
              <w:ind w:left="450"/>
              <w:spacing w:after="0"/>
              <w:rPr>
                <w:sz w:val="20"/>
                <w:szCs w:val="20"/>
                <w:color w:val="auto"/>
              </w:rPr>
            </w:pPr>
            <w:r>
              <w:rPr>
                <w:rFonts w:ascii="Arial" w:cs="Arial" w:eastAsia="Arial" w:hAnsi="Arial"/>
                <w:sz w:val="18"/>
                <w:szCs w:val="18"/>
                <w:color w:val="auto"/>
                <w:w w:val="99"/>
              </w:rPr>
              <w:t>3,574,733</w:t>
            </w:r>
          </w:p>
        </w:tc>
        <w:tc>
          <w:tcPr>
            <w:tcW w:w="11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1,482,507</w:t>
            </w:r>
          </w:p>
        </w:tc>
        <w:tc>
          <w:tcPr>
            <w:tcW w:w="96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172,846,253</w:t>
            </w:r>
          </w:p>
        </w:tc>
        <w:tc>
          <w:tcPr>
            <w:tcW w:w="360" w:type="dxa"/>
            <w:vAlign w:val="bottom"/>
          </w:tcPr>
          <w:p>
            <w:pPr>
              <w:spacing w:after="0"/>
              <w:rPr>
                <w:sz w:val="19"/>
                <w:szCs w:val="19"/>
                <w:color w:val="auto"/>
              </w:rPr>
            </w:pPr>
          </w:p>
        </w:tc>
      </w:tr>
      <w:tr>
        <w:trPr>
          <w:trHeight w:val="230"/>
        </w:trPr>
        <w:tc>
          <w:tcPr>
            <w:tcW w:w="2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Jonathan Rubinstein</w:t>
            </w:r>
          </w:p>
        </w:tc>
        <w:tc>
          <w:tcPr>
            <w:tcW w:w="22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1,498,056,240</w:t>
            </w:r>
          </w:p>
        </w:tc>
        <w:tc>
          <w:tcPr>
            <w:tcW w:w="174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9"/>
              </w:rPr>
              <w:t>114,173,626</w:t>
            </w:r>
          </w:p>
        </w:tc>
        <w:tc>
          <w:tcPr>
            <w:tcW w:w="11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1,482,242</w:t>
            </w:r>
          </w:p>
        </w:tc>
        <w:tc>
          <w:tcPr>
            <w:tcW w:w="96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172,846,253</w:t>
            </w:r>
          </w:p>
        </w:tc>
        <w:tc>
          <w:tcPr>
            <w:tcW w:w="360" w:type="dxa"/>
            <w:vAlign w:val="bottom"/>
            <w:shd w:val="clear" w:color="auto" w:fill="CCEEFF"/>
          </w:tcPr>
          <w:p>
            <w:pPr>
              <w:spacing w:after="0"/>
              <w:rPr>
                <w:sz w:val="19"/>
                <w:szCs w:val="19"/>
                <w:color w:val="auto"/>
              </w:rPr>
            </w:pPr>
          </w:p>
        </w:tc>
      </w:tr>
      <w:tr>
        <w:trPr>
          <w:trHeight w:val="229"/>
        </w:trPr>
        <w:tc>
          <w:tcPr>
            <w:tcW w:w="2220" w:type="dxa"/>
            <w:vAlign w:val="bottom"/>
            <w:gridSpan w:val="3"/>
          </w:tcPr>
          <w:p>
            <w:pPr>
              <w:ind w:left="20"/>
              <w:spacing w:after="0"/>
              <w:rPr>
                <w:sz w:val="20"/>
                <w:szCs w:val="20"/>
                <w:color w:val="auto"/>
              </w:rPr>
            </w:pPr>
            <w:r>
              <w:rPr>
                <w:rFonts w:ascii="Arial" w:cs="Arial" w:eastAsia="Arial" w:hAnsi="Arial"/>
                <w:sz w:val="18"/>
                <w:szCs w:val="18"/>
                <w:color w:val="auto"/>
              </w:rPr>
              <w:t>Susan Segal</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rPr>
              <w:t>1,603,336,724</w:t>
            </w:r>
          </w:p>
        </w:tc>
        <w:tc>
          <w:tcPr>
            <w:tcW w:w="1740" w:type="dxa"/>
            <w:vAlign w:val="bottom"/>
            <w:gridSpan w:val="2"/>
          </w:tcPr>
          <w:p>
            <w:pPr>
              <w:jc w:val="center"/>
              <w:ind w:left="450"/>
              <w:spacing w:after="0"/>
              <w:rPr>
                <w:sz w:val="20"/>
                <w:szCs w:val="20"/>
                <w:color w:val="auto"/>
              </w:rPr>
            </w:pPr>
            <w:r>
              <w:rPr>
                <w:rFonts w:ascii="Arial" w:cs="Arial" w:eastAsia="Arial" w:hAnsi="Arial"/>
                <w:sz w:val="18"/>
                <w:szCs w:val="18"/>
                <w:color w:val="auto"/>
                <w:w w:val="99"/>
              </w:rPr>
              <w:t>8,616,547</w:t>
            </w:r>
          </w:p>
        </w:tc>
        <w:tc>
          <w:tcPr>
            <w:tcW w:w="114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1,758,837</w:t>
            </w:r>
          </w:p>
        </w:tc>
        <w:tc>
          <w:tcPr>
            <w:tcW w:w="96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172,846,253</w:t>
            </w:r>
          </w:p>
        </w:tc>
        <w:tc>
          <w:tcPr>
            <w:tcW w:w="360" w:type="dxa"/>
            <w:vAlign w:val="bottom"/>
          </w:tcPr>
          <w:p>
            <w:pPr>
              <w:spacing w:after="0"/>
              <w:rPr>
                <w:sz w:val="19"/>
                <w:szCs w:val="19"/>
                <w:color w:val="auto"/>
              </w:rPr>
            </w:pPr>
          </w:p>
        </w:tc>
      </w:tr>
      <w:tr>
        <w:trPr>
          <w:trHeight w:val="230"/>
        </w:trPr>
        <w:tc>
          <w:tcPr>
            <w:tcW w:w="22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Dara Treseder</w:t>
            </w:r>
          </w:p>
        </w:tc>
        <w:tc>
          <w:tcPr>
            <w:tcW w:w="22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1,521,639,657</w:t>
            </w:r>
          </w:p>
        </w:tc>
        <w:tc>
          <w:tcPr>
            <w:tcW w:w="174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99"/>
              </w:rPr>
              <w:t>90,589,331</w:t>
            </w:r>
          </w:p>
        </w:tc>
        <w:tc>
          <w:tcPr>
            <w:tcW w:w="11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1,483,120</w:t>
            </w:r>
          </w:p>
        </w:tc>
        <w:tc>
          <w:tcPr>
            <w:tcW w:w="96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172,846,253</w:t>
            </w:r>
          </w:p>
        </w:tc>
        <w:tc>
          <w:tcPr>
            <w:tcW w:w="360" w:type="dxa"/>
            <w:vAlign w:val="bottom"/>
            <w:shd w:val="clear" w:color="auto" w:fill="CCEEFF"/>
          </w:tcPr>
          <w:p>
            <w:pPr>
              <w:spacing w:after="0"/>
              <w:rPr>
                <w:sz w:val="19"/>
                <w:szCs w:val="19"/>
                <w:color w:val="auto"/>
              </w:rPr>
            </w:pPr>
          </w:p>
        </w:tc>
      </w:tr>
      <w:tr>
        <w:trPr>
          <w:trHeight w:val="239"/>
        </w:trPr>
        <w:tc>
          <w:tcPr>
            <w:tcW w:w="2220" w:type="dxa"/>
            <w:vAlign w:val="bottom"/>
            <w:gridSpan w:val="3"/>
          </w:tcPr>
          <w:p>
            <w:pPr>
              <w:ind w:left="20"/>
              <w:spacing w:after="0"/>
              <w:rPr>
                <w:sz w:val="20"/>
                <w:szCs w:val="20"/>
                <w:color w:val="auto"/>
              </w:rPr>
            </w:pPr>
            <w:r>
              <w:rPr>
                <w:rFonts w:ascii="Arial" w:cs="Arial" w:eastAsia="Arial" w:hAnsi="Arial"/>
                <w:sz w:val="18"/>
                <w:szCs w:val="18"/>
                <w:color w:val="auto"/>
              </w:rPr>
              <w:t>Robert Zoellick</w:t>
            </w:r>
          </w:p>
        </w:tc>
        <w:tc>
          <w:tcPr>
            <w:tcW w:w="2260" w:type="dxa"/>
            <w:vAlign w:val="bottom"/>
            <w:gridSpan w:val="3"/>
          </w:tcPr>
          <w:p>
            <w:pPr>
              <w:jc w:val="center"/>
              <w:spacing w:after="0"/>
              <w:rPr>
                <w:sz w:val="20"/>
                <w:szCs w:val="20"/>
                <w:color w:val="auto"/>
              </w:rPr>
            </w:pPr>
            <w:r>
              <w:rPr>
                <w:rFonts w:ascii="Arial" w:cs="Arial" w:eastAsia="Arial" w:hAnsi="Arial"/>
                <w:sz w:val="18"/>
                <w:szCs w:val="18"/>
                <w:color w:val="auto"/>
              </w:rPr>
              <w:t>1,609,302,145</w:t>
            </w:r>
          </w:p>
        </w:tc>
        <w:tc>
          <w:tcPr>
            <w:tcW w:w="1740" w:type="dxa"/>
            <w:vAlign w:val="bottom"/>
            <w:gridSpan w:val="2"/>
          </w:tcPr>
          <w:p>
            <w:pPr>
              <w:jc w:val="center"/>
              <w:ind w:left="450"/>
              <w:spacing w:after="0"/>
              <w:rPr>
                <w:sz w:val="20"/>
                <w:szCs w:val="20"/>
                <w:color w:val="auto"/>
              </w:rPr>
            </w:pPr>
            <w:r>
              <w:rPr>
                <w:rFonts w:ascii="Arial" w:cs="Arial" w:eastAsia="Arial" w:hAnsi="Arial"/>
                <w:sz w:val="18"/>
                <w:szCs w:val="18"/>
                <w:color w:val="auto"/>
                <w:w w:val="99"/>
              </w:rPr>
              <w:t>2,916,671</w:t>
            </w:r>
          </w:p>
        </w:tc>
        <w:tc>
          <w:tcPr>
            <w:tcW w:w="114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1,493,292</w:t>
            </w:r>
          </w:p>
        </w:tc>
        <w:tc>
          <w:tcPr>
            <w:tcW w:w="9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172,846,253</w:t>
            </w:r>
          </w:p>
        </w:tc>
        <w:tc>
          <w:tcPr>
            <w:tcW w:w="360" w:type="dxa"/>
            <w:vAlign w:val="bottom"/>
          </w:tcPr>
          <w:p>
            <w:pPr>
              <w:spacing w:after="0"/>
              <w:rPr>
                <w:sz w:val="20"/>
                <w:szCs w:val="20"/>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Two: Advisory Vote to Approve the Compensation of the Company's Named Executive Officers</w:t>
      </w:r>
    </w:p>
    <w:p>
      <w:pPr>
        <w:spacing w:after="0" w:line="291" w:lineRule="exact"/>
        <w:rPr>
          <w:sz w:val="20"/>
          <w:szCs w:val="20"/>
          <w:color w:val="auto"/>
        </w:rPr>
      </w:pPr>
    </w:p>
    <w:p>
      <w:pPr>
        <w:jc w:val="both"/>
        <w:ind w:firstLine="486"/>
        <w:spacing w:after="0" w:line="318" w:lineRule="auto"/>
        <w:rPr>
          <w:sz w:val="20"/>
          <w:szCs w:val="20"/>
          <w:color w:val="auto"/>
        </w:rPr>
      </w:pPr>
      <w:r>
        <w:rPr>
          <w:rFonts w:ascii="Arial" w:cs="Arial" w:eastAsia="Arial" w:hAnsi="Arial"/>
          <w:sz w:val="18"/>
          <w:szCs w:val="18"/>
          <w:color w:val="auto"/>
        </w:rPr>
        <w:t>Our stockholders approved, on an advisory basis, the 2023 compensation of the Company’s named executive officers. Voting results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178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96"/>
              </w:rPr>
              <w:t>Votes For</w:t>
            </w:r>
          </w:p>
        </w:tc>
        <w:tc>
          <w:tcPr>
            <w:tcW w:w="368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8"/>
              </w:rPr>
              <w:t>Votes Against</w:t>
            </w:r>
          </w:p>
        </w:tc>
        <w:tc>
          <w:tcPr>
            <w:tcW w:w="256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99"/>
              </w:rPr>
              <w:t>Abstentions</w:t>
            </w:r>
          </w:p>
        </w:tc>
        <w:tc>
          <w:tcPr>
            <w:tcW w:w="21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9"/>
              </w:rPr>
              <w:t>Broker Non-Votes</w:t>
            </w:r>
          </w:p>
        </w:tc>
      </w:tr>
      <w:tr>
        <w:trPr>
          <w:trHeight w:val="20"/>
        </w:trPr>
        <w:tc>
          <w:tcPr>
            <w:tcW w:w="10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30"/>
        </w:trPr>
        <w:tc>
          <w:tcPr>
            <w:tcW w:w="27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1,589,105,691</w:t>
            </w:r>
          </w:p>
        </w:tc>
        <w:tc>
          <w:tcPr>
            <w:tcW w:w="2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20,572,190</w:t>
            </w:r>
          </w:p>
        </w:tc>
        <w:tc>
          <w:tcPr>
            <w:tcW w:w="16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4,034,226</w:t>
            </w:r>
          </w:p>
        </w:tc>
        <w:tc>
          <w:tcPr>
            <w:tcW w:w="15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172,846,253</w:t>
            </w:r>
          </w:p>
        </w:tc>
        <w:tc>
          <w:tcPr>
            <w:tcW w:w="64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Proposal Three: Ratification of Appointment of the Company's Independent Registered Public Accounting Firm</w:t>
      </w:r>
    </w:p>
    <w:p>
      <w:pPr>
        <w:spacing w:after="0" w:line="277" w:lineRule="exact"/>
        <w:rPr>
          <w:sz w:val="20"/>
          <w:szCs w:val="20"/>
          <w:color w:val="auto"/>
        </w:rPr>
      </w:pPr>
    </w:p>
    <w:p>
      <w:pPr>
        <w:ind w:firstLine="486"/>
        <w:spacing w:after="0" w:line="334" w:lineRule="auto"/>
        <w:rPr>
          <w:sz w:val="20"/>
          <w:szCs w:val="20"/>
          <w:color w:val="auto"/>
        </w:rPr>
      </w:pPr>
      <w:r>
        <w:rPr>
          <w:rFonts w:ascii="Arial" w:cs="Arial" w:eastAsia="Arial" w:hAnsi="Arial"/>
          <w:sz w:val="18"/>
          <w:szCs w:val="18"/>
          <w:color w:val="auto"/>
        </w:rPr>
        <w:t>Our stockholders ratified the appointment of Ernst &amp; Young LLP as the Company’s independent registered public accounting firm for the fiscal year ending December 31, 2024. Voting results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2600" w:type="dxa"/>
            <w:vAlign w:val="bottom"/>
            <w:gridSpan w:val="2"/>
          </w:tcPr>
          <w:p>
            <w:pPr>
              <w:jc w:val="center"/>
              <w:ind w:right="1780"/>
              <w:spacing w:after="0"/>
              <w:rPr>
                <w:sz w:val="20"/>
                <w:szCs w:val="20"/>
                <w:color w:val="auto"/>
              </w:rPr>
            </w:pPr>
            <w:r>
              <w:rPr>
                <w:rFonts w:ascii="Arial" w:cs="Arial" w:eastAsia="Arial" w:hAnsi="Arial"/>
                <w:sz w:val="18"/>
                <w:szCs w:val="18"/>
                <w:b w:val="1"/>
                <w:bCs w:val="1"/>
                <w:color w:val="auto"/>
                <w:w w:val="98"/>
              </w:rPr>
              <w:t>Votes For</w:t>
            </w:r>
          </w:p>
        </w:tc>
        <w:tc>
          <w:tcPr>
            <w:tcW w:w="2880" w:type="dxa"/>
            <w:vAlign w:val="bottom"/>
            <w:gridSpan w:val="2"/>
          </w:tcPr>
          <w:p>
            <w:pPr>
              <w:jc w:val="center"/>
              <w:ind w:right="1700"/>
              <w:spacing w:after="0"/>
              <w:rPr>
                <w:sz w:val="20"/>
                <w:szCs w:val="20"/>
                <w:color w:val="auto"/>
              </w:rPr>
            </w:pPr>
            <w:r>
              <w:rPr>
                <w:rFonts w:ascii="Arial" w:cs="Arial" w:eastAsia="Arial" w:hAnsi="Arial"/>
                <w:sz w:val="18"/>
                <w:szCs w:val="18"/>
                <w:b w:val="1"/>
                <w:bCs w:val="1"/>
                <w:color w:val="auto"/>
                <w:w w:val="98"/>
              </w:rPr>
              <w:t>Votes Against</w:t>
            </w:r>
          </w:p>
        </w:tc>
        <w:tc>
          <w:tcPr>
            <w:tcW w:w="260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9"/>
              </w:rPr>
              <w:t>Abstentions</w:t>
            </w:r>
          </w:p>
        </w:tc>
        <w:tc>
          <w:tcPr>
            <w:tcW w:w="21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9"/>
              </w:rPr>
              <w:t>Broker Non-Votes</w:t>
            </w:r>
          </w:p>
        </w:tc>
      </w:tr>
      <w:tr>
        <w:trPr>
          <w:trHeight w:val="21"/>
        </w:trPr>
        <w:tc>
          <w:tcPr>
            <w:tcW w:w="98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29"/>
        </w:trPr>
        <w:tc>
          <w:tcPr>
            <w:tcW w:w="3580" w:type="dxa"/>
            <w:vAlign w:val="bottom"/>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1,779,017,570</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2,093,413</w:t>
            </w:r>
          </w:p>
        </w:tc>
        <w:tc>
          <w:tcPr>
            <w:tcW w:w="17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5,447,378</w:t>
            </w:r>
          </w:p>
        </w:tc>
        <w:tc>
          <w:tcPr>
            <w:tcW w:w="15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79" w:lineRule="exact"/>
        <w:rPr>
          <w:sz w:val="20"/>
          <w:szCs w:val="20"/>
          <w:color w:val="auto"/>
        </w:rPr>
      </w:pPr>
    </w:p>
    <w:p>
      <w:pPr>
        <w:jc w:val="both"/>
        <w:spacing w:after="0" w:line="33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74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7960" w:type="dxa"/>
            <w:vAlign w:val="bottom"/>
            <w:gridSpan w:val="2"/>
          </w:tcPr>
          <w:p>
            <w:pPr>
              <w:ind w:left="1080"/>
              <w:spacing w:after="0"/>
              <w:rPr>
                <w:sz w:val="20"/>
                <w:szCs w:val="20"/>
                <w:color w:val="auto"/>
              </w:rPr>
            </w:pPr>
            <w:r>
              <w:rPr>
                <w:rFonts w:ascii="Arial" w:cs="Arial" w:eastAsia="Arial" w:hAnsi="Arial"/>
                <w:sz w:val="18"/>
                <w:szCs w:val="18"/>
                <w:b w:val="1"/>
                <w:bCs w:val="1"/>
                <w:color w:val="auto"/>
              </w:rPr>
              <w:t>Robinhood Markets, Inc.</w:t>
            </w:r>
          </w:p>
        </w:tc>
      </w:tr>
      <w:tr>
        <w:trPr>
          <w:trHeight w:val="447"/>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2520" w:type="dxa"/>
            <w:vAlign w:val="bottom"/>
          </w:tcPr>
          <w:p>
            <w:pPr>
              <w:ind w:left="300"/>
              <w:spacing w:after="0"/>
              <w:rPr>
                <w:sz w:val="20"/>
                <w:szCs w:val="20"/>
                <w:color w:val="auto"/>
              </w:rPr>
            </w:pPr>
            <w:r>
              <w:rPr>
                <w:rFonts w:ascii="Arial" w:cs="Arial" w:eastAsia="Arial" w:hAnsi="Arial"/>
                <w:sz w:val="18"/>
                <w:szCs w:val="18"/>
                <w:color w:val="auto"/>
              </w:rPr>
              <w:t>June 28, 2024</w:t>
            </w:r>
          </w:p>
        </w:tc>
        <w:tc>
          <w:tcPr>
            <w:tcW w:w="2020" w:type="dxa"/>
            <w:vAlign w:val="bottom"/>
          </w:tcPr>
          <w:p>
            <w:pPr>
              <w:ind w:left="1080"/>
              <w:spacing w:after="0"/>
              <w:rPr>
                <w:sz w:val="20"/>
                <w:szCs w:val="20"/>
                <w:color w:val="auto"/>
              </w:rPr>
            </w:pPr>
            <w:r>
              <w:rPr>
                <w:rFonts w:ascii="Arial" w:cs="Arial" w:eastAsia="Arial" w:hAnsi="Arial"/>
                <w:sz w:val="18"/>
                <w:szCs w:val="18"/>
                <w:color w:val="auto"/>
              </w:rPr>
              <w:t>By:</w:t>
            </w:r>
          </w:p>
        </w:tc>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Jason Warnick</w:t>
            </w:r>
          </w:p>
        </w:tc>
      </w:tr>
      <w:tr>
        <w:trPr>
          <w:trHeight w:val="218"/>
        </w:trPr>
        <w:tc>
          <w:tcPr>
            <w:tcW w:w="7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Name: Jason Warnick</w:t>
            </w:r>
          </w:p>
        </w:tc>
      </w:tr>
      <w:tr>
        <w:trPr>
          <w:trHeight w:val="239"/>
        </w:trPr>
        <w:tc>
          <w:tcPr>
            <w:tcW w:w="7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240"/>
      </w:cols>
      <w:pgMar w:left="320" w:top="9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2024-06-28T16:18:22Z</dcterms:created>
  <dcterms:modified xsi:type="dcterms:W3CDTF">2024-06-28T16:18:22Z</dcterms:modified>
</cp:coreProperties>
</file>