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Arial" w:cs="Arial" w:eastAsia="Arial" w:hAnsi="Arial"/>
          <w:sz w:val="28"/>
          <w:szCs w:val="28"/>
          <w:b w:val="1"/>
          <w:bCs w:val="1"/>
          <w:color w:val="auto"/>
        </w:rPr>
        <w:t>UNITED STATES</w:t>
      </w:r>
    </w:p>
    <w:p>
      <w:pPr>
        <w:spacing w:after="0" w:line="45" w:lineRule="exact"/>
        <w:rPr>
          <w:sz w:val="24"/>
          <w:szCs w:val="24"/>
          <w:color w:val="auto"/>
        </w:rPr>
      </w:pPr>
    </w:p>
    <w:p>
      <w:pPr>
        <w:ind w:left="278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Washington, D.C. 20549</w:t>
      </w:r>
    </w:p>
    <w:p>
      <w:pPr>
        <w:spacing w:after="0" w:line="13"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179"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10-Q</w:t>
      </w:r>
    </w:p>
    <w:p>
      <w:pPr>
        <w:spacing w:after="0" w:line="46"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14" w:lineRule="exact"/>
        <w:rPr>
          <w:sz w:val="24"/>
          <w:szCs w:val="24"/>
          <w:color w:val="auto"/>
        </w:rPr>
      </w:pPr>
    </w:p>
    <w:p>
      <w:pPr>
        <w:ind w:left="1180" w:hanging="520"/>
        <w:spacing w:after="0"/>
        <w:tabs>
          <w:tab w:leader="none" w:pos="11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2" w:lineRule="exact"/>
        <w:rPr>
          <w:rFonts w:ascii="MS PGothic" w:cs="MS PGothic" w:eastAsia="MS PGothic" w:hAnsi="MS PGothic"/>
          <w:sz w:val="16"/>
          <w:szCs w:val="16"/>
          <w:color w:val="auto"/>
        </w:rPr>
      </w:pPr>
    </w:p>
    <w:p>
      <w:pPr>
        <w:ind w:left="390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June 30, 2022</w:t>
      </w:r>
    </w:p>
    <w:p>
      <w:pPr>
        <w:spacing w:after="0" w:line="17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42" w:lineRule="exact"/>
        <w:rPr>
          <w:sz w:val="24"/>
          <w:szCs w:val="24"/>
          <w:color w:val="auto"/>
        </w:rPr>
      </w:pPr>
    </w:p>
    <w:p>
      <w:pPr>
        <w:ind w:left="1180" w:hanging="520"/>
        <w:spacing w:after="0"/>
        <w:tabs>
          <w:tab w:leader="none" w:pos="11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1" w:lineRule="exact"/>
        <w:rPr>
          <w:rFonts w:ascii="MS PGothic" w:cs="MS PGothic" w:eastAsia="MS PGothic" w:hAnsi="MS PGothic"/>
          <w:sz w:val="16"/>
          <w:szCs w:val="16"/>
          <w:color w:val="auto"/>
        </w:rPr>
      </w:pPr>
    </w:p>
    <w:p>
      <w:pPr>
        <w:ind w:left="3700"/>
        <w:spacing w:after="0"/>
        <w:rPr>
          <w:rFonts w:ascii="MS PGothic" w:cs="MS PGothic" w:eastAsia="MS PGothic" w:hAnsi="MS PGothic"/>
          <w:sz w:val="16"/>
          <w:szCs w:val="16"/>
          <w:color w:val="auto"/>
        </w:rPr>
      </w:pPr>
      <w:r>
        <w:rPr>
          <w:rFonts w:ascii="Arial" w:cs="Arial" w:eastAsia="Arial" w:hAnsi="Arial"/>
          <w:sz w:val="18"/>
          <w:szCs w:val="18"/>
          <w:color w:val="auto"/>
        </w:rPr>
        <w:t>For the transition period from ________ to ________</w:t>
      </w:r>
    </w:p>
    <w:p>
      <w:pPr>
        <w:spacing w:after="0" w:line="195"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001-40691</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183" w:lineRule="exact"/>
        <w:rPr>
          <w:sz w:val="24"/>
          <w:szCs w:val="24"/>
          <w:color w:val="auto"/>
        </w:rPr>
      </w:pPr>
    </w:p>
    <w:p>
      <w:pPr>
        <w:jc w:val="center"/>
        <w:ind w:right="-319"/>
        <w:spacing w:after="0"/>
        <w:rPr>
          <w:sz w:val="20"/>
          <w:szCs w:val="20"/>
          <w:color w:val="auto"/>
        </w:rPr>
      </w:pPr>
      <w:r>
        <w:rPr>
          <w:rFonts w:ascii="Arial" w:cs="Arial" w:eastAsia="Arial" w:hAnsi="Arial"/>
          <w:sz w:val="42"/>
          <w:szCs w:val="42"/>
          <w:b w:val="1"/>
          <w:bCs w:val="1"/>
          <w:color w:val="auto"/>
        </w:rPr>
        <w:t>Robinhood Markets, Inc.</w:t>
      </w:r>
    </w:p>
    <w:p>
      <w:pPr>
        <w:spacing w:after="0" w:line="118"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auto"/>
        </w:rPr>
        <w:t>(Exact name of registrant as specified in its charter)</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160" w:type="dxa"/>
            <w:vAlign w:val="bottom"/>
          </w:tcPr>
          <w:p>
            <w:pPr>
              <w:jc w:val="right"/>
              <w:ind w:right="805"/>
              <w:spacing w:after="0"/>
              <w:rPr>
                <w:sz w:val="20"/>
                <w:szCs w:val="20"/>
                <w:color w:val="auto"/>
              </w:rPr>
            </w:pPr>
            <w:r>
              <w:rPr>
                <w:rFonts w:ascii="Arial" w:cs="Arial" w:eastAsia="Arial" w:hAnsi="Arial"/>
                <w:sz w:val="18"/>
                <w:szCs w:val="18"/>
                <w:b w:val="1"/>
                <w:bCs w:val="1"/>
                <w:color w:val="auto"/>
              </w:rPr>
              <w:t>Delaware</w:t>
            </w: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20" w:type="dxa"/>
            <w:vAlign w:val="bottom"/>
          </w:tcPr>
          <w:p>
            <w:pPr>
              <w:ind w:left="940"/>
              <w:spacing w:after="0"/>
              <w:rPr>
                <w:sz w:val="20"/>
                <w:szCs w:val="20"/>
                <w:color w:val="auto"/>
              </w:rPr>
            </w:pPr>
            <w:r>
              <w:rPr>
                <w:rFonts w:ascii="Arial" w:cs="Arial" w:eastAsia="Arial" w:hAnsi="Arial"/>
                <w:sz w:val="18"/>
                <w:szCs w:val="18"/>
                <w:b w:val="1"/>
                <w:bCs w:val="1"/>
                <w:color w:val="auto"/>
              </w:rPr>
              <w:t>46-4364776</w:t>
            </w:r>
          </w:p>
        </w:tc>
        <w:tc>
          <w:tcPr>
            <w:tcW w:w="0" w:type="dxa"/>
            <w:vAlign w:val="bottom"/>
          </w:tcPr>
          <w:p>
            <w:pPr>
              <w:spacing w:after="0"/>
              <w:rPr>
                <w:sz w:val="1"/>
                <w:szCs w:val="1"/>
                <w:color w:val="auto"/>
              </w:rPr>
            </w:pPr>
          </w:p>
        </w:tc>
      </w:tr>
      <w:tr>
        <w:trPr>
          <w:trHeight w:val="151"/>
        </w:trPr>
        <w:tc>
          <w:tcPr>
            <w:tcW w:w="600" w:type="dxa"/>
            <w:vAlign w:val="bottom"/>
          </w:tcPr>
          <w:p>
            <w:pPr>
              <w:spacing w:after="0"/>
              <w:rPr>
                <w:sz w:val="13"/>
                <w:szCs w:val="13"/>
                <w:color w:val="auto"/>
              </w:rPr>
            </w:pPr>
          </w:p>
        </w:tc>
        <w:tc>
          <w:tcPr>
            <w:tcW w:w="3160" w:type="dxa"/>
            <w:vAlign w:val="bottom"/>
          </w:tcPr>
          <w:p>
            <w:pPr>
              <w:jc w:val="right"/>
              <w:ind w:right="305"/>
              <w:spacing w:after="0" w:line="151" w:lineRule="exact"/>
              <w:rPr>
                <w:sz w:val="20"/>
                <w:szCs w:val="20"/>
                <w:color w:val="auto"/>
              </w:rPr>
            </w:pPr>
            <w:r>
              <w:rPr>
                <w:rFonts w:ascii="Arial" w:cs="Arial" w:eastAsia="Arial" w:hAnsi="Arial"/>
                <w:sz w:val="14"/>
                <w:szCs w:val="14"/>
                <w:color w:val="auto"/>
              </w:rPr>
              <w:t>(State or other jurisdiction of</w:t>
            </w:r>
          </w:p>
        </w:tc>
        <w:tc>
          <w:tcPr>
            <w:tcW w:w="8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20" w:type="dxa"/>
            <w:vAlign w:val="bottom"/>
          </w:tcPr>
          <w:p>
            <w:pPr>
              <w:ind w:left="940"/>
              <w:spacing w:after="0" w:line="151"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3160" w:type="dxa"/>
            <w:vAlign w:val="bottom"/>
          </w:tcPr>
          <w:p>
            <w:pPr>
              <w:jc w:val="right"/>
              <w:ind w:right="425"/>
              <w:spacing w:after="0"/>
              <w:rPr>
                <w:sz w:val="20"/>
                <w:szCs w:val="20"/>
                <w:color w:val="auto"/>
              </w:rPr>
            </w:pPr>
            <w:r>
              <w:rPr>
                <w:rFonts w:ascii="Arial" w:cs="Arial" w:eastAsia="Arial" w:hAnsi="Arial"/>
                <w:sz w:val="14"/>
                <w:szCs w:val="14"/>
                <w:color w:val="auto"/>
              </w:rPr>
              <w:t>incorporation or organization)</w:t>
            </w: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20" w:type="dxa"/>
            <w:vAlign w:val="bottom"/>
          </w:tcPr>
          <w:p>
            <w:pPr>
              <w:ind w:left="700"/>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80"/>
        </w:trPr>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7"/>
              </w:rPr>
              <w:t>85 Willow Rd</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8"/>
              </w:rPr>
              <w:t>Menlo Park, CA 94025</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7260" w:type="dxa"/>
            <w:vAlign w:val="bottom"/>
            <w:gridSpan w:val="4"/>
          </w:tcPr>
          <w:p>
            <w:pPr>
              <w:jc w:val="center"/>
              <w:ind w:right="3124"/>
              <w:spacing w:after="0"/>
              <w:rPr>
                <w:sz w:val="20"/>
                <w:szCs w:val="20"/>
                <w:color w:val="auto"/>
              </w:rPr>
            </w:pPr>
            <w:r>
              <w:rPr>
                <w:rFonts w:ascii="Arial" w:cs="Arial" w:eastAsia="Arial" w:hAnsi="Arial"/>
                <w:sz w:val="14"/>
                <w:szCs w:val="14"/>
                <w:color w:val="auto"/>
              </w:rPr>
              <w:t>(Address of principal executive offices, including zip code)</w:t>
            </w:r>
          </w:p>
        </w:tc>
        <w:tc>
          <w:tcPr>
            <w:tcW w:w="0" w:type="dxa"/>
            <w:vAlign w:val="bottom"/>
          </w:tcPr>
          <w:p>
            <w:pPr>
              <w:spacing w:after="0"/>
              <w:rPr>
                <w:sz w:val="1"/>
                <w:szCs w:val="1"/>
                <w:color w:val="auto"/>
              </w:rPr>
            </w:pPr>
          </w:p>
        </w:tc>
      </w:tr>
      <w:tr>
        <w:trPr>
          <w:trHeight w:val="302"/>
        </w:trPr>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40" w:type="dxa"/>
            <w:vAlign w:val="bottom"/>
            <w:gridSpan w:val="2"/>
          </w:tcPr>
          <w:p>
            <w:pPr>
              <w:jc w:val="center"/>
              <w:ind w:left="723"/>
              <w:spacing w:after="0"/>
              <w:rPr>
                <w:sz w:val="20"/>
                <w:szCs w:val="20"/>
                <w:color w:val="auto"/>
              </w:rPr>
            </w:pPr>
            <w:r>
              <w:rPr>
                <w:rFonts w:ascii="Arial" w:cs="Arial" w:eastAsia="Arial" w:hAnsi="Arial"/>
                <w:sz w:val="18"/>
                <w:szCs w:val="18"/>
                <w:b w:val="1"/>
                <w:bCs w:val="1"/>
                <w:color w:val="auto"/>
                <w:w w:val="97"/>
              </w:rPr>
              <w:t>(844) 428-5411</w:t>
            </w:r>
          </w:p>
        </w:tc>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740" w:type="dxa"/>
            <w:vAlign w:val="bottom"/>
            <w:gridSpan w:val="3"/>
          </w:tcPr>
          <w:p>
            <w:pPr>
              <w:jc w:val="center"/>
              <w:ind w:left="223"/>
              <w:spacing w:after="0"/>
              <w:rPr>
                <w:sz w:val="20"/>
                <w:szCs w:val="20"/>
                <w:color w:val="auto"/>
              </w:rPr>
            </w:pPr>
            <w:r>
              <w:rPr>
                <w:rFonts w:ascii="Arial" w:cs="Arial" w:eastAsia="Arial" w:hAnsi="Arial"/>
                <w:sz w:val="14"/>
                <w:szCs w:val="14"/>
                <w:color w:val="auto"/>
              </w:rPr>
              <w:t>(Registrant’s telephone number, including area code)</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7500" w:type="dxa"/>
            <w:vAlign w:val="bottom"/>
            <w:gridSpan w:val="5"/>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00" w:type="dxa"/>
            <w:vAlign w:val="bottom"/>
            <w:tcBorders>
              <w:right w:val="single" w:sz="8" w:color="auto"/>
            </w:tcBorders>
          </w:tcPr>
          <w:p>
            <w:pPr>
              <w:spacing w:after="0"/>
              <w:rPr>
                <w:sz w:val="17"/>
                <w:szCs w:val="17"/>
                <w:color w:val="auto"/>
              </w:rPr>
            </w:pPr>
          </w:p>
        </w:tc>
        <w:tc>
          <w:tcPr>
            <w:tcW w:w="316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color w:val="auto"/>
              </w:rPr>
              <w:t>Title of each class</w:t>
            </w:r>
          </w:p>
        </w:tc>
        <w:tc>
          <w:tcPr>
            <w:tcW w:w="860" w:type="dxa"/>
            <w:vAlign w:val="bottom"/>
            <w:tcBorders>
              <w:bottom w:val="single" w:sz="8" w:color="auto"/>
              <w:right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jc w:val="center"/>
              <w:ind w:left="198"/>
              <w:spacing w:after="0"/>
              <w:rPr>
                <w:sz w:val="20"/>
                <w:szCs w:val="20"/>
                <w:color w:val="auto"/>
              </w:rPr>
            </w:pPr>
            <w:r>
              <w:rPr>
                <w:rFonts w:ascii="Arial" w:cs="Arial" w:eastAsia="Arial" w:hAnsi="Arial"/>
                <w:sz w:val="16"/>
                <w:szCs w:val="16"/>
                <w:color w:val="auto"/>
                <w:w w:val="98"/>
              </w:rPr>
              <w:t>Trading Symbol</w:t>
            </w:r>
          </w:p>
        </w:tc>
        <w:tc>
          <w:tcPr>
            <w:tcW w:w="500" w:type="dxa"/>
            <w:vAlign w:val="bottom"/>
            <w:tcBorders>
              <w:bottom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jc w:val="center"/>
              <w:ind w:right="144"/>
              <w:spacing w:after="0"/>
              <w:rPr>
                <w:sz w:val="20"/>
                <w:szCs w:val="20"/>
                <w:color w:val="auto"/>
              </w:rPr>
            </w:pPr>
            <w:r>
              <w:rPr>
                <w:rFonts w:ascii="Arial" w:cs="Arial" w:eastAsia="Arial" w:hAnsi="Arial"/>
                <w:sz w:val="16"/>
                <w:szCs w:val="16"/>
                <w:color w:val="auto"/>
                <w:w w:val="99"/>
              </w:rPr>
              <w:t>Name of each exchange on which registered</w:t>
            </w:r>
          </w:p>
        </w:tc>
        <w:tc>
          <w:tcPr>
            <w:tcW w:w="0" w:type="dxa"/>
            <w:vAlign w:val="bottom"/>
          </w:tcPr>
          <w:p>
            <w:pPr>
              <w:spacing w:after="0"/>
              <w:rPr>
                <w:sz w:val="1"/>
                <w:szCs w:val="1"/>
                <w:color w:val="auto"/>
              </w:rPr>
            </w:pPr>
          </w:p>
        </w:tc>
      </w:tr>
      <w:tr>
        <w:trPr>
          <w:trHeight w:val="141"/>
        </w:trPr>
        <w:tc>
          <w:tcPr>
            <w:tcW w:w="600" w:type="dxa"/>
            <w:vAlign w:val="bottom"/>
            <w:tcBorders>
              <w:right w:val="single" w:sz="8" w:color="auto"/>
            </w:tcBorders>
          </w:tcPr>
          <w:p>
            <w:pPr>
              <w:spacing w:after="0"/>
              <w:rPr>
                <w:sz w:val="12"/>
                <w:szCs w:val="12"/>
                <w:color w:val="auto"/>
              </w:rPr>
            </w:pPr>
          </w:p>
        </w:tc>
        <w:tc>
          <w:tcPr>
            <w:tcW w:w="3160" w:type="dxa"/>
            <w:vAlign w:val="bottom"/>
          </w:tcPr>
          <w:p>
            <w:pPr>
              <w:jc w:val="right"/>
              <w:ind w:right="145"/>
              <w:spacing w:after="0" w:line="141" w:lineRule="exact"/>
              <w:rPr>
                <w:sz w:val="20"/>
                <w:szCs w:val="20"/>
                <w:color w:val="auto"/>
              </w:rPr>
            </w:pPr>
            <w:r>
              <w:rPr>
                <w:rFonts w:ascii="Arial" w:cs="Arial" w:eastAsia="Arial" w:hAnsi="Arial"/>
                <w:sz w:val="14"/>
                <w:szCs w:val="14"/>
                <w:b w:val="1"/>
                <w:bCs w:val="1"/>
                <w:color w:val="auto"/>
              </w:rPr>
              <w:t>Class A Common Stock</w:t>
            </w:r>
          </w:p>
        </w:tc>
        <w:tc>
          <w:tcPr>
            <w:tcW w:w="860" w:type="dxa"/>
            <w:vAlign w:val="bottom"/>
            <w:tcBorders>
              <w:right w:val="single" w:sz="8" w:color="auto"/>
            </w:tcBorders>
          </w:tcPr>
          <w:p>
            <w:pPr>
              <w:spacing w:after="0"/>
              <w:rPr>
                <w:sz w:val="12"/>
                <w:szCs w:val="12"/>
                <w:color w:val="auto"/>
              </w:rPr>
            </w:pPr>
          </w:p>
        </w:tc>
        <w:tc>
          <w:tcPr>
            <w:tcW w:w="2380" w:type="dxa"/>
            <w:vAlign w:val="bottom"/>
            <w:tcBorders>
              <w:right w:val="single" w:sz="8" w:color="auto"/>
            </w:tcBorders>
            <w:vMerge w:val="restart"/>
          </w:tcPr>
          <w:p>
            <w:pPr>
              <w:jc w:val="center"/>
              <w:ind w:left="198"/>
              <w:spacing w:after="0"/>
              <w:rPr>
                <w:sz w:val="20"/>
                <w:szCs w:val="20"/>
                <w:color w:val="auto"/>
              </w:rPr>
            </w:pPr>
            <w:r>
              <w:rPr>
                <w:rFonts w:ascii="Arial" w:cs="Arial" w:eastAsia="Arial" w:hAnsi="Arial"/>
                <w:sz w:val="14"/>
                <w:szCs w:val="14"/>
                <w:b w:val="1"/>
                <w:bCs w:val="1"/>
                <w:color w:val="auto"/>
                <w:w w:val="99"/>
              </w:rPr>
              <w:t>HOOD</w:t>
            </w:r>
          </w:p>
        </w:tc>
        <w:tc>
          <w:tcPr>
            <w:tcW w:w="500" w:type="dxa"/>
            <w:vAlign w:val="bottom"/>
          </w:tcPr>
          <w:p>
            <w:pPr>
              <w:spacing w:after="0"/>
              <w:rPr>
                <w:sz w:val="12"/>
                <w:szCs w:val="12"/>
                <w:color w:val="auto"/>
              </w:rPr>
            </w:pPr>
          </w:p>
        </w:tc>
        <w:tc>
          <w:tcPr>
            <w:tcW w:w="3520" w:type="dxa"/>
            <w:vAlign w:val="bottom"/>
            <w:tcBorders>
              <w:right w:val="single" w:sz="8" w:color="auto"/>
            </w:tcBorders>
            <w:vMerge w:val="restart"/>
          </w:tcPr>
          <w:p>
            <w:pPr>
              <w:jc w:val="center"/>
              <w:ind w:right="124"/>
              <w:spacing w:after="0"/>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08"/>
        </w:trPr>
        <w:tc>
          <w:tcPr>
            <w:tcW w:w="600" w:type="dxa"/>
            <w:vAlign w:val="bottom"/>
            <w:tcBorders>
              <w:right w:val="single" w:sz="8" w:color="auto"/>
            </w:tcBorders>
          </w:tcPr>
          <w:p>
            <w:pPr>
              <w:spacing w:after="0"/>
              <w:rPr>
                <w:sz w:val="9"/>
                <w:szCs w:val="9"/>
                <w:color w:val="auto"/>
              </w:rPr>
            </w:pPr>
          </w:p>
        </w:tc>
        <w:tc>
          <w:tcPr>
            <w:tcW w:w="316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$0.0001 par value per share</w:t>
            </w:r>
          </w:p>
        </w:tc>
        <w:tc>
          <w:tcPr>
            <w:tcW w:w="86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500" w:type="dxa"/>
            <w:vAlign w:val="bottom"/>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0" w:type="dxa"/>
            <w:vAlign w:val="bottom"/>
            <w:tcBorders>
              <w:right w:val="single" w:sz="8" w:color="auto"/>
            </w:tcBorders>
          </w:tcPr>
          <w:p>
            <w:pPr>
              <w:spacing w:after="0"/>
              <w:rPr>
                <w:sz w:val="5"/>
                <w:szCs w:val="5"/>
                <w:color w:val="auto"/>
              </w:rPr>
            </w:pPr>
          </w:p>
        </w:tc>
        <w:tc>
          <w:tcPr>
            <w:tcW w:w="3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7" w:lineRule="exact"/>
        <w:rPr>
          <w:sz w:val="24"/>
          <w:szCs w:val="24"/>
          <w:color w:val="auto"/>
        </w:rPr>
      </w:pPr>
    </w:p>
    <w:p>
      <w:pPr>
        <w:ind w:right="20"/>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8"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8" w:lineRule="exact"/>
        <w:rPr>
          <w:sz w:val="24"/>
          <w:szCs w:val="24"/>
          <w:color w:val="auto"/>
        </w:rPr>
      </w:pPr>
    </w:p>
    <w:p>
      <w:pPr>
        <w:jc w:val="both"/>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5" w:lineRule="exact"/>
        <w:rPr>
          <w:sz w:val="24"/>
          <w:szCs w:val="24"/>
          <w:color w:val="auto"/>
        </w:rPr>
      </w:pPr>
    </w:p>
    <w:p>
      <w:pPr>
        <w:jc w:val="center"/>
        <w:spacing w:after="0" w:line="184" w:lineRule="exact"/>
        <w:tabs>
          <w:tab w:leader="none" w:pos="160" w:val="left"/>
          <w:tab w:leader="none" w:pos="140" w:val="left"/>
        </w:tabs>
        <w:rPr>
          <w:sz w:val="20"/>
          <w:szCs w:val="20"/>
          <w:color w:val="auto"/>
        </w:rPr>
      </w:pPr>
      <w:r>
        <w:rPr>
          <w:rFonts w:ascii="Arial" w:cs="Arial" w:eastAsia="Arial" w:hAnsi="Arial"/>
          <w:sz w:val="16"/>
          <w:szCs w:val="16"/>
          <w:color w:val="auto"/>
        </w:rPr>
        <w:t>Large accelerated filer o</w:t>
        <w:tab/>
        <w:t>Accelerated filer o</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282"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5" w:lineRule="exact"/>
        <w:rPr>
          <w:sz w:val="24"/>
          <w:szCs w:val="24"/>
          <w:color w:val="auto"/>
        </w:rPr>
      </w:pPr>
    </w:p>
    <w:p>
      <w:pPr>
        <w:spacing w:after="0" w:line="184" w:lineRule="exact"/>
        <w:tabs>
          <w:tab w:leader="none" w:pos="8100" w:val="left"/>
          <w:tab w:leader="none" w:pos="8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Yes o</w:t>
        <w:tab/>
        <w:t xml:space="preserve">No </w:t>
      </w:r>
      <w:r>
        <w:rPr>
          <w:rFonts w:ascii="MS PGothic" w:cs="MS PGothic" w:eastAsia="MS PGothic" w:hAnsi="MS PGothic"/>
          <w:sz w:val="16"/>
          <w:szCs w:val="16"/>
          <w:color w:val="auto"/>
        </w:rPr>
        <w:t>☒</w:t>
      </w:r>
    </w:p>
    <w:p>
      <w:pPr>
        <w:spacing w:after="0" w:line="282" w:lineRule="exact"/>
        <w:rPr>
          <w:sz w:val="24"/>
          <w:szCs w:val="24"/>
          <w:color w:val="auto"/>
        </w:rPr>
      </w:pPr>
    </w:p>
    <w:p>
      <w:pPr>
        <w:ind w:left="5580" w:right="1160" w:hanging="5568"/>
        <w:spacing w:after="0" w:line="199" w:lineRule="auto"/>
        <w:rPr>
          <w:sz w:val="20"/>
          <w:szCs w:val="20"/>
          <w:color w:val="auto"/>
        </w:rPr>
      </w:pPr>
      <w:r>
        <w:rPr>
          <w:rFonts w:ascii="Arial" w:cs="Arial" w:eastAsia="Arial" w:hAnsi="Arial"/>
          <w:sz w:val="16"/>
          <w:szCs w:val="16"/>
          <w:color w:val="auto"/>
        </w:rPr>
        <w:t xml:space="preserve">As of July 27, 2022, the numbers of shares of the issuer’s Class A and Class B common stock outstanding were 752,379,137 and 127,955,246. </w:t>
      </w: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173355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1" w:name="page2"/>
    <w:bookmarkEnd w:id="1"/>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shd w:val="clear" w:color="auto" w:fill="CCEEFF"/>
          </w:tcPr>
          <w:p>
            <w:pPr>
              <w:spacing w:after="0"/>
              <w:rPr>
                <w:sz w:val="19"/>
                <w:szCs w:val="19"/>
                <w:color w:val="auto"/>
              </w:rPr>
            </w:pPr>
          </w:p>
        </w:tc>
        <w:tc>
          <w:tcPr>
            <w:tcW w:w="930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920" w:type="dxa"/>
            <w:vAlign w:val="bottom"/>
            <w:gridSpan w:val="4"/>
            <w:shd w:val="clear" w:color="auto" w:fill="CCEEFF"/>
          </w:tcPr>
          <w:p>
            <w:pPr>
              <w:ind w:left="1020"/>
              <w:spacing w:after="0"/>
              <w:rPr>
                <w:sz w:val="20"/>
                <w:szCs w:val="20"/>
                <w:color w:val="auto"/>
              </w:rPr>
            </w:pPr>
            <w:r>
              <w:rPr>
                <w:rFonts w:ascii="Arial" w:cs="Arial" w:eastAsia="Arial" w:hAnsi="Arial"/>
                <w:sz w:val="18"/>
                <w:szCs w:val="18"/>
                <w:b w:val="1"/>
                <w:bCs w:val="1"/>
                <w:color w:val="auto"/>
              </w:rPr>
              <w:t>PAGE</w:t>
            </w:r>
          </w:p>
        </w:tc>
      </w:tr>
      <w:tr>
        <w:trPr>
          <w:trHeight w:val="185"/>
        </w:trPr>
        <w:tc>
          <w:tcPr>
            <w:tcW w:w="20" w:type="dxa"/>
            <w:vAlign w:val="bottom"/>
          </w:tcPr>
          <w:p>
            <w:pPr>
              <w:spacing w:after="0"/>
              <w:rPr>
                <w:sz w:val="16"/>
                <w:szCs w:val="16"/>
                <w:color w:val="auto"/>
              </w:rPr>
            </w:pPr>
          </w:p>
        </w:tc>
        <w:tc>
          <w:tcPr>
            <w:tcW w:w="1060" w:type="dxa"/>
            <w:vAlign w:val="bottom"/>
          </w:tcPr>
          <w:p>
            <w:pPr>
              <w:spacing w:after="0" w:line="186" w:lineRule="exact"/>
              <w:rPr>
                <w:sz w:val="20"/>
                <w:szCs w:val="20"/>
                <w:color w:val="auto"/>
              </w:rPr>
            </w:pPr>
            <w:r>
              <w:rPr>
                <w:rFonts w:ascii="Arial" w:cs="Arial" w:eastAsia="Arial" w:hAnsi="Arial"/>
                <w:sz w:val="18"/>
                <w:szCs w:val="18"/>
                <w:color w:val="auto"/>
              </w:rPr>
              <w:t>ITEM 1.</w:t>
            </w:r>
          </w:p>
        </w:tc>
        <w:tc>
          <w:tcPr>
            <w:tcW w:w="280" w:type="dxa"/>
            <w:vAlign w:val="bottom"/>
          </w:tcPr>
          <w:p>
            <w:pPr>
              <w:spacing w:after="0"/>
              <w:rPr>
                <w:sz w:val="16"/>
                <w:szCs w:val="16"/>
                <w:color w:val="auto"/>
              </w:rPr>
            </w:pPr>
          </w:p>
        </w:tc>
        <w:tc>
          <w:tcPr>
            <w:tcW w:w="7960" w:type="dxa"/>
            <w:vAlign w:val="bottom"/>
            <w:gridSpan w:val="16"/>
          </w:tcPr>
          <w:p>
            <w:pPr>
              <w:spacing w:after="0" w:line="186" w:lineRule="exact"/>
              <w:rPr>
                <w:rFonts w:ascii="Arial" w:cs="Arial" w:eastAsia="Arial" w:hAnsi="Arial"/>
                <w:sz w:val="18"/>
                <w:szCs w:val="18"/>
                <w:color w:val="0000FF"/>
              </w:rPr>
            </w:pPr>
            <w:hyperlink w:anchor="page4">
              <w:r>
                <w:rPr>
                  <w:rFonts w:ascii="Arial" w:cs="Arial" w:eastAsia="Arial" w:hAnsi="Arial"/>
                  <w:sz w:val="18"/>
                  <w:szCs w:val="18"/>
                  <w:color w:val="0000FF"/>
                </w:rPr>
                <w:t>Unaudited Financial Statements</w:t>
              </w:r>
            </w:hyperlink>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80" w:type="dxa"/>
            <w:vAlign w:val="bottom"/>
            <w:gridSpan w:val="8"/>
            <w:shd w:val="clear" w:color="auto" w:fill="CCEEFF"/>
          </w:tcPr>
          <w:p>
            <w:pPr>
              <w:spacing w:after="0" w:line="195" w:lineRule="exact"/>
              <w:rPr>
                <w:rFonts w:ascii="Arial" w:cs="Arial" w:eastAsia="Arial" w:hAnsi="Arial"/>
                <w:sz w:val="18"/>
                <w:szCs w:val="18"/>
                <w:color w:val="0000FF"/>
                <w:w w:val="97"/>
              </w:rPr>
            </w:pPr>
            <w:hyperlink w:anchor="page4">
              <w:r>
                <w:rPr>
                  <w:rFonts w:ascii="Arial" w:cs="Arial" w:eastAsia="Arial" w:hAnsi="Arial"/>
                  <w:sz w:val="18"/>
                  <w:szCs w:val="18"/>
                  <w:color w:val="0000FF"/>
                  <w:w w:val="97"/>
                </w:rPr>
                <w:t>Condensed Consolidated Balance Sheets</w:t>
              </w:r>
            </w:hyperlink>
          </w:p>
        </w:tc>
        <w:tc>
          <w:tcPr>
            <w:tcW w:w="4680" w:type="dxa"/>
            <w:vAlign w:val="bottom"/>
            <w:gridSpan w:val="8"/>
            <w:shd w:val="clear" w:color="auto" w:fill="CCEEFF"/>
          </w:tcPr>
          <w:p>
            <w:pPr>
              <w:spacing w:after="0"/>
              <w:rPr>
                <w:sz w:val="16"/>
                <w:szCs w:val="16"/>
                <w:color w:val="auto"/>
              </w:rPr>
            </w:pPr>
          </w:p>
        </w:tc>
        <w:tc>
          <w:tcPr>
            <w:tcW w:w="1520" w:type="dxa"/>
            <w:vAlign w:val="bottom"/>
            <w:gridSpan w:val="2"/>
            <w:shd w:val="clear" w:color="auto" w:fill="CCEEFF"/>
          </w:tcPr>
          <w:p>
            <w:pPr>
              <w:jc w:val="center"/>
              <w:ind w:left="1332"/>
              <w:spacing w:after="0" w:line="195"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10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40" w:type="dxa"/>
            <w:vAlign w:val="bottom"/>
            <w:gridSpan w:val="9"/>
          </w:tcPr>
          <w:p>
            <w:pPr>
              <w:spacing w:after="0" w:line="186"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Condensed Consolidated Statements of Operations</w:t>
              </w:r>
            </w:hyperlink>
          </w:p>
        </w:tc>
        <w:tc>
          <w:tcPr>
            <w:tcW w:w="3920" w:type="dxa"/>
            <w:vAlign w:val="bottom"/>
            <w:gridSpan w:val="7"/>
          </w:tcPr>
          <w:p>
            <w:pPr>
              <w:spacing w:after="0"/>
              <w:rPr>
                <w:sz w:val="16"/>
                <w:szCs w:val="16"/>
                <w:color w:val="auto"/>
              </w:rPr>
            </w:pPr>
          </w:p>
        </w:tc>
        <w:tc>
          <w:tcPr>
            <w:tcW w:w="1520" w:type="dxa"/>
            <w:vAlign w:val="bottom"/>
            <w:gridSpan w:val="2"/>
          </w:tcPr>
          <w:p>
            <w:pPr>
              <w:jc w:val="center"/>
              <w:ind w:left="1332"/>
              <w:spacing w:after="0" w:line="18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40" w:type="dxa"/>
            <w:vAlign w:val="bottom"/>
            <w:gridSpan w:val="12"/>
            <w:shd w:val="clear" w:color="auto" w:fill="CCEEFF"/>
          </w:tcPr>
          <w:p>
            <w:pPr>
              <w:spacing w:after="0" w:line="195"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Consolidated Statements of Comprehensive Loss</w:t>
              </w:r>
            </w:hyperlink>
          </w:p>
        </w:tc>
        <w:tc>
          <w:tcPr>
            <w:tcW w:w="3120" w:type="dxa"/>
            <w:vAlign w:val="bottom"/>
            <w:gridSpan w:val="4"/>
            <w:shd w:val="clear" w:color="auto" w:fill="CCEEFF"/>
          </w:tcPr>
          <w:p>
            <w:pPr>
              <w:spacing w:after="0"/>
              <w:rPr>
                <w:sz w:val="16"/>
                <w:szCs w:val="16"/>
                <w:color w:val="auto"/>
              </w:rPr>
            </w:pPr>
          </w:p>
        </w:tc>
        <w:tc>
          <w:tcPr>
            <w:tcW w:w="1520" w:type="dxa"/>
            <w:vAlign w:val="bottom"/>
            <w:gridSpan w:val="2"/>
            <w:shd w:val="clear" w:color="auto" w:fill="CCEEFF"/>
          </w:tcPr>
          <w:p>
            <w:pPr>
              <w:jc w:val="center"/>
              <w:ind w:left="1332"/>
              <w:spacing w:after="0" w:line="195"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10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5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40" w:type="dxa"/>
            <w:vAlign w:val="bottom"/>
            <w:gridSpan w:val="9"/>
          </w:tcPr>
          <w:p>
            <w:pPr>
              <w:spacing w:after="0" w:line="186" w:lineRule="exact"/>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Cash Flows</w:t>
              </w:r>
            </w:hyperlink>
          </w:p>
        </w:tc>
        <w:tc>
          <w:tcPr>
            <w:tcW w:w="800" w:type="dxa"/>
            <w:vAlign w:val="bottom"/>
            <w:gridSpan w:val="3"/>
          </w:tcPr>
          <w:p>
            <w:pPr>
              <w:spacing w:after="0"/>
              <w:rPr>
                <w:sz w:val="16"/>
                <w:szCs w:val="16"/>
                <w:color w:val="auto"/>
              </w:rPr>
            </w:pPr>
          </w:p>
        </w:tc>
        <w:tc>
          <w:tcPr>
            <w:tcW w:w="3120" w:type="dxa"/>
            <w:vAlign w:val="bottom"/>
            <w:gridSpan w:val="4"/>
          </w:tcPr>
          <w:p>
            <w:pPr>
              <w:spacing w:after="0"/>
              <w:rPr>
                <w:sz w:val="16"/>
                <w:szCs w:val="16"/>
                <w:color w:val="auto"/>
              </w:rPr>
            </w:pPr>
          </w:p>
        </w:tc>
        <w:tc>
          <w:tcPr>
            <w:tcW w:w="1520" w:type="dxa"/>
            <w:vAlign w:val="bottom"/>
            <w:gridSpan w:val="2"/>
          </w:tcPr>
          <w:p>
            <w:pPr>
              <w:jc w:val="center"/>
              <w:ind w:left="1332"/>
              <w:spacing w:after="0" w:line="186"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8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960" w:type="dxa"/>
            <w:vAlign w:val="bottom"/>
            <w:gridSpan w:val="16"/>
            <w:shd w:val="clear" w:color="auto" w:fill="CCEEFF"/>
          </w:tcPr>
          <w:p>
            <w:pPr>
              <w:spacing w:after="0" w:line="195"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Stockholders’ (Deficit) Equity</w:t>
              </w:r>
            </w:hyperlink>
          </w:p>
        </w:tc>
        <w:tc>
          <w:tcPr>
            <w:tcW w:w="1520" w:type="dxa"/>
            <w:vAlign w:val="bottom"/>
            <w:gridSpan w:val="2"/>
            <w:shd w:val="clear" w:color="auto" w:fill="CCEEFF"/>
          </w:tcPr>
          <w:p>
            <w:pPr>
              <w:jc w:val="center"/>
              <w:ind w:left="1332"/>
              <w:spacing w:after="0" w:line="195"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c>
          <w:tcPr>
            <w:tcW w:w="10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5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20" w:type="dxa"/>
            <w:vAlign w:val="bottom"/>
            <w:gridSpan w:val="14"/>
          </w:tcPr>
          <w:p>
            <w:pPr>
              <w:spacing w:after="0" w:line="186" w:lineRule="exact"/>
              <w:rPr>
                <w:rFonts w:ascii="Arial" w:cs="Arial" w:eastAsia="Arial" w:hAnsi="Arial"/>
                <w:sz w:val="18"/>
                <w:szCs w:val="18"/>
                <w:color w:val="0000FF"/>
              </w:rPr>
            </w:pPr>
            <w:hyperlink w:anchor="page10">
              <w:r>
                <w:rPr>
                  <w:rFonts w:ascii="Arial" w:cs="Arial" w:eastAsia="Arial" w:hAnsi="Arial"/>
                  <w:sz w:val="18"/>
                  <w:szCs w:val="18"/>
                  <w:color w:val="0000FF"/>
                </w:rPr>
                <w:t>Notes to Unaudited Condensed Consolidated Financial Statements</w:t>
              </w:r>
            </w:hyperlink>
          </w:p>
        </w:tc>
        <w:tc>
          <w:tcPr>
            <w:tcW w:w="2540" w:type="dxa"/>
            <w:vAlign w:val="bottom"/>
            <w:gridSpan w:val="2"/>
          </w:tcPr>
          <w:p>
            <w:pPr>
              <w:spacing w:after="0"/>
              <w:rPr>
                <w:sz w:val="16"/>
                <w:szCs w:val="16"/>
                <w:color w:val="auto"/>
              </w:rPr>
            </w:pPr>
          </w:p>
        </w:tc>
        <w:tc>
          <w:tcPr>
            <w:tcW w:w="1620" w:type="dxa"/>
            <w:vAlign w:val="bottom"/>
            <w:gridSpan w:val="3"/>
          </w:tcPr>
          <w:p>
            <w:pPr>
              <w:jc w:val="center"/>
              <w:ind w:left="1212"/>
              <w:spacing w:after="0" w:line="186"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10</w:t>
              </w:r>
            </w:hyperlink>
          </w:p>
        </w:tc>
        <w:tc>
          <w:tcPr>
            <w:tcW w:w="30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ITEM 2.</w:t>
            </w:r>
          </w:p>
        </w:tc>
        <w:tc>
          <w:tcPr>
            <w:tcW w:w="280" w:type="dxa"/>
            <w:vAlign w:val="bottom"/>
            <w:shd w:val="clear" w:color="auto" w:fill="CCEEFF"/>
          </w:tcPr>
          <w:p>
            <w:pPr>
              <w:spacing w:after="0"/>
              <w:rPr>
                <w:sz w:val="16"/>
                <w:szCs w:val="16"/>
                <w:color w:val="auto"/>
              </w:rPr>
            </w:pPr>
          </w:p>
        </w:tc>
        <w:tc>
          <w:tcPr>
            <w:tcW w:w="7960" w:type="dxa"/>
            <w:vAlign w:val="bottom"/>
            <w:gridSpan w:val="16"/>
            <w:shd w:val="clear" w:color="auto" w:fill="CCEEFF"/>
          </w:tcPr>
          <w:p>
            <w:pPr>
              <w:spacing w:after="0" w:line="195" w:lineRule="exact"/>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1620" w:type="dxa"/>
            <w:vAlign w:val="bottom"/>
            <w:gridSpan w:val="3"/>
            <w:shd w:val="clear" w:color="auto" w:fill="CCEEFF"/>
          </w:tcPr>
          <w:p>
            <w:pPr>
              <w:jc w:val="center"/>
              <w:ind w:left="1212"/>
              <w:spacing w:after="0" w:line="195" w:lineRule="exact"/>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c>
          <w:tcPr>
            <w:tcW w:w="30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5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520" w:type="dxa"/>
            <w:vAlign w:val="bottom"/>
            <w:shd w:val="clear" w:color="auto" w:fill="0000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2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60" w:type="dxa"/>
            <w:vAlign w:val="bottom"/>
          </w:tcPr>
          <w:p>
            <w:pPr>
              <w:ind w:left="40"/>
              <w:spacing w:after="0" w:line="186" w:lineRule="exact"/>
              <w:rPr>
                <w:sz w:val="20"/>
                <w:szCs w:val="20"/>
                <w:color w:val="auto"/>
              </w:rPr>
            </w:pPr>
            <w:r>
              <w:rPr>
                <w:rFonts w:ascii="Arial" w:cs="Arial" w:eastAsia="Arial" w:hAnsi="Arial"/>
                <w:sz w:val="18"/>
                <w:szCs w:val="18"/>
                <w:color w:val="auto"/>
              </w:rPr>
              <w:t>ITEM 3.</w:t>
            </w:r>
          </w:p>
        </w:tc>
        <w:tc>
          <w:tcPr>
            <w:tcW w:w="280" w:type="dxa"/>
            <w:vAlign w:val="bottom"/>
          </w:tcPr>
          <w:p>
            <w:pPr>
              <w:spacing w:after="0"/>
              <w:rPr>
                <w:sz w:val="16"/>
                <w:szCs w:val="16"/>
                <w:color w:val="auto"/>
              </w:rPr>
            </w:pPr>
          </w:p>
        </w:tc>
        <w:tc>
          <w:tcPr>
            <w:tcW w:w="6940" w:type="dxa"/>
            <w:vAlign w:val="bottom"/>
            <w:gridSpan w:val="15"/>
          </w:tcPr>
          <w:p>
            <w:pPr>
              <w:spacing w:after="0" w:line="186" w:lineRule="exact"/>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1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gridSpan w:val="2"/>
          </w:tcPr>
          <w:p>
            <w:pPr>
              <w:jc w:val="center"/>
              <w:ind w:right="60"/>
              <w:spacing w:after="0" w:line="185" w:lineRule="exact"/>
              <w:rPr>
                <w:rFonts w:ascii="Arial" w:cs="Arial" w:eastAsia="Arial" w:hAnsi="Arial"/>
                <w:sz w:val="17"/>
                <w:szCs w:val="17"/>
                <w:color w:val="0000FF"/>
                <w:w w:val="73"/>
              </w:rPr>
            </w:pPr>
            <w:hyperlink w:anchor="page51">
              <w:r>
                <w:rPr>
                  <w:rFonts w:ascii="Arial" w:cs="Arial" w:eastAsia="Arial" w:hAnsi="Arial"/>
                  <w:sz w:val="17"/>
                  <w:szCs w:val="17"/>
                  <w:color w:val="0000FF"/>
                  <w:w w:val="73"/>
                </w:rPr>
                <w:t>50</w:t>
              </w:r>
            </w:hyperlink>
          </w:p>
        </w:tc>
        <w:tc>
          <w:tcPr>
            <w:tcW w:w="30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ITEM 4.</w:t>
            </w:r>
          </w:p>
        </w:tc>
        <w:tc>
          <w:tcPr>
            <w:tcW w:w="280" w:type="dxa"/>
            <w:vAlign w:val="bottom"/>
            <w:shd w:val="clear" w:color="auto" w:fill="CCEEFF"/>
          </w:tcPr>
          <w:p>
            <w:pPr>
              <w:spacing w:after="0"/>
              <w:rPr>
                <w:sz w:val="18"/>
                <w:szCs w:val="18"/>
                <w:color w:val="auto"/>
              </w:rPr>
            </w:pPr>
          </w:p>
        </w:tc>
        <w:tc>
          <w:tcPr>
            <w:tcW w:w="4620" w:type="dxa"/>
            <w:vAlign w:val="bottom"/>
            <w:gridSpan w:val="10"/>
            <w:shd w:val="clear" w:color="auto" w:fill="CCEEFF"/>
          </w:tcPr>
          <w:p>
            <w:pPr>
              <w:spacing w:after="0" w:line="195" w:lineRule="exact"/>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3340" w:type="dxa"/>
            <w:vAlign w:val="bottom"/>
            <w:gridSpan w:val="6"/>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center"/>
              <w:ind w:right="60"/>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51</w:t>
              </w:r>
            </w:hyperlink>
          </w:p>
        </w:tc>
        <w:tc>
          <w:tcPr>
            <w:tcW w:w="300" w:type="dxa"/>
            <w:vAlign w:val="bottom"/>
            <w:shd w:val="clear" w:color="auto" w:fill="CCEEFF"/>
          </w:tcPr>
          <w:p>
            <w:pPr>
              <w:spacing w:after="0"/>
              <w:rPr>
                <w:sz w:val="18"/>
                <w:szCs w:val="18"/>
                <w:color w:val="auto"/>
              </w:rPr>
            </w:pPr>
          </w:p>
        </w:tc>
      </w:tr>
      <w:tr>
        <w:trPr>
          <w:trHeight w:val="252"/>
        </w:trPr>
        <w:tc>
          <w:tcPr>
            <w:tcW w:w="20" w:type="dxa"/>
            <w:vAlign w:val="bottom"/>
            <w:tcBorders>
              <w:top w:val="single" w:sz="8" w:color="CCEEFF"/>
            </w:tcBorders>
          </w:tcPr>
          <w:p>
            <w:pPr>
              <w:spacing w:after="0"/>
              <w:rPr>
                <w:sz w:val="21"/>
                <w:szCs w:val="21"/>
                <w:color w:val="auto"/>
              </w:rPr>
            </w:pPr>
          </w:p>
        </w:tc>
        <w:tc>
          <w:tcPr>
            <w:tcW w:w="1340" w:type="dxa"/>
            <w:vAlign w:val="bottom"/>
            <w:tcBorders>
              <w:top w:val="single" w:sz="8" w:color="CCEEFF"/>
            </w:tcBorders>
            <w:gridSpan w:val="2"/>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0000FF"/>
              <w:right w:val="single" w:sz="8" w:color="CCEEFF"/>
            </w:tcBorders>
            <w:gridSpan w:val="5"/>
            <w:shd w:val="clear" w:color="auto" w:fill="CCEEFF"/>
          </w:tcPr>
          <w:p>
            <w:pPr>
              <w:spacing w:after="0" w:line="186" w:lineRule="exact"/>
              <w:rPr>
                <w:rFonts w:ascii="Arial" w:cs="Arial" w:eastAsia="Arial" w:hAnsi="Arial"/>
                <w:sz w:val="18"/>
                <w:szCs w:val="18"/>
                <w:b w:val="1"/>
                <w:bCs w:val="1"/>
                <w:color w:val="0000FF"/>
                <w:w w:val="97"/>
              </w:rPr>
            </w:pPr>
            <w:hyperlink w:anchor="page53">
              <w:r>
                <w:rPr>
                  <w:rFonts w:ascii="Arial" w:cs="Arial" w:eastAsia="Arial" w:hAnsi="Arial"/>
                  <w:sz w:val="18"/>
                  <w:szCs w:val="18"/>
                  <w:b w:val="1"/>
                  <w:bCs w:val="1"/>
                  <w:color w:val="0000FF"/>
                  <w:w w:val="97"/>
                </w:rPr>
                <w:t>PART II - OTHER INFORMATION</w:t>
              </w:r>
            </w:hyperlink>
          </w:p>
        </w:tc>
        <w:tc>
          <w:tcPr>
            <w:tcW w:w="6580" w:type="dxa"/>
            <w:vAlign w:val="bottom"/>
            <w:tcBorders>
              <w:bottom w:val="single" w:sz="8" w:color="CCEEFF"/>
            </w:tcBorders>
            <w:gridSpan w:val="13"/>
            <w:shd w:val="clear" w:color="auto" w:fill="CCEEFF"/>
          </w:tcPr>
          <w:p>
            <w:pPr>
              <w:spacing w:after="0"/>
              <w:rPr>
                <w:sz w:val="17"/>
                <w:szCs w:val="17"/>
                <w:color w:val="auto"/>
              </w:rPr>
            </w:pPr>
          </w:p>
        </w:tc>
        <w:tc>
          <w:tcPr>
            <w:tcW w:w="14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1060" w:type="dxa"/>
            <w:vAlign w:val="bottom"/>
          </w:tcPr>
          <w:p>
            <w:pPr>
              <w:ind w:left="40"/>
              <w:spacing w:after="0" w:line="186" w:lineRule="exact"/>
              <w:rPr>
                <w:sz w:val="20"/>
                <w:szCs w:val="20"/>
                <w:color w:val="auto"/>
              </w:rPr>
            </w:pPr>
            <w:r>
              <w:rPr>
                <w:rFonts w:ascii="Arial" w:cs="Arial" w:eastAsia="Arial" w:hAnsi="Arial"/>
                <w:sz w:val="18"/>
                <w:szCs w:val="18"/>
                <w:color w:val="auto"/>
              </w:rPr>
              <w:t>ITEM 1.</w:t>
            </w:r>
          </w:p>
        </w:tc>
        <w:tc>
          <w:tcPr>
            <w:tcW w:w="280" w:type="dxa"/>
            <w:vAlign w:val="bottom"/>
          </w:tcPr>
          <w:p>
            <w:pPr>
              <w:spacing w:after="0"/>
              <w:rPr>
                <w:sz w:val="16"/>
                <w:szCs w:val="16"/>
                <w:color w:val="auto"/>
              </w:rPr>
            </w:pPr>
          </w:p>
        </w:tc>
        <w:tc>
          <w:tcPr>
            <w:tcW w:w="7960" w:type="dxa"/>
            <w:vAlign w:val="bottom"/>
            <w:gridSpan w:val="16"/>
          </w:tcPr>
          <w:p>
            <w:pPr>
              <w:spacing w:after="0" w:line="186" w:lineRule="exact"/>
              <w:rPr>
                <w:rFonts w:ascii="Arial" w:cs="Arial" w:eastAsia="Arial" w:hAnsi="Arial"/>
                <w:sz w:val="18"/>
                <w:szCs w:val="18"/>
                <w:color w:val="0000FF"/>
              </w:rPr>
            </w:pPr>
            <w:hyperlink w:anchor="page54">
              <w:r>
                <w:rPr>
                  <w:rFonts w:ascii="Arial" w:cs="Arial" w:eastAsia="Arial" w:hAnsi="Arial"/>
                  <w:sz w:val="18"/>
                  <w:szCs w:val="18"/>
                  <w:color w:val="0000FF"/>
                </w:rPr>
                <w:t>Legal Proceedings</w:t>
              </w:r>
            </w:hyperlink>
          </w:p>
        </w:tc>
        <w:tc>
          <w:tcPr>
            <w:tcW w:w="1620" w:type="dxa"/>
            <w:vAlign w:val="bottom"/>
            <w:gridSpan w:val="3"/>
          </w:tcPr>
          <w:p>
            <w:pPr>
              <w:jc w:val="center"/>
              <w:ind w:left="1212"/>
              <w:spacing w:after="0" w:line="186" w:lineRule="exact"/>
              <w:rPr>
                <w:rFonts w:ascii="Arial" w:cs="Arial" w:eastAsia="Arial" w:hAnsi="Arial"/>
                <w:sz w:val="18"/>
                <w:szCs w:val="18"/>
                <w:color w:val="0000FF"/>
                <w:w w:val="99"/>
              </w:rPr>
            </w:pPr>
            <w:hyperlink w:anchor="page54">
              <w:r>
                <w:rPr>
                  <w:rFonts w:ascii="Arial" w:cs="Arial" w:eastAsia="Arial" w:hAnsi="Arial"/>
                  <w:sz w:val="18"/>
                  <w:szCs w:val="18"/>
                  <w:color w:val="0000FF"/>
                  <w:w w:val="99"/>
                </w:rPr>
                <w:t>53</w:t>
              </w:r>
            </w:hyperlink>
          </w:p>
        </w:tc>
        <w:tc>
          <w:tcPr>
            <w:tcW w:w="30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ITEM 1A.</w:t>
            </w:r>
          </w:p>
        </w:tc>
        <w:tc>
          <w:tcPr>
            <w:tcW w:w="280" w:type="dxa"/>
            <w:vAlign w:val="bottom"/>
            <w:shd w:val="clear" w:color="auto" w:fill="CCEEFF"/>
          </w:tcPr>
          <w:p>
            <w:pPr>
              <w:spacing w:after="0"/>
              <w:rPr>
                <w:sz w:val="16"/>
                <w:szCs w:val="16"/>
                <w:color w:val="auto"/>
              </w:rPr>
            </w:pPr>
          </w:p>
        </w:tc>
        <w:tc>
          <w:tcPr>
            <w:tcW w:w="1460" w:type="dxa"/>
            <w:vAlign w:val="bottom"/>
            <w:gridSpan w:val="4"/>
            <w:shd w:val="clear" w:color="auto" w:fill="CCEEFF"/>
          </w:tcPr>
          <w:p>
            <w:pPr>
              <w:spacing w:after="0" w:line="195" w:lineRule="exact"/>
              <w:rPr>
                <w:rFonts w:ascii="Arial" w:cs="Arial" w:eastAsia="Arial" w:hAnsi="Arial"/>
                <w:sz w:val="18"/>
                <w:szCs w:val="18"/>
                <w:color w:val="0000FF"/>
              </w:rPr>
            </w:pPr>
            <w:hyperlink w:anchor="page54">
              <w:r>
                <w:rPr>
                  <w:rFonts w:ascii="Arial" w:cs="Arial" w:eastAsia="Arial" w:hAnsi="Arial"/>
                  <w:sz w:val="18"/>
                  <w:szCs w:val="18"/>
                  <w:color w:val="0000FF"/>
                </w:rPr>
                <w:t>Risk Factors</w:t>
              </w:r>
            </w:hyperlink>
          </w:p>
        </w:tc>
        <w:tc>
          <w:tcPr>
            <w:tcW w:w="6500" w:type="dxa"/>
            <w:vAlign w:val="bottom"/>
            <w:gridSpan w:val="12"/>
            <w:shd w:val="clear" w:color="auto" w:fill="CCEEFF"/>
          </w:tcPr>
          <w:p>
            <w:pPr>
              <w:spacing w:after="0"/>
              <w:rPr>
                <w:sz w:val="16"/>
                <w:szCs w:val="16"/>
                <w:color w:val="auto"/>
              </w:rPr>
            </w:pPr>
          </w:p>
        </w:tc>
        <w:tc>
          <w:tcPr>
            <w:tcW w:w="1420" w:type="dxa"/>
            <w:vAlign w:val="bottom"/>
            <w:tcBorders>
              <w:right w:val="single" w:sz="8" w:color="CCEEFF"/>
            </w:tcBorders>
            <w:shd w:val="clear" w:color="auto" w:fill="CCEEFF"/>
          </w:tcPr>
          <w:p>
            <w:pPr>
              <w:spacing w:after="0"/>
              <w:rPr>
                <w:sz w:val="16"/>
                <w:szCs w:val="16"/>
                <w:color w:val="auto"/>
              </w:rPr>
            </w:pPr>
          </w:p>
        </w:tc>
        <w:tc>
          <w:tcPr>
            <w:tcW w:w="200" w:type="dxa"/>
            <w:vAlign w:val="bottom"/>
            <w:gridSpan w:val="2"/>
            <w:shd w:val="clear" w:color="auto" w:fill="CCEEFF"/>
          </w:tcPr>
          <w:p>
            <w:pPr>
              <w:jc w:val="center"/>
              <w:ind w:right="60"/>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54</w:t>
              </w:r>
            </w:hyperlink>
          </w:p>
        </w:tc>
        <w:tc>
          <w:tcPr>
            <w:tcW w:w="30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2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60" w:type="dxa"/>
            <w:vAlign w:val="bottom"/>
          </w:tcPr>
          <w:p>
            <w:pPr>
              <w:ind w:left="40"/>
              <w:spacing w:after="0" w:line="186" w:lineRule="exact"/>
              <w:rPr>
                <w:sz w:val="20"/>
                <w:szCs w:val="20"/>
                <w:color w:val="auto"/>
              </w:rPr>
            </w:pPr>
            <w:r>
              <w:rPr>
                <w:rFonts w:ascii="Arial" w:cs="Arial" w:eastAsia="Arial" w:hAnsi="Arial"/>
                <w:sz w:val="18"/>
                <w:szCs w:val="18"/>
                <w:color w:val="auto"/>
              </w:rPr>
              <w:t>ITEM 2.</w:t>
            </w:r>
          </w:p>
        </w:tc>
        <w:tc>
          <w:tcPr>
            <w:tcW w:w="280" w:type="dxa"/>
            <w:vAlign w:val="bottom"/>
          </w:tcPr>
          <w:p>
            <w:pPr>
              <w:spacing w:after="0"/>
              <w:rPr>
                <w:sz w:val="16"/>
                <w:szCs w:val="16"/>
                <w:color w:val="auto"/>
              </w:rPr>
            </w:pPr>
          </w:p>
        </w:tc>
        <w:tc>
          <w:tcPr>
            <w:tcW w:w="7960" w:type="dxa"/>
            <w:vAlign w:val="bottom"/>
            <w:gridSpan w:val="16"/>
          </w:tcPr>
          <w:p>
            <w:pPr>
              <w:spacing w:after="0" w:line="186" w:lineRule="exact"/>
              <w:rPr>
                <w:rFonts w:ascii="Arial" w:cs="Arial" w:eastAsia="Arial" w:hAnsi="Arial"/>
                <w:sz w:val="18"/>
                <w:szCs w:val="18"/>
                <w:color w:val="0000FF"/>
              </w:rPr>
            </w:pPr>
            <w:hyperlink w:anchor="page104">
              <w:r>
                <w:rPr>
                  <w:rFonts w:ascii="Arial" w:cs="Arial" w:eastAsia="Arial" w:hAnsi="Arial"/>
                  <w:sz w:val="18"/>
                  <w:szCs w:val="18"/>
                  <w:color w:val="0000FF"/>
                </w:rPr>
                <w:t>Unregistered Sales of Equity Securities and Use of Proceeds</w:t>
              </w:r>
            </w:hyperlink>
          </w:p>
        </w:tc>
        <w:tc>
          <w:tcPr>
            <w:tcW w:w="1920" w:type="dxa"/>
            <w:vAlign w:val="bottom"/>
            <w:gridSpan w:val="4"/>
          </w:tcPr>
          <w:p>
            <w:pPr>
              <w:jc w:val="center"/>
              <w:ind w:left="932"/>
              <w:spacing w:after="0" w:line="186" w:lineRule="exact"/>
              <w:rPr>
                <w:rFonts w:ascii="Arial" w:cs="Arial" w:eastAsia="Arial" w:hAnsi="Arial"/>
                <w:sz w:val="18"/>
                <w:szCs w:val="18"/>
                <w:color w:val="0000FF"/>
                <w:w w:val="99"/>
              </w:rPr>
            </w:pPr>
            <w:hyperlink w:anchor="page104">
              <w:r>
                <w:rPr>
                  <w:rFonts w:ascii="Arial" w:cs="Arial" w:eastAsia="Arial" w:hAnsi="Arial"/>
                  <w:sz w:val="18"/>
                  <w:szCs w:val="18"/>
                  <w:color w:val="0000FF"/>
                  <w:w w:val="99"/>
                </w:rPr>
                <w:t>103</w:t>
              </w:r>
            </w:hyperlink>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ITEM 3.</w:t>
            </w:r>
          </w:p>
        </w:tc>
        <w:tc>
          <w:tcPr>
            <w:tcW w:w="280" w:type="dxa"/>
            <w:vAlign w:val="bottom"/>
            <w:shd w:val="clear" w:color="auto" w:fill="CCEEFF"/>
          </w:tcPr>
          <w:p>
            <w:pPr>
              <w:spacing w:after="0"/>
              <w:rPr>
                <w:sz w:val="16"/>
                <w:szCs w:val="16"/>
                <w:color w:val="auto"/>
              </w:rPr>
            </w:pPr>
          </w:p>
        </w:tc>
        <w:tc>
          <w:tcPr>
            <w:tcW w:w="4760" w:type="dxa"/>
            <w:vAlign w:val="bottom"/>
            <w:gridSpan w:val="11"/>
            <w:shd w:val="clear" w:color="auto" w:fill="CCEEFF"/>
          </w:tcPr>
          <w:p>
            <w:pPr>
              <w:spacing w:after="0" w:line="195" w:lineRule="exact"/>
              <w:rPr>
                <w:rFonts w:ascii="Arial" w:cs="Arial" w:eastAsia="Arial" w:hAnsi="Arial"/>
                <w:sz w:val="18"/>
                <w:szCs w:val="18"/>
                <w:color w:val="0000FF"/>
              </w:rPr>
            </w:pPr>
            <w:hyperlink w:anchor="page105">
              <w:r>
                <w:rPr>
                  <w:rFonts w:ascii="Arial" w:cs="Arial" w:eastAsia="Arial" w:hAnsi="Arial"/>
                  <w:sz w:val="18"/>
                  <w:szCs w:val="18"/>
                  <w:color w:val="0000FF"/>
                </w:rPr>
                <w:t>Defaults Upon Senior Securities</w:t>
              </w:r>
            </w:hyperlink>
          </w:p>
        </w:tc>
        <w:tc>
          <w:tcPr>
            <w:tcW w:w="3200" w:type="dxa"/>
            <w:vAlign w:val="bottom"/>
            <w:gridSpan w:val="5"/>
            <w:shd w:val="clear" w:color="auto" w:fill="CCEEFF"/>
          </w:tcPr>
          <w:p>
            <w:pPr>
              <w:spacing w:after="0"/>
              <w:rPr>
                <w:sz w:val="16"/>
                <w:szCs w:val="16"/>
                <w:color w:val="auto"/>
              </w:rPr>
            </w:pPr>
          </w:p>
        </w:tc>
        <w:tc>
          <w:tcPr>
            <w:tcW w:w="1920" w:type="dxa"/>
            <w:vAlign w:val="bottom"/>
            <w:gridSpan w:val="4"/>
            <w:shd w:val="clear" w:color="auto" w:fill="CCEEFF"/>
          </w:tcPr>
          <w:p>
            <w:pPr>
              <w:jc w:val="center"/>
              <w:ind w:left="932"/>
              <w:spacing w:after="0" w:line="195" w:lineRule="exact"/>
              <w:rPr>
                <w:rFonts w:ascii="Arial" w:cs="Arial" w:eastAsia="Arial" w:hAnsi="Arial"/>
                <w:sz w:val="18"/>
                <w:szCs w:val="18"/>
                <w:color w:val="0000FF"/>
                <w:w w:val="99"/>
              </w:rPr>
            </w:pPr>
            <w:hyperlink w:anchor="page105">
              <w:r>
                <w:rPr>
                  <w:rFonts w:ascii="Arial" w:cs="Arial" w:eastAsia="Arial" w:hAnsi="Arial"/>
                  <w:sz w:val="18"/>
                  <w:szCs w:val="18"/>
                  <w:color w:val="0000FF"/>
                  <w:w w:val="99"/>
                </w:rPr>
                <w:t>105</w:t>
              </w:r>
            </w:hyperlink>
          </w:p>
        </w:tc>
      </w:tr>
      <w:tr>
        <w:trPr>
          <w:trHeight w:val="40"/>
        </w:trPr>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2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60" w:type="dxa"/>
            <w:vAlign w:val="bottom"/>
          </w:tcPr>
          <w:p>
            <w:pPr>
              <w:ind w:left="40"/>
              <w:spacing w:after="0" w:line="186" w:lineRule="exact"/>
              <w:rPr>
                <w:sz w:val="20"/>
                <w:szCs w:val="20"/>
                <w:color w:val="auto"/>
              </w:rPr>
            </w:pPr>
            <w:r>
              <w:rPr>
                <w:rFonts w:ascii="Arial" w:cs="Arial" w:eastAsia="Arial" w:hAnsi="Arial"/>
                <w:sz w:val="18"/>
                <w:szCs w:val="18"/>
                <w:color w:val="auto"/>
              </w:rPr>
              <w:t>ITEM 4.</w:t>
            </w:r>
          </w:p>
        </w:tc>
        <w:tc>
          <w:tcPr>
            <w:tcW w:w="280" w:type="dxa"/>
            <w:vAlign w:val="bottom"/>
          </w:tcPr>
          <w:p>
            <w:pPr>
              <w:spacing w:after="0"/>
              <w:rPr>
                <w:sz w:val="16"/>
                <w:szCs w:val="16"/>
                <w:color w:val="auto"/>
              </w:rPr>
            </w:pPr>
          </w:p>
        </w:tc>
        <w:tc>
          <w:tcPr>
            <w:tcW w:w="1900" w:type="dxa"/>
            <w:vAlign w:val="bottom"/>
            <w:gridSpan w:val="5"/>
          </w:tcPr>
          <w:p>
            <w:pPr>
              <w:spacing w:after="0" w:line="186" w:lineRule="exact"/>
              <w:rPr>
                <w:rFonts w:ascii="Arial" w:cs="Arial" w:eastAsia="Arial" w:hAnsi="Arial"/>
                <w:sz w:val="18"/>
                <w:szCs w:val="18"/>
                <w:color w:val="0000FF"/>
                <w:w w:val="97"/>
              </w:rPr>
            </w:pPr>
            <w:hyperlink w:anchor="page106">
              <w:r>
                <w:rPr>
                  <w:rFonts w:ascii="Arial" w:cs="Arial" w:eastAsia="Arial" w:hAnsi="Arial"/>
                  <w:sz w:val="18"/>
                  <w:szCs w:val="18"/>
                  <w:color w:val="0000FF"/>
                  <w:w w:val="97"/>
                </w:rPr>
                <w:t>Mine Safety Disclosures</w:t>
              </w:r>
            </w:hyperlink>
          </w:p>
        </w:tc>
        <w:tc>
          <w:tcPr>
            <w:tcW w:w="600" w:type="dxa"/>
            <w:vAlign w:val="bottom"/>
            <w:gridSpan w:val="2"/>
          </w:tcPr>
          <w:p>
            <w:pPr>
              <w:spacing w:after="0"/>
              <w:rPr>
                <w:sz w:val="16"/>
                <w:szCs w:val="16"/>
                <w:color w:val="auto"/>
              </w:rPr>
            </w:pPr>
          </w:p>
        </w:tc>
        <w:tc>
          <w:tcPr>
            <w:tcW w:w="5460" w:type="dxa"/>
            <w:vAlign w:val="bottom"/>
            <w:gridSpan w:val="9"/>
          </w:tcPr>
          <w:p>
            <w:pPr>
              <w:spacing w:after="0"/>
              <w:rPr>
                <w:sz w:val="16"/>
                <w:szCs w:val="16"/>
                <w:color w:val="auto"/>
              </w:rPr>
            </w:pPr>
          </w:p>
        </w:tc>
        <w:tc>
          <w:tcPr>
            <w:tcW w:w="1920" w:type="dxa"/>
            <w:vAlign w:val="bottom"/>
            <w:gridSpan w:val="4"/>
          </w:tcPr>
          <w:p>
            <w:pPr>
              <w:jc w:val="center"/>
              <w:ind w:left="932"/>
              <w:spacing w:after="0" w:line="186" w:lineRule="exact"/>
              <w:rPr>
                <w:rFonts w:ascii="Arial" w:cs="Arial" w:eastAsia="Arial" w:hAnsi="Arial"/>
                <w:sz w:val="18"/>
                <w:szCs w:val="18"/>
                <w:color w:val="0000FF"/>
                <w:w w:val="99"/>
              </w:rPr>
            </w:pPr>
            <w:hyperlink w:anchor="page106">
              <w:r>
                <w:rPr>
                  <w:rFonts w:ascii="Arial" w:cs="Arial" w:eastAsia="Arial" w:hAnsi="Arial"/>
                  <w:sz w:val="18"/>
                  <w:szCs w:val="18"/>
                  <w:color w:val="0000FF"/>
                  <w:w w:val="99"/>
                </w:rPr>
                <w:t>105</w:t>
              </w:r>
            </w:hyperlink>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ITEM 5.</w:t>
            </w:r>
          </w:p>
        </w:tc>
        <w:tc>
          <w:tcPr>
            <w:tcW w:w="280" w:type="dxa"/>
            <w:vAlign w:val="bottom"/>
            <w:shd w:val="clear" w:color="auto" w:fill="CCEEFF"/>
          </w:tcPr>
          <w:p>
            <w:pPr>
              <w:spacing w:after="0"/>
              <w:rPr>
                <w:sz w:val="16"/>
                <w:szCs w:val="16"/>
                <w:color w:val="auto"/>
              </w:rPr>
            </w:pPr>
          </w:p>
        </w:tc>
        <w:tc>
          <w:tcPr>
            <w:tcW w:w="1380" w:type="dxa"/>
            <w:vAlign w:val="bottom"/>
            <w:tcBorders>
              <w:right w:val="single" w:sz="8" w:color="CCEEFF"/>
            </w:tcBorders>
            <w:gridSpan w:val="3"/>
            <w:shd w:val="clear" w:color="auto" w:fill="CCEEFF"/>
          </w:tcPr>
          <w:p>
            <w:pPr>
              <w:spacing w:after="0" w:line="195" w:lineRule="exact"/>
              <w:rPr>
                <w:rFonts w:ascii="Arial" w:cs="Arial" w:eastAsia="Arial" w:hAnsi="Arial"/>
                <w:sz w:val="18"/>
                <w:szCs w:val="18"/>
                <w:color w:val="0000FF"/>
                <w:w w:val="95"/>
              </w:rPr>
            </w:pPr>
            <w:hyperlink w:anchor="page106">
              <w:r>
                <w:rPr>
                  <w:rFonts w:ascii="Arial" w:cs="Arial" w:eastAsia="Arial" w:hAnsi="Arial"/>
                  <w:sz w:val="18"/>
                  <w:szCs w:val="18"/>
                  <w:color w:val="0000FF"/>
                  <w:w w:val="95"/>
                </w:rPr>
                <w:t>Other Information</w:t>
              </w:r>
            </w:hyperlink>
          </w:p>
        </w:tc>
        <w:tc>
          <w:tcPr>
            <w:tcW w:w="520" w:type="dxa"/>
            <w:vAlign w:val="bottom"/>
            <w:gridSpan w:val="2"/>
            <w:shd w:val="clear" w:color="auto" w:fill="CCEEFF"/>
          </w:tcPr>
          <w:p>
            <w:pPr>
              <w:spacing w:after="0"/>
              <w:rPr>
                <w:sz w:val="16"/>
                <w:szCs w:val="16"/>
                <w:color w:val="auto"/>
              </w:rPr>
            </w:pPr>
          </w:p>
        </w:tc>
        <w:tc>
          <w:tcPr>
            <w:tcW w:w="6060" w:type="dxa"/>
            <w:vAlign w:val="bottom"/>
            <w:gridSpan w:val="11"/>
            <w:shd w:val="clear" w:color="auto" w:fill="CCEEFF"/>
          </w:tcPr>
          <w:p>
            <w:pPr>
              <w:spacing w:after="0"/>
              <w:rPr>
                <w:sz w:val="16"/>
                <w:szCs w:val="16"/>
                <w:color w:val="auto"/>
              </w:rPr>
            </w:pPr>
          </w:p>
        </w:tc>
        <w:tc>
          <w:tcPr>
            <w:tcW w:w="1920" w:type="dxa"/>
            <w:vAlign w:val="bottom"/>
            <w:gridSpan w:val="4"/>
            <w:shd w:val="clear" w:color="auto" w:fill="CCEEFF"/>
          </w:tcPr>
          <w:p>
            <w:pPr>
              <w:jc w:val="center"/>
              <w:ind w:left="932"/>
              <w:spacing w:after="0" w:line="195" w:lineRule="exact"/>
              <w:rPr>
                <w:rFonts w:ascii="Arial" w:cs="Arial" w:eastAsia="Arial" w:hAnsi="Arial"/>
                <w:sz w:val="18"/>
                <w:szCs w:val="18"/>
                <w:color w:val="0000FF"/>
                <w:w w:val="99"/>
              </w:rPr>
            </w:pPr>
            <w:hyperlink w:anchor="page106">
              <w:r>
                <w:rPr>
                  <w:rFonts w:ascii="Arial" w:cs="Arial" w:eastAsia="Arial" w:hAnsi="Arial"/>
                  <w:sz w:val="18"/>
                  <w:szCs w:val="18"/>
                  <w:color w:val="0000FF"/>
                  <w:w w:val="99"/>
                </w:rPr>
                <w:t>105</w:t>
              </w:r>
            </w:hyperlink>
          </w:p>
        </w:tc>
      </w:tr>
      <w:tr>
        <w:trPr>
          <w:trHeight w:val="40"/>
        </w:trPr>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2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60" w:type="dxa"/>
            <w:vAlign w:val="bottom"/>
          </w:tcPr>
          <w:p>
            <w:pPr>
              <w:ind w:left="40"/>
              <w:spacing w:after="0" w:line="186" w:lineRule="exact"/>
              <w:rPr>
                <w:sz w:val="20"/>
                <w:szCs w:val="20"/>
                <w:color w:val="auto"/>
              </w:rPr>
            </w:pPr>
            <w:r>
              <w:rPr>
                <w:rFonts w:ascii="Arial" w:cs="Arial" w:eastAsia="Arial" w:hAnsi="Arial"/>
                <w:sz w:val="18"/>
                <w:szCs w:val="18"/>
                <w:color w:val="auto"/>
              </w:rPr>
              <w:t>ITEM 6.</w:t>
            </w:r>
          </w:p>
        </w:tc>
        <w:tc>
          <w:tcPr>
            <w:tcW w:w="280" w:type="dxa"/>
            <w:vAlign w:val="bottom"/>
          </w:tcPr>
          <w:p>
            <w:pPr>
              <w:spacing w:after="0"/>
              <w:rPr>
                <w:sz w:val="16"/>
                <w:szCs w:val="16"/>
                <w:color w:val="auto"/>
              </w:rPr>
            </w:pPr>
          </w:p>
        </w:tc>
        <w:tc>
          <w:tcPr>
            <w:tcW w:w="1020" w:type="dxa"/>
            <w:vAlign w:val="bottom"/>
            <w:gridSpan w:val="2"/>
          </w:tcPr>
          <w:p>
            <w:pPr>
              <w:spacing w:after="0" w:line="186" w:lineRule="exact"/>
              <w:rPr>
                <w:rFonts w:ascii="Arial" w:cs="Arial" w:eastAsia="Arial" w:hAnsi="Arial"/>
                <w:sz w:val="18"/>
                <w:szCs w:val="18"/>
                <w:color w:val="0000FF"/>
                <w:w w:val="95"/>
              </w:rPr>
            </w:pPr>
            <w:hyperlink w:anchor="page106">
              <w:r>
                <w:rPr>
                  <w:rFonts w:ascii="Arial" w:cs="Arial" w:eastAsia="Arial" w:hAnsi="Arial"/>
                  <w:sz w:val="18"/>
                  <w:szCs w:val="18"/>
                  <w:color w:val="0000FF"/>
                  <w:w w:val="95"/>
                </w:rPr>
                <w:t>Exhibit Index</w:t>
              </w:r>
            </w:hyperlink>
          </w:p>
        </w:tc>
        <w:tc>
          <w:tcPr>
            <w:tcW w:w="360" w:type="dxa"/>
            <w:vAlign w:val="bottom"/>
          </w:tcPr>
          <w:p>
            <w:pPr>
              <w:spacing w:after="0"/>
              <w:rPr>
                <w:sz w:val="16"/>
                <w:szCs w:val="16"/>
                <w:color w:val="auto"/>
              </w:rPr>
            </w:pPr>
          </w:p>
        </w:tc>
        <w:tc>
          <w:tcPr>
            <w:tcW w:w="6580" w:type="dxa"/>
            <w:vAlign w:val="bottom"/>
            <w:gridSpan w:val="13"/>
          </w:tcPr>
          <w:p>
            <w:pPr>
              <w:spacing w:after="0"/>
              <w:rPr>
                <w:sz w:val="16"/>
                <w:szCs w:val="16"/>
                <w:color w:val="auto"/>
              </w:rPr>
            </w:pPr>
          </w:p>
        </w:tc>
        <w:tc>
          <w:tcPr>
            <w:tcW w:w="1920" w:type="dxa"/>
            <w:vAlign w:val="bottom"/>
            <w:gridSpan w:val="4"/>
          </w:tcPr>
          <w:p>
            <w:pPr>
              <w:jc w:val="center"/>
              <w:ind w:left="932"/>
              <w:spacing w:after="0" w:line="186" w:lineRule="exact"/>
              <w:rPr>
                <w:rFonts w:ascii="Arial" w:cs="Arial" w:eastAsia="Arial" w:hAnsi="Arial"/>
                <w:sz w:val="18"/>
                <w:szCs w:val="18"/>
                <w:color w:val="0000FF"/>
                <w:w w:val="99"/>
              </w:rPr>
            </w:pPr>
            <w:hyperlink w:anchor="page106">
              <w:r>
                <w:rPr>
                  <w:rFonts w:ascii="Arial" w:cs="Arial" w:eastAsia="Arial" w:hAnsi="Arial"/>
                  <w:sz w:val="18"/>
                  <w:szCs w:val="18"/>
                  <w:color w:val="0000FF"/>
                  <w:w w:val="99"/>
                </w:rPr>
                <w:t>106</w:t>
              </w:r>
            </w:hyperlink>
          </w:p>
        </w:tc>
      </w:tr>
      <w:tr>
        <w:trPr>
          <w:trHeight w:val="30"/>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spacing w:after="0" w:line="195" w:lineRule="exact"/>
              <w:rPr>
                <w:rFonts w:ascii="Arial" w:cs="Arial" w:eastAsia="Arial" w:hAnsi="Arial"/>
                <w:sz w:val="18"/>
                <w:szCs w:val="18"/>
                <w:color w:val="0000FF"/>
              </w:rPr>
            </w:pPr>
            <w:hyperlink w:anchor="page107">
              <w:r>
                <w:rPr>
                  <w:rFonts w:ascii="Arial" w:cs="Arial" w:eastAsia="Arial" w:hAnsi="Arial"/>
                  <w:sz w:val="18"/>
                  <w:szCs w:val="18"/>
                  <w:color w:val="0000FF"/>
                </w:rPr>
                <w:t>Signatures</w:t>
              </w:r>
            </w:hyperlink>
          </w:p>
        </w:tc>
        <w:tc>
          <w:tcPr>
            <w:tcW w:w="6940" w:type="dxa"/>
            <w:vAlign w:val="bottom"/>
            <w:gridSpan w:val="14"/>
            <w:shd w:val="clear" w:color="auto" w:fill="CCEEFF"/>
          </w:tcPr>
          <w:p>
            <w:pPr>
              <w:spacing w:after="0"/>
              <w:rPr>
                <w:sz w:val="16"/>
                <w:szCs w:val="16"/>
                <w:color w:val="auto"/>
              </w:rPr>
            </w:pPr>
          </w:p>
        </w:tc>
        <w:tc>
          <w:tcPr>
            <w:tcW w:w="1920" w:type="dxa"/>
            <w:vAlign w:val="bottom"/>
            <w:gridSpan w:val="4"/>
            <w:shd w:val="clear" w:color="auto" w:fill="CCEEFF"/>
          </w:tcPr>
          <w:p>
            <w:pPr>
              <w:jc w:val="center"/>
              <w:ind w:left="932"/>
              <w:spacing w:after="0" w:line="195" w:lineRule="exact"/>
              <w:rPr>
                <w:rFonts w:ascii="Arial" w:cs="Arial" w:eastAsia="Arial" w:hAnsi="Arial"/>
                <w:sz w:val="18"/>
                <w:szCs w:val="18"/>
                <w:color w:val="0000FF"/>
                <w:w w:val="99"/>
              </w:rPr>
            </w:pPr>
            <w:hyperlink w:anchor="page107">
              <w:r>
                <w:rPr>
                  <w:rFonts w:ascii="Arial" w:cs="Arial" w:eastAsia="Arial" w:hAnsi="Arial"/>
                  <w:sz w:val="18"/>
                  <w:szCs w:val="18"/>
                  <w:color w:val="0000FF"/>
                  <w:w w:val="99"/>
                </w:rPr>
                <w:t>107</w:t>
              </w:r>
            </w:hyperlink>
          </w:p>
        </w:tc>
      </w:tr>
      <w:tr>
        <w:trPr>
          <w:trHeight w:val="40"/>
        </w:trPr>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2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340" w:right="980"/>
        <w:spacing w:after="0" w:line="425" w:lineRule="exact"/>
        <w:rPr>
          <w:sz w:val="20"/>
          <w:szCs w:val="20"/>
          <w:color w:val="auto"/>
        </w:rPr>
      </w:pPr>
      <w:r>
        <w:rPr>
          <w:rFonts w:ascii="Arial" w:cs="Arial" w:eastAsia="Arial" w:hAnsi="Arial"/>
          <w:sz w:val="35"/>
          <w:szCs w:val="35"/>
          <w:color w:val="auto"/>
        </w:rPr>
        <w:t>CAUTIONARY NOTE REGARDING FORWARD</w:t>
      </w:r>
      <w:r>
        <w:rPr>
          <w:rFonts w:ascii="MS PGothic" w:cs="MS PGothic" w:eastAsia="MS PGothic" w:hAnsi="MS PGothic"/>
          <w:sz w:val="35"/>
          <w:szCs w:val="35"/>
          <w:color w:val="auto"/>
        </w:rPr>
        <w:t>‑</w:t>
      </w:r>
      <w:r>
        <w:rPr>
          <w:rFonts w:ascii="Arial" w:cs="Arial" w:eastAsia="Arial" w:hAnsi="Arial"/>
          <w:sz w:val="35"/>
          <w:szCs w:val="35"/>
          <w:color w:val="auto"/>
        </w:rPr>
        <w:t>LOOKING STATEMENTS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Quarterly Report on Form 10-Q (this “Quarterly Report”)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 our:</w:t>
      </w:r>
    </w:p>
    <w:p>
      <w:pPr>
        <w:spacing w:after="0" w:line="171"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the costs and effects of the April 2022 Restructuring and the August 2022 Restructuring;</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legal and regulatory proceedings and investigations;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our pending transaction with Ziglu Limited;</w:t>
      </w:r>
    </w:p>
    <w:p>
      <w:pPr>
        <w:spacing w:after="0" w:line="17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about the sufficiency of our available cash, available borrowings, and cash from operations to meet our liquidity needs for the next 12 months;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our use of the net proceeds from our initial public offering (“IPO”).</w:t>
      </w:r>
    </w:p>
    <w:p>
      <w:pPr>
        <w:spacing w:after="0" w:line="17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 should not be considered an indication of future performance. Factors that contribute to the uncertain nature of our forward-looking statements include, among others:</w:t>
      </w:r>
    </w:p>
    <w:p>
      <w:pPr>
        <w:spacing w:after="0" w:line="16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9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difficulty of managing our business effectively, including the size of our workforce, and the risk of continued declining or negative growth;</w:t>
      </w:r>
    </w:p>
    <w:p>
      <w:pPr>
        <w:spacing w:after="0" w:line="163"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fluctuations in our financial results and key metrics from quarter to quarter;</w:t>
      </w:r>
    </w:p>
    <w:p>
      <w:pPr>
        <w:spacing w:after="0" w:line="17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transaction-based revenue, including payment for order flow (“PFOF”), and the risk of new regulation or bans on PFOF and similar practices;</w:t>
      </w:r>
    </w:p>
    <w:p>
      <w:pPr>
        <w:spacing w:after="0" w:line="17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difficulty of raising additional capital (to satisfy any liquidity needs and support business growth and objectives) on reasonable terms or at all;</w:t>
      </w:r>
    </w:p>
    <w:p>
      <w:pPr>
        <w:spacing w:after="0" w:line="163"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maintain capital levels required by regulators and self-regulatory organizations;</w:t>
      </w:r>
    </w:p>
    <w:p>
      <w:pPr>
        <w:spacing w:after="0" w:line="17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might mishandle the cash, securities, and cryptocurrencies we hold on behalf of customers, and our exposure to liability for operational errors in clearing functions;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negative publicity on our brand and reputation;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changes in business, economic, or political conditions, or systemic market events, might harm our business;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key employees and a skilled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hanging="316"/>
        <w:spacing w:after="0" w:line="25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complying with an extensive and complex regulatory environment and the need to adjust our business model in response to new or modified laws and regulations;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adverse developments in pending litigation and regulatory investigations;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7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need to innovate and invest in new products and services in order to attract and retain customers and deepen their engagement with us in order to maintain growth;</w:t>
      </w:r>
    </w:p>
    <w:p>
      <w:pPr>
        <w:spacing w:after="0" w:line="17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perform some key functions and the risk that operational or technological failures could impair the availability or stability of our platform;</w:t>
      </w:r>
    </w:p>
    <w:p>
      <w:pPr>
        <w:spacing w:after="0" w:line="163"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cybersecurity incidents, theft, data breaches, and other online attacks;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processing customer data in compliance with privacy laws;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need as a regulated financial services company to develop and maintain effective compliance and risk management infrastructures;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volatility of cryptocurrency prices and trading volumes;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our platform could be exploited to facilitate illegal payments;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substantial future sales of Class A common shares in the public market could cause the price of our stock to fall.</w:t>
      </w:r>
    </w:p>
    <w:p>
      <w:pPr>
        <w:spacing w:after="0" w:line="17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U.S. Securities and Exchange Commission (“SEC”),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events, changed circumstances or otherwise. You should read this Quarterly Report with the understanding that our actual 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ROBINHOOD MARKETS, INC.</w:t>
      </w:r>
    </w:p>
    <w:p>
      <w:pPr>
        <w:spacing w:after="0" w:line="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120" w:type="dxa"/>
            <w:vAlign w:val="bottom"/>
          </w:tcPr>
          <w:p>
            <w:pPr>
              <w:jc w:val="right"/>
              <w:ind w:right="329"/>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5"/>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w:t>
            </w:r>
          </w:p>
        </w:tc>
        <w:tc>
          <w:tcPr>
            <w:tcW w:w="0" w:type="dxa"/>
            <w:vAlign w:val="bottom"/>
          </w:tcPr>
          <w:p>
            <w:pPr>
              <w:spacing w:after="0"/>
              <w:rPr>
                <w:sz w:val="1"/>
                <w:szCs w:val="1"/>
                <w:color w:val="auto"/>
              </w:rPr>
            </w:pPr>
          </w:p>
        </w:tc>
      </w:tr>
      <w:tr>
        <w:trPr>
          <w:trHeight w:val="186"/>
        </w:trPr>
        <w:tc>
          <w:tcPr>
            <w:tcW w:w="8420" w:type="dxa"/>
            <w:vAlign w:val="bottom"/>
          </w:tcPr>
          <w:p>
            <w:pPr>
              <w:ind w:left="24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3,420</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4,146</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Asset related to user cryptocurrencies safeguarding obligation</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8,593</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User-held fractional shares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9"/>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24,045</w:t>
            </w:r>
          </w:p>
        </w:tc>
        <w:tc>
          <w:tcPr>
            <w:tcW w:w="0" w:type="dxa"/>
            <w:vAlign w:val="bottom"/>
          </w:tcPr>
          <w:p>
            <w:pPr>
              <w:spacing w:after="0"/>
              <w:rPr>
                <w:sz w:val="1"/>
                <w:szCs w:val="1"/>
                <w:color w:val="auto"/>
              </w:rPr>
            </w:pPr>
          </w:p>
        </w:tc>
      </w:tr>
      <w:tr>
        <w:trPr>
          <w:trHeight w:val="179"/>
        </w:trPr>
        <w:tc>
          <w:tcPr>
            <w:tcW w:w="8420" w:type="dxa"/>
            <w:vAlign w:val="bottom"/>
          </w:tcPr>
          <w:p>
            <w:pPr>
              <w:ind w:left="240"/>
              <w:spacing w:after="0"/>
              <w:rPr>
                <w:sz w:val="20"/>
                <w:szCs w:val="20"/>
                <w:color w:val="auto"/>
              </w:rPr>
            </w:pPr>
            <w:r>
              <w:rPr>
                <w:rFonts w:ascii="Arial" w:cs="Arial" w:eastAsia="Arial" w:hAnsi="Arial"/>
                <w:sz w:val="14"/>
                <w:szCs w:val="14"/>
                <w:color w:val="auto"/>
              </w:rPr>
              <w:t>Property, software, and equipment, net</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6"/>
        </w:trPr>
        <w:tc>
          <w:tcPr>
            <w:tcW w:w="842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6"/>
        </w:trPr>
        <w:tc>
          <w:tcPr>
            <w:tcW w:w="8420" w:type="dxa"/>
            <w:vAlign w:val="bottom"/>
          </w:tcPr>
          <w:p>
            <w:pPr>
              <w:ind w:left="240"/>
              <w:spacing w:after="0"/>
              <w:rPr>
                <w:sz w:val="20"/>
                <w:szCs w:val="20"/>
                <w:color w:val="auto"/>
              </w:rPr>
            </w:pPr>
            <w:r>
              <w:rPr>
                <w:rFonts w:ascii="Arial" w:cs="Arial" w:eastAsia="Arial" w:hAnsi="Arial"/>
                <w:sz w:val="14"/>
                <w:szCs w:val="14"/>
                <w:color w:val="auto"/>
              </w:rPr>
              <w:t>Operating lease right-of-use-assets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Non-current prepaid expenses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5"/>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4"/>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4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2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Payables to users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5,795</w:t>
            </w:r>
          </w:p>
        </w:tc>
        <w:tc>
          <w:tcPr>
            <w:tcW w:w="0" w:type="dxa"/>
            <w:vAlign w:val="bottom"/>
          </w:tcPr>
          <w:p>
            <w:pPr>
              <w:spacing w:after="0"/>
              <w:rPr>
                <w:sz w:val="1"/>
                <w:szCs w:val="1"/>
                <w:color w:val="auto"/>
              </w:rPr>
            </w:pP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Securities loaned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User cryptocurrencies safeguarding obligation</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8,593</w:t>
            </w:r>
          </w:p>
        </w:tc>
        <w:tc>
          <w:tcPr>
            <w:tcW w:w="0" w:type="dxa"/>
            <w:vAlign w:val="bottom"/>
          </w:tcPr>
          <w:p>
            <w:pPr>
              <w:spacing w:after="0"/>
              <w:rPr>
                <w:sz w:val="1"/>
                <w:szCs w:val="1"/>
                <w:color w:val="auto"/>
              </w:rPr>
            </w:pP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Fractional shares repurchase obligation</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liabilities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5"/>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9"/>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17,399</w:t>
            </w:r>
          </w:p>
        </w:tc>
        <w:tc>
          <w:tcPr>
            <w:tcW w:w="0" w:type="dxa"/>
            <w:vAlign w:val="bottom"/>
          </w:tcPr>
          <w:p>
            <w:pPr>
              <w:spacing w:after="0"/>
              <w:rPr>
                <w:sz w:val="1"/>
                <w:szCs w:val="1"/>
                <w:color w:val="auto"/>
              </w:rPr>
            </w:pPr>
          </w:p>
        </w:tc>
      </w:tr>
      <w:tr>
        <w:trPr>
          <w:trHeight w:val="179"/>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Operating lease liabilities, non-current</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79"/>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17,531</w:t>
            </w:r>
          </w:p>
        </w:tc>
        <w:tc>
          <w:tcPr>
            <w:tcW w:w="0" w:type="dxa"/>
            <w:vAlign w:val="bottom"/>
          </w:tcPr>
          <w:p>
            <w:pPr>
              <w:spacing w:after="0"/>
              <w:rPr>
                <w:sz w:val="1"/>
                <w:szCs w:val="1"/>
                <w:color w:val="auto"/>
              </w:rPr>
            </w:pPr>
          </w:p>
        </w:tc>
      </w:tr>
      <w:tr>
        <w:trPr>
          <w:trHeight w:val="165"/>
        </w:trPr>
        <w:tc>
          <w:tcPr>
            <w:tcW w:w="842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420" w:type="dxa"/>
            <w:vAlign w:val="bottom"/>
          </w:tcPr>
          <w:p>
            <w:pPr>
              <w:ind w:left="280"/>
              <w:spacing w:after="0" w:line="151" w:lineRule="exact"/>
              <w:rPr>
                <w:sz w:val="20"/>
                <w:szCs w:val="20"/>
                <w:color w:val="auto"/>
              </w:rPr>
            </w:pPr>
            <w:r>
              <w:rPr>
                <w:rFonts w:ascii="Arial" w:cs="Arial" w:eastAsia="Arial" w:hAnsi="Arial"/>
                <w:sz w:val="14"/>
                <w:szCs w:val="14"/>
                <w:color w:val="auto"/>
              </w:rPr>
              <w:t>Class A common stock, $0.0001 par value. 21,000,000,000 shares authorized, 735,957,367 shares issued and outstanding as</w:t>
            </w: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420" w:type="dxa"/>
            <w:vAlign w:val="bottom"/>
          </w:tcPr>
          <w:p>
            <w:pPr>
              <w:ind w:left="440"/>
              <w:spacing w:after="0"/>
              <w:rPr>
                <w:sz w:val="20"/>
                <w:szCs w:val="20"/>
                <w:color w:val="auto"/>
              </w:rPr>
            </w:pPr>
            <w:r>
              <w:rPr>
                <w:rFonts w:ascii="Arial" w:cs="Arial" w:eastAsia="Arial" w:hAnsi="Arial"/>
                <w:sz w:val="14"/>
                <w:szCs w:val="14"/>
                <w:color w:val="auto"/>
              </w:rPr>
              <w:t>of December 31, 2021; 21,000,000,000 shares authorized, 750,301,918 shares issued and outstanding as of June 30, 2022.</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42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Class B common stock, par value $0.0001. 700,000,000 shares authorized, 127,955,246 shares issued and outstanding as of</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December 31, 2021; 700,000,000 shares authorized, 127,955,246 shares issued and outstanding as of June 30, 2022.</w:t>
            </w:r>
          </w:p>
        </w:tc>
        <w:tc>
          <w:tcPr>
            <w:tcW w:w="1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420" w:type="dxa"/>
            <w:vAlign w:val="bottom"/>
          </w:tcPr>
          <w:p>
            <w:pPr>
              <w:ind w:left="280"/>
              <w:spacing w:after="0" w:line="151" w:lineRule="exact"/>
              <w:rPr>
                <w:sz w:val="20"/>
                <w:szCs w:val="20"/>
                <w:color w:val="auto"/>
              </w:rPr>
            </w:pPr>
            <w:r>
              <w:rPr>
                <w:rFonts w:ascii="Arial" w:cs="Arial" w:eastAsia="Arial" w:hAnsi="Arial"/>
                <w:sz w:val="14"/>
                <w:szCs w:val="14"/>
                <w:color w:val="auto"/>
              </w:rPr>
              <w:t>Class C common stock, par value $0.0001. 7,000,000,000 shares authorized, no shares issued and outstanding as of</w:t>
            </w: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420" w:type="dxa"/>
            <w:vAlign w:val="bottom"/>
          </w:tcPr>
          <w:p>
            <w:pPr>
              <w:ind w:left="440"/>
              <w:spacing w:after="0"/>
              <w:rPr>
                <w:sz w:val="20"/>
                <w:szCs w:val="20"/>
                <w:color w:val="auto"/>
              </w:rPr>
            </w:pPr>
            <w:r>
              <w:rPr>
                <w:rFonts w:ascii="Arial" w:cs="Arial" w:eastAsia="Arial" w:hAnsi="Arial"/>
                <w:sz w:val="14"/>
                <w:szCs w:val="14"/>
                <w:color w:val="auto"/>
              </w:rPr>
              <w:t>December 31, 2021; 7,000,000,000 shares authorized, no shares issued and outstanding as of June 30, 2022.</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11,581</w:t>
            </w:r>
          </w:p>
        </w:tc>
        <w:tc>
          <w:tcPr>
            <w:tcW w:w="0" w:type="dxa"/>
            <w:vAlign w:val="bottom"/>
          </w:tcPr>
          <w:p>
            <w:pPr>
              <w:spacing w:after="0"/>
              <w:rPr>
                <w:sz w:val="1"/>
                <w:szCs w:val="1"/>
                <w:color w:val="auto"/>
              </w:rPr>
            </w:pP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(4,564)</w:t>
            </w:r>
          </w:p>
        </w:tc>
        <w:tc>
          <w:tcPr>
            <w:tcW w:w="0" w:type="dxa"/>
            <w:vAlign w:val="bottom"/>
          </w:tcPr>
          <w:p>
            <w:pPr>
              <w:spacing w:after="0"/>
              <w:rPr>
                <w:sz w:val="1"/>
                <w:szCs w:val="1"/>
                <w:color w:val="auto"/>
              </w:rPr>
            </w:pPr>
          </w:p>
        </w:tc>
      </w:tr>
      <w:tr>
        <w:trPr>
          <w:trHeight w:val="179"/>
        </w:trPr>
        <w:tc>
          <w:tcPr>
            <w:tcW w:w="84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7,017</w:t>
            </w:r>
          </w:p>
        </w:tc>
        <w:tc>
          <w:tcPr>
            <w:tcW w:w="0" w:type="dxa"/>
            <w:vAlign w:val="bottom"/>
          </w:tcPr>
          <w:p>
            <w:pPr>
              <w:spacing w:after="0"/>
              <w:rPr>
                <w:sz w:val="1"/>
                <w:szCs w:val="1"/>
                <w:color w:val="auto"/>
              </w:rPr>
            </w:pPr>
          </w:p>
        </w:tc>
      </w:tr>
      <w:tr>
        <w:trPr>
          <w:trHeight w:val="204"/>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ROBINHOOD MARKETS, INC.</w:t>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2"/>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5"/>
        </w:trPr>
        <w:tc>
          <w:tcPr>
            <w:tcW w:w="546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2"/>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60" w:type="dxa"/>
            <w:vAlign w:val="bottom"/>
          </w:tcPr>
          <w:p>
            <w:pPr>
              <w:ind w:left="20"/>
              <w:spacing w:after="0" w:line="198"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(502)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(295)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(1,947)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rPr>
              <w:t>Weighted-average shares used to compute net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4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5460" w:type="dxa"/>
            <w:vAlign w:val="bottom"/>
          </w:tcPr>
          <w:p>
            <w:pPr>
              <w:ind w:left="260"/>
              <w:spacing w:after="0"/>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232,223,019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874,873,301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231,459,227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871,343,295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46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232,223,019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874,873,301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231,459,227</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871,343,295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ROBINHOOD MARKETS, INC.</w:t>
      </w:r>
    </w:p>
    <w:p>
      <w:pPr>
        <w:spacing w:after="0" w:line="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ind w:left="480"/>
              <w:spacing w:after="0"/>
              <w:rPr>
                <w:sz w:val="20"/>
                <w:szCs w:val="20"/>
                <w:color w:val="auto"/>
              </w:rPr>
            </w:pPr>
            <w:r>
              <w:rPr>
                <w:rFonts w:ascii="Arial" w:cs="Arial" w:eastAsia="Arial" w:hAnsi="Arial"/>
                <w:sz w:val="14"/>
                <w:szCs w:val="14"/>
                <w:b w:val="1"/>
                <w:bCs w:val="1"/>
                <w:color w:val="auto"/>
              </w:rPr>
              <w:t>Six Months Ended</w:t>
            </w:r>
          </w:p>
        </w:tc>
      </w:tr>
      <w:tr>
        <w:trPr>
          <w:trHeight w:val="172"/>
        </w:trPr>
        <w:tc>
          <w:tcPr>
            <w:tcW w:w="5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r>
      <w:tr>
        <w:trPr>
          <w:trHeight w:val="17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1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05"/>
        </w:trPr>
        <w:tc>
          <w:tcPr>
            <w:tcW w:w="548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5480" w:type="dxa"/>
            <w:vAlign w:val="bottom"/>
          </w:tcPr>
          <w:p>
            <w:pPr>
              <w:ind w:left="220"/>
              <w:spacing w:after="0"/>
              <w:rPr>
                <w:sz w:val="20"/>
                <w:szCs w:val="20"/>
                <w:color w:val="auto"/>
              </w:rPr>
            </w:pPr>
            <w:r>
              <w:rPr>
                <w:rFonts w:ascii="Arial" w:cs="Arial" w:eastAsia="Arial" w:hAnsi="Arial"/>
                <w:sz w:val="18"/>
                <w:szCs w:val="18"/>
                <w:color w:val="auto"/>
              </w:rPr>
              <w:t>Total other comprehensive loss, net of tax</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(1,947)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ROBINHOOD MARKETS, INC.</w:t>
      </w:r>
    </w:p>
    <w:p>
      <w:pPr>
        <w:spacing w:after="0" w:line="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789"/>
              <w:spacing w:after="0"/>
              <w:rPr>
                <w:sz w:val="20"/>
                <w:szCs w:val="20"/>
                <w:color w:val="auto"/>
              </w:rPr>
            </w:pPr>
            <w:r>
              <w:rPr>
                <w:rFonts w:ascii="Arial" w:cs="Arial" w:eastAsia="Arial" w:hAnsi="Arial"/>
                <w:sz w:val="14"/>
                <w:szCs w:val="14"/>
                <w:b w:val="1"/>
                <w:bCs w:val="1"/>
                <w:color w:val="auto"/>
              </w:rPr>
              <w:t>Six Months Ended</w:t>
            </w:r>
          </w:p>
        </w:tc>
      </w:tr>
      <w:tr>
        <w:trPr>
          <w:trHeight w:val="172"/>
        </w:trPr>
        <w:tc>
          <w:tcPr>
            <w:tcW w:w="8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r>
      <w:tr>
        <w:trPr>
          <w:trHeight w:val="17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r>
      <w:tr>
        <w:trPr>
          <w:trHeight w:val="16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(1,947)</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(687)</w:t>
            </w: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3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6"/>
        </w:trPr>
        <w:tc>
          <w:tcPr>
            <w:tcW w:w="832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convertible notes and warrant liability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Segregated securities under federal and other regulations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5"/>
        </w:trPr>
        <w:tc>
          <w:tcPr>
            <w:tcW w:w="8320" w:type="dxa"/>
            <w:vAlign w:val="bottom"/>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users, net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r>
      <w:tr>
        <w:trPr>
          <w:trHeight w:val="185"/>
        </w:trPr>
        <w:tc>
          <w:tcPr>
            <w:tcW w:w="8320" w:type="dxa"/>
            <w:vAlign w:val="bottom"/>
          </w:tcPr>
          <w:p>
            <w:pPr>
              <w:ind w:left="24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8320" w:type="dxa"/>
            <w:vAlign w:val="bottom"/>
          </w:tcPr>
          <w:p>
            <w:pPr>
              <w:ind w:left="240"/>
              <w:spacing w:after="0"/>
              <w:rPr>
                <w:sz w:val="20"/>
                <w:szCs w:val="20"/>
                <w:color w:val="auto"/>
              </w:rPr>
            </w:pPr>
            <w:r>
              <w:rPr>
                <w:rFonts w:ascii="Arial" w:cs="Arial" w:eastAsia="Arial" w:hAnsi="Arial"/>
                <w:sz w:val="14"/>
                <w:szCs w:val="14"/>
                <w:color w:val="auto"/>
              </w:rPr>
              <w:t>Current and non-current prepaid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and non-current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6"/>
        </w:trPr>
        <w:tc>
          <w:tcPr>
            <w:tcW w:w="832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Payables to users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1,871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r>
      <w:tr>
        <w:trPr>
          <w:trHeight w:val="186"/>
        </w:trPr>
        <w:tc>
          <w:tcPr>
            <w:tcW w:w="8320" w:type="dxa"/>
            <w:vAlign w:val="bottom"/>
          </w:tcPr>
          <w:p>
            <w:pPr>
              <w:ind w:left="240"/>
              <w:spacing w:after="0"/>
              <w:rPr>
                <w:sz w:val="20"/>
                <w:szCs w:val="20"/>
                <w:color w:val="auto"/>
              </w:rPr>
            </w:pPr>
            <w:r>
              <w:rPr>
                <w:rFonts w:ascii="Arial" w:cs="Arial" w:eastAsia="Arial" w:hAnsi="Arial"/>
                <w:sz w:val="14"/>
                <w:szCs w:val="14"/>
                <w:color w:val="auto"/>
              </w:rPr>
              <w:t>Securities loaned</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722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(2,284)</w:t>
            </w:r>
          </w:p>
        </w:tc>
      </w:tr>
      <w:tr>
        <w:trPr>
          <w:trHeight w:val="18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and non-current operating lease liabilities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5"/>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and non-current liabilities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79"/>
        </w:trPr>
        <w:tc>
          <w:tcPr>
            <w:tcW w:w="83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w:t>
            </w:r>
          </w:p>
        </w:tc>
      </w:tr>
      <w:tr>
        <w:trPr>
          <w:trHeight w:val="166"/>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property, software, and equipment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6"/>
        </w:trPr>
        <w:tc>
          <w:tcPr>
            <w:tcW w:w="8320" w:type="dxa"/>
            <w:vAlign w:val="bottom"/>
          </w:tcPr>
          <w:p>
            <w:pPr>
              <w:ind w:left="240"/>
              <w:spacing w:after="0"/>
              <w:rPr>
                <w:sz w:val="20"/>
                <w:szCs w:val="20"/>
                <w:color w:val="auto"/>
              </w:rPr>
            </w:pPr>
            <w:r>
              <w:rPr>
                <w:rFonts w:ascii="Arial" w:cs="Arial" w:eastAsia="Arial" w:hAnsi="Arial"/>
                <w:sz w:val="14"/>
                <w:szCs w:val="14"/>
                <w:color w:val="auto"/>
              </w:rPr>
              <w:t>Capitalization of internally developed software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investments</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5"/>
        </w:trPr>
        <w:tc>
          <w:tcPr>
            <w:tcW w:w="8320" w:type="dxa"/>
            <w:vAlign w:val="bottom"/>
          </w:tcPr>
          <w:p>
            <w:pPr>
              <w:ind w:left="240"/>
              <w:spacing w:after="0"/>
              <w:rPr>
                <w:sz w:val="20"/>
                <w:szCs w:val="20"/>
                <w:color w:val="auto"/>
              </w:rPr>
            </w:pPr>
            <w:r>
              <w:rPr>
                <w:rFonts w:ascii="Arial" w:cs="Arial" w:eastAsia="Arial" w:hAnsi="Arial"/>
                <w:sz w:val="14"/>
                <w:szCs w:val="14"/>
                <w:color w:val="auto"/>
              </w:rPr>
              <w:t>Sales of investments</w:t>
            </w:r>
          </w:p>
        </w:tc>
        <w:tc>
          <w:tcPr>
            <w:tcW w:w="3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79"/>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65"/>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5"/>
        </w:trPr>
        <w:tc>
          <w:tcPr>
            <w:tcW w:w="832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under the Employee Stock Purchase Plan</w:t>
            </w:r>
          </w:p>
        </w:tc>
        <w:tc>
          <w:tcPr>
            <w:tcW w:w="3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5"/>
        </w:trPr>
        <w:tc>
          <w:tcPr>
            <w:tcW w:w="8320" w:type="dxa"/>
            <w:vAlign w:val="bottom"/>
          </w:tcPr>
          <w:p>
            <w:pPr>
              <w:ind w:left="240"/>
              <w:spacing w:after="0"/>
              <w:rPr>
                <w:sz w:val="20"/>
                <w:szCs w:val="20"/>
                <w:color w:val="auto"/>
              </w:rPr>
            </w:pPr>
            <w:r>
              <w:rPr>
                <w:rFonts w:ascii="Arial" w:cs="Arial" w:eastAsia="Arial" w:hAnsi="Arial"/>
                <w:sz w:val="14"/>
                <w:szCs w:val="14"/>
                <w:color w:val="auto"/>
              </w:rPr>
              <w:t>Proceeds from issuance of convertible notes and warrants</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3,552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of debt issuance costs</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5"/>
        </w:trPr>
        <w:tc>
          <w:tcPr>
            <w:tcW w:w="8320" w:type="dxa"/>
            <w:vAlign w:val="bottom"/>
          </w:tcPr>
          <w:p>
            <w:pPr>
              <w:ind w:left="240"/>
              <w:spacing w:after="0"/>
              <w:rPr>
                <w:sz w:val="20"/>
                <w:szCs w:val="20"/>
                <w:color w:val="auto"/>
              </w:rPr>
            </w:pPr>
            <w:r>
              <w:rPr>
                <w:rFonts w:ascii="Arial" w:cs="Arial" w:eastAsia="Arial" w:hAnsi="Arial"/>
                <w:sz w:val="14"/>
                <w:szCs w:val="14"/>
                <w:color w:val="auto"/>
              </w:rPr>
              <w:t>Draws on credit facilities</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1,348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facilities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5"/>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Proceeds from exercise of stock options, net of repurchases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79"/>
        </w:trPr>
        <w:tc>
          <w:tcPr>
            <w:tcW w:w="83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3,559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9"/>
        </w:trPr>
        <w:tc>
          <w:tcPr>
            <w:tcW w:w="8320" w:type="dxa"/>
            <w:vAlign w:val="bottom"/>
          </w:tcPr>
          <w:p>
            <w:pPr>
              <w:ind w:left="440"/>
              <w:spacing w:after="0"/>
              <w:rPr>
                <w:sz w:val="20"/>
                <w:szCs w:val="20"/>
                <w:color w:val="auto"/>
              </w:rPr>
            </w:pPr>
            <w:r>
              <w:rPr>
                <w:rFonts w:ascii="Arial" w:cs="Arial" w:eastAsia="Arial" w:hAnsi="Arial"/>
                <w:sz w:val="14"/>
                <w:szCs w:val="14"/>
                <w:color w:val="auto"/>
              </w:rPr>
              <w:t>Net increase (decrease) in cash, cash equivalents, segregated cash and restricted cash</w:t>
            </w:r>
          </w:p>
        </w:tc>
        <w:tc>
          <w:tcPr>
            <w:tcW w:w="32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3,930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(885)</w:t>
            </w:r>
          </w:p>
        </w:tc>
      </w:tr>
      <w:tr>
        <w:trPr>
          <w:trHeight w:val="18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beginning of the period</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6,190</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10,270</w:t>
            </w:r>
          </w:p>
        </w:tc>
      </w:tr>
      <w:tr>
        <w:trPr>
          <w:trHeight w:val="179"/>
        </w:trPr>
        <w:tc>
          <w:tcPr>
            <w:tcW w:w="8320" w:type="dxa"/>
            <w:vAlign w:val="bottom"/>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10,120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9,385</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the period</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5,078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w:t>
            </w:r>
          </w:p>
        </w:tc>
      </w:tr>
      <w:tr>
        <w:trPr>
          <w:trHeight w:val="185"/>
        </w:trPr>
        <w:tc>
          <w:tcPr>
            <w:tcW w:w="8320" w:type="dxa"/>
            <w:vAlign w:val="bottom"/>
          </w:tcPr>
          <w:p>
            <w:pPr>
              <w:ind w:left="20"/>
              <w:spacing w:after="0"/>
              <w:rPr>
                <w:sz w:val="20"/>
                <w:szCs w:val="20"/>
                <w:color w:val="auto"/>
              </w:rPr>
            </w:pPr>
            <w:r>
              <w:rPr>
                <w:rFonts w:ascii="Arial" w:cs="Arial" w:eastAsia="Arial" w:hAnsi="Arial"/>
                <w:sz w:val="14"/>
                <w:szCs w:val="14"/>
                <w:color w:val="auto"/>
              </w:rPr>
              <w:t>Segregated cash, end of the period</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5,025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3,400</w:t>
            </w: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(current and non-current), end of the period</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79"/>
        </w:trPr>
        <w:tc>
          <w:tcPr>
            <w:tcW w:w="8320" w:type="dxa"/>
            <w:vAlign w:val="bottom"/>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10,120</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9,385</w:t>
            </w: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32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 net of refund received</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5"/>
        </w:trPr>
        <w:tc>
          <w:tcPr>
            <w:tcW w:w="8320" w:type="dxa"/>
            <w:vAlign w:val="bottom"/>
          </w:tcPr>
          <w:p>
            <w:pPr>
              <w:ind w:left="240"/>
              <w:spacing w:after="0"/>
              <w:rPr>
                <w:sz w:val="20"/>
                <w:szCs w:val="20"/>
                <w:color w:val="auto"/>
              </w:rPr>
            </w:pPr>
            <w:r>
              <w:rPr>
                <w:rFonts w:ascii="Arial" w:cs="Arial" w:eastAsia="Arial" w:hAnsi="Arial"/>
                <w:sz w:val="14"/>
                <w:szCs w:val="14"/>
                <w:color w:val="auto"/>
              </w:rPr>
              <w:t>Non-cash operating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8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Asset related to user cryptocurrencies safeguarding obligation</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8,593</w:t>
            </w:r>
          </w:p>
        </w:tc>
      </w:tr>
      <w:tr>
        <w:trPr>
          <w:trHeight w:val="188"/>
        </w:trPr>
        <w:tc>
          <w:tcPr>
            <w:tcW w:w="8320" w:type="dxa"/>
            <w:vAlign w:val="bottom"/>
          </w:tcPr>
          <w:p>
            <w:pPr>
              <w:ind w:left="420"/>
              <w:spacing w:after="0"/>
              <w:rPr>
                <w:sz w:val="20"/>
                <w:szCs w:val="20"/>
                <w:color w:val="auto"/>
              </w:rPr>
            </w:pPr>
            <w:r>
              <w:rPr>
                <w:rFonts w:ascii="Arial" w:cs="Arial" w:eastAsia="Arial" w:hAnsi="Arial"/>
                <w:sz w:val="14"/>
                <w:szCs w:val="14"/>
                <w:color w:val="auto"/>
              </w:rPr>
              <w:t>User cryptocurrencies safeguarding obligation</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8,593</w:t>
            </w: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ROBINHOOD MARKETS, INC.</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20" w:type="dxa"/>
            <w:vAlign w:val="bottom"/>
          </w:tcPr>
          <w:p>
            <w:pPr>
              <w:spacing w:after="0"/>
              <w:rPr>
                <w:sz w:val="17"/>
                <w:szCs w:val="17"/>
                <w:color w:val="auto"/>
              </w:rPr>
            </w:pPr>
          </w:p>
        </w:tc>
        <w:tc>
          <w:tcPr>
            <w:tcW w:w="2160" w:type="dxa"/>
            <w:vAlign w:val="bottom"/>
            <w:tcBorders>
              <w:right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Redeemable convertible preferred</w:t>
            </w:r>
          </w:p>
        </w:tc>
        <w:tc>
          <w:tcPr>
            <w:tcW w:w="60" w:type="dxa"/>
            <w:vAlign w:val="bottom"/>
          </w:tcPr>
          <w:p>
            <w:pPr>
              <w:spacing w:after="0"/>
              <w:rPr>
                <w:sz w:val="17"/>
                <w:szCs w:val="17"/>
                <w:color w:val="auto"/>
              </w:rPr>
            </w:pPr>
          </w:p>
        </w:tc>
        <w:tc>
          <w:tcPr>
            <w:tcW w:w="1840" w:type="dxa"/>
            <w:vAlign w:val="bottom"/>
            <w:gridSpan w:val="3"/>
            <w:vMerge w:val="restart"/>
          </w:tcPr>
          <w:p>
            <w:pPr>
              <w:jc w:val="right"/>
              <w:ind w:right="292"/>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1280" w:type="dxa"/>
            <w:vAlign w:val="bottom"/>
            <w:gridSpan w:val="3"/>
          </w:tcPr>
          <w:p>
            <w:pPr>
              <w:jc w:val="right"/>
              <w:ind w:right="9"/>
              <w:spacing w:after="0" w:line="120" w:lineRule="exact"/>
              <w:rPr>
                <w:sz w:val="20"/>
                <w:szCs w:val="20"/>
                <w:color w:val="auto"/>
              </w:rPr>
            </w:pPr>
            <w:r>
              <w:rPr>
                <w:rFonts w:ascii="Arial" w:cs="Arial" w:eastAsia="Arial" w:hAnsi="Arial"/>
                <w:sz w:val="12"/>
                <w:szCs w:val="12"/>
                <w:b w:val="1"/>
                <w:bCs w:val="1"/>
                <w:color w:val="auto"/>
              </w:rPr>
              <w:t>stock</w:t>
            </w:r>
          </w:p>
        </w:tc>
        <w:tc>
          <w:tcPr>
            <w:tcW w:w="7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6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60"/>
              <w:spacing w:after="0" w:line="53"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980" w:type="dxa"/>
            <w:vAlign w:val="bottom"/>
            <w:gridSpan w:val="2"/>
          </w:tcPr>
          <w:p>
            <w:pPr>
              <w:spacing w:after="0" w:line="53"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00" w:type="dxa"/>
            <w:vAlign w:val="bottom"/>
          </w:tcPr>
          <w:p>
            <w:pPr>
              <w:jc w:val="center"/>
              <w:ind w:right="36"/>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4"/>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rPr>
              <w:t>income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(deficit) equity</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232,257,374</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50"/>
        </w:trPr>
        <w:tc>
          <w:tcPr>
            <w:tcW w:w="26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Shares issued in connection with stock</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352,583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 exercise, net of repurchases</w:t>
            </w:r>
          </w:p>
        </w:tc>
        <w:tc>
          <w:tcPr>
            <w:tcW w:w="11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232,609,957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1360" w:type="dxa"/>
            <w:vAlign w:val="bottom"/>
          </w:tcPr>
          <w:p>
            <w:pPr>
              <w:spacing w:after="0"/>
              <w:rPr>
                <w:sz w:val="17"/>
                <w:szCs w:val="17"/>
                <w:color w:val="auto"/>
              </w:rPr>
            </w:pPr>
          </w:p>
        </w:tc>
        <w:tc>
          <w:tcPr>
            <w:tcW w:w="2040" w:type="dxa"/>
            <w:vAlign w:val="bottom"/>
            <w:tcBorders>
              <w:right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Redeemable convertible</w:t>
            </w:r>
          </w:p>
        </w:tc>
        <w:tc>
          <w:tcPr>
            <w:tcW w:w="60" w:type="dxa"/>
            <w:vAlign w:val="bottom"/>
          </w:tcPr>
          <w:p>
            <w:pPr>
              <w:spacing w:after="0"/>
              <w:rPr>
                <w:sz w:val="17"/>
                <w:szCs w:val="17"/>
                <w:color w:val="auto"/>
              </w:rPr>
            </w:pPr>
          </w:p>
        </w:tc>
        <w:tc>
          <w:tcPr>
            <w:tcW w:w="2380" w:type="dxa"/>
            <w:vAlign w:val="bottom"/>
            <w:gridSpan w:val="5"/>
            <w:vMerge w:val="restart"/>
          </w:tcPr>
          <w:p>
            <w:pPr>
              <w:ind w:left="820"/>
              <w:spacing w:after="0"/>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2040" w:type="dxa"/>
            <w:vAlign w:val="bottom"/>
            <w:tcBorders>
              <w:right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preferred stock</w:t>
            </w:r>
          </w:p>
        </w:tc>
        <w:tc>
          <w:tcPr>
            <w:tcW w:w="6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360" w:type="dxa"/>
            <w:vAlign w:val="bottom"/>
          </w:tcPr>
          <w:p>
            <w:pPr>
              <w:ind w:left="340"/>
              <w:spacing w:after="0" w:line="100" w:lineRule="exact"/>
              <w:rPr>
                <w:sz w:val="20"/>
                <w:szCs w:val="20"/>
                <w:color w:val="auto"/>
              </w:rPr>
            </w:pPr>
            <w:r>
              <w:rPr>
                <w:rFonts w:ascii="Arial" w:cs="Arial" w:eastAsia="Arial" w:hAnsi="Arial"/>
                <w:sz w:val="11"/>
                <w:szCs w:val="11"/>
                <w:i w:val="1"/>
                <w:iCs w:val="1"/>
                <w:color w:val="auto"/>
              </w:rPr>
              <w:t>(in millions,</w:t>
            </w:r>
          </w:p>
        </w:tc>
        <w:tc>
          <w:tcPr>
            <w:tcW w:w="8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Additional</w:t>
            </w:r>
          </w:p>
        </w:tc>
        <w:tc>
          <w:tcPr>
            <w:tcW w:w="460" w:type="dxa"/>
            <w:vAlign w:val="bottom"/>
          </w:tcPr>
          <w:p>
            <w:pPr>
              <w:spacing w:after="0"/>
              <w:rPr>
                <w:sz w:val="8"/>
                <w:szCs w:val="8"/>
                <w:color w:val="auto"/>
              </w:rPr>
            </w:pPr>
          </w:p>
        </w:tc>
        <w:tc>
          <w:tcPr>
            <w:tcW w:w="106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Accumulated</w:t>
            </w:r>
          </w:p>
        </w:tc>
        <w:tc>
          <w:tcPr>
            <w:tcW w:w="1340" w:type="dxa"/>
            <w:vAlign w:val="bottom"/>
            <w:gridSpan w:val="3"/>
            <w:vMerge w:val="restart"/>
          </w:tcPr>
          <w:p>
            <w:pPr>
              <w:ind w:left="400"/>
              <w:spacing w:after="0"/>
              <w:rPr>
                <w:sz w:val="20"/>
                <w:szCs w:val="20"/>
                <w:color w:val="auto"/>
              </w:rPr>
            </w:pPr>
            <w:r>
              <w:rPr>
                <w:rFonts w:ascii="Arial" w:cs="Arial" w:eastAsia="Arial" w:hAnsi="Arial"/>
                <w:sz w:val="12"/>
                <w:szCs w:val="12"/>
                <w:b w:val="1"/>
                <w:bCs w:val="1"/>
                <w:color w:val="auto"/>
              </w:rPr>
              <w:t>Accumulated</w:t>
            </w:r>
          </w:p>
        </w:tc>
        <w:tc>
          <w:tcPr>
            <w:tcW w:w="520" w:type="dxa"/>
            <w:vAlign w:val="bottom"/>
          </w:tcPr>
          <w:p>
            <w:pPr>
              <w:spacing w:after="0"/>
              <w:rPr>
                <w:sz w:val="8"/>
                <w:szCs w:val="8"/>
                <w:color w:val="auto"/>
              </w:rPr>
            </w:pPr>
          </w:p>
        </w:tc>
        <w:tc>
          <w:tcPr>
            <w:tcW w:w="460" w:type="dxa"/>
            <w:vAlign w:val="bottom"/>
          </w:tcPr>
          <w:p>
            <w:pPr>
              <w:jc w:val="right"/>
              <w:ind w:right="12"/>
              <w:spacing w:after="0" w:line="100"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9"/>
        </w:trPr>
        <w:tc>
          <w:tcPr>
            <w:tcW w:w="1360" w:type="dxa"/>
            <w:vAlign w:val="bottom"/>
          </w:tcPr>
          <w:p>
            <w:pPr>
              <w:ind w:left="20"/>
              <w:spacing w:after="0" w:line="120" w:lineRule="exact"/>
              <w:rPr>
                <w:sz w:val="20"/>
                <w:szCs w:val="20"/>
                <w:color w:val="auto"/>
              </w:rPr>
            </w:pPr>
            <w:r>
              <w:rPr>
                <w:rFonts w:ascii="Arial" w:cs="Arial" w:eastAsia="Arial" w:hAnsi="Arial"/>
                <w:sz w:val="12"/>
                <w:szCs w:val="12"/>
                <w:i w:val="1"/>
                <w:iCs w:val="1"/>
                <w:color w:val="auto"/>
              </w:rPr>
              <w:t>except for number of</w:t>
            </w:r>
          </w:p>
        </w:tc>
        <w:tc>
          <w:tcPr>
            <w:tcW w:w="84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Shares</w:t>
            </w:r>
          </w:p>
        </w:tc>
        <w:tc>
          <w:tcPr>
            <w:tcW w:w="6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vMerge w:val="restart"/>
          </w:tcPr>
          <w:p>
            <w:pPr>
              <w:ind w:left="540"/>
              <w:spacing w:after="0"/>
              <w:rPr>
                <w:sz w:val="20"/>
                <w:szCs w:val="20"/>
                <w:color w:val="auto"/>
              </w:rPr>
            </w:pPr>
            <w:r>
              <w:rPr>
                <w:rFonts w:ascii="Arial" w:cs="Arial" w:eastAsia="Arial" w:hAnsi="Arial"/>
                <w:sz w:val="12"/>
                <w:szCs w:val="12"/>
                <w:b w:val="1"/>
                <w:bCs w:val="1"/>
                <w:color w:val="auto"/>
              </w:rPr>
              <w:t>Shares</w:t>
            </w:r>
          </w:p>
        </w:tc>
        <w:tc>
          <w:tcPr>
            <w:tcW w:w="8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2"/>
                <w:szCs w:val="12"/>
                <w:b w:val="1"/>
                <w:bCs w:val="1"/>
                <w:color w:val="auto"/>
              </w:rPr>
              <w:t>paid-in</w:t>
            </w:r>
          </w:p>
        </w:tc>
        <w:tc>
          <w:tcPr>
            <w:tcW w:w="1520" w:type="dxa"/>
            <w:vAlign w:val="bottom"/>
            <w:gridSpan w:val="3"/>
          </w:tcPr>
          <w:p>
            <w:pPr>
              <w:ind w:left="100"/>
              <w:spacing w:after="0" w:line="120" w:lineRule="exact"/>
              <w:rPr>
                <w:sz w:val="20"/>
                <w:szCs w:val="20"/>
                <w:color w:val="auto"/>
              </w:rPr>
            </w:pPr>
            <w:r>
              <w:rPr>
                <w:rFonts w:ascii="Arial" w:cs="Arial" w:eastAsia="Arial" w:hAnsi="Arial"/>
                <w:sz w:val="12"/>
                <w:szCs w:val="12"/>
                <w:b w:val="1"/>
                <w:bCs w:val="1"/>
                <w:color w:val="auto"/>
              </w:rPr>
              <w:t>other comprehensive</w:t>
            </w:r>
          </w:p>
        </w:tc>
        <w:tc>
          <w:tcPr>
            <w:tcW w:w="1340" w:type="dxa"/>
            <w:vAlign w:val="bottom"/>
            <w:gridSpan w:val="3"/>
            <w:vMerge w:val="continue"/>
          </w:tcPr>
          <w:p>
            <w:pPr>
              <w:spacing w:after="0"/>
              <w:rPr>
                <w:sz w:val="10"/>
                <w:szCs w:val="10"/>
                <w:color w:val="auto"/>
              </w:rPr>
            </w:pPr>
          </w:p>
        </w:tc>
        <w:tc>
          <w:tcPr>
            <w:tcW w:w="98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shares)</w:t>
            </w:r>
          </w:p>
        </w:tc>
        <w:tc>
          <w:tcPr>
            <w:tcW w:w="8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right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income</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(deficit) equit</w:t>
            </w:r>
          </w:p>
        </w:tc>
        <w:tc>
          <w:tcPr>
            <w:tcW w:w="0" w:type="dxa"/>
            <w:vAlign w:val="bottom"/>
          </w:tcPr>
          <w:p>
            <w:pPr>
              <w:spacing w:after="0"/>
              <w:rPr>
                <w:sz w:val="1"/>
                <w:szCs w:val="1"/>
                <w:color w:val="auto"/>
              </w:rPr>
            </w:pPr>
          </w:p>
        </w:tc>
      </w:tr>
      <w:tr>
        <w:trPr>
          <w:trHeight w:val="131"/>
        </w:trPr>
        <w:tc>
          <w:tcPr>
            <w:tcW w:w="1360" w:type="dxa"/>
            <w:vAlign w:val="bottom"/>
            <w:shd w:val="clear" w:color="auto" w:fill="CCEEFF"/>
          </w:tcPr>
          <w:p>
            <w:pPr>
              <w:ind w:left="340"/>
              <w:spacing w:after="0" w:line="131" w:lineRule="exact"/>
              <w:rPr>
                <w:sz w:val="20"/>
                <w:szCs w:val="20"/>
                <w:color w:val="auto"/>
              </w:rPr>
            </w:pPr>
            <w:r>
              <w:rPr>
                <w:rFonts w:ascii="Arial" w:cs="Arial" w:eastAsia="Arial" w:hAnsi="Arial"/>
                <w:sz w:val="14"/>
                <w:szCs w:val="14"/>
                <w:b w:val="1"/>
                <w:bCs w:val="1"/>
                <w:color w:val="auto"/>
              </w:rPr>
              <w:t>Balance as of</w:t>
            </w: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869,808,009</w:t>
            </w:r>
          </w:p>
        </w:tc>
        <w:tc>
          <w:tcPr>
            <w:tcW w:w="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11,400</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(4,269)</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2"/>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2022</w:t>
            </w:r>
          </w:p>
        </w:tc>
        <w:tc>
          <w:tcPr>
            <w:tcW w:w="90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60" w:type="dxa"/>
            <w:vAlign w:val="bottom"/>
          </w:tcPr>
          <w:p>
            <w:pPr>
              <w:ind w:left="34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00" w:type="dxa"/>
            <w:vAlign w:val="bottom"/>
            <w:tcBorders>
              <w:right w:val="single" w:sz="8" w:color="auto"/>
            </w:tcBorders>
            <w:gridSpan w:val="2"/>
          </w:tcPr>
          <w:p>
            <w:pPr>
              <w:ind w:left="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0"/>
        </w:trPr>
        <w:tc>
          <w:tcPr>
            <w:tcW w:w="13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Shares issued in</w:t>
            </w: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connection with</w:t>
            </w: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stock option</w:t>
            </w: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exercise, net of</w:t>
            </w: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700" w:type="dxa"/>
            <w:vAlign w:val="bottom"/>
            <w:tcBorders>
              <w:right w:val="single" w:sz="8" w:color="auto"/>
            </w:tcBorders>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424,596</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90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360" w:type="dxa"/>
            <w:vAlign w:val="bottom"/>
          </w:tcPr>
          <w:p>
            <w:pPr>
              <w:ind w:left="20"/>
              <w:spacing w:after="0" w:line="151" w:lineRule="exact"/>
              <w:rPr>
                <w:sz w:val="20"/>
                <w:szCs w:val="20"/>
                <w:color w:val="auto"/>
              </w:rPr>
            </w:pPr>
            <w:r>
              <w:rPr>
                <w:rFonts w:ascii="Arial" w:cs="Arial" w:eastAsia="Arial" w:hAnsi="Arial"/>
                <w:sz w:val="14"/>
                <w:szCs w:val="14"/>
                <w:color w:val="auto"/>
              </w:rPr>
              <w:t>Issuance of common</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60" w:type="dxa"/>
            <w:vAlign w:val="bottom"/>
          </w:tcPr>
          <w:p>
            <w:pPr>
              <w:ind w:left="180"/>
              <w:spacing w:after="0" w:line="133" w:lineRule="exact"/>
              <w:rPr>
                <w:sz w:val="20"/>
                <w:szCs w:val="20"/>
                <w:color w:val="auto"/>
              </w:rPr>
            </w:pPr>
            <w:r>
              <w:rPr>
                <w:rFonts w:ascii="Arial" w:cs="Arial" w:eastAsia="Arial" w:hAnsi="Arial"/>
                <w:sz w:val="14"/>
                <w:szCs w:val="14"/>
                <w:color w:val="auto"/>
              </w:rPr>
              <w:t>stock in</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60" w:type="dxa"/>
            <w:vAlign w:val="bottom"/>
          </w:tcPr>
          <w:p>
            <w:pPr>
              <w:ind w:left="180"/>
              <w:spacing w:after="0" w:line="133" w:lineRule="exact"/>
              <w:rPr>
                <w:sz w:val="20"/>
                <w:szCs w:val="20"/>
                <w:color w:val="auto"/>
              </w:rPr>
            </w:pPr>
            <w:r>
              <w:rPr>
                <w:rFonts w:ascii="Arial" w:cs="Arial" w:eastAsia="Arial" w:hAnsi="Arial"/>
                <w:sz w:val="14"/>
                <w:szCs w:val="14"/>
                <w:color w:val="auto"/>
              </w:rPr>
              <w:t>connection with</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60" w:type="dxa"/>
            <w:vAlign w:val="bottom"/>
          </w:tcPr>
          <w:p>
            <w:pPr>
              <w:ind w:left="180"/>
              <w:spacing w:after="0" w:line="133" w:lineRule="exact"/>
              <w:rPr>
                <w:sz w:val="20"/>
                <w:szCs w:val="20"/>
                <w:color w:val="auto"/>
              </w:rPr>
            </w:pPr>
            <w:r>
              <w:rPr>
                <w:rFonts w:ascii="Arial" w:cs="Arial" w:eastAsia="Arial" w:hAnsi="Arial"/>
                <w:sz w:val="14"/>
                <w:szCs w:val="14"/>
                <w:color w:val="auto"/>
              </w:rPr>
              <w:t>Employee Stock</w:t>
            </w:r>
          </w:p>
        </w:tc>
        <w:tc>
          <w:tcPr>
            <w:tcW w:w="90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70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1,529,727</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6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9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Issuance of common</w:t>
            </w: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stock upon</w:t>
            </w: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settlement of</w:t>
            </w: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700" w:type="dxa"/>
            <w:vAlign w:val="bottom"/>
            <w:tcBorders>
              <w:right w:val="single" w:sz="8" w:color="auto"/>
            </w:tcBorders>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6,764,433</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RSUs</w:t>
            </w:r>
          </w:p>
        </w:tc>
        <w:tc>
          <w:tcPr>
            <w:tcW w:w="90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360" w:type="dxa"/>
            <w:vAlign w:val="bottom"/>
          </w:tcPr>
          <w:p>
            <w:pPr>
              <w:ind w:left="20"/>
              <w:spacing w:after="0" w:line="151" w:lineRule="exact"/>
              <w:rPr>
                <w:sz w:val="20"/>
                <w:szCs w:val="20"/>
                <w:color w:val="auto"/>
              </w:rPr>
            </w:pPr>
            <w:r>
              <w:rPr>
                <w:rFonts w:ascii="Arial" w:cs="Arial" w:eastAsia="Arial" w:hAnsi="Arial"/>
                <w:sz w:val="14"/>
                <w:szCs w:val="14"/>
                <w:color w:val="auto"/>
              </w:rPr>
              <w:t>Shares withheld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60" w:type="dxa"/>
            <w:vAlign w:val="bottom"/>
          </w:tcPr>
          <w:p>
            <w:pPr>
              <w:ind w:left="180"/>
              <w:spacing w:after="0" w:line="133" w:lineRule="exact"/>
              <w:rPr>
                <w:sz w:val="20"/>
                <w:szCs w:val="20"/>
                <w:color w:val="auto"/>
              </w:rPr>
            </w:pPr>
            <w:r>
              <w:rPr>
                <w:rFonts w:ascii="Arial" w:cs="Arial" w:eastAsia="Arial" w:hAnsi="Arial"/>
                <w:sz w:val="14"/>
                <w:szCs w:val="14"/>
                <w:color w:val="auto"/>
              </w:rPr>
              <w:t>related to net</w:t>
            </w:r>
          </w:p>
        </w:tc>
        <w:tc>
          <w:tcPr>
            <w:tcW w:w="90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70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180" w:type="dxa"/>
            <w:vAlign w:val="bottom"/>
            <w:vMerge w:val="restart"/>
          </w:tcPr>
          <w:p>
            <w:pPr>
              <w:ind w:left="560"/>
              <w:spacing w:after="0"/>
              <w:rPr>
                <w:sz w:val="20"/>
                <w:szCs w:val="20"/>
                <w:color w:val="auto"/>
              </w:rPr>
            </w:pPr>
            <w:r>
              <w:rPr>
                <w:rFonts w:ascii="Arial" w:cs="Arial" w:eastAsia="Arial" w:hAnsi="Arial"/>
                <w:sz w:val="14"/>
                <w:szCs w:val="14"/>
                <w:color w:val="auto"/>
              </w:rPr>
              <w:t>(269,601)</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60" w:type="dxa"/>
            <w:vAlign w:val="bottom"/>
          </w:tcPr>
          <w:p>
            <w:pPr>
              <w:ind w:left="180"/>
              <w:spacing w:after="0"/>
              <w:rPr>
                <w:sz w:val="20"/>
                <w:szCs w:val="20"/>
                <w:color w:val="auto"/>
              </w:rPr>
            </w:pPr>
            <w:r>
              <w:rPr>
                <w:rFonts w:ascii="Arial" w:cs="Arial" w:eastAsia="Arial" w:hAnsi="Arial"/>
                <w:sz w:val="14"/>
                <w:szCs w:val="14"/>
                <w:color w:val="auto"/>
              </w:rPr>
              <w:t>share settlement</w:t>
            </w:r>
          </w:p>
        </w:tc>
        <w:tc>
          <w:tcPr>
            <w:tcW w:w="9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CCEEFF"/>
          </w:tcPr>
          <w:p>
            <w:pPr>
              <w:ind w:left="340"/>
              <w:spacing w:after="0" w:line="151" w:lineRule="exact"/>
              <w:rPr>
                <w:sz w:val="20"/>
                <w:szCs w:val="20"/>
                <w:color w:val="auto"/>
              </w:rPr>
            </w:pPr>
            <w:r>
              <w:rPr>
                <w:rFonts w:ascii="Arial" w:cs="Arial" w:eastAsia="Arial" w:hAnsi="Arial"/>
                <w:sz w:val="14"/>
                <w:szCs w:val="14"/>
                <w:color w:val="auto"/>
              </w:rPr>
              <w:t>Share-based</w:t>
            </w:r>
          </w:p>
        </w:tc>
        <w:tc>
          <w:tcPr>
            <w:tcW w:w="84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ind w:left="340"/>
              <w:spacing w:after="0" w:line="126" w:lineRule="exact"/>
              <w:rPr>
                <w:sz w:val="20"/>
                <w:szCs w:val="20"/>
                <w:color w:val="auto"/>
              </w:rPr>
            </w:pPr>
            <w:r>
              <w:rPr>
                <w:rFonts w:ascii="Arial" w:cs="Arial" w:eastAsia="Arial" w:hAnsi="Arial"/>
                <w:sz w:val="14"/>
                <w:szCs w:val="14"/>
                <w:b w:val="1"/>
                <w:bCs w:val="1"/>
                <w:color w:val="auto"/>
              </w:rPr>
              <w:t>Balance as of</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878,257,164</w:t>
            </w: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11,581</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(4,564)</w:t>
            </w:r>
          </w:p>
        </w:tc>
        <w:tc>
          <w:tcPr>
            <w:tcW w:w="80" w:type="dxa"/>
            <w:vAlign w:val="bottom"/>
          </w:tcPr>
          <w:p>
            <w:pPr>
              <w:spacing w:after="0"/>
              <w:rPr>
                <w:sz w:val="10"/>
                <w:szCs w:val="10"/>
                <w:color w:val="auto"/>
              </w:rPr>
            </w:pPr>
          </w:p>
        </w:tc>
        <w:tc>
          <w:tcPr>
            <w:tcW w:w="520" w:type="dxa"/>
            <w:vAlign w:val="bottom"/>
            <w:vMerge w:val="restart"/>
          </w:tcPr>
          <w:p>
            <w:pPr>
              <w:jc w:val="right"/>
              <w:ind w:right="54"/>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1"/>
        </w:trPr>
        <w:tc>
          <w:tcPr>
            <w:tcW w:w="136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June 30, 2022</w:t>
            </w:r>
          </w:p>
        </w:tc>
        <w:tc>
          <w:tcPr>
            <w:tcW w:w="8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jc w:val="both"/>
        <w:ind w:left="320" w:right="100" w:hanging="314"/>
        <w:spacing w:after="0" w:line="243" w:lineRule="auto"/>
        <w:tabs>
          <w:tab w:leader="none" w:pos="30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1 of the Annual Report on Form 10-K for the year ended December 31, 2021 for more information.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ROBINHOOD MARKETS, INC.</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tcBorders>
              <w:right w:val="single" w:sz="8" w:color="auto"/>
            </w:tcBorders>
            <w:gridSpan w:val="9"/>
          </w:tcPr>
          <w:p>
            <w:pPr>
              <w:ind w:left="40"/>
              <w:spacing w:after="0"/>
              <w:rPr>
                <w:sz w:val="20"/>
                <w:szCs w:val="20"/>
                <w:color w:val="auto"/>
              </w:rPr>
            </w:pPr>
            <w:r>
              <w:rPr>
                <w:rFonts w:ascii="Arial" w:cs="Arial" w:eastAsia="Arial" w:hAnsi="Arial"/>
                <w:sz w:val="12"/>
                <w:szCs w:val="12"/>
                <w:b w:val="1"/>
                <w:bCs w:val="1"/>
                <w:color w:val="auto"/>
              </w:rPr>
              <w:t>Redeemable convertible preferred</w:t>
            </w:r>
          </w:p>
        </w:tc>
        <w:tc>
          <w:tcPr>
            <w:tcW w:w="80" w:type="dxa"/>
            <w:vAlign w:val="bottom"/>
          </w:tcPr>
          <w:p>
            <w:pPr>
              <w:spacing w:after="0"/>
              <w:rPr>
                <w:sz w:val="16"/>
                <w:szCs w:val="16"/>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b w:val="1"/>
                <w:bCs w:val="1"/>
                <w:color w:val="auto"/>
              </w:rPr>
              <w:t>stock</w:t>
            </w: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20" w:type="dxa"/>
            <w:vAlign w:val="bottom"/>
          </w:tcPr>
          <w:p>
            <w:pPr>
              <w:spacing w:after="0"/>
              <w:rPr>
                <w:sz w:val="9"/>
                <w:szCs w:val="9"/>
                <w:color w:val="auto"/>
              </w:rPr>
            </w:pPr>
          </w:p>
        </w:tc>
        <w:tc>
          <w:tcPr>
            <w:tcW w:w="780" w:type="dxa"/>
            <w:vAlign w:val="bottom"/>
          </w:tcPr>
          <w:p>
            <w:pPr>
              <w:ind w:left="20"/>
              <w:spacing w:after="0" w:line="106" w:lineRule="exact"/>
              <w:rPr>
                <w:sz w:val="20"/>
                <w:szCs w:val="20"/>
                <w:color w:val="auto"/>
              </w:rPr>
            </w:pPr>
            <w:r>
              <w:rPr>
                <w:rFonts w:ascii="Arial" w:cs="Arial" w:eastAsia="Arial" w:hAnsi="Arial"/>
                <w:sz w:val="12"/>
                <w:szCs w:val="12"/>
                <w:i w:val="1"/>
                <w:iCs w:val="1"/>
                <w:color w:val="auto"/>
              </w:rPr>
              <w:t>(in millions,</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tcPr>
          <w:p>
            <w:pPr>
              <w:ind w:left="260"/>
              <w:spacing w:after="0" w:line="106"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9"/>
                <w:szCs w:val="9"/>
                <w:color w:val="auto"/>
              </w:rPr>
            </w:pPr>
          </w:p>
        </w:tc>
        <w:tc>
          <w:tcPr>
            <w:tcW w:w="1100" w:type="dxa"/>
            <w:vAlign w:val="bottom"/>
            <w:gridSpan w:val="2"/>
          </w:tcPr>
          <w:p>
            <w:pPr>
              <w:jc w:val="right"/>
              <w:ind w:right="260"/>
              <w:spacing w:after="0" w:line="106"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jc w:val="right"/>
              <w:ind w:right="420"/>
              <w:spacing w:after="0" w:line="10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9"/>
        </w:trPr>
        <w:tc>
          <w:tcPr>
            <w:tcW w:w="1440" w:type="dxa"/>
            <w:vAlign w:val="bottom"/>
            <w:gridSpan w:val="3"/>
          </w:tcPr>
          <w:p>
            <w:pPr>
              <w:ind w:left="20"/>
              <w:spacing w:after="0" w:line="120" w:lineRule="exact"/>
              <w:rPr>
                <w:sz w:val="20"/>
                <w:szCs w:val="20"/>
                <w:color w:val="auto"/>
              </w:rPr>
            </w:pPr>
            <w:r>
              <w:rPr>
                <w:rFonts w:ascii="Arial" w:cs="Arial" w:eastAsia="Arial" w:hAnsi="Arial"/>
                <w:sz w:val="12"/>
                <w:szCs w:val="12"/>
                <w:i w:val="1"/>
                <w:iCs w:val="1"/>
                <w:color w:val="auto"/>
              </w:rPr>
              <w:t>except for number</w:t>
            </w:r>
          </w:p>
        </w:tc>
        <w:tc>
          <w:tcPr>
            <w:tcW w:w="200" w:type="dxa"/>
            <w:vAlign w:val="bottom"/>
          </w:tcPr>
          <w:p>
            <w:pPr>
              <w:spacing w:after="0"/>
              <w:rPr>
                <w:sz w:val="10"/>
                <w:szCs w:val="10"/>
                <w:color w:val="auto"/>
              </w:rPr>
            </w:pPr>
          </w:p>
        </w:tc>
        <w:tc>
          <w:tcPr>
            <w:tcW w:w="94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Shares</w:t>
            </w:r>
          </w:p>
        </w:tc>
        <w:tc>
          <w:tcPr>
            <w:tcW w:w="1120" w:type="dxa"/>
            <w:vAlign w:val="bottom"/>
            <w:tcBorders>
              <w:right w:val="single" w:sz="8" w:color="auto"/>
            </w:tcBorders>
            <w:gridSpan w:val="3"/>
            <w:vMerge w:val="restart"/>
          </w:tcPr>
          <w:p>
            <w:pPr>
              <w:ind w:left="3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0"/>
                <w:szCs w:val="10"/>
                <w:color w:val="auto"/>
              </w:rPr>
            </w:pPr>
          </w:p>
        </w:tc>
        <w:tc>
          <w:tcPr>
            <w:tcW w:w="98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200"/>
              <w:spacing w:after="0" w:line="120" w:lineRule="exact"/>
              <w:rPr>
                <w:sz w:val="20"/>
                <w:szCs w:val="20"/>
                <w:color w:val="auto"/>
              </w:rPr>
            </w:pPr>
            <w:r>
              <w:rPr>
                <w:rFonts w:ascii="Arial" w:cs="Arial" w:eastAsia="Arial" w:hAnsi="Arial"/>
                <w:sz w:val="12"/>
                <w:szCs w:val="12"/>
                <w:b w:val="1"/>
                <w:bCs w:val="1"/>
                <w:color w:val="auto"/>
              </w:rPr>
              <w:t>paid-in</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5"/>
          </w:tcPr>
          <w:p>
            <w:pPr>
              <w:jc w:val="center"/>
              <w:ind w:right="80"/>
              <w:spacing w:after="0" w:line="120" w:lineRule="exact"/>
              <w:rPr>
                <w:sz w:val="20"/>
                <w:szCs w:val="20"/>
                <w:color w:val="auto"/>
              </w:rPr>
            </w:pPr>
            <w:r>
              <w:rPr>
                <w:rFonts w:ascii="Arial" w:cs="Arial" w:eastAsia="Arial" w:hAnsi="Arial"/>
                <w:sz w:val="12"/>
                <w:szCs w:val="12"/>
                <w:b w:val="1"/>
                <w:bCs w:val="1"/>
                <w:color w:val="auto"/>
              </w:rPr>
              <w:t>other comprehensive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6"/>
          </w:tcPr>
          <w:p>
            <w:pPr>
              <w:jc w:val="right"/>
              <w:ind w:right="320"/>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1440" w:type="dxa"/>
            <w:vAlign w:val="bottom"/>
            <w:gridSpan w:val="3"/>
          </w:tcPr>
          <w:p>
            <w:pPr>
              <w:ind w:left="20"/>
              <w:spacing w:after="0"/>
              <w:rPr>
                <w:sz w:val="20"/>
                <w:szCs w:val="20"/>
                <w:color w:val="auto"/>
              </w:rPr>
            </w:pPr>
            <w:r>
              <w:rPr>
                <w:rFonts w:ascii="Arial" w:cs="Arial" w:eastAsia="Arial" w:hAnsi="Arial"/>
                <w:sz w:val="12"/>
                <w:szCs w:val="12"/>
                <w:i w:val="1"/>
                <w:iCs w:val="1"/>
                <w:color w:val="auto"/>
              </w:rPr>
              <w:t>of shares)</w:t>
            </w:r>
          </w:p>
        </w:tc>
        <w:tc>
          <w:tcPr>
            <w:tcW w:w="20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1120" w:type="dxa"/>
            <w:vAlign w:val="bottom"/>
            <w:tcBorders>
              <w:right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200"/>
              <w:spacing w:after="0"/>
              <w:rPr>
                <w:sz w:val="20"/>
                <w:szCs w:val="20"/>
                <w:color w:val="auto"/>
              </w:rPr>
            </w:pPr>
            <w:r>
              <w:rPr>
                <w:rFonts w:ascii="Arial" w:cs="Arial" w:eastAsia="Arial" w:hAnsi="Arial"/>
                <w:sz w:val="12"/>
                <w:szCs w:val="12"/>
                <w:b w:val="1"/>
                <w:bCs w:val="1"/>
                <w:color w:val="auto"/>
              </w:rPr>
              <w:t>capital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rPr>
              <w:t>income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50"/>
              <w:spacing w:after="0"/>
              <w:rPr>
                <w:sz w:val="20"/>
                <w:szCs w:val="20"/>
                <w:color w:val="auto"/>
              </w:rPr>
            </w:pPr>
            <w:r>
              <w:rPr>
                <w:rFonts w:ascii="Arial" w:cs="Arial" w:eastAsia="Arial" w:hAnsi="Arial"/>
                <w:sz w:val="12"/>
                <w:szCs w:val="12"/>
                <w:b w:val="1"/>
                <w:bCs w:val="1"/>
                <w:color w:val="auto"/>
              </w:rPr>
              <w:t>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(deficit) equity</w:t>
            </w:r>
          </w:p>
        </w:tc>
        <w:tc>
          <w:tcPr>
            <w:tcW w:w="0" w:type="dxa"/>
            <w:vAlign w:val="bottom"/>
          </w:tcPr>
          <w:p>
            <w:pPr>
              <w:spacing w:after="0"/>
              <w:rPr>
                <w:sz w:val="1"/>
                <w:szCs w:val="1"/>
                <w:color w:val="auto"/>
              </w:rPr>
            </w:pPr>
          </w:p>
        </w:tc>
      </w:tr>
      <w:tr>
        <w:trPr>
          <w:trHeight w:val="131"/>
        </w:trPr>
        <w:tc>
          <w:tcPr>
            <w:tcW w:w="3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rPr>
              <w:t>Balance as</w:t>
            </w: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auto"/>
              <w:left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4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of December</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412,742,897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60" w:type="dxa"/>
            <w:vAlign w:val="bottom"/>
            <w:tcBorders>
              <w:right w:val="single" w:sz="8" w:color="auto"/>
            </w:tcBorders>
            <w:shd w:val="clear" w:color="auto" w:fill="CCEEFF"/>
          </w:tcPr>
          <w:p>
            <w:pPr>
              <w:spacing w:after="0"/>
              <w:rPr>
                <w:sz w:val="11"/>
                <w:szCs w:val="11"/>
                <w:color w:val="auto"/>
              </w:rPr>
            </w:pPr>
          </w:p>
        </w:tc>
        <w:tc>
          <w:tcPr>
            <w:tcW w:w="11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229,031,546</w:t>
            </w:r>
          </w:p>
        </w:tc>
        <w:tc>
          <w:tcPr>
            <w:tcW w:w="8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4"/>
              </w:rPr>
              <w:t>134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56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31, 2020</w:t>
            </w:r>
          </w:p>
        </w:tc>
        <w:tc>
          <w:tcPr>
            <w:tcW w:w="3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180" w:type="dxa"/>
            <w:vAlign w:val="bottom"/>
            <w:tcBorders>
              <w:lef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560" w:type="dxa"/>
            <w:vAlign w:val="bottom"/>
            <w:gridSpan w:val="5"/>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gridSpan w:val="4"/>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(1,947)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(1,947)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44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Shares issued in</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40" w:type="dxa"/>
            <w:vAlign w:val="bottom"/>
            <w:gridSpan w:val="3"/>
            <w:shd w:val="clear" w:color="auto" w:fill="CCEEFF"/>
          </w:tcPr>
          <w:p>
            <w:pPr>
              <w:ind w:left="180"/>
              <w:spacing w:after="0" w:line="133" w:lineRule="exact"/>
              <w:rPr>
                <w:sz w:val="20"/>
                <w:szCs w:val="20"/>
                <w:color w:val="auto"/>
              </w:rPr>
            </w:pPr>
            <w:r>
              <w:rPr>
                <w:rFonts w:ascii="Arial" w:cs="Arial" w:eastAsia="Arial" w:hAnsi="Arial"/>
                <w:sz w:val="14"/>
                <w:szCs w:val="14"/>
                <w:color w:val="auto"/>
              </w:rPr>
              <w:t>connection</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40" w:type="dxa"/>
            <w:vAlign w:val="bottom"/>
            <w:gridSpan w:val="3"/>
            <w:shd w:val="clear" w:color="auto" w:fill="CCEEFF"/>
          </w:tcPr>
          <w:p>
            <w:pPr>
              <w:ind w:left="180"/>
              <w:spacing w:after="0" w:line="133" w:lineRule="exact"/>
              <w:rPr>
                <w:sz w:val="20"/>
                <w:szCs w:val="20"/>
                <w:color w:val="auto"/>
              </w:rPr>
            </w:pPr>
            <w:r>
              <w:rPr>
                <w:rFonts w:ascii="Arial" w:cs="Arial" w:eastAsia="Arial" w:hAnsi="Arial"/>
                <w:sz w:val="14"/>
                <w:szCs w:val="14"/>
                <w:color w:val="auto"/>
              </w:rPr>
              <w:t>with stock</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40" w:type="dxa"/>
            <w:vAlign w:val="bottom"/>
            <w:gridSpan w:val="3"/>
            <w:shd w:val="clear" w:color="auto" w:fill="CCEEFF"/>
          </w:tcPr>
          <w:p>
            <w:pPr>
              <w:ind w:left="180"/>
              <w:spacing w:after="0" w:line="133" w:lineRule="exact"/>
              <w:rPr>
                <w:sz w:val="20"/>
                <w:szCs w:val="20"/>
                <w:color w:val="auto"/>
              </w:rPr>
            </w:pPr>
            <w:r>
              <w:rPr>
                <w:rFonts w:ascii="Arial" w:cs="Arial" w:eastAsia="Arial" w:hAnsi="Arial"/>
                <w:sz w:val="14"/>
                <w:szCs w:val="14"/>
                <w:color w:val="auto"/>
              </w:rPr>
              <w:t>option</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40" w:type="dxa"/>
            <w:vAlign w:val="bottom"/>
            <w:gridSpan w:val="3"/>
            <w:shd w:val="clear" w:color="auto" w:fill="CCEEFF"/>
          </w:tcPr>
          <w:p>
            <w:pPr>
              <w:ind w:left="180"/>
              <w:spacing w:after="0" w:line="133" w:lineRule="exact"/>
              <w:rPr>
                <w:sz w:val="20"/>
                <w:szCs w:val="20"/>
                <w:color w:val="auto"/>
              </w:rPr>
            </w:pPr>
            <w:r>
              <w:rPr>
                <w:rFonts w:ascii="Arial" w:cs="Arial" w:eastAsia="Arial" w:hAnsi="Arial"/>
                <w:sz w:val="14"/>
                <w:szCs w:val="14"/>
                <w:color w:val="auto"/>
              </w:rPr>
              <w:t>exercise, net</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40" w:type="dxa"/>
            <w:vAlign w:val="bottom"/>
            <w:gridSpan w:val="3"/>
            <w:shd w:val="clear" w:color="auto" w:fill="CCEEFF"/>
          </w:tcPr>
          <w:p>
            <w:pPr>
              <w:ind w:left="180"/>
              <w:spacing w:after="0" w:line="133" w:lineRule="exact"/>
              <w:rPr>
                <w:sz w:val="20"/>
                <w:szCs w:val="20"/>
                <w:color w:val="auto"/>
              </w:rPr>
            </w:pPr>
            <w:r>
              <w:rPr>
                <w:rFonts w:ascii="Arial" w:cs="Arial" w:eastAsia="Arial" w:hAnsi="Arial"/>
                <w:sz w:val="14"/>
                <w:szCs w:val="14"/>
                <w:color w:val="auto"/>
              </w:rPr>
              <w:t>of</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gridSpan w:val="4"/>
            <w:vMerge w:val="restart"/>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6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3,578,411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4"/>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tcBorders>
              <w:right w:val="single" w:sz="8" w:color="auto"/>
            </w:tcBorders>
            <w:gridSpan w:val="2"/>
            <w:vMerge w:val="continue"/>
            <w:shd w:val="clear" w:color="auto" w:fill="CCEEFF"/>
          </w:tcPr>
          <w:p>
            <w:pPr>
              <w:spacing w:after="0"/>
              <w:rPr>
                <w:sz w:val="14"/>
                <w:szCs w:val="14"/>
                <w:color w:val="auto"/>
              </w:rPr>
            </w:pPr>
          </w:p>
        </w:tc>
        <w:tc>
          <w:tcPr>
            <w:tcW w:w="1180" w:type="dxa"/>
            <w:vAlign w:val="bottom"/>
            <w:tcBorders>
              <w:lef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11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Share-</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4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based</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vMerge w:val="restart"/>
          </w:tcPr>
          <w:p>
            <w:pPr>
              <w:jc w:val="right"/>
              <w:ind w:right="3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68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vMerge w:val="restart"/>
          </w:tcPr>
          <w:p>
            <w:pPr>
              <w:jc w:val="right"/>
              <w:ind w:right="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40" w:type="dxa"/>
            <w:vAlign w:val="bottom"/>
            <w:gridSpan w:val="3"/>
          </w:tcPr>
          <w:p>
            <w:pPr>
              <w:ind w:left="20"/>
              <w:spacing w:after="0"/>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Balance as</w:t>
            </w: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auto"/>
            </w:tcBorders>
            <w:shd w:val="clear" w:color="auto" w:fill="CCEEFF"/>
          </w:tcPr>
          <w:p>
            <w:pPr>
              <w:spacing w:after="0"/>
              <w:rPr>
                <w:sz w:val="10"/>
                <w:szCs w:val="10"/>
                <w:color w:val="auto"/>
              </w:rPr>
            </w:pPr>
          </w:p>
        </w:tc>
        <w:tc>
          <w:tcPr>
            <w:tcW w:w="80" w:type="dxa"/>
            <w:vAlign w:val="bottom"/>
            <w:tcBorders>
              <w:top w:val="single" w:sz="8" w:color="auto"/>
              <w:left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44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of June 30,</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412,742,897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60" w:type="dxa"/>
            <w:vAlign w:val="bottom"/>
            <w:tcBorders>
              <w:right w:val="single" w:sz="8" w:color="auto"/>
            </w:tcBorders>
            <w:shd w:val="clear" w:color="auto" w:fill="CCEEFF"/>
          </w:tcPr>
          <w:p>
            <w:pPr>
              <w:spacing w:after="0"/>
              <w:rPr>
                <w:sz w:val="11"/>
                <w:szCs w:val="11"/>
                <w:color w:val="auto"/>
              </w:rPr>
            </w:pPr>
          </w:p>
        </w:tc>
        <w:tc>
          <w:tcPr>
            <w:tcW w:w="11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232,609,957</w:t>
            </w:r>
          </w:p>
        </w:tc>
        <w:tc>
          <w:tcPr>
            <w:tcW w:w="8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4"/>
              </w:rPr>
              <w:t>151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(2,137)</w:t>
            </w:r>
          </w:p>
        </w:tc>
        <w:tc>
          <w:tcPr>
            <w:tcW w:w="56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b w:val="1"/>
                <w:bCs w:val="1"/>
                <w:color w:val="auto"/>
              </w:rPr>
              <w:t>2021</w:t>
            </w:r>
          </w:p>
        </w:tc>
        <w:tc>
          <w:tcPr>
            <w:tcW w:w="3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180" w:type="dxa"/>
            <w:vAlign w:val="bottom"/>
            <w:tcBorders>
              <w:lef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560" w:type="dxa"/>
            <w:vAlign w:val="bottom"/>
            <w:gridSpan w:val="5"/>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20" w:type="dxa"/>
            <w:vAlign w:val="bottom"/>
            <w:gridSpan w:val="7"/>
            <w:vMerge w:val="restart"/>
          </w:tcPr>
          <w:p>
            <w:pPr>
              <w:ind w:left="420"/>
              <w:spacing w:after="0"/>
              <w:rPr>
                <w:sz w:val="20"/>
                <w:szCs w:val="20"/>
                <w:color w:val="auto"/>
              </w:rPr>
            </w:pPr>
            <w:r>
              <w:rPr>
                <w:rFonts w:ascii="Arial" w:cs="Arial" w:eastAsia="Arial" w:hAnsi="Arial"/>
                <w:sz w:val="12"/>
                <w:szCs w:val="12"/>
                <w:b w:val="1"/>
                <w:bCs w:val="1"/>
                <w:color w:val="auto"/>
              </w:rPr>
              <w:t>Redeemable convertible</w:t>
            </w:r>
          </w:p>
        </w:tc>
        <w:tc>
          <w:tcPr>
            <w:tcW w:w="80" w:type="dxa"/>
            <w:vAlign w:val="bottom"/>
          </w:tcPr>
          <w:p>
            <w:pPr>
              <w:spacing w:after="0"/>
              <w:rPr>
                <w:sz w:val="23"/>
                <w:szCs w:val="23"/>
                <w:color w:val="auto"/>
              </w:rPr>
            </w:pPr>
          </w:p>
        </w:tc>
        <w:tc>
          <w:tcPr>
            <w:tcW w:w="2240" w:type="dxa"/>
            <w:vAlign w:val="bottom"/>
            <w:gridSpan w:val="6"/>
            <w:vMerge w:val="restart"/>
          </w:tcPr>
          <w:p>
            <w:pPr>
              <w:ind w:left="820"/>
              <w:spacing w:after="0"/>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7"/>
            <w:vMerge w:val="continue"/>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224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tcBorders>
              <w:bottom w:val="single" w:sz="8" w:color="auto"/>
            </w:tcBorders>
            <w:gridSpan w:val="7"/>
          </w:tcPr>
          <w:p>
            <w:pPr>
              <w:ind w:left="520"/>
              <w:spacing w:after="0"/>
              <w:rPr>
                <w:sz w:val="20"/>
                <w:szCs w:val="20"/>
                <w:color w:val="auto"/>
              </w:rPr>
            </w:pPr>
            <w:r>
              <w:rPr>
                <w:rFonts w:ascii="Arial" w:cs="Arial" w:eastAsia="Arial" w:hAnsi="Arial"/>
                <w:sz w:val="12"/>
                <w:szCs w:val="12"/>
                <w:b w:val="1"/>
                <w:bCs w:val="1"/>
                <w:color w:val="auto"/>
              </w:rPr>
              <w:t>preferred stock</w:t>
            </w:r>
          </w:p>
        </w:tc>
        <w:tc>
          <w:tcPr>
            <w:tcW w:w="80" w:type="dxa"/>
            <w:vAlign w:val="bottom"/>
            <w:tcBorders>
              <w:left w:val="single" w:sz="8" w:color="auto"/>
            </w:tcBorders>
          </w:tcPr>
          <w:p>
            <w:pPr>
              <w:spacing w:after="0"/>
              <w:rPr>
                <w:sz w:val="14"/>
                <w:szCs w:val="14"/>
                <w:color w:val="auto"/>
              </w:rPr>
            </w:pPr>
          </w:p>
        </w:tc>
        <w:tc>
          <w:tcPr>
            <w:tcW w:w="2240" w:type="dxa"/>
            <w:vAlign w:val="bottom"/>
            <w:tcBorders>
              <w:bottom w:val="single" w:sz="8" w:color="auto"/>
            </w:tcBorders>
            <w:gridSpan w:val="6"/>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20" w:type="dxa"/>
            <w:vAlign w:val="bottom"/>
          </w:tcPr>
          <w:p>
            <w:pPr>
              <w:spacing w:after="0"/>
              <w:rPr>
                <w:sz w:val="8"/>
                <w:szCs w:val="8"/>
                <w:color w:val="auto"/>
              </w:rPr>
            </w:pPr>
          </w:p>
        </w:tc>
        <w:tc>
          <w:tcPr>
            <w:tcW w:w="1120" w:type="dxa"/>
            <w:vAlign w:val="bottom"/>
            <w:gridSpan w:val="2"/>
          </w:tcPr>
          <w:p>
            <w:pPr>
              <w:ind w:left="340"/>
              <w:spacing w:after="0" w:line="100" w:lineRule="exact"/>
              <w:rPr>
                <w:sz w:val="20"/>
                <w:szCs w:val="20"/>
                <w:color w:val="auto"/>
              </w:rPr>
            </w:pPr>
            <w:r>
              <w:rPr>
                <w:rFonts w:ascii="Arial" w:cs="Arial" w:eastAsia="Arial" w:hAnsi="Arial"/>
                <w:sz w:val="11"/>
                <w:szCs w:val="11"/>
                <w:i w:val="1"/>
                <w:iCs w:val="1"/>
                <w:color w:val="auto"/>
              </w:rPr>
              <w:t>(in millions,</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5"/>
          </w:tcPr>
          <w:p>
            <w:pPr>
              <w:ind w:left="480"/>
              <w:spacing w:after="0" w:line="100"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8"/>
                <w:szCs w:val="8"/>
                <w:color w:val="auto"/>
              </w:rPr>
            </w:pPr>
          </w:p>
        </w:tc>
        <w:tc>
          <w:tcPr>
            <w:tcW w:w="1420" w:type="dxa"/>
            <w:vAlign w:val="bottom"/>
            <w:gridSpan w:val="4"/>
          </w:tcPr>
          <w:p>
            <w:pPr>
              <w:ind w:left="400"/>
              <w:spacing w:after="0" w:line="100" w:lineRule="exact"/>
              <w:rPr>
                <w:sz w:val="20"/>
                <w:szCs w:val="20"/>
                <w:color w:val="auto"/>
              </w:rPr>
            </w:pPr>
            <w:r>
              <w:rPr>
                <w:rFonts w:ascii="Arial" w:cs="Arial" w:eastAsia="Arial" w:hAnsi="Arial"/>
                <w:sz w:val="11"/>
                <w:szCs w:val="11"/>
                <w:b w:val="1"/>
                <w:bCs w:val="1"/>
                <w:color w:val="auto"/>
              </w:rPr>
              <w:t>Accumulated</w:t>
            </w:r>
          </w:p>
        </w:tc>
        <w:tc>
          <w:tcPr>
            <w:tcW w:w="1460" w:type="dxa"/>
            <w:vAlign w:val="bottom"/>
            <w:gridSpan w:val="7"/>
            <w:vMerge w:val="restart"/>
          </w:tcPr>
          <w:p>
            <w:pPr>
              <w:jc w:val="right"/>
              <w:ind w:right="280"/>
              <w:spacing w:after="0"/>
              <w:rPr>
                <w:sz w:val="20"/>
                <w:szCs w:val="20"/>
                <w:color w:val="auto"/>
              </w:rPr>
            </w:pPr>
            <w:r>
              <w:rPr>
                <w:rFonts w:ascii="Arial" w:cs="Arial" w:eastAsia="Arial" w:hAnsi="Arial"/>
                <w:sz w:val="12"/>
                <w:szCs w:val="12"/>
                <w:b w:val="1"/>
                <w:bCs w:val="1"/>
                <w:color w:val="auto"/>
              </w:rPr>
              <w:t>Accumulated</w:t>
            </w:r>
          </w:p>
        </w:tc>
        <w:tc>
          <w:tcPr>
            <w:tcW w:w="280" w:type="dxa"/>
            <w:vAlign w:val="bottom"/>
          </w:tcPr>
          <w:p>
            <w:pPr>
              <w:spacing w:after="0"/>
              <w:rPr>
                <w:sz w:val="8"/>
                <w:szCs w:val="8"/>
                <w:color w:val="auto"/>
              </w:rPr>
            </w:pPr>
          </w:p>
        </w:tc>
        <w:tc>
          <w:tcPr>
            <w:tcW w:w="580" w:type="dxa"/>
            <w:vAlign w:val="bottom"/>
            <w:gridSpan w:val="2"/>
          </w:tcPr>
          <w:p>
            <w:pPr>
              <w:jc w:val="right"/>
              <w:ind w:right="80"/>
              <w:spacing w:after="0" w:line="100"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1320" w:type="dxa"/>
            <w:vAlign w:val="bottom"/>
            <w:gridSpan w:val="3"/>
          </w:tcPr>
          <w:p>
            <w:pPr>
              <w:ind w:left="20"/>
              <w:spacing w:after="0" w:line="120" w:lineRule="exact"/>
              <w:rPr>
                <w:sz w:val="20"/>
                <w:szCs w:val="20"/>
                <w:color w:val="auto"/>
              </w:rPr>
            </w:pPr>
            <w:r>
              <w:rPr>
                <w:rFonts w:ascii="Arial" w:cs="Arial" w:eastAsia="Arial" w:hAnsi="Arial"/>
                <w:sz w:val="12"/>
                <w:szCs w:val="12"/>
                <w:i w:val="1"/>
                <w:iCs w:val="1"/>
                <w:color w:val="auto"/>
              </w:rPr>
              <w:t>except for number of</w:t>
            </w:r>
          </w:p>
        </w:tc>
        <w:tc>
          <w:tcPr>
            <w:tcW w:w="40" w:type="dxa"/>
            <w:vAlign w:val="bottom"/>
          </w:tcPr>
          <w:p>
            <w:pPr>
              <w:spacing w:after="0"/>
              <w:rPr>
                <w:sz w:val="10"/>
                <w:szCs w:val="10"/>
                <w:color w:val="auto"/>
              </w:rPr>
            </w:pPr>
          </w:p>
        </w:tc>
        <w:tc>
          <w:tcPr>
            <w:tcW w:w="84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Shares</w:t>
            </w:r>
          </w:p>
        </w:tc>
        <w:tc>
          <w:tcPr>
            <w:tcW w:w="6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left w:val="single" w:sz="8" w:color="auto"/>
            </w:tcBorders>
          </w:tcPr>
          <w:p>
            <w:pPr>
              <w:spacing w:after="0"/>
              <w:rPr>
                <w:sz w:val="10"/>
                <w:szCs w:val="10"/>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ind w:left="420"/>
              <w:spacing w:after="0" w:line="120"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0"/>
                <w:szCs w:val="10"/>
                <w:color w:val="auto"/>
              </w:rPr>
            </w:pPr>
          </w:p>
        </w:tc>
        <w:tc>
          <w:tcPr>
            <w:tcW w:w="1420" w:type="dxa"/>
            <w:vAlign w:val="bottom"/>
            <w:gridSpan w:val="4"/>
          </w:tcPr>
          <w:p>
            <w:pPr>
              <w:spacing w:after="0" w:line="120" w:lineRule="exact"/>
              <w:rPr>
                <w:sz w:val="20"/>
                <w:szCs w:val="20"/>
                <w:color w:val="auto"/>
              </w:rPr>
            </w:pPr>
            <w:r>
              <w:rPr>
                <w:rFonts w:ascii="Arial" w:cs="Arial" w:eastAsia="Arial" w:hAnsi="Arial"/>
                <w:sz w:val="12"/>
                <w:szCs w:val="12"/>
                <w:b w:val="1"/>
                <w:bCs w:val="1"/>
                <w:color w:val="auto"/>
              </w:rPr>
              <w:t>other comprehensive</w:t>
            </w:r>
          </w:p>
        </w:tc>
        <w:tc>
          <w:tcPr>
            <w:tcW w:w="1460" w:type="dxa"/>
            <w:vAlign w:val="bottom"/>
            <w:gridSpan w:val="7"/>
            <w:vMerge w:val="continue"/>
          </w:tcPr>
          <w:p>
            <w:pPr>
              <w:spacing w:after="0"/>
              <w:rPr>
                <w:sz w:val="10"/>
                <w:szCs w:val="10"/>
                <w:color w:val="auto"/>
              </w:rPr>
            </w:pPr>
          </w:p>
        </w:tc>
        <w:tc>
          <w:tcPr>
            <w:tcW w:w="860" w:type="dxa"/>
            <w:vAlign w:val="bottom"/>
            <w:gridSpan w:val="3"/>
          </w:tcPr>
          <w:p>
            <w:pPr>
              <w:jc w:val="right"/>
              <w:ind w:right="20"/>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i w:val="1"/>
                <w:iCs w:val="1"/>
                <w:color w:val="auto"/>
              </w:rPr>
              <w:t>shares)</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80" w:type="dxa"/>
            <w:vAlign w:val="bottom"/>
            <w:tcBorders>
              <w:left w:val="single" w:sz="8" w:color="auto"/>
              <w:bottom w:val="single" w:sz="8" w:color="CCEEFF"/>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4"/>
          </w:tcPr>
          <w:p>
            <w:pPr>
              <w:ind w:left="440"/>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income</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deficit</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(deficit) equit</w:t>
            </w: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1320" w:type="dxa"/>
            <w:vAlign w:val="bottom"/>
            <w:gridSpan w:val="3"/>
            <w:shd w:val="clear" w:color="auto" w:fill="CCEEFF"/>
          </w:tcPr>
          <w:p>
            <w:pPr>
              <w:ind w:left="340"/>
              <w:spacing w:after="0" w:line="131" w:lineRule="exact"/>
              <w:rPr>
                <w:sz w:val="20"/>
                <w:szCs w:val="20"/>
                <w:color w:val="auto"/>
              </w:rPr>
            </w:pPr>
            <w:r>
              <w:rPr>
                <w:rFonts w:ascii="Arial" w:cs="Arial" w:eastAsia="Arial" w:hAnsi="Arial"/>
                <w:sz w:val="14"/>
                <w:szCs w:val="14"/>
                <w:b w:val="1"/>
                <w:bCs w:val="1"/>
                <w:color w:val="auto"/>
              </w:rPr>
              <w:t>Balance as of</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60" w:type="dxa"/>
            <w:vAlign w:val="bottom"/>
            <w:tcBorders>
              <w:left w:val="single" w:sz="8" w:color="auto"/>
            </w:tcBorders>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863,912,613</w:t>
            </w:r>
          </w:p>
        </w:tc>
        <w:tc>
          <w:tcPr>
            <w:tcW w:w="5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w w:val="76"/>
              </w:rPr>
              <w:t>$</w:t>
            </w:r>
          </w:p>
        </w:tc>
        <w:tc>
          <w:tcPr>
            <w:tcW w:w="56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760" w:type="dxa"/>
            <w:vAlign w:val="bottom"/>
            <w:gridSpan w:val="3"/>
            <w:vMerge w:val="restart"/>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ind w:right="39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(3,877)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1260" w:type="dxa"/>
            <w:vAlign w:val="bottom"/>
            <w:tcBorders>
              <w:left w:val="single" w:sz="8" w:color="auto"/>
            </w:tcBorders>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2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ind w:left="4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w w:val="91"/>
              </w:rPr>
              <w:t>(687)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11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Shares issued in</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20" w:type="dxa"/>
            <w:vAlign w:val="bottom"/>
            <w:gridSpan w:val="3"/>
            <w:shd w:val="clear" w:color="auto" w:fill="CCEEFF"/>
          </w:tcPr>
          <w:p>
            <w:pPr>
              <w:ind w:left="180"/>
              <w:spacing w:after="0" w:line="133" w:lineRule="exact"/>
              <w:rPr>
                <w:sz w:val="20"/>
                <w:szCs w:val="20"/>
                <w:color w:val="auto"/>
              </w:rPr>
            </w:pPr>
            <w:r>
              <w:rPr>
                <w:rFonts w:ascii="Arial" w:cs="Arial" w:eastAsia="Arial" w:hAnsi="Arial"/>
                <w:sz w:val="14"/>
                <w:szCs w:val="14"/>
                <w:color w:val="auto"/>
              </w:rPr>
              <w:t>connection with</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120" w:type="dxa"/>
            <w:vAlign w:val="bottom"/>
            <w:gridSpan w:val="2"/>
            <w:shd w:val="clear" w:color="auto" w:fill="CCEEFF"/>
          </w:tcPr>
          <w:p>
            <w:pPr>
              <w:ind w:left="180"/>
              <w:spacing w:after="0" w:line="133" w:lineRule="exact"/>
              <w:rPr>
                <w:sz w:val="20"/>
                <w:szCs w:val="20"/>
                <w:color w:val="auto"/>
              </w:rPr>
            </w:pPr>
            <w:r>
              <w:rPr>
                <w:rFonts w:ascii="Arial" w:cs="Arial" w:eastAsia="Arial" w:hAnsi="Arial"/>
                <w:sz w:val="14"/>
                <w:szCs w:val="14"/>
                <w:color w:val="auto"/>
              </w:rPr>
              <w:t>stock option</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20" w:type="dxa"/>
            <w:vAlign w:val="bottom"/>
            <w:gridSpan w:val="3"/>
            <w:shd w:val="clear" w:color="auto" w:fill="CCEEFF"/>
          </w:tcPr>
          <w:p>
            <w:pPr>
              <w:ind w:left="180"/>
              <w:spacing w:after="0" w:line="133" w:lineRule="exact"/>
              <w:rPr>
                <w:sz w:val="20"/>
                <w:szCs w:val="20"/>
                <w:color w:val="auto"/>
              </w:rPr>
            </w:pPr>
            <w:r>
              <w:rPr>
                <w:rFonts w:ascii="Arial" w:cs="Arial" w:eastAsia="Arial" w:hAnsi="Arial"/>
                <w:sz w:val="14"/>
                <w:szCs w:val="14"/>
                <w:color w:val="auto"/>
              </w:rPr>
              <w:t>exercise, net of</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60" w:type="dxa"/>
            <w:vAlign w:val="bottom"/>
            <w:tcBorders>
              <w:left w:val="single" w:sz="8" w:color="auto"/>
            </w:tcBorders>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1,862,954</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1260" w:type="dxa"/>
            <w:vAlign w:val="bottom"/>
            <w:tcBorders>
              <w:left w:val="single" w:sz="8" w:color="auto"/>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1320" w:type="dxa"/>
            <w:vAlign w:val="bottom"/>
            <w:gridSpan w:val="3"/>
          </w:tcPr>
          <w:p>
            <w:pPr>
              <w:ind w:left="20"/>
              <w:spacing w:after="0" w:line="151" w:lineRule="exact"/>
              <w:rPr>
                <w:sz w:val="20"/>
                <w:szCs w:val="20"/>
                <w:color w:val="auto"/>
              </w:rPr>
            </w:pPr>
            <w:r>
              <w:rPr>
                <w:rFonts w:ascii="Arial" w:cs="Arial" w:eastAsia="Arial" w:hAnsi="Arial"/>
                <w:sz w:val="14"/>
                <w:szCs w:val="14"/>
                <w:color w:val="auto"/>
                <w:w w:val="99"/>
              </w:rPr>
              <w:t>Issuance of common</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120" w:type="dxa"/>
            <w:vAlign w:val="bottom"/>
            <w:gridSpan w:val="2"/>
          </w:tcPr>
          <w:p>
            <w:pPr>
              <w:ind w:left="180"/>
              <w:spacing w:after="0" w:line="133" w:lineRule="exact"/>
              <w:rPr>
                <w:sz w:val="20"/>
                <w:szCs w:val="20"/>
                <w:color w:val="auto"/>
              </w:rPr>
            </w:pPr>
            <w:r>
              <w:rPr>
                <w:rFonts w:ascii="Arial" w:cs="Arial" w:eastAsia="Arial" w:hAnsi="Arial"/>
                <w:sz w:val="14"/>
                <w:szCs w:val="14"/>
                <w:color w:val="auto"/>
              </w:rPr>
              <w:t>stock in</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20" w:type="dxa"/>
            <w:vAlign w:val="bottom"/>
            <w:gridSpan w:val="3"/>
          </w:tcPr>
          <w:p>
            <w:pPr>
              <w:ind w:left="180"/>
              <w:spacing w:after="0" w:line="133" w:lineRule="exact"/>
              <w:rPr>
                <w:sz w:val="20"/>
                <w:szCs w:val="20"/>
                <w:color w:val="auto"/>
              </w:rPr>
            </w:pPr>
            <w:r>
              <w:rPr>
                <w:rFonts w:ascii="Arial" w:cs="Arial" w:eastAsia="Arial" w:hAnsi="Arial"/>
                <w:sz w:val="14"/>
                <w:szCs w:val="14"/>
                <w:color w:val="auto"/>
              </w:rPr>
              <w:t>connection with</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20" w:type="dxa"/>
            <w:vAlign w:val="bottom"/>
            <w:gridSpan w:val="3"/>
          </w:tcPr>
          <w:p>
            <w:pPr>
              <w:ind w:left="180"/>
              <w:spacing w:after="0" w:line="133" w:lineRule="exact"/>
              <w:rPr>
                <w:sz w:val="20"/>
                <w:szCs w:val="20"/>
                <w:color w:val="auto"/>
              </w:rPr>
            </w:pPr>
            <w:r>
              <w:rPr>
                <w:rFonts w:ascii="Arial" w:cs="Arial" w:eastAsia="Arial" w:hAnsi="Arial"/>
                <w:sz w:val="14"/>
                <w:szCs w:val="14"/>
                <w:color w:val="auto"/>
              </w:rPr>
              <w:t>Employee Stock</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260" w:type="dxa"/>
            <w:vAlign w:val="bottom"/>
            <w:tcBorders>
              <w:left w:val="single" w:sz="8" w:color="auto"/>
            </w:tcBorders>
            <w:gridSpan w:val="3"/>
            <w:vMerge w:val="restart"/>
          </w:tcPr>
          <w:p>
            <w:pPr>
              <w:jc w:val="right"/>
              <w:ind w:right="60"/>
              <w:spacing w:after="0"/>
              <w:rPr>
                <w:sz w:val="20"/>
                <w:szCs w:val="20"/>
                <w:color w:val="auto"/>
              </w:rPr>
            </w:pPr>
            <w:r>
              <w:rPr>
                <w:rFonts w:ascii="Arial" w:cs="Arial" w:eastAsia="Arial" w:hAnsi="Arial"/>
                <w:sz w:val="14"/>
                <w:szCs w:val="14"/>
                <w:color w:val="auto"/>
              </w:rPr>
              <w:t>1,529,727</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2"/>
            <w:vMerge w:val="restart"/>
          </w:tcPr>
          <w:p>
            <w:pPr>
              <w:ind w:left="4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vMerge w:val="restart"/>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Purchase Plan</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tcBorders>
              <w:left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132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w w:val="99"/>
              </w:rPr>
              <w:t>Issuance of common</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120" w:type="dxa"/>
            <w:vAlign w:val="bottom"/>
            <w:gridSpan w:val="2"/>
            <w:shd w:val="clear" w:color="auto" w:fill="CCEEFF"/>
          </w:tcPr>
          <w:p>
            <w:pPr>
              <w:ind w:left="180"/>
              <w:spacing w:after="0" w:line="133" w:lineRule="exact"/>
              <w:rPr>
                <w:sz w:val="20"/>
                <w:szCs w:val="20"/>
                <w:color w:val="auto"/>
              </w:rPr>
            </w:pPr>
            <w:r>
              <w:rPr>
                <w:rFonts w:ascii="Arial" w:cs="Arial" w:eastAsia="Arial" w:hAnsi="Arial"/>
                <w:sz w:val="14"/>
                <w:szCs w:val="14"/>
                <w:color w:val="auto"/>
              </w:rPr>
              <w:t>stock upon</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120" w:type="dxa"/>
            <w:vAlign w:val="bottom"/>
            <w:gridSpan w:val="2"/>
            <w:shd w:val="clear" w:color="auto" w:fill="CCEEFF"/>
          </w:tcPr>
          <w:p>
            <w:pPr>
              <w:ind w:left="180"/>
              <w:spacing w:after="0" w:line="133" w:lineRule="exact"/>
              <w:rPr>
                <w:sz w:val="20"/>
                <w:szCs w:val="20"/>
                <w:color w:val="auto"/>
              </w:rPr>
            </w:pPr>
            <w:r>
              <w:rPr>
                <w:rFonts w:ascii="Arial" w:cs="Arial" w:eastAsia="Arial" w:hAnsi="Arial"/>
                <w:sz w:val="14"/>
                <w:szCs w:val="14"/>
                <w:color w:val="auto"/>
              </w:rPr>
              <w:t>settlement of</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20" w:type="dxa"/>
            <w:vAlign w:val="bottom"/>
            <w:gridSpan w:val="3"/>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60" w:type="dxa"/>
            <w:vAlign w:val="bottom"/>
            <w:tcBorders>
              <w:left w:val="single" w:sz="8" w:color="auto"/>
            </w:tcBorders>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11,437,202</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1260" w:type="dxa"/>
            <w:vAlign w:val="bottom"/>
            <w:tcBorders>
              <w:left w:val="single" w:sz="8" w:color="auto"/>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11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Shares withheld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120" w:type="dxa"/>
            <w:vAlign w:val="bottom"/>
            <w:gridSpan w:val="2"/>
          </w:tcPr>
          <w:p>
            <w:pPr>
              <w:ind w:left="180"/>
              <w:spacing w:after="0" w:line="133" w:lineRule="exact"/>
              <w:rPr>
                <w:sz w:val="20"/>
                <w:szCs w:val="20"/>
                <w:color w:val="auto"/>
              </w:rPr>
            </w:pPr>
            <w:r>
              <w:rPr>
                <w:rFonts w:ascii="Arial" w:cs="Arial" w:eastAsia="Arial" w:hAnsi="Arial"/>
                <w:sz w:val="14"/>
                <w:szCs w:val="14"/>
                <w:color w:val="auto"/>
              </w:rPr>
              <w:t>related to net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260" w:type="dxa"/>
            <w:vAlign w:val="bottom"/>
            <w:tcBorders>
              <w:left w:val="single" w:sz="8" w:color="auto"/>
            </w:tcBorders>
            <w:gridSpan w:val="3"/>
            <w:vMerge w:val="restart"/>
          </w:tcPr>
          <w:p>
            <w:pPr>
              <w:ind w:left="640"/>
              <w:spacing w:after="0"/>
              <w:rPr>
                <w:sz w:val="20"/>
                <w:szCs w:val="20"/>
                <w:color w:val="auto"/>
              </w:rPr>
            </w:pPr>
            <w:r>
              <w:rPr>
                <w:rFonts w:ascii="Arial" w:cs="Arial" w:eastAsia="Arial" w:hAnsi="Arial"/>
                <w:sz w:val="14"/>
                <w:szCs w:val="14"/>
                <w:color w:val="auto"/>
              </w:rPr>
              <w:t>(485,332)</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2"/>
            <w:vMerge w:val="restart"/>
          </w:tcPr>
          <w:p>
            <w:pPr>
              <w:ind w:left="4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vMerge w:val="restart"/>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color w:val="auto"/>
              </w:rPr>
              <w:t>share settlement</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tcBorders>
              <w:left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1120" w:type="dxa"/>
            <w:vAlign w:val="bottom"/>
            <w:gridSpan w:val="2"/>
            <w:shd w:val="clear" w:color="auto" w:fill="CCEEFF"/>
          </w:tcPr>
          <w:p>
            <w:pPr>
              <w:ind w:left="340"/>
              <w:spacing w:after="0" w:line="151" w:lineRule="exact"/>
              <w:rPr>
                <w:sz w:val="20"/>
                <w:szCs w:val="20"/>
                <w:color w:val="auto"/>
              </w:rPr>
            </w:pPr>
            <w:r>
              <w:rPr>
                <w:rFonts w:ascii="Arial" w:cs="Arial" w:eastAsia="Arial" w:hAnsi="Arial"/>
                <w:sz w:val="14"/>
                <w:szCs w:val="14"/>
                <w:color w:val="auto"/>
              </w:rPr>
              <w:t>Change in</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1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1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comprehensive</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1320" w:type="dxa"/>
            <w:vAlign w:val="bottom"/>
            <w:gridSpan w:val="3"/>
          </w:tcPr>
          <w:p>
            <w:pPr>
              <w:ind w:left="340"/>
              <w:spacing w:after="0" w:line="151" w:lineRule="exact"/>
              <w:rPr>
                <w:sz w:val="20"/>
                <w:szCs w:val="20"/>
                <w:color w:val="auto"/>
              </w:rPr>
            </w:pPr>
            <w:r>
              <w:rPr>
                <w:rFonts w:ascii="Arial" w:cs="Arial" w:eastAsia="Arial" w:hAnsi="Arial"/>
                <w:sz w:val="14"/>
                <w:szCs w:val="14"/>
                <w:color w:val="auto"/>
              </w:rPr>
              <w:t>Share-based</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3"/>
                <w:szCs w:val="13"/>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gridSpan w:val="2"/>
            <w:vMerge w:val="restart"/>
          </w:tcPr>
          <w:p>
            <w:pPr>
              <w:ind w:left="4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compensation</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80" w:type="dxa"/>
            <w:vAlign w:val="bottom"/>
            <w:tcBorders>
              <w:left w:val="single" w:sz="8" w:color="auto"/>
              <w:bottom w:val="single" w:sz="8" w:color="CCEEFF"/>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320" w:type="dxa"/>
            <w:vAlign w:val="bottom"/>
            <w:gridSpan w:val="3"/>
            <w:shd w:val="clear" w:color="auto" w:fill="CCEEFF"/>
          </w:tcPr>
          <w:p>
            <w:pPr>
              <w:ind w:left="340"/>
              <w:spacing w:after="0" w:line="126" w:lineRule="exact"/>
              <w:rPr>
                <w:sz w:val="20"/>
                <w:szCs w:val="20"/>
                <w:color w:val="auto"/>
              </w:rPr>
            </w:pPr>
            <w:r>
              <w:rPr>
                <w:rFonts w:ascii="Arial" w:cs="Arial" w:eastAsia="Arial" w:hAnsi="Arial"/>
                <w:sz w:val="14"/>
                <w:szCs w:val="14"/>
                <w:b w:val="1"/>
                <w:bCs w:val="1"/>
                <w:color w:val="auto"/>
              </w:rPr>
              <w:t>Balance as of</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60" w:type="dxa"/>
            <w:vAlign w:val="bottom"/>
            <w:tcBorders>
              <w:left w:val="single" w:sz="8" w:color="auto"/>
            </w:tcBorders>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878,257,164</w:t>
            </w:r>
          </w:p>
        </w:tc>
        <w:tc>
          <w:tcPr>
            <w:tcW w:w="5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w w:val="76"/>
              </w:rPr>
              <w:t>$</w:t>
            </w:r>
          </w:p>
        </w:tc>
        <w:tc>
          <w:tcPr>
            <w:tcW w:w="56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760" w:type="dxa"/>
            <w:vAlign w:val="bottom"/>
            <w:gridSpan w:val="3"/>
            <w:vMerge w:val="restart"/>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11,581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center"/>
              <w:ind w:right="39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(4,564)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1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b w:val="1"/>
                <w:bCs w:val="1"/>
                <w:color w:val="auto"/>
              </w:rPr>
              <w:t>June 30, 2022</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1260" w:type="dxa"/>
            <w:vAlign w:val="bottom"/>
            <w:tcBorders>
              <w:left w:val="single" w:sz="8" w:color="auto"/>
            </w:tcBorders>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2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ind w:left="320" w:right="100" w:hanging="314"/>
        <w:spacing w:after="0" w:line="250" w:lineRule="auto"/>
        <w:tabs>
          <w:tab w:leader="none" w:pos="30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1 for more information.</w:t>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ectPr>
          <w:pgSz w:w="11900" w:h="16838" w:orient="portrait"/>
          <w:cols w:equalWidth="0" w:num="1">
            <w:col w:w="11340"/>
          </w:cols>
          <w:pgMar w:left="32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ROBINHOOD MARKETS, INC.</w:t>
      </w:r>
    </w:p>
    <w:p>
      <w:pPr>
        <w:spacing w:after="0" w:line="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80"/>
        <w:spacing w:after="0" w:line="251"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Robinhood Markets, Inc. (“RHM” and, together with its subsidiaries, “Robinhood,” the “Company,” “we,” or “us”) was incorporated in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on November 22, 2013. Our most significant, wholly-owned subsidiaries are:</w:t>
      </w:r>
    </w:p>
    <w:p>
      <w:pPr>
        <w:spacing w:after="0" w:line="177"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Robinhood Crypto, LLC (“RHC”), which provides users the ability to buy, sell, and transfer cryptocurrencies; and</w:t>
      </w:r>
    </w:p>
    <w:p>
      <w:pPr>
        <w:spacing w:after="0" w:line="17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Robinhood Money, LLC (“RHY”), which offers a pre-paid debit card (the “Robinhood Cash Card”) and a spending account that help customers invest, save, and earn rewards.</w:t>
      </w:r>
    </w:p>
    <w:p>
      <w:pPr>
        <w:spacing w:after="0" w:line="17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Acting as the agent of the user, we facilitate the purchase and sale of options, cryptocurrencies, and equities through our platform by routing transactions through market makers, who are responsible for trade execution. Upon execution of a trade, users are legally required to purchase options, cryptocurrencies, or equities for cash from the transaction counterparty or to sell options, cryptocurrencies, or equities for cash to the transaction counterparty, depending on the transaction. We facilitate and confirm trades only when there are binding, matched legal obligations from the user and the market maker on both sides of the trade. Our users have ownership of the securities they transact on our platform, including those that collateralize margin loans, and, as a result, such securities are not presented on our unaudited condensed consolidated balance sheets, other than user-held fractional shares which are presented gross. Our users also have ownership of the cryptocurrencies they transact on our platform (none of which are allowed to be purchased on margin and which do not serve as collateral for margin loans); however, following our adoption of Staff Accounting Bulletin 121 (“SAB 121”), we recognize a liability to reflect our safeguarding obligation along with a corresponding asset on our balance sheet related to the cryptocurrencies we hold in custody for users (refer to Note 2 for more information on the recent adoption of SAB 121).</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Basis of Presentation</w:t>
      </w:r>
    </w:p>
    <w:p>
      <w:pPr>
        <w:spacing w:after="0" w:line="20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2022 or any future period. These unaudited condensed consolidated financial statements should be read in conjunction with the audited annual consolidated financial statements and notes included in our Annual Report on Form 10-K for the year ended December 31, 2021 (“2021 Form 10-K”).</w:t>
      </w:r>
    </w:p>
    <w:p>
      <w:pPr>
        <w:spacing w:after="0" w:line="17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There have been no material changes in our significant accounting policies as described in our consolidated financial statements included in our audited annual consolidated financial statements for the year ended December 31, 2021, other than recently adopted accounting pronouncements as described in Note 2. The unaudited condensed consolidated financial statements include the accounts of RHM and its wholly-owned subsidiaries. All intercompany balances and transactions have been eliminated. Certain prior-period amounts have been reclassified to conform to the current period’s presentation. The impact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is immaterial to the presentation of the unaudited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Use of Estimates</w:t>
      </w:r>
    </w:p>
    <w:p>
      <w:pPr>
        <w:spacing w:after="0" w:line="20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accordance with GAAP, management is required to make estimates and assumptions that affect the reported amounts of assets, liabilities, revenue, and expenses, as well as related disclosures, on the unaudited condensed consolidated financial statements. We base our estimates on current and historical experience and other assumptions we believe to be reasonable under the circumstances. Assumptions and estimates used in preparing our unaudited condensed consolidated financial statements include those related to revenue recognition, the determination of allowances for credit losses, the capitalization and estimated useful life of internally developed software, investment valuation, valuation of user cryptocurrencies safeguarding obligation and the corresponding asset, contingent liabilities, useful lives of property and equipment, the incremental borrowing rate used to determine the present value of lease payments, the valuation and recognition of share-based compensation, the valuation of the convertible notes and warrant liability, the valuation and estimated useful lives of acquired intangible assets, uncertain tax positions, accrued liabilities, and the recognition and measurement of current and deferred income tax assets and liabilities. Actual results could differ from these estimates and could have a material adverse effect on our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Concentration of Revenue and Credit Risk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Revenue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derived transaction-based revenues from individual market makers in excess of 10% of total revenues,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3"/>
          </w:tcPr>
          <w:p>
            <w:pPr>
              <w:jc w:val="center"/>
              <w:ind w:left="957"/>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Borders>
              <w:bottom w:val="single" w:sz="8" w:color="auto"/>
            </w:tcBorders>
            <w:gridSpan w:val="3"/>
          </w:tcPr>
          <w:p>
            <w:pPr>
              <w:jc w:val="center"/>
              <w:ind w:left="937"/>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4"/>
                <w:szCs w:val="14"/>
                <w:color w:val="auto"/>
              </w:rPr>
            </w:pPr>
          </w:p>
        </w:tc>
      </w:tr>
      <w:tr>
        <w:trPr>
          <w:trHeight w:val="179"/>
        </w:trPr>
        <w:tc>
          <w:tcPr>
            <w:tcW w:w="44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205"/>
        </w:trPr>
        <w:tc>
          <w:tcPr>
            <w:tcW w:w="44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Market maker:</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5"/>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Citadel Securities, LLC</w:t>
            </w: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185"/>
        </w:trPr>
        <w:tc>
          <w:tcPr>
            <w:tcW w:w="5420" w:type="dxa"/>
            <w:vAlign w:val="bottom"/>
            <w:gridSpan w:val="2"/>
            <w:shd w:val="clear" w:color="auto" w:fill="CCEEFF"/>
          </w:tcPr>
          <w:p>
            <w:pPr>
              <w:ind w:left="180"/>
              <w:spacing w:after="0" w:line="185" w:lineRule="exact"/>
              <w:rPr>
                <w:sz w:val="20"/>
                <w:szCs w:val="20"/>
                <w:color w:val="auto"/>
              </w:rPr>
            </w:pPr>
            <w:r>
              <w:rPr>
                <w:rFonts w:ascii="Arial" w:cs="Arial" w:eastAsia="Arial" w:hAnsi="Arial"/>
                <w:sz w:val="18"/>
                <w:szCs w:val="18"/>
                <w:color w:val="auto"/>
              </w:rPr>
              <w:t>Entities affiliated with Susquehanna International</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3"/>
        </w:trPr>
        <w:tc>
          <w:tcPr>
            <w:tcW w:w="5420" w:type="dxa"/>
            <w:vAlign w:val="bottom"/>
            <w:gridSpan w:val="2"/>
            <w:shd w:val="clear" w:color="auto" w:fill="CCEEFF"/>
          </w:tcPr>
          <w:p>
            <w:pPr>
              <w:ind w:left="340"/>
              <w:spacing w:after="0" w:line="212" w:lineRule="exact"/>
              <w:rPr>
                <w:sz w:val="20"/>
                <w:szCs w:val="20"/>
                <w:color w:val="auto"/>
              </w:rPr>
            </w:pPr>
            <w:r>
              <w:rPr>
                <w:rFonts w:ascii="Arial" w:cs="Arial" w:eastAsia="Arial" w:hAnsi="Arial"/>
                <w:sz w:val="18"/>
                <w:szCs w:val="18"/>
                <w:color w:val="auto"/>
              </w:rPr>
              <w:t>Group, LLP</w:t>
            </w:r>
            <w:r>
              <w:rPr>
                <w:rFonts w:ascii="Arial" w:cs="Arial" w:eastAsia="Arial" w:hAnsi="Arial"/>
                <w:sz w:val="22"/>
                <w:szCs w:val="22"/>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5"/>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B2C2 USA Inc.</w:t>
            </w:r>
          </w:p>
        </w:tc>
        <w:tc>
          <w:tcPr>
            <w:tcW w:w="1400" w:type="dxa"/>
            <w:vAlign w:val="bottom"/>
            <w:gridSpan w:val="3"/>
          </w:tcPr>
          <w:p>
            <w:pPr>
              <w:jc w:val="right"/>
              <w:ind w:right="76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6"/>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Entity affiliated with Jane Street Group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5"/>
        </w:trPr>
        <w:tc>
          <w:tcPr>
            <w:tcW w:w="542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Tai Mo Shan Limited</w:t>
            </w:r>
            <w:r>
              <w:rPr>
                <w:rFonts w:ascii="Arial" w:cs="Arial" w:eastAsia="Arial" w:hAnsi="Arial"/>
                <w:sz w:val="22"/>
                <w:szCs w:val="22"/>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5"/>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others individually less than 10%</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1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as percentage of total revenue:</w:t>
            </w:r>
          </w:p>
        </w:tc>
        <w:tc>
          <w:tcPr>
            <w:tcW w:w="660" w:type="dxa"/>
            <w:vAlign w:val="bottom"/>
          </w:tcPr>
          <w:p>
            <w:pPr>
              <w:jc w:val="right"/>
              <w:spacing w:after="0"/>
              <w:rPr>
                <w:sz w:val="20"/>
                <w:szCs w:val="20"/>
                <w:color w:val="auto"/>
              </w:rPr>
            </w:pPr>
            <w:r>
              <w:rPr>
                <w:rFonts w:ascii="Arial" w:cs="Arial" w:eastAsia="Arial" w:hAnsi="Arial"/>
                <w:sz w:val="18"/>
                <w:szCs w:val="18"/>
                <w:color w:val="auto"/>
              </w:rPr>
              <w:t>79 %</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0"/>
        </w:trPr>
        <w:tc>
          <w:tcPr>
            <w:tcW w:w="4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ind w:left="320" w:hanging="314"/>
        <w:spacing w:after="0" w:line="237" w:lineRule="auto"/>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Global Execution Brokers, LP and G1X Execution Services, LLC</w:t>
      </w:r>
    </w:p>
    <w:p>
      <w:pPr>
        <w:ind w:left="320" w:hanging="314"/>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Member of Jump Trading Group</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w:t>
      </w:r>
    </w:p>
    <w:p>
      <w:pPr>
        <w:spacing w:after="0" w:line="19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Cryptocurrencies</w:t>
      </w:r>
    </w:p>
    <w:p>
      <w:pPr>
        <w:spacing w:after="0" w:line="21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act as an agent in the cryptocurrency transactions of our users. We have determined we are an agent, for accounting purposes, because we do not control the cryptocurrency before delivery to the user, we are not primarily responsible for the delivery of cryptocurrency to our users, we are not exposed to risks arising from fluctuations of the market price of cryptocurrency before delivery to the user, and we do not set the prices charged to users. After purchasing cryptocurrency on the platform, users are the legal owners of cryptocurrency held under custody by us and users have all the rights and benefits of ownership, including the rights to appreciation and depreciation of the cryptocurrency. We do not allow users to purchase cryptocurrency on margin and cryptocurrency does not serve as collateral for margin loans. We hold cryptocurrency in custody for users in one or more omnibus cryptocurrency wallets; we do not utilize third-party custodians. We hold cryptographic key information and maintain internal record keeping for the cryptocurrencies we hold in custody for users, and we are obligated to secure such assets from loss or theft. Based on the terms of our user agreement and applicable law, we believe the cryptocurrency we hold in custody for users of our platform should be respected as users’ property (and should not be available to satisfy the claims of our general creditors) in the event we were to enter bankruptcy. For additional information relating to platform bankruptcy generally, see Item 2, Part II of this Quarterly Report on Form 10-Q, “Risk Factors—Risks Related to Cryptocurrency Products and Services—Cryptocurrency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Securities Borrowing and Lending</w:t>
      </w:r>
    </w:p>
    <w:p>
      <w:pPr>
        <w:spacing w:after="0" w:line="188" w:lineRule="exact"/>
        <w:rPr>
          <w:sz w:val="20"/>
          <w:szCs w:val="20"/>
          <w:color w:val="auto"/>
        </w:rPr>
      </w:pPr>
    </w:p>
    <w:p>
      <w:pPr>
        <w:jc w:val="both"/>
        <w:ind w:firstLine="318"/>
        <w:spacing w:after="0" w:line="221" w:lineRule="auto"/>
        <w:rPr>
          <w:sz w:val="20"/>
          <w:szCs w:val="20"/>
          <w:color w:val="auto"/>
        </w:rPr>
      </w:pPr>
      <w:r>
        <w:rPr>
          <w:rFonts w:ascii="Arial" w:cs="Arial" w:eastAsia="Arial" w:hAnsi="Arial"/>
          <w:sz w:val="18"/>
          <w:szCs w:val="18"/>
          <w:color w:val="auto"/>
        </w:rPr>
        <w:t>We operate a securities lending program under which shares that users have pledged to us to collateralize their margin borrowing are lent by us to third parties (“Margin Securities Lending”) and a securities lending program under which we borrow fully-paid shares from participating users and lend them to third parties (“Fully-Paid Securities Lending”). We also occasionally borrow securities from third parties for operational purposes, and we occasionally lend to third parties securities that we hold for our own account (such as our holdings to support fractional share operations).</w:t>
      </w:r>
    </w:p>
    <w:p>
      <w:pPr>
        <w:spacing w:after="0" w:line="213"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7"/>
          <w:szCs w:val="17"/>
          <w:color w:val="auto"/>
        </w:rPr>
        <w:t>When we lend securities to third parties, the borrower provides cash as collateral. We earn interest revenue on cash collateral deposited by borrowers, and we can also earn additional revenue for lending certain securities based on demand for those securities. For our Fully-Paid Securities Lending, portions of such revenues are paid to participating users, and those payments are recorded as interest expense. As of June 30, 2022, interest revenue earned and interest expenses incurred related to the Fully-Paid Securities Lending program were not material.</w:t>
      </w:r>
    </w:p>
    <w:p>
      <w:pPr>
        <w:spacing w:after="0" w:line="22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authorization from users to lend shares that collateralize their margin borrowing is found in our margin account agreement, our borrowing of fully-paid shares from users is conducted under the terms of our Fully-Paid Securities Lending program to which users consent when they enroll in that program, and substantially all of our securities lending and borrowing transactions with third parties are conducted under the terms of an industry-standard master securities loan agreement (“MSLA”), which has an open contractual term and may be terminated upon notice by either party. We have also entered into fixed-term securities lending agreements with two financial institution counterparties (the “Fixed-Term Securities Lending Agreements”). One of these agreements has a contractual term of 30 days per lending transaction with a daily minimum commitment of $25 million and another has a contractual term of 21 days per lending transaction with a daily minimum commitment of $35 million. Under these two agreements we lend to the counterparties (for a fixed term) securities that collateralize users’ margin borrowing, and we obtain cash collateral from the counterparties that we use to provide liquidity support for our margin lending to users.</w:t>
      </w:r>
    </w:p>
    <w:p>
      <w:pPr>
        <w:spacing w:after="0" w:line="18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Each of the MSLAs and Fixed-Term Securities Lending Agreements establishes a master netting arrangement between the lender and the borrower. A master netting arrangement is an agreement between two counterparties that creates a right of set-off for amounts due to and from that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counterparty that is enforceable in the event of a default or bankruptcy. In connection with our securities borrowing and lending activities, however, our policy is to recognize all amounts that are subject to master netting arrangements on a gross basis in our consolidated balance sheets even though some of those amounts may be eligible for offset (i.e., to be presented on a net basis) under GAAP. Refer to Note 8 for more information and the gross presentation in tabular format.</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Workforce Reduction</w:t>
      </w:r>
    </w:p>
    <w:p>
      <w:pPr>
        <w:spacing w:after="0" w:line="20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April 26, 2022, we announced a reduction in force (the “April 2022 Restructuring”) as part of our efforts to improve efficiency and operating costs, increase our velocity, and ensure that we are responsive to the changing needs of our customers. The April 2022 Restructuring involved approximately 330 employees, representing approximately 9% of our full-time employees at that time. With respect to share-based compensation, we allowed affected employees’ awards to continue vesting over a transitional period (generally two months during which they remained employed but were not expected to provide active service), which were generally accounted for as a modification allowing a portion of the awards to vest that otherwise would have been forfeited. However, as a result of the reversal of share-based compensation expense that had been previously recognized (under the accelerated attribution method, generally), the April 2022 Restructuring resulted in a net reduction to share-based compensation of $24 million, which was recognized in the three and six months ended June 30, 2022 (refer to Note 10 for more information). In addition, we recognized $17 million of restructuring charges related to the April 2022 Restructuring, which primarily consisted of employee-related wages and benefits and severance expense. As of June 30, 2022, $10 million of the unpaid restructuring charges were included in accounts payable and accrued liabilities on our unaudited condensed consolidated balance sheet, substantially all of which is expected to be paid in the third quarter of 2022.</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Recently Adopted Accounting Pronouncements</w:t>
      </w:r>
    </w:p>
    <w:p>
      <w:pPr>
        <w:spacing w:after="0" w:line="20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2022, the staff of the SEC issued SAB 121, which provides guidance to entities that have obligations to safeguard crypto-assets held in custody on behalf of their platform users. SAB 121 states that the entity should recognize a liability representing its obligation to safeguard such crypto-assets accompanied by a corresponding asset on its balance sheet representing the platform users’ crypto-assets held in custody measured at fair value initially and at each subsequent reporting period. SAB 121 also states that accompanying disclosures should be considered regarding the entity’s obligation to safeguard crypto-assets for platform users. We adopted SAB 121 as part of the financial statements covering the interim period ended June 30, 2022, with retrospective application as of the beginning of fiscal year 2022. As a result of (and solely by virtue of) our adoption of SAB 121, we recognized an asset captioned “Asset related to user cryptocurrencies safeguarding obligation” and a liability captioned “User cryptocurrencies safeguarding obligation,” each in the amount of $8.6 billion as of June 30, 2022, on our unaudited condensed consolidated balance sheets. We also added disclosures to Note 1 - Description of business and summary of significant accounting policies and Note 6 - Investments and fair value measurement.</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Recently Issued Accounting Pronouncements Not Yet Adopted</w:t>
      </w:r>
    </w:p>
    <w:p>
      <w:pPr>
        <w:spacing w:after="0" w:line="21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October 2021, the Financial Accounting Standards Board (“FASB”) issued Accounting Standards Update 2021-08, “Business Combinations (Topic 805): Accounting for Contract Assets and Contract Liabilities from Contracts with Customers.” This guidance requires contract assets and contract liabilities from contracts with customers that are acquired in a business combination to be recognized and measured as if the acquirer had originated the original contract. The guidance is effective for fiscal years beginning after December 15, 2022 on a prospective basis, including interim periods within those fiscal years. Early adoption is permitted. We are currently evaluating the timing of adoption and impact of this new guidance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NOTE 3: BUSINESS COMBINATIONS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Acquisition of Ziglu</w:t>
      </w:r>
    </w:p>
    <w:p>
      <w:pPr>
        <w:spacing w:after="0" w:line="19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April 16, 2022, we entered into a definitive agreement to acquire all outstanding equity of Ziglu Limited (“Ziglu”), a U.K.-based electronic money institution and crypto-asset firm that allows customers to buy and sell eligible cryptocurrencies, earn yield via its ‘Boost’ products, pay using a debit card, and move and spend money without fees. The aggregate consideration to be paid by us is estimated to be approximately $170 million, subject to customary purchase price adjustments set forth in the definitive agreement and payable primarily in cash while the remainder will be paid with a number of shares of our stock to be determined at closing. The transaction is subject to regulatory approval and other customary closing conditions and is expected to close no later than the fourth quarter of 2022.</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NOTE 4: REVENUES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Disaggregation of Revenues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revenue disaggregated by revenue source: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72"/>
        </w:trPr>
        <w:tc>
          <w:tcPr>
            <w:tcW w:w="4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r>
      <w:tr>
        <w:trPr>
          <w:trHeight w:val="17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05"/>
        </w:trPr>
        <w:tc>
          <w:tcPr>
            <w:tcW w:w="47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5"/>
        </w:trPr>
        <w:tc>
          <w:tcPr>
            <w:tcW w:w="4700" w:type="dxa"/>
            <w:vAlign w:val="bottom"/>
          </w:tcPr>
          <w:p>
            <w:pPr>
              <w:ind w:left="34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240</w:t>
            </w:r>
          </w:p>
        </w:tc>
      </w:tr>
      <w:tr>
        <w:trPr>
          <w:trHeight w:val="22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Cryptocurrencies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r>
      <w:tr>
        <w:trPr>
          <w:trHeight w:val="225"/>
        </w:trPr>
        <w:tc>
          <w:tcPr>
            <w:tcW w:w="4700" w:type="dxa"/>
            <w:vAlign w:val="bottom"/>
          </w:tcPr>
          <w:p>
            <w:pPr>
              <w:ind w:left="34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65</w:t>
            </w:r>
          </w:p>
        </w:tc>
      </w:tr>
      <w:tr>
        <w:trPr>
          <w:trHeight w:val="225"/>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r>
      <w:tr>
        <w:trPr>
          <w:trHeight w:val="218"/>
        </w:trPr>
        <w:tc>
          <w:tcPr>
            <w:tcW w:w="4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451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420</w:t>
            </w:r>
          </w:p>
        </w:tc>
      </w:tr>
      <w:tr>
        <w:trPr>
          <w:trHeight w:val="232"/>
        </w:trPr>
        <w:tc>
          <w:tcPr>
            <w:tcW w:w="4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Margin interest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r>
      <w:tr>
        <w:trPr>
          <w:trHeight w:val="225"/>
        </w:trPr>
        <w:tc>
          <w:tcPr>
            <w:tcW w:w="4700" w:type="dxa"/>
            <w:vAlign w:val="bottom"/>
          </w:tcPr>
          <w:p>
            <w:pPr>
              <w:ind w:left="340"/>
              <w:spacing w:after="0"/>
              <w:rPr>
                <w:sz w:val="20"/>
                <w:szCs w:val="20"/>
                <w:color w:val="auto"/>
              </w:rPr>
            </w:pPr>
            <w:r>
              <w:rPr>
                <w:rFonts w:ascii="Arial" w:cs="Arial" w:eastAsia="Arial" w:hAnsi="Arial"/>
                <w:sz w:val="18"/>
                <w:szCs w:val="18"/>
                <w:color w:val="auto"/>
              </w:rPr>
              <w:t>Securities lending</w:t>
            </w:r>
          </w:p>
        </w:tc>
        <w:tc>
          <w:tcPr>
            <w:tcW w:w="38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w:t>
            </w:r>
          </w:p>
        </w:tc>
      </w:tr>
      <w:tr>
        <w:trPr>
          <w:trHeight w:val="22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investments and corporate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r>
      <w:tr>
        <w:trPr>
          <w:trHeight w:val="225"/>
        </w:trPr>
        <w:tc>
          <w:tcPr>
            <w:tcW w:w="4700" w:type="dxa"/>
            <w:vAlign w:val="bottom"/>
          </w:tcPr>
          <w:p>
            <w:pPr>
              <w:ind w:left="340"/>
              <w:spacing w:after="0"/>
              <w:rPr>
                <w:sz w:val="20"/>
                <w:szCs w:val="20"/>
                <w:color w:val="auto"/>
              </w:rPr>
            </w:pPr>
            <w:r>
              <w:rPr>
                <w:rFonts w:ascii="Arial" w:cs="Arial" w:eastAsia="Arial" w:hAnsi="Arial"/>
                <w:sz w:val="18"/>
                <w:szCs w:val="18"/>
                <w:color w:val="auto"/>
              </w:rPr>
              <w:t>Interest on segregated cash and securities</w:t>
            </w:r>
          </w:p>
        </w:tc>
        <w:tc>
          <w:tcPr>
            <w:tcW w:w="38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w:t>
            </w:r>
          </w:p>
        </w:tc>
      </w:tr>
      <w:tr>
        <w:trPr>
          <w:trHeight w:val="22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interest revenue</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r>
      <w:tr>
        <w:trPr>
          <w:trHeight w:val="225"/>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expenses related to credit facilities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w:t>
            </w:r>
          </w:p>
        </w:tc>
      </w:tr>
      <w:tr>
        <w:trPr>
          <w:trHeight w:val="218"/>
        </w:trPr>
        <w:tc>
          <w:tcPr>
            <w:tcW w:w="4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net interest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r>
      <w:tr>
        <w:trPr>
          <w:trHeight w:val="246"/>
        </w:trPr>
        <w:tc>
          <w:tcPr>
            <w:tcW w:w="47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1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r>
      <w:tr>
        <w:trPr>
          <w:trHeight w:val="245"/>
        </w:trPr>
        <w:tc>
          <w:tcPr>
            <w:tcW w:w="47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43"/>
        </w:trPr>
        <w:tc>
          <w:tcPr>
            <w:tcW w:w="4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0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organizations while other revenue receivables due from our relationship with a third-party investor communications company are reported in other current assets on the unaudited condensed consolidated balance sheets.</w:t>
      </w:r>
    </w:p>
    <w:p>
      <w:pPr>
        <w:spacing w:after="0" w:line="17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Contract liabilities, which consist of unearned subscription revenue, are recognized when users remit cash payments in advance of the time we satisfy our performance obligations and are recorded as other current liabilities on the unaudited condensed consolidated balance sheets.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contract receivables and liabilities for the period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6"/>
                <w:szCs w:val="16"/>
                <w:color w:val="auto"/>
              </w:rPr>
            </w:pP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Contract Liabilities</w:t>
            </w:r>
          </w:p>
        </w:tc>
      </w:tr>
      <w:tr>
        <w:trPr>
          <w:trHeight w:val="21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 January 1, 2022</w:t>
            </w:r>
          </w:p>
        </w:tc>
        <w:tc>
          <w:tcPr>
            <w:tcW w:w="660" w:type="dxa"/>
            <w:vAlign w:val="bottom"/>
            <w:tcBorders>
              <w:top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period, June 30, 2022</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66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difference between the opening and ending balances of our contract receivables primarily results from timing differences between our performance and counterparties’ payments. We recognized substantially all revenue from amounts included in the opening contract liability balances in the six months ended June 30, 2022.</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NOTE 5: ALLOWANCE FOR CREDIT LOSSES</w:t>
      </w:r>
    </w:p>
    <w:p>
      <w:pPr>
        <w:spacing w:after="0" w:line="17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table summarizes the allowance for credit losses, which substantially all relate to unsecured balances of receivables from users due to “Fraudulent Deposit Transactions” and losses on margin lending. Fraudulent Deposit Transactions are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40" w:type="dxa"/>
            <w:vAlign w:val="bottom"/>
            <w:gridSpan w:val="4"/>
          </w:tcPr>
          <w:p>
            <w:pPr>
              <w:jc w:val="right"/>
              <w:ind w:right="33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72"/>
        </w:trPr>
        <w:tc>
          <w:tcPr>
            <w:tcW w:w="47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r>
      <w:tr>
        <w:trPr>
          <w:trHeight w:val="17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31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9"/>
              </w:rPr>
              <w:t>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ind w:left="178"/>
              <w:spacing w:after="0"/>
              <w:rPr>
                <w:sz w:val="20"/>
                <w:szCs w:val="20"/>
                <w:color w:val="auto"/>
              </w:rPr>
            </w:pPr>
            <w:r>
              <w:rPr>
                <w:rFonts w:ascii="Arial" w:cs="Arial" w:eastAsia="Arial" w:hAnsi="Arial"/>
                <w:sz w:val="18"/>
                <w:szCs w:val="18"/>
                <w:color w:val="auto"/>
                <w:w w:val="99"/>
              </w:rPr>
              <w:t>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9"/>
              </w:rPr>
              <w:t>40</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100" w:type="dxa"/>
            <w:vAlign w:val="bottom"/>
          </w:tcPr>
          <w:p>
            <w:pPr>
              <w:spacing w:after="0"/>
              <w:rPr>
                <w:sz w:val="19"/>
                <w:szCs w:val="19"/>
                <w:color w:val="auto"/>
              </w:rPr>
            </w:pPr>
          </w:p>
        </w:tc>
        <w:tc>
          <w:tcPr>
            <w:tcW w:w="480" w:type="dxa"/>
            <w:vAlign w:val="bottom"/>
          </w:tcPr>
          <w:p>
            <w:pPr>
              <w:jc w:val="center"/>
              <w:ind w:left="35"/>
              <w:spacing w:after="0"/>
              <w:rPr>
                <w:sz w:val="20"/>
                <w:szCs w:val="20"/>
                <w:color w:val="auto"/>
              </w:rPr>
            </w:pPr>
            <w:r>
              <w:rPr>
                <w:rFonts w:ascii="Arial" w:cs="Arial" w:eastAsia="Arial" w:hAnsi="Arial"/>
                <w:sz w:val="18"/>
                <w:szCs w:val="18"/>
                <w:color w:val="auto"/>
                <w:w w:val="99"/>
              </w:rPr>
              <w:t>20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center"/>
              <w:ind w:left="72"/>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center"/>
              <w:ind w:left="178"/>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center"/>
              <w:ind w:left="535"/>
              <w:spacing w:after="0"/>
              <w:rPr>
                <w:sz w:val="20"/>
                <w:szCs w:val="20"/>
                <w:color w:val="auto"/>
              </w:rPr>
            </w:pPr>
            <w:r>
              <w:rPr>
                <w:rFonts w:ascii="Arial" w:cs="Arial" w:eastAsia="Arial" w:hAnsi="Arial"/>
                <w:sz w:val="18"/>
                <w:szCs w:val="18"/>
                <w:color w:val="auto"/>
                <w:w w:val="89"/>
              </w:rPr>
              <w:t>19</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3"/>
              </w:rPr>
              <w:t>(16)</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9"/>
              </w:rPr>
              <w:t>(13)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138"/>
              <w:spacing w:after="0"/>
              <w:rPr>
                <w:sz w:val="20"/>
                <w:szCs w:val="20"/>
                <w:color w:val="auto"/>
              </w:rPr>
            </w:pPr>
            <w:r>
              <w:rPr>
                <w:rFonts w:ascii="Arial" w:cs="Arial" w:eastAsia="Arial" w:hAnsi="Arial"/>
                <w:sz w:val="18"/>
                <w:szCs w:val="18"/>
                <w:color w:val="auto"/>
                <w:w w:val="99"/>
              </w:rPr>
              <w:t>(36)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9"/>
              </w:rPr>
              <w:t>(41)</w:t>
            </w:r>
          </w:p>
        </w:tc>
      </w:tr>
      <w:tr>
        <w:trPr>
          <w:trHeight w:val="219"/>
        </w:trPr>
        <w:tc>
          <w:tcPr>
            <w:tcW w:w="47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99"/>
              </w:rPr>
              <w:t>35</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center"/>
              <w:ind w:left="178"/>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89"/>
              </w:rPr>
              <w:t>18</w:t>
            </w: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NOTE 6: INVESTMENTS AND FAIR VALUE MEASUREMENT</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Investments</w:t>
      </w:r>
    </w:p>
    <w:p>
      <w:pPr>
        <w:spacing w:after="0" w:line="214"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We invest in marketable debt securities which are classified as available-for-sale. We elected the fair value option on our available-for-sale debt securities and carry them at fair value with adjustments to fair value presented in other expense (income), net on our unaudited condensed consolidated statements of operations. Investments on our unaudited condensed consolidated balance sheet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11"/>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8"/>
                <w:szCs w:val="18"/>
                <w:color w:val="auto"/>
              </w:rPr>
            </w:pPr>
          </w:p>
        </w:tc>
        <w:tc>
          <w:tcPr>
            <w:tcW w:w="1280" w:type="dxa"/>
            <w:vAlign w:val="bottom"/>
          </w:tcPr>
          <w:p>
            <w:pPr>
              <w:jc w:val="right"/>
              <w:ind w:right="355"/>
              <w:spacing w:after="0"/>
              <w:rPr>
                <w:sz w:val="20"/>
                <w:szCs w:val="20"/>
                <w:color w:val="auto"/>
              </w:rPr>
            </w:pPr>
            <w:r>
              <w:rPr>
                <w:rFonts w:ascii="Arial" w:cs="Arial" w:eastAsia="Arial" w:hAnsi="Arial"/>
                <w:sz w:val="14"/>
                <w:szCs w:val="14"/>
                <w:b w:val="1"/>
                <w:bCs w:val="1"/>
                <w:color w:val="auto"/>
              </w:rPr>
              <w:t>Fair Value</w:t>
            </w:r>
          </w:p>
        </w:tc>
      </w:tr>
      <w:tr>
        <w:trPr>
          <w:trHeight w:val="205"/>
        </w:trPr>
        <w:tc>
          <w:tcPr>
            <w:tcW w:w="47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Debt securities:</w:t>
            </w: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4700" w:type="dxa"/>
            <w:vAlign w:val="bottom"/>
          </w:tcPr>
          <w:p>
            <w:pPr>
              <w:ind w:left="44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1"/>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1"/>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8"/>
                <w:szCs w:val="18"/>
                <w:color w:val="auto"/>
              </w:rPr>
            </w:pPr>
          </w:p>
        </w:tc>
        <w:tc>
          <w:tcPr>
            <w:tcW w:w="1280" w:type="dxa"/>
            <w:vAlign w:val="bottom"/>
          </w:tcPr>
          <w:p>
            <w:pPr>
              <w:jc w:val="right"/>
              <w:ind w:right="355"/>
              <w:spacing w:after="0"/>
              <w:rPr>
                <w:sz w:val="20"/>
                <w:szCs w:val="20"/>
                <w:color w:val="auto"/>
              </w:rPr>
            </w:pPr>
            <w:r>
              <w:rPr>
                <w:rFonts w:ascii="Arial" w:cs="Arial" w:eastAsia="Arial" w:hAnsi="Arial"/>
                <w:sz w:val="14"/>
                <w:szCs w:val="14"/>
                <w:b w:val="1"/>
                <w:bCs w:val="1"/>
                <w:color w:val="auto"/>
              </w:rPr>
              <w:t>Fair Value</w:t>
            </w:r>
          </w:p>
        </w:tc>
      </w:tr>
      <w:tr>
        <w:trPr>
          <w:trHeight w:val="205"/>
        </w:trPr>
        <w:tc>
          <w:tcPr>
            <w:tcW w:w="47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Debt securities:</w:t>
            </w: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9"/>
        </w:trPr>
        <w:tc>
          <w:tcPr>
            <w:tcW w:w="4700" w:type="dxa"/>
            <w:vAlign w:val="bottom"/>
          </w:tcPr>
          <w:p>
            <w:pPr>
              <w:ind w:left="440"/>
              <w:spacing w:after="0"/>
              <w:rPr>
                <w:sz w:val="20"/>
                <w:szCs w:val="20"/>
                <w:color w:val="auto"/>
              </w:rPr>
            </w:pPr>
            <w:r>
              <w:rPr>
                <w:rFonts w:ascii="Arial" w:cs="Arial" w:eastAsia="Arial" w:hAnsi="Arial"/>
                <w:sz w:val="18"/>
                <w:szCs w:val="18"/>
                <w:color w:val="auto"/>
              </w:rPr>
              <w:t>Total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of our debt securities as of December 31, 2021 and June 30, 2022 had a stated contractual maturity or redemption date within one year.</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Value of Financial Instruments</w:t>
      </w:r>
    </w:p>
    <w:p>
      <w:pPr>
        <w:spacing w:after="0" w:line="20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Financial assets and liabilities measured at fair value on a recurring basis were presented on our unaudited condensed consolidated balance sheets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9"/>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55"/>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5"/>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Government bonds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9"/>
        </w:trPr>
        <w:tc>
          <w:tcPr>
            <w:tcW w:w="4700" w:type="dxa"/>
            <w:vAlign w:val="bottom"/>
          </w:tcPr>
          <w:p>
            <w:pPr>
              <w:ind w:left="440"/>
              <w:spacing w:after="0"/>
              <w:rPr>
                <w:sz w:val="20"/>
                <w:szCs w:val="20"/>
                <w:color w:val="auto"/>
              </w:rPr>
            </w:pPr>
            <w:r>
              <w:rPr>
                <w:rFonts w:ascii="Arial" w:cs="Arial" w:eastAsia="Arial" w:hAnsi="Arial"/>
                <w:sz w:val="18"/>
                <w:szCs w:val="18"/>
                <w:color w:val="auto"/>
              </w:rPr>
              <w:t>Total financial assets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5,879</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Fractional share repurchase obligations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19"/>
        </w:trPr>
        <w:tc>
          <w:tcPr>
            <w:tcW w:w="4700" w:type="dxa"/>
            <w:vAlign w:val="bottom"/>
          </w:tcPr>
          <w:p>
            <w:pPr>
              <w:ind w:left="440"/>
              <w:spacing w:after="0"/>
              <w:rPr>
                <w:sz w:val="20"/>
                <w:szCs w:val="20"/>
                <w:color w:val="auto"/>
              </w:rPr>
            </w:pPr>
            <w:r>
              <w:rPr>
                <w:rFonts w:ascii="Arial" w:cs="Arial" w:eastAsia="Arial" w:hAnsi="Arial"/>
                <w:sz w:val="18"/>
                <w:szCs w:val="18"/>
                <w:color w:val="auto"/>
              </w:rPr>
              <w:t>Total financial liabilities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8"/>
                <w:szCs w:val="18"/>
                <w:color w:val="auto"/>
              </w:rPr>
            </w:pPr>
          </w:p>
        </w:tc>
        <w:tc>
          <w:tcPr>
            <w:tcW w:w="136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185"/>
        </w:trPr>
        <w:tc>
          <w:tcPr>
            <w:tcW w:w="4700" w:type="dxa"/>
            <w:vAlign w:val="bottom"/>
          </w:tcPr>
          <w:p>
            <w:pPr>
              <w:ind w:left="20"/>
              <w:spacing w:after="0" w:line="185" w:lineRule="exact"/>
              <w:rPr>
                <w:sz w:val="20"/>
                <w:szCs w:val="20"/>
                <w:color w:val="auto"/>
              </w:rPr>
            </w:pPr>
            <w:r>
              <w:rPr>
                <w:rFonts w:ascii="Arial" w:cs="Arial" w:eastAsia="Arial" w:hAnsi="Arial"/>
                <w:sz w:val="18"/>
                <w:szCs w:val="18"/>
                <w:color w:val="auto"/>
              </w:rPr>
              <w:t>Cash and securities segregated under federal and other</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00" w:type="dxa"/>
            <w:vAlign w:val="bottom"/>
          </w:tcPr>
          <w:p>
            <w:pPr>
              <w:ind w:left="180"/>
              <w:spacing w:after="0"/>
              <w:rPr>
                <w:sz w:val="20"/>
                <w:szCs w:val="20"/>
                <w:color w:val="auto"/>
              </w:rPr>
            </w:pPr>
            <w:r>
              <w:rPr>
                <w:rFonts w:ascii="Arial" w:cs="Arial" w:eastAsia="Arial" w:hAnsi="Arial"/>
                <w:sz w:val="18"/>
                <w:szCs w:val="18"/>
                <w:color w:val="auto"/>
              </w:rPr>
              <w:t>regulations: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47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4700" w:type="dxa"/>
            <w:vAlign w:val="bottom"/>
          </w:tcPr>
          <w:p>
            <w:pPr>
              <w:ind w:left="240"/>
              <w:spacing w:after="0"/>
              <w:rPr>
                <w:sz w:val="20"/>
                <w:szCs w:val="20"/>
                <w:color w:val="auto"/>
              </w:rPr>
            </w:pPr>
            <w:r>
              <w:rPr>
                <w:rFonts w:ascii="Arial" w:cs="Arial" w:eastAsia="Arial" w:hAnsi="Arial"/>
                <w:sz w:val="18"/>
                <w:szCs w:val="18"/>
                <w:color w:val="auto"/>
              </w:rPr>
              <w:t>Government bonds</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5"/>
        </w:trPr>
        <w:tc>
          <w:tcPr>
            <w:tcW w:w="47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Asset related to user cryptocurrencies safeguarding</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obligation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20"/>
              <w:spacing w:after="0"/>
              <w:rPr>
                <w:sz w:val="20"/>
                <w:szCs w:val="20"/>
                <w:color w:val="auto"/>
              </w:rPr>
            </w:pPr>
            <w:r>
              <w:rPr>
                <w:rFonts w:ascii="Arial" w:cs="Arial" w:eastAsia="Arial" w:hAnsi="Arial"/>
                <w:sz w:val="18"/>
                <w:szCs w:val="18"/>
                <w:color w:val="auto"/>
              </w:rPr>
              <w:t>User cryptocurrencies safeguarding obligation</w:t>
            </w:r>
          </w:p>
        </w:tc>
        <w:tc>
          <w:tcPr>
            <w:tcW w:w="320" w:type="dxa"/>
            <w:vAlign w:val="bottom"/>
          </w:tcPr>
          <w:p>
            <w:pPr>
              <w:jc w:val="center"/>
              <w:ind w:right="9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8,593</w:t>
            </w:r>
          </w:p>
        </w:tc>
        <w:tc>
          <w:tcPr>
            <w:tcW w:w="80" w:type="dxa"/>
            <w:vAlign w:val="bottom"/>
          </w:tcPr>
          <w:p>
            <w:pPr>
              <w:spacing w:after="0"/>
              <w:rPr>
                <w:sz w:val="23"/>
                <w:szCs w:val="23"/>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6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1"/>
        </w:trPr>
        <w:tc>
          <w:tcPr>
            <w:tcW w:w="4700" w:type="dxa"/>
            <w:vAlign w:val="bottom"/>
            <w:vMerge w:val="restart"/>
          </w:tcPr>
          <w:p>
            <w:pPr>
              <w:ind w:left="440"/>
              <w:spacing w:after="0"/>
              <w:rPr>
                <w:sz w:val="20"/>
                <w:szCs w:val="20"/>
                <w:color w:val="auto"/>
              </w:rPr>
            </w:pPr>
            <w:r>
              <w:rPr>
                <w:rFonts w:ascii="Arial" w:cs="Arial" w:eastAsia="Arial" w:hAnsi="Arial"/>
                <w:sz w:val="18"/>
                <w:szCs w:val="18"/>
                <w:color w:val="auto"/>
              </w:rPr>
              <w:t>Total financial liabilities</w:t>
            </w:r>
          </w:p>
        </w:tc>
        <w:tc>
          <w:tcPr>
            <w:tcW w:w="320" w:type="dxa"/>
            <w:vAlign w:val="bottom"/>
          </w:tcPr>
          <w:p>
            <w:pPr>
              <w:jc w:val="center"/>
              <w:ind w:right="9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8,593</w:t>
            </w:r>
          </w:p>
        </w:tc>
        <w:tc>
          <w:tcPr>
            <w:tcW w:w="80" w:type="dxa"/>
            <w:vAlign w:val="bottom"/>
          </w:tcPr>
          <w:p>
            <w:pPr>
              <w:spacing w:after="0"/>
              <w:rPr>
                <w:sz w:val="20"/>
                <w:szCs w:val="20"/>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8"/>
        </w:trPr>
        <w:tc>
          <w:tcPr>
            <w:tcW w:w="4700" w:type="dxa"/>
            <w:vAlign w:val="bottom"/>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9660" w:type="dxa"/>
            <w:vAlign w:val="bottom"/>
            <w:gridSpan w:val="10"/>
          </w:tcPr>
          <w:p>
            <w:pPr>
              <w:jc w:val="center"/>
              <w:ind w:right="160"/>
              <w:spacing w:after="0"/>
              <w:rPr>
                <w:sz w:val="20"/>
                <w:szCs w:val="20"/>
                <w:color w:val="auto"/>
              </w:rPr>
            </w:pPr>
            <w:r>
              <w:rPr>
                <w:rFonts w:ascii="Arial" w:cs="Arial" w:eastAsia="Arial" w:hAnsi="Arial"/>
                <w:sz w:val="18"/>
                <w:szCs w:val="18"/>
                <w:color w:val="auto"/>
                <w:w w:val="98"/>
              </w:rPr>
              <w:t>During the six months ended June 30, 2022, we did not have any transfers in or out of Level 3 assets or liabilities.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700" w:type="dxa"/>
            <w:vAlign w:val="bottom"/>
          </w:tcPr>
          <w:p>
            <w:pPr>
              <w:spacing w:after="0"/>
              <w:rPr>
                <w:sz w:val="20"/>
                <w:szCs w:val="20"/>
                <w:color w:val="auto"/>
              </w:rPr>
            </w:pPr>
            <w:r>
              <w:rPr>
                <w:rFonts w:ascii="Arial" w:cs="Arial" w:eastAsia="Arial" w:hAnsi="Arial"/>
                <w:sz w:val="18"/>
                <w:szCs w:val="18"/>
                <w:i w:val="1"/>
                <w:iCs w:val="1"/>
                <w:color w:val="auto"/>
              </w:rPr>
              <w:t>Safeguarded user cryptocurrencies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700" w:type="dxa"/>
            <w:vAlign w:val="bottom"/>
          </w:tcPr>
          <w:p>
            <w:pPr>
              <w:ind w:left="320"/>
              <w:spacing w:after="0"/>
              <w:rPr>
                <w:sz w:val="20"/>
                <w:szCs w:val="20"/>
                <w:color w:val="auto"/>
              </w:rPr>
            </w:pPr>
            <w:r>
              <w:rPr>
                <w:rFonts w:ascii="Arial" w:cs="Arial" w:eastAsia="Arial" w:hAnsi="Arial"/>
                <w:sz w:val="18"/>
                <w:szCs w:val="18"/>
                <w:color w:val="auto"/>
              </w:rPr>
              <w:t>Safeguarded user cryptocurrencies were as follows: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Dogecoin (DOGE)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Bitcoin (BTC)</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Ethereum (ETH)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84"/>
        </w:trPr>
        <w:tc>
          <w:tcPr>
            <w:tcW w:w="636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w w:val="99"/>
              </w:rPr>
              <w:t>Total user cryptocurrencies safeguarding obligation and corresponding asset</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the user cryptocurrencies safeguarding obligation and the corresponding asset were determined based on observed market pricing representing the last price executed for trades of each cryptocurrency as of June 30,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 Liability</w:t>
      </w:r>
    </w:p>
    <w:p>
      <w:pPr>
        <w:spacing w:after="0" w:line="19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February 2021, we issued two tranches of convertible notes (the “convertible notes”) and granted to each purchaser of the Tranche I convertible notes a warrant to purchase equity securities (the “warrant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liability”). We elected the fair value option for both tranches of the convertible notes as we believe it best reflects their underlying economics. Under the fair value option, the convertible notes were initially measured at their issuance date estimated fair value and subsequently remeasured at their estimated fair value at the end of each reporting period. Upon the closing of our IPO, all of our outstanding convertible notes and warrants were reclassified from liability to equity and the fair value was no longer required to be remeasured.</w:t>
      </w:r>
    </w:p>
    <w:p>
      <w:pPr>
        <w:spacing w:after="0" w:line="18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three and six months ended June 30, 2021, we recorded expense due to changes in fair value of $515 million and $1.9 billion for the convertible notes and $13 million and $129 million for the warrant liability in our unaudited condensed consolidated statements of operations. No such expense related to the convertible notes was attributable to the change in the instrument-specific credit risk. We elected to present the component related to accrued interest in the change in fair value of convertible notes and warrant liability.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significant unobservable inputs used in the fair value measurement of the convertible notes and warrant liability included: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316"/>
              <w:spacing w:after="0"/>
              <w:rPr>
                <w:sz w:val="20"/>
                <w:szCs w:val="20"/>
                <w:color w:val="auto"/>
              </w:rPr>
            </w:pPr>
            <w:r>
              <w:rPr>
                <w:rFonts w:ascii="Arial" w:cs="Arial" w:eastAsia="Arial" w:hAnsi="Arial"/>
                <w:sz w:val="14"/>
                <w:szCs w:val="14"/>
                <w:b w:val="1"/>
                <w:bCs w:val="1"/>
                <w:color w:val="auto"/>
              </w:rPr>
              <w:t>June 30, 2021</w:t>
            </w:r>
          </w:p>
        </w:tc>
      </w:tr>
      <w:tr>
        <w:trPr>
          <w:trHeight w:val="179"/>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Convertible notes</w:t>
            </w:r>
          </w:p>
        </w:tc>
        <w:tc>
          <w:tcPr>
            <w:tcW w:w="280" w:type="dxa"/>
            <w:vAlign w:val="bottom"/>
          </w:tcPr>
          <w:p>
            <w:pPr>
              <w:spacing w:after="0"/>
              <w:rPr>
                <w:sz w:val="15"/>
                <w:szCs w:val="15"/>
                <w:color w:val="auto"/>
              </w:rPr>
            </w:pPr>
          </w:p>
        </w:tc>
        <w:tc>
          <w:tcPr>
            <w:tcW w:w="1620" w:type="dxa"/>
            <w:vAlign w:val="bottom"/>
          </w:tcPr>
          <w:p>
            <w:pPr>
              <w:jc w:val="right"/>
              <w:ind w:right="336"/>
              <w:spacing w:after="0"/>
              <w:rPr>
                <w:sz w:val="20"/>
                <w:szCs w:val="20"/>
                <w:color w:val="auto"/>
              </w:rPr>
            </w:pPr>
            <w:r>
              <w:rPr>
                <w:rFonts w:ascii="Arial" w:cs="Arial" w:eastAsia="Arial" w:hAnsi="Arial"/>
                <w:sz w:val="14"/>
                <w:szCs w:val="14"/>
                <w:b w:val="1"/>
                <w:bCs w:val="1"/>
                <w:color w:val="auto"/>
              </w:rPr>
              <w:t>Warrant liability</w:t>
            </w:r>
          </w:p>
        </w:tc>
      </w:tr>
      <w:tr>
        <w:trPr>
          <w:trHeight w:val="218"/>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38.00</w:t>
            </w: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00" w:type="dxa"/>
            <w:vAlign w:val="bottom"/>
          </w:tcPr>
          <w:p>
            <w:pPr>
              <w:spacing w:after="0"/>
              <w:rPr>
                <w:sz w:val="19"/>
                <w:szCs w:val="19"/>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a summary of the changes in the estimated fair value of our convertible notes and warrant liability: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Convertible notes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Warrant liability</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Issued during the period</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End of period, June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NOTE 7: INCOME TAXES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700" w:type="dxa"/>
            <w:vAlign w:val="bottom"/>
            <w:gridSpan w:val="4"/>
          </w:tcPr>
          <w:p>
            <w:pPr>
              <w:jc w:val="center"/>
              <w:ind w:left="543"/>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172"/>
        </w:trPr>
        <w:tc>
          <w:tcPr>
            <w:tcW w:w="4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301"/>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4"/>
                <w:szCs w:val="14"/>
                <w:color w:val="auto"/>
              </w:rPr>
            </w:pPr>
          </w:p>
        </w:tc>
      </w:tr>
      <w:tr>
        <w:trPr>
          <w:trHeight w:val="17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(464)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(294)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(685)</w:t>
            </w:r>
          </w:p>
        </w:tc>
      </w:tr>
      <w:tr>
        <w:trPr>
          <w:trHeight w:val="225"/>
        </w:trPr>
        <w:tc>
          <w:tcPr>
            <w:tcW w:w="44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19"/>
                <w:szCs w:val="19"/>
                <w:color w:val="auto"/>
              </w:rPr>
            </w:pPr>
          </w:p>
        </w:tc>
        <w:tc>
          <w:tcPr>
            <w:tcW w:w="640" w:type="dxa"/>
            <w:vAlign w:val="bottom"/>
          </w:tcPr>
          <w:p>
            <w:pPr>
              <w:jc w:val="right"/>
              <w:ind w:right="156"/>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4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2</w:t>
            </w:r>
          </w:p>
        </w:tc>
      </w:tr>
      <w:tr>
        <w:trPr>
          <w:trHeight w:val="226"/>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tax rate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bl>
    <w:p>
      <w:pPr>
        <w:spacing w:after="0" w:line="2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tax provision for interim periods is determined using an estimated annual effective tax rate (“ETR”), adjusted for discrete items arising in the period. In each quarter, we update our estimated annual ETR and make a year-to-date calculation of the provision.</w:t>
      </w:r>
    </w:p>
    <w:p>
      <w:pPr>
        <w:spacing w:after="0" w:line="16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three and six months ended June 30, 2021, the ETR was lower than the U.S. federal statutory rate primarily due to the non-deductible change in fair value of the convertible notes and warrant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and the change in valuation allowance on our U.S. federal and state deferred tax assets partially offset by our current federal and state taxes payable.</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three and six months ended June 30, 2022, the ETR was lower than the U.S. federal statutory rate primarily due to the full valuation allowance on our U.S. federal and state deferred tax assets offset by our current state taxes payable.</w:t>
      </w:r>
    </w:p>
    <w:p>
      <w:pPr>
        <w:spacing w:after="0" w:line="16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six months ended June 30, 2022, we believe it is more likely than not that the tax benefits of the remaining U.S. net deferred tax assets may not be realized.</w:t>
      </w:r>
    </w:p>
    <w:p>
      <w:pPr>
        <w:spacing w:after="0" w:line="16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NOTE 8: SECURITIES BORROWING AND LENDING</w:t>
      </w:r>
    </w:p>
    <w:p>
      <w:pPr>
        <w:spacing w:after="0" w:line="17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When we lend securities to third parties we receive cash as collateral for the securities loaned. In the table below, the cash collateral we hold related to loaned securities is presented in “securities loaned” and the fair value of securities lent is presented in “security collateral pledged.” Similarly, when we borrow securities from third parties or fully-paid securities from users, we provide cash collateral. In the table below, the amount of that cash collateral is presented in “securities borrowed” and the fair value of the securities received is presented in “security collateral received.”</w:t>
      </w:r>
    </w:p>
    <w:p>
      <w:pPr>
        <w:spacing w:after="0" w:line="16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securities lending transactions are subject to enforceable master netting arrangements with other broker-dealers; however, we do not net securities borrowing and lending transactions. Therefore, activity related to securities borrowing and lending activities are presented gross in our consolidated balance sheets (refer to Note 1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tables set forth certain balances related to our securities borrowing and lending activities as of December 31, 2021 and June 30,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6"/>
                <w:szCs w:val="16"/>
                <w:color w:val="auto"/>
              </w:rPr>
            </w:pPr>
          </w:p>
        </w:tc>
        <w:tc>
          <w:tcPr>
            <w:tcW w:w="126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w:t>
            </w:r>
          </w:p>
        </w:tc>
      </w:tr>
      <w:tr>
        <w:trPr>
          <w:trHeight w:val="179"/>
        </w:trPr>
        <w:tc>
          <w:tcPr>
            <w:tcW w:w="8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Securities borrowed</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borrowed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Gross amount offset on the consolidated balance sheets</w:t>
            </w: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of assets presented on the consolidated balance sheets</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Gross amount of securities borrowed not offset on the consolidated balance sheets: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borrowed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received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3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39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Securities loaned</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loaned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Gross amount of securities loaned offset on the consolidated balance sheets</w:t>
            </w: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Gross amount of securities loaned not offset on the consolidated balance sheets: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loaned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w:t>
            </w: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pledged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(1,226.5)</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described in Note 1, we obtain securities on terms that permit us to pledge and/or transfer securities to others. As of December 31, 2021 and June 30, 2022, we were permitted to re-pledge securities with a fair value of $9.21 billion and $5.69 billion under margin account agreements with users, and securities with a fair value of $0.3 million and $3.9 million that we had borrowed under MSLAs with third parties. Under the Fully-Paid Securities Lending program, as of June 30, 2022, we were permitted to re-pledge securities with a fair value of $1.1 billion including securities with a fair value of $59.4 million that we had borrowed from users.</w:t>
      </w:r>
    </w:p>
    <w:p>
      <w:pPr>
        <w:spacing w:after="0" w:line="18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December 31, 2021 and June 30, 2022, we had re-pledged securities with a fair value of $3.4 billion and $1.2 billion, in each case under MSLAs and Fixed-Term Securities Lending Agreements with third parties. In addition, as of December 31, 2021 and June 30, 2022, we had re-pledged $220.1 million and $190.1 million of the permitted amounts under the Margin Securities Lending program with clearing organizations to meet deposit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NOTE 9: FINANCING ACTIVITIES AND OFF-BALANCE SHEET RISK</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Revolving Credit Facilities</w:t>
      </w:r>
    </w:p>
    <w:p>
      <w:pPr>
        <w:spacing w:after="0" w:line="21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October 2019, we entered into a $200.0 million committed and unsecured revolving line of credit with a syndicate of banks maturing in October 2023 (the “October 2019 Credit Facility”). In October 2020, we amended the October 2019 Credit Facility and, among other things, increased the aggregate committed and unsecured revolving line of credit amount to $600.0 million with a maturity date of October 29, 2024. In April 2021, we further increased the aggregate credit amount available under the October 2019 Credit Facility to $625.0 million. Loans under the October 2019 Credit Facility bear interest, at our option, at a per annum rate of either (a) the Eurodollar Rate plus 1.00% or (b) the Alternative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Eurodollar Rate is equal to the Eurodollar Base Rate, which is derived from London Interbank Offered Rate (“LIBOR”), multiplied by the Statutory Reserve Rate (as defined in the agreement)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defined in the agreement) as set forth in the October 2019 Credit Facility agreement or an alternate benchmark rate selected by us and the administrative agent. There were no outstanding borrowings under the October 2019 Credit Facility at December 31, 2021 and June 30, 2022. We are obligated to pay a commitment fee calculated as a per annum rate equal to 0.10% on any unused amount of the October 2019 Credit Facility quarterly in arrears.</w:t>
      </w:r>
    </w:p>
    <w:p>
      <w:pPr>
        <w:spacing w:after="0" w:line="18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April 2021, we entered into a $2.18 billion committed and secured revolving line of credit, subject to certain borrowing base limitations, with a maturity date of April 15, 2022 (the “April 2021 Credit Facility”). Borrowings from the April 2021 Credit Facility must be specified to be Tranche A, Tranche B, Tranche C or a combination thereof. Tranche A loans are secured by users’ securities purchased on margin and are used primarily to finance margin loans. Tranche B loans are secured by the right to the return from National Securities Clearing Corporation (“NSCC”) of NSCC margin deposits and cash and property in a designated collateral account and used for the purpose of satisfying NSCC deposit requirements. Tranche C loans are secured by the right to the return of eligible funds from any reserve account of the borrower and cash and property in a designated collateral account and used for the purpose of satisfying reserve requirements under Rule 15c3-3 of the Securities Exchange Act of 1934, as amended (the “Exchange Act”). Interest for this line of credit is determined at the time a loan is initiated and the applicable interest rate is calculated as a per annum rate equal to 1.25% for Tranche A loans and 2.50% for Tranche B and Tranche C loans, plus the Short-Term Funding Rate at the applicable time. The Short-Term Funding Rate is equal to the greatest of (i) the Eurodollar Rate for a one month interest period on such day, which equals to the Eurodollar Base Rate that is derived from LIBOR, multiplied by the Statutory Reserve Rate at the applicable time, (ii) the Federal Funds Effective Rate (as defined in the agreement) and (iii) the Overnight Bank Funding Rate (as defined in the agreement) in effect on such day. There were no outstanding borrowings under the April 2021 Credit Facility at December 31, 2021. We are obligated to pay a commitment fee calculated as a per annum rate equal to 0.50% on any unused amount of the April 2021 Credit Facility quarterly in arrears.</w:t>
      </w:r>
    </w:p>
    <w:p>
      <w:pPr>
        <w:spacing w:after="0" w:line="17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April 2022, we entered into a $2.28 billion committed and secured revolving line of credit (the “April 2022 Credit Facility”) with a maturity date of April 10, 2023, amending and restating the April 2021 Credit Facility. Under circumstances described in the agreement for the April 2022 Credit Facility, the aggregate commitments may be increased by up to $1.14 billion, for a total commitment under the agreement of $3.65 billion. The April 2022 Credit Facility terms are the same as the April 2021 Credit Facility in all material aspects except for the Short-Term Funding Rate is equal to the greatest of (i) Daily Simple SOFR (as defined in the agreement) plus 0.10%, (ii) the Federal Funds Effective Rate (as defined in the agreement) and (iii) the Overnight Bank Funding Rate (as defined in the agreement), in each case, in effect on such day. There were no outstanding borrowings under the April 2022 Credit Facility at June 30, 2022.</w:t>
      </w:r>
    </w:p>
    <w:p>
      <w:pPr>
        <w:spacing w:after="0" w:line="171"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The October 2019 Credit Facility, April 2021 Credit Facility, and April 2022 Credit Facility contain customary covenants, including limitations with respect to debt, liens, fundamental changes, asset sales, restricted payments, investments and transactions with affiliates, subject to certain exceptions. We were in compliance with all covenants under these facilities as of December 31, 2021 and June 30, 2022, as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Off-Balance Sheet Risk</w:t>
      </w:r>
    </w:p>
    <w:p>
      <w:pPr>
        <w:spacing w:after="0" w:line="20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User securities transactions are recorded on a settlement date basis,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generally two business days after the trade date for equities and one business day after the trade date for options.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NOTE 10: COMMON STOCK AND STOCKHOLDERS' (DEFICIT) EQUITY</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Preferred Stock</w:t>
      </w:r>
    </w:p>
    <w:p>
      <w:pPr>
        <w:spacing w:after="0" w:line="20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June 30, 2022, no terms of the preferred stock have been designated, no shares of preferred stock were outstanding and we have no present plan to issue any shares of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Common Stock</w:t>
      </w:r>
    </w:p>
    <w:p>
      <w:pPr>
        <w:spacing w:after="0" w:line="20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w:t>
      </w:r>
    </w:p>
    <w:p>
      <w:pPr>
        <w:spacing w:after="0" w:line="16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convertible notes issued in February 2021 (see Note 6 for further information) were converted into 137.3 million shares of Class A common stock at a conversion price of $26.60 per share upon completion of our IPO.</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Warrants</w:t>
      </w:r>
    </w:p>
    <w:p>
      <w:pPr>
        <w:spacing w:after="0" w:line="20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June 30, 2022, warrants outstanding consisted of warrants to purchase 14.3 million shares of Class A common stock with a strike price of $26.60 per share for a maximum purchase amount of $380 million. The warrants expire on February 12, 2031 and can be exercised in cash or for net shares at the holder’s option. As of June 30, 2022, the warrants have not been exercised and are included as a component of additional paid in capital on the unaudited condensed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Equity Incentive Plans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2013 Stock Plan and 2020 Equity Incentive Plan</w:t>
      </w:r>
    </w:p>
    <w:p>
      <w:pPr>
        <w:spacing w:after="0" w:line="19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Amended and Restated 2013 Stock Plan, as amended (the “2013 Plan”), and our 2020 Equity Incentive Plan, as amended (the “2020 Plan”), provided for share-based awards to eligible participants, granted as incentive stock options (“ISOs”), non-statutory stock options (“NSOs”), restricted stock units ("RSUs"), stock appreciation rights (“SARs”) or restricted stock awards (“RSAs”). Our 2013 Plan was terminated in connection with adoption of our 2020 Plan, and our 2020 Plan was terminated in connection with the adoption of our 2021 Plan (defined below) but any awards outstanding under our 2013 Plan and 2020 Plan remain in effect in accordance with their terms. Any shares that were or otherwise would become available for grant under the 2013 Plan or 2020 Plan will be available for grant under the 2021 Plan. No new awards may be granted under our 2013 Plan or 2020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Omnibus Incentive Plan</w:t>
      </w:r>
    </w:p>
    <w:p>
      <w:pPr>
        <w:spacing w:after="0" w:line="209" w:lineRule="exact"/>
        <w:rPr>
          <w:sz w:val="20"/>
          <w:szCs w:val="20"/>
          <w:color w:val="auto"/>
        </w:rPr>
      </w:pPr>
    </w:p>
    <w:p>
      <w:pPr>
        <w:jc w:val="both"/>
        <w:ind w:right="20" w:firstLine="318"/>
        <w:spacing w:after="0" w:line="280" w:lineRule="auto"/>
        <w:rPr>
          <w:sz w:val="20"/>
          <w:szCs w:val="20"/>
          <w:color w:val="auto"/>
        </w:rPr>
      </w:pPr>
      <w:r>
        <w:rPr>
          <w:rFonts w:ascii="Arial" w:cs="Arial" w:eastAsia="Arial" w:hAnsi="Arial"/>
          <w:sz w:val="17"/>
          <w:szCs w:val="17"/>
          <w:color w:val="auto"/>
        </w:rPr>
        <w:t>Our 2021 Omnibus Incentive Plan (the “2021 Plan”) became effective on July 27, 2021, and provides for the grant of share-based awards (such as options, including ISOs and NSOs, SARs, RSAs, RSUs, performance units, and other equity-based awards) and cash-based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June 30, 2022, an aggregate of 360 million shares had been authorized for issuance under the 2013 Plan, 2020 Plan, and 2021 Plan, of which 84 million shares had been issued under the plans, 148 million shares were reserved for issuance upon the exercise or settlement of outstanding equity awards under the plans, and 128 million shares remained available for new grants under the 2021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option activity for the six months ended June 30, 2022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jc w:val="right"/>
              <w:ind w:right="38"/>
              <w:spacing w:after="0"/>
              <w:rPr>
                <w:sz w:val="20"/>
                <w:szCs w:val="20"/>
                <w:color w:val="auto"/>
              </w:rPr>
            </w:pPr>
            <w:r>
              <w:rPr>
                <w:rFonts w:ascii="Arial" w:cs="Arial" w:eastAsia="Arial" w:hAnsi="Arial"/>
                <w:sz w:val="14"/>
                <w:szCs w:val="14"/>
                <w:b w:val="1"/>
                <w:bCs w:val="1"/>
                <w:color w:val="auto"/>
                <w:w w:val="99"/>
              </w:rPr>
              <w:t>Total Intrinsic Value</w:t>
            </w:r>
          </w:p>
        </w:tc>
        <w:tc>
          <w:tcPr>
            <w:tcW w:w="0" w:type="dxa"/>
            <w:vAlign w:val="bottom"/>
          </w:tcPr>
          <w:p>
            <w:pPr>
              <w:spacing w:after="0"/>
              <w:rPr>
                <w:sz w:val="1"/>
                <w:szCs w:val="1"/>
                <w:color w:val="auto"/>
              </w:rPr>
            </w:pPr>
          </w:p>
        </w:tc>
      </w:tr>
      <w:tr>
        <w:trPr>
          <w:trHeight w:val="172"/>
        </w:trPr>
        <w:tc>
          <w:tcPr>
            <w:tcW w:w="46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Remaining Life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i w:val="1"/>
                <w:iCs w:val="1"/>
                <w:color w:val="auto"/>
              </w:rPr>
              <w:t>(in millions)</w:t>
            </w: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14,527,468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Granted during the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4,463,248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14.15</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 during the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Cancelled and forfeited during the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16,614,350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80" w:type="dxa"/>
            <w:vAlign w:val="bottom"/>
          </w:tcPr>
          <w:p>
            <w:pPr>
              <w:ind w:left="20"/>
              <w:spacing w:after="0" w:line="198" w:lineRule="exact"/>
              <w:rPr>
                <w:sz w:val="20"/>
                <w:szCs w:val="20"/>
                <w:color w:val="auto"/>
              </w:rPr>
            </w:pPr>
            <w:r>
              <w:rPr>
                <w:rFonts w:ascii="Arial" w:cs="Arial" w:eastAsia="Arial" w:hAnsi="Arial"/>
                <w:sz w:val="18"/>
                <w:szCs w:val="18"/>
                <w:color w:val="auto"/>
              </w:rPr>
              <w:t>Options vested and expected to vest at June 30, 2022</w:t>
            </w:r>
          </w:p>
        </w:tc>
        <w:tc>
          <w:tcPr>
            <w:tcW w:w="15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16,614,350</w:t>
            </w:r>
          </w:p>
        </w:tc>
        <w:tc>
          <w:tcPr>
            <w:tcW w:w="24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5.20</w:t>
            </w:r>
          </w:p>
        </w:tc>
        <w:tc>
          <w:tcPr>
            <w:tcW w:w="80" w:type="dxa"/>
            <w:vAlign w:val="bottom"/>
          </w:tcPr>
          <w:p>
            <w:pPr>
              <w:spacing w:after="0"/>
              <w:rPr>
                <w:sz w:val="17"/>
                <w:szCs w:val="17"/>
                <w:color w:val="auto"/>
              </w:rPr>
            </w:pPr>
          </w:p>
        </w:tc>
        <w:tc>
          <w:tcPr>
            <w:tcW w:w="1580" w:type="dxa"/>
            <w:vAlign w:val="bottom"/>
          </w:tcPr>
          <w:p>
            <w:pPr>
              <w:jc w:val="right"/>
              <w:spacing w:after="0" w:line="198" w:lineRule="exact"/>
              <w:rPr>
                <w:sz w:val="20"/>
                <w:szCs w:val="20"/>
                <w:color w:val="auto"/>
              </w:rPr>
            </w:pPr>
            <w:r>
              <w:rPr>
                <w:rFonts w:ascii="Arial" w:cs="Arial" w:eastAsia="Arial" w:hAnsi="Arial"/>
                <w:sz w:val="18"/>
                <w:szCs w:val="18"/>
                <w:color w:val="auto"/>
              </w:rPr>
              <w:t>5.42</w:t>
            </w:r>
          </w:p>
        </w:tc>
        <w:tc>
          <w:tcPr>
            <w:tcW w:w="8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198"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12,103,301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20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grant RSUs that vest upon the satisfaction of a time-based service condition (“Time-Based RSUs”). The following table summarizes the activity related to our Time-Based RSUs for the six months ended June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46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2"/>
        </w:trPr>
        <w:tc>
          <w:tcPr>
            <w:tcW w:w="79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1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560" w:type="dxa"/>
            <w:vAlign w:val="bottom"/>
            <w:tcBorders>
              <w:top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9"/>
              </w:rPr>
              <w:t>49,428,070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center"/>
              <w:ind w:left="455"/>
              <w:spacing w:after="0"/>
              <w:rPr>
                <w:sz w:val="20"/>
                <w:szCs w:val="20"/>
                <w:color w:val="auto"/>
              </w:rPr>
            </w:pPr>
            <w:r>
              <w:rPr>
                <w:rFonts w:ascii="Arial" w:cs="Arial" w:eastAsia="Arial" w:hAnsi="Arial"/>
                <w:sz w:val="18"/>
                <w:szCs w:val="18"/>
                <w:color w:val="auto"/>
                <w:w w:val="99"/>
              </w:rPr>
              <w:t>44,896,905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7"/>
              </w:rPr>
              <w:t>(11,210,977)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2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center"/>
              <w:ind w:left="435"/>
              <w:spacing w:after="0"/>
              <w:rPr>
                <w:sz w:val="20"/>
                <w:szCs w:val="20"/>
                <w:color w:val="auto"/>
              </w:rPr>
            </w:pPr>
            <w:r>
              <w:rPr>
                <w:rFonts w:ascii="Arial" w:cs="Arial" w:eastAsia="Arial" w:hAnsi="Arial"/>
                <w:sz w:val="18"/>
                <w:szCs w:val="18"/>
                <w:color w:val="auto"/>
                <w:w w:val="97"/>
              </w:rPr>
              <w:t>(10,650,056)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2022</w:t>
            </w:r>
          </w:p>
        </w:tc>
        <w:tc>
          <w:tcPr>
            <w:tcW w:w="156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9"/>
              </w:rPr>
              <w:t>72,463,942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95"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In 2019 and 2021, we granted to our founders RSUs under which vesting is conditioned upon both the achievement of share price targets and the continued employment by each recipient over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service periods (“Market-Based RSUs”). The following table summarizes the activity related to our Market-Based RSUs for the six months ended June 30,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Eligible to Vest</w:t>
            </w:r>
            <w:r>
              <w:rPr>
                <w:rFonts w:ascii="Arial" w:cs="Arial" w:eastAsia="Arial" w:hAnsi="Arial"/>
                <w:sz w:val="18"/>
                <w:szCs w:val="18"/>
                <w:b w:val="1"/>
                <w:bCs w:val="1"/>
                <w:color w:val="auto"/>
                <w:vertAlign w:val="superscript"/>
              </w:rPr>
              <w:t>(1)</w:t>
            </w: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 Eligible to Vest</w:t>
            </w:r>
            <w:r>
              <w:rPr>
                <w:rFonts w:ascii="Arial" w:cs="Arial" w:eastAsia="Arial" w:hAnsi="Arial"/>
                <w:sz w:val="18"/>
                <w:szCs w:val="18"/>
                <w:b w:val="1"/>
                <w:bCs w:val="1"/>
                <w:color w:val="auto"/>
                <w:vertAlign w:val="superscript"/>
              </w:rPr>
              <w:t>(2)</w:t>
            </w: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Number of RSUs</w:t>
            </w:r>
          </w:p>
        </w:tc>
        <w:tc>
          <w:tcPr>
            <w:tcW w:w="120" w:type="dxa"/>
            <w:vAlign w:val="bottom"/>
          </w:tcPr>
          <w:p>
            <w:pPr>
              <w:spacing w:after="0"/>
              <w:rPr>
                <w:sz w:val="14"/>
                <w:szCs w:val="14"/>
                <w:color w:val="auto"/>
              </w:rPr>
            </w:pPr>
          </w:p>
        </w:tc>
        <w:tc>
          <w:tcPr>
            <w:tcW w:w="146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18"/>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6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1,267,918</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57,650,926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58,918,844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(230,530)</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2022</w:t>
            </w:r>
          </w:p>
        </w:tc>
        <w:tc>
          <w:tcPr>
            <w:tcW w:w="16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1,037,388</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57,650,926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58,688,314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6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RSUs that became eligible to vest upon achievement of share price targets and vest upon satisfaction of time-based service requirements.</w:t>
      </w:r>
    </w:p>
    <w:p>
      <w:pPr>
        <w:spacing w:after="0" w:line="170" w:lineRule="exact"/>
        <w:rPr>
          <w:rFonts w:ascii="Arial" w:cs="Arial" w:eastAsia="Arial" w:hAnsi="Arial"/>
          <w:sz w:val="14"/>
          <w:szCs w:val="14"/>
          <w:color w:val="auto"/>
        </w:rPr>
      </w:pPr>
    </w:p>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RSUs that have not yet become eligible to vest because share price targets have not yet been achieved.</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21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presents share-based compensation on our unaudited condensed consolidated statements of operations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40" w:type="dxa"/>
            <w:vAlign w:val="bottom"/>
            <w:gridSpan w:val="4"/>
          </w:tcPr>
          <w:p>
            <w:pPr>
              <w:jc w:val="right"/>
              <w:ind w:right="33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72"/>
        </w:trPr>
        <w:tc>
          <w:tcPr>
            <w:tcW w:w="47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r>
      <w:tr>
        <w:trPr>
          <w:trHeight w:val="17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1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1140" w:type="dxa"/>
            <w:vAlign w:val="bottom"/>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1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9"/>
        </w:trPr>
        <w:tc>
          <w:tcPr>
            <w:tcW w:w="4700" w:type="dxa"/>
            <w:vAlign w:val="bottom"/>
          </w:tcPr>
          <w:p>
            <w:pPr>
              <w:ind w:left="2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4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share-based compensation by award type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760" w:type="dxa"/>
            <w:vAlign w:val="bottom"/>
            <w:gridSpan w:val="4"/>
          </w:tcPr>
          <w:p>
            <w:pPr>
              <w:jc w:val="right"/>
              <w:ind w:right="35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72"/>
        </w:trPr>
        <w:tc>
          <w:tcPr>
            <w:tcW w:w="46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77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r>
      <w:tr>
        <w:trPr>
          <w:trHeight w:val="179"/>
        </w:trPr>
        <w:tc>
          <w:tcPr>
            <w:tcW w:w="46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5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RSUs</w:t>
            </w: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Market-Based RSUs</w:t>
            </w:r>
          </w:p>
        </w:tc>
        <w:tc>
          <w:tcPr>
            <w:tcW w:w="11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Share Purchase Plan (“ESPP”)</w:t>
            </w:r>
          </w:p>
        </w:tc>
        <w:tc>
          <w:tcPr>
            <w:tcW w:w="1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w:t>
            </w: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4"/>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The April 2022 Restructuring resulted in a net reduction of $24 million in share-based compensation expense, which was recognized in the three and six months ended June 30, 2022 and is reflected in the tables above. The $24 million was substantially all related to Time-Based RSUs, and primarily included $16 million in technology and development expense and $6 million in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capitalized share-based compensation expense related to internally developed software of $7 million and $17 million during the three and six months ended June 30, 2022. The corresponding amount during the three and six months ended June 30, 2021 was immaterial.</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June 30, 2022, there was $1.8 billion of unrecognized share-based compensation expense that is expected to be recognized over a weighted-average period of 2.2 years. Scheduled vesting for awards outstanding as of June 30, 2022,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number of shares)</w:t>
            </w: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Shares</w:t>
            </w:r>
            <w:r>
              <w:rPr>
                <w:rFonts w:ascii="Arial" w:cs="Arial" w:eastAsia="Arial" w:hAnsi="Arial"/>
                <w:sz w:val="18"/>
                <w:szCs w:val="18"/>
                <w:b w:val="1"/>
                <w:bCs w:val="1"/>
                <w:color w:val="auto"/>
                <w:vertAlign w:val="superscript"/>
              </w:rPr>
              <w:t>(1)</w:t>
            </w:r>
          </w:p>
        </w:tc>
        <w:tc>
          <w:tcPr>
            <w:tcW w:w="320" w:type="dxa"/>
            <w:vAlign w:val="bottom"/>
          </w:tcPr>
          <w:p>
            <w:pPr>
              <w:spacing w:after="0"/>
              <w:rPr>
                <w:sz w:val="15"/>
                <w:szCs w:val="15"/>
                <w:color w:val="auto"/>
              </w:rPr>
            </w:pPr>
          </w:p>
        </w:tc>
        <w:tc>
          <w:tcPr>
            <w:tcW w:w="12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83"/>
        </w:trPr>
        <w:tc>
          <w:tcPr>
            <w:tcW w:w="80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13,419,964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2023</w:t>
            </w:r>
          </w:p>
        </w:tc>
        <w:tc>
          <w:tcPr>
            <w:tcW w:w="1580" w:type="dxa"/>
            <w:vAlign w:val="bottom"/>
          </w:tcPr>
          <w:p>
            <w:pPr>
              <w:jc w:val="right"/>
              <w:spacing w:after="0"/>
              <w:rPr>
                <w:sz w:val="20"/>
                <w:szCs w:val="20"/>
                <w:color w:val="auto"/>
              </w:rPr>
            </w:pPr>
            <w:r>
              <w:rPr>
                <w:rFonts w:ascii="Arial" w:cs="Arial" w:eastAsia="Arial" w:hAnsi="Arial"/>
                <w:sz w:val="18"/>
                <w:szCs w:val="18"/>
                <w:color w:val="auto"/>
              </w:rPr>
              <w:t>26,663,047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20,916,833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2025</w:t>
            </w:r>
          </w:p>
        </w:tc>
        <w:tc>
          <w:tcPr>
            <w:tcW w:w="1580" w:type="dxa"/>
            <w:vAlign w:val="bottom"/>
          </w:tcPr>
          <w:p>
            <w:pPr>
              <w:jc w:val="right"/>
              <w:spacing w:after="0"/>
              <w:rPr>
                <w:sz w:val="20"/>
                <w:szCs w:val="20"/>
                <w:color w:val="auto"/>
              </w:rPr>
            </w:pPr>
            <w:r>
              <w:rPr>
                <w:rFonts w:ascii="Arial" w:cs="Arial" w:eastAsia="Arial" w:hAnsi="Arial"/>
                <w:sz w:val="18"/>
                <w:szCs w:val="18"/>
                <w:color w:val="auto"/>
              </w:rPr>
              <w:t>13,864,617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3,173,437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78,037,898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rPr>
          <w:sz w:val="20"/>
          <w:szCs w:val="20"/>
          <w:color w:val="auto"/>
        </w:rPr>
      </w:pPr>
      <w:r>
        <w:rPr>
          <w:rFonts w:ascii="Arial" w:cs="Arial" w:eastAsia="Arial" w:hAnsi="Arial"/>
          <w:sz w:val="14"/>
          <w:szCs w:val="14"/>
          <w:color w:val="auto"/>
        </w:rPr>
        <w:t>(1) Excludes future ESPP shares and Market-Based RSUs for which the share price target has not been met as we cannot forecast the vesting of these shares.</w:t>
      </w:r>
    </w:p>
    <w:p>
      <w:pPr>
        <w:spacing w:after="0" w:line="200" w:lineRule="exact"/>
        <w:rPr>
          <w:sz w:val="20"/>
          <w:szCs w:val="20"/>
          <w:color w:val="auto"/>
        </w:rPr>
      </w:pPr>
    </w:p>
    <w:p>
      <w:pPr>
        <w:spacing w:after="0" w:line="2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above schedule describes awards actually outstanding on June 30, 2022, without any adjustments for potential subsequent forfeitures, which are recognized as they occur, or subsequent equity grants.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NOTE 11: NET LOSS PER SHARE</w:t>
      </w:r>
    </w:p>
    <w:p>
      <w:pPr>
        <w:spacing w:after="0" w:line="17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present net loss per share using the two-class method required for multiple classes of common stock. 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loss per share will, therefore, be the same for both Class A common stock and Class B common stock on an individual or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calculation of basic and diluted loss per share: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92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Six Months Ended</w:t>
            </w:r>
          </w:p>
        </w:tc>
      </w:tr>
      <w:tr>
        <w:trPr>
          <w:trHeight w:val="172"/>
        </w:trPr>
        <w:tc>
          <w:tcPr>
            <w:tcW w:w="4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r>
      <w:tr>
        <w:trPr>
          <w:trHeight w:val="192"/>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3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Less: allocation of earnings to participating securities</w:t>
            </w:r>
          </w:p>
        </w:tc>
        <w:tc>
          <w:tcPr>
            <w:tcW w:w="32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6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stock outstanding - basic</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232,223,019</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874,873,301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231,459,227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871,343,295</w:t>
            </w:r>
          </w:p>
        </w:tc>
      </w:tr>
      <w:tr>
        <w:trPr>
          <w:trHeight w:val="265"/>
        </w:trPr>
        <w:tc>
          <w:tcPr>
            <w:tcW w:w="4660" w:type="dxa"/>
            <w:vAlign w:val="bottom"/>
          </w:tcPr>
          <w:p>
            <w:pPr>
              <w:ind w:left="20"/>
              <w:spacing w:after="0"/>
              <w:rPr>
                <w:sz w:val="20"/>
                <w:szCs w:val="20"/>
                <w:color w:val="auto"/>
              </w:rPr>
            </w:pPr>
            <w:r>
              <w:rPr>
                <w:rFonts w:ascii="Arial" w:cs="Arial" w:eastAsia="Arial" w:hAnsi="Arial"/>
                <w:sz w:val="18"/>
                <w:szCs w:val="18"/>
                <w:color w:val="auto"/>
              </w:rPr>
              <w:t>Dilutive effect of stock options and unvested shares</w:t>
            </w:r>
          </w:p>
        </w:tc>
        <w:tc>
          <w:tcPr>
            <w:tcW w:w="32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stock outstanding - diluted</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232,223,019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874,873,301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231,459,227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871,343,295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3"/>
                <w:szCs w:val="23"/>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3"/>
                <w:szCs w:val="23"/>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23"/>
                <w:szCs w:val="23"/>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6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bl>
    <w:p>
      <w:pPr>
        <w:spacing w:after="0" w:line="2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potential common shares were excluded from the calculation of diluted net loss per share because their effect would have been anti-dilutive or issuance of such shares is contingent upon the satisfaction of certain conditions which were not satisfied by the end of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3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2"/>
        </w:trPr>
        <w:tc>
          <w:tcPr>
            <w:tcW w:w="4700" w:type="dxa"/>
            <w:vAlign w:val="bottom"/>
          </w:tcPr>
          <w:p>
            <w:pPr>
              <w:spacing w:after="0"/>
              <w:rPr>
                <w:sz w:val="14"/>
                <w:szCs w:val="14"/>
                <w:color w:val="auto"/>
              </w:rPr>
            </w:pPr>
          </w:p>
        </w:tc>
        <w:tc>
          <w:tcPr>
            <w:tcW w:w="2040" w:type="dxa"/>
            <w:vAlign w:val="bottom"/>
            <w:tcBorders>
              <w:bottom w:val="single" w:sz="8" w:color="auto"/>
            </w:tcBorders>
            <w:gridSpan w:val="3"/>
          </w:tcPr>
          <w:p>
            <w:pPr>
              <w:jc w:val="center"/>
              <w:ind w:left="1117"/>
              <w:spacing w:after="0"/>
              <w:rPr>
                <w:sz w:val="20"/>
                <w:szCs w:val="20"/>
                <w:color w:val="auto"/>
              </w:rPr>
            </w:pPr>
            <w:r>
              <w:rPr>
                <w:rFonts w:ascii="Arial" w:cs="Arial" w:eastAsia="Arial" w:hAnsi="Arial"/>
                <w:sz w:val="14"/>
                <w:szCs w:val="14"/>
                <w:b w:val="1"/>
                <w:bCs w:val="1"/>
                <w:color w:val="auto"/>
                <w:w w:val="99"/>
              </w:rPr>
              <w:t>June 30,</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Borders>
              <w:bottom w:val="single" w:sz="8" w:color="auto"/>
            </w:tcBorders>
            <w:gridSpan w:val="3"/>
          </w:tcPr>
          <w:p>
            <w:pPr>
              <w:jc w:val="center"/>
              <w:ind w:left="1117"/>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r>
      <w:tr>
        <w:trPr>
          <w:trHeight w:val="179"/>
        </w:trPr>
        <w:tc>
          <w:tcPr>
            <w:tcW w:w="47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1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412,742,897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412,742,897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RSUs</w:t>
            </w:r>
          </w:p>
        </w:tc>
        <w:tc>
          <w:tcPr>
            <w:tcW w:w="1580" w:type="dxa"/>
            <w:vAlign w:val="bottom"/>
          </w:tcPr>
          <w:p>
            <w:pPr>
              <w:jc w:val="right"/>
              <w:spacing w:after="0"/>
              <w:rPr>
                <w:sz w:val="20"/>
                <w:szCs w:val="20"/>
                <w:color w:val="auto"/>
              </w:rPr>
            </w:pPr>
            <w:r>
              <w:rPr>
                <w:rFonts w:ascii="Arial" w:cs="Arial" w:eastAsia="Arial" w:hAnsi="Arial"/>
                <w:sz w:val="18"/>
                <w:szCs w:val="18"/>
                <w:color w:val="auto"/>
              </w:rPr>
              <w:t>132,048,248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131,163,406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132,048,248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131,163,406</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17,685,650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16,614,350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16,614,350</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Unvested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128,228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128,228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14,278,034</w:t>
            </w:r>
          </w:p>
        </w:tc>
        <w:tc>
          <w:tcPr>
            <w:tcW w:w="10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14,278,034</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ESPP shares</w:t>
            </w:r>
          </w:p>
        </w:tc>
        <w:tc>
          <w:tcPr>
            <w:tcW w:w="2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304,900</w:t>
            </w:r>
          </w:p>
        </w:tc>
        <w:tc>
          <w:tcPr>
            <w:tcW w:w="100" w:type="dxa"/>
            <w:vAlign w:val="bottom"/>
          </w:tcPr>
          <w:p>
            <w:pPr>
              <w:spacing w:after="0"/>
              <w:rPr>
                <w:sz w:val="19"/>
                <w:szCs w:val="19"/>
                <w:color w:val="auto"/>
              </w:rPr>
            </w:pPr>
          </w:p>
        </w:tc>
        <w:tc>
          <w:tcPr>
            <w:tcW w:w="2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304,900</w:t>
            </w:r>
          </w:p>
        </w:tc>
      </w:tr>
      <w:tr>
        <w:trPr>
          <w:trHeight w:val="244"/>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562,605,023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162,361,068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562,605,023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162,361,068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NOTE 12: RELATED PARTY TRANSACTIONS</w:t>
      </w:r>
    </w:p>
    <w:p>
      <w:pPr>
        <w:spacing w:after="0" w:line="17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 and any other affiliates.</w:t>
      </w:r>
    </w:p>
    <w:p>
      <w:pPr>
        <w:spacing w:after="0" w:line="18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February 2021, we issued two tranches of convertible notes and granted to each purchaser of the Tranche I convertible notes a warrant to purchase equity securities (see Note 6 for further information). Two of the Tranche I investors were related parties prior to the completion of our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NOTE 13: LEASES</w:t>
      </w:r>
    </w:p>
    <w:p>
      <w:pPr>
        <w:spacing w:after="0" w:line="18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our corporate headquarters in Menlo Park and our office in New York City. Our leases have remaining terms of 1 to 11 years, and many leases include one or more options to renew. We do not assume renewals in our determination of the lease term unless the renewals are deemed to be reasonably assured at lease commencement. We do not have any finance leases.</w:t>
      </w:r>
    </w:p>
    <w:p>
      <w:pPr>
        <w:spacing w:after="0" w:line="16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During the second quarter of 2022, we executed an agreement to assign one of our operating leases to a third-party assignee who assumed all of our obligations, liabilities, covenants, and conditions under the assigned lease. As a result of this agreement, we derecognized the related right-of-use assets of $23 million and lease liability of $22 million and recognized an immaterial amount of loss.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expense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80" w:type="dxa"/>
            <w:vAlign w:val="bottom"/>
            <w:gridSpan w:val="4"/>
          </w:tcPr>
          <w:p>
            <w:pPr>
              <w:jc w:val="right"/>
              <w:ind w:right="37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72"/>
        </w:trPr>
        <w:tc>
          <w:tcPr>
            <w:tcW w:w="47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r>
      <w:tr>
        <w:trPr>
          <w:trHeight w:val="17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r>
      <w:tr>
        <w:trPr>
          <w:trHeight w:val="21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1140" w:type="dxa"/>
            <w:vAlign w:val="bottom"/>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operating lease costs</w:t>
            </w: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4"/>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costs</w:t>
            </w: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Fixed operating lease costs primarily consist of monthly base rent amounts due. Variable operating lease expenses are primarily related to payments made to our landlords for common area maintenance, property taxes, insurance, and other operating expenses.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79"/>
        </w:trPr>
        <w:tc>
          <w:tcPr>
            <w:tcW w:w="76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7.29 years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 years</w:t>
            </w:r>
          </w:p>
        </w:tc>
        <w:tc>
          <w:tcPr>
            <w:tcW w:w="80" w:type="dxa"/>
            <w:vAlign w:val="bottom"/>
          </w:tcPr>
          <w:p>
            <w:pPr>
              <w:spacing w:after="0"/>
              <w:rPr>
                <w:sz w:val="19"/>
                <w:szCs w:val="19"/>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6.42 %</w:t>
            </w:r>
          </w:p>
        </w:tc>
        <w:tc>
          <w:tcPr>
            <w:tcW w:w="80" w:type="dxa"/>
            <w:vAlign w:val="bottom"/>
          </w:tcPr>
          <w:p>
            <w:pPr>
              <w:spacing w:after="0"/>
              <w:rPr>
                <w:sz w:val="19"/>
                <w:szCs w:val="19"/>
                <w:color w:val="auto"/>
              </w:rPr>
            </w:pPr>
          </w:p>
        </w:tc>
      </w:tr>
      <w:tr>
        <w:trPr>
          <w:trHeight w:val="477"/>
        </w:trPr>
        <w:tc>
          <w:tcPr>
            <w:tcW w:w="7680" w:type="dxa"/>
            <w:vAlign w:val="bottom"/>
          </w:tcPr>
          <w:p>
            <w:pPr>
              <w:ind w:left="320"/>
              <w:spacing w:after="0"/>
              <w:rPr>
                <w:sz w:val="20"/>
                <w:szCs w:val="20"/>
                <w:color w:val="auto"/>
              </w:rPr>
            </w:pPr>
            <w:r>
              <w:rPr>
                <w:rFonts w:ascii="Arial" w:cs="Arial" w:eastAsia="Arial" w:hAnsi="Arial"/>
                <w:sz w:val="18"/>
                <w:szCs w:val="18"/>
                <w:color w:val="auto"/>
              </w:rPr>
              <w:t>Cash flows related to leases were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9"/>
        </w:trPr>
        <w:tc>
          <w:tcPr>
            <w:tcW w:w="7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Six Months Ended</w:t>
            </w:r>
          </w:p>
        </w:tc>
      </w:tr>
      <w:tr>
        <w:trPr>
          <w:trHeight w:val="172"/>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7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r>
      <w:tr>
        <w:trPr>
          <w:trHeight w:val="205"/>
        </w:trPr>
        <w:tc>
          <w:tcPr>
            <w:tcW w:w="76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cash flows: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768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5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4"/>
        </w:trPr>
        <w:tc>
          <w:tcPr>
            <w:tcW w:w="7680" w:type="dxa"/>
            <w:vAlign w:val="bottom"/>
          </w:tcPr>
          <w:p>
            <w:pPr>
              <w:ind w:left="240"/>
              <w:spacing w:after="0"/>
              <w:rPr>
                <w:sz w:val="20"/>
                <w:szCs w:val="20"/>
                <w:color w:val="auto"/>
              </w:rPr>
            </w:pPr>
            <w:r>
              <w:rPr>
                <w:rFonts w:ascii="Arial" w:cs="Arial" w:eastAsia="Arial" w:hAnsi="Arial"/>
                <w:sz w:val="18"/>
                <w:szCs w:val="18"/>
                <w:color w:val="auto"/>
              </w:rPr>
              <w:t>Lease liabilities arising from obtaining right-of-use assets</w:t>
            </w:r>
          </w:p>
        </w:tc>
        <w:tc>
          <w:tcPr>
            <w:tcW w:w="5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June 30, 2022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6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9"/>
        </w:trPr>
        <w:tc>
          <w:tcPr>
            <w:tcW w:w="966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6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9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&amp; CONTINGENCIES</w:t>
      </w:r>
    </w:p>
    <w:p>
      <w:pPr>
        <w:spacing w:after="0" w:line="17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$85 million as of December 31, 2021 and $110 million as of June 30, 2022. In our opinion, an adequate accrual had been made as of June 30, 2022 to provide for the probable losses of which we are aware and for which we can reasonably estimate an amount.</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Legal and Regulatory Matters</w:t>
      </w:r>
    </w:p>
    <w:p>
      <w:pPr>
        <w:spacing w:after="0" w:line="20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and state regulators, exchanges, or other SROs by dissatisfied users are investigated by such regulatory bodies, and, if pursued by such regulatory bodies or such users, may rise to the level of arbitration or disciplinary action. We are also subject to periodic regulatory audits and inspections.</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8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With respect to matters discussed below, we believe, based on current knowledge, that any losses (in excess of amounts accrued, if applicable) as of June 30, 2022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8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Described below are certain pending matters in which there is at least a reasonable possibility that a material loss could be incurred. We intend to continue to defend these matters vigorously.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Matters</w:t>
      </w:r>
    </w:p>
    <w:p>
      <w:pPr>
        <w:spacing w:after="0" w:line="19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Beginning in December 2020, multiple putative securities fraud class action lawsuits were filed against RHM, RHF, and RHS. Five cases were consolidated in the United States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Outages</w:t>
      </w:r>
    </w:p>
    <w:p>
      <w:pPr>
        <w:spacing w:after="0" w:line="19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 consolidated putative class action lawsuit relating to service outages on our stock trading platform on March 2-3, 2020 and March 9, 2020 (the “March 2020 Outages”) is pending in the United States District Court for the Northern District of California. The lawsuit generally alleges that putative class members were unable to execute trades during the March 2020 Outages because our platform was inadequately designed to handle customer demand and we failed to implement appropriate backup systems. The lawsuit includes, among other things, claims for breach of contract, negligence, gross negligence, breach of fiduciary duty, unjust enrichment and violations of certain California consumer protection statutes. The lawsuit generally seeks damages, restitution, and/or disgorgement, as well as declaratory and injunctive relief. In May 2022, the parties notified the court that they had reached an agreement in principle resolving this action. The settlement agreement is subject to court approval.</w:t>
      </w:r>
    </w:p>
    <w:p>
      <w:pPr>
        <w:spacing w:after="0" w:line="17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September 2021, approximately 400 jointly-represented customers initiated an arbitration of individual claims against us arising out of the March 2020 Outages and other alleged system outages. Robinhood is contesting the claims, and a hearing has been scheduled for September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Trading and Related Customer Communications and Displays</w:t>
      </w:r>
    </w:p>
    <w:p>
      <w:pPr>
        <w:spacing w:after="0" w:line="19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Certain state regulatory authorities are conducting investigations regarding RHF’s options trading and related customer communications and displays and options trading approval process. RHF is cooperating with the regulators’ requests. FINRA previously conducted an investigation and reached a settlement with RHF regarding the same options trading issues.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RHS Trade Reporting, Large Options Position Reporting, and ACATS Processing</w:t>
      </w:r>
    </w:p>
    <w:p>
      <w:pPr>
        <w:spacing w:after="0" w:line="20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June 2021, RHF resolved with FINRA, on a no admit, no deny basis, certain investigations and examinations. As previously disclosed, that resolution did not address all the matters FINRA is investigating. In April 2022, FINRA Enforcement staff requested additional information related to RHS’s reporting of fractional share trades, as applicable, to a Trade Reporting Facility (“TRF”), the Over-the-Counter Reporting Facility (“ORF”), the Order Audit Trail System (“OATS”), and the Consolidated Audit Trail (“CAT”); reporting of accounts holding significant options positions to the Large Option Position Report (“LOPR”) system; and processing of certain requests for transfers of assets from Robinhood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through the Automated Customer Account Transfer Service (“ACATS”), an automated industry system for account asset transfers. RHS is cooperating with these investigations.</w:t>
      </w:r>
    </w:p>
    <w:p>
      <w:pPr>
        <w:spacing w:after="0" w:line="163" w:lineRule="exact"/>
        <w:rPr>
          <w:sz w:val="20"/>
          <w:szCs w:val="20"/>
          <w:color w:val="auto"/>
        </w:rPr>
      </w:pPr>
    </w:p>
    <w:p>
      <w:pPr>
        <w:jc w:val="both"/>
        <w:ind w:firstLine="318"/>
        <w:spacing w:after="0" w:line="222" w:lineRule="auto"/>
        <w:rPr>
          <w:sz w:val="20"/>
          <w:szCs w:val="20"/>
          <w:color w:val="auto"/>
        </w:rPr>
      </w:pPr>
      <w:r>
        <w:rPr>
          <w:rFonts w:ascii="Arial" w:cs="Arial" w:eastAsia="Arial" w:hAnsi="Arial"/>
          <w:sz w:val="18"/>
          <w:szCs w:val="18"/>
          <w:color w:val="auto"/>
        </w:rPr>
        <w:t>In October 2021, RHS received requests from the SEC Division of Enforcement regarding its compliance with Regulation SHO, and previously received similar requests from FINRA examinations staff. During the second quarter of 2022, RHS received additional requests from the SEC for information related to, among other things, RHS’s compliance with Regulation SHO’s trade reporting and other requirements in connection with securities lending and fractional share trading. We are cooperating with this investigation.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RHC Anti-Money Laundering, Cybersecurity, and Other Issues</w:t>
      </w:r>
    </w:p>
    <w:p>
      <w:pPr>
        <w:spacing w:after="0" w:line="19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July 2020, the New York State Department of Financial Services (“NYDFS”) issued a report of its examination of RHC citing a number of “matters requiring attention” focused primarily on anti-money laundering and cybersecurity-related issues. The matter was subsequently referred to the NYDFS’s Consumer Protection and Financial Enforcement Division for investigation. In March 2021, the NYDFS informed RHC of alleged violations of applicable (i) anti-money laundering and New York Banking Law requirements, including the failure to maintain and certify a compliant anti-money laundering program, (ii) notification provisions under RHC’s Supervisory Agreement with the NYDFS, and (iii) cybersecurity and virtual currency requirements, including deficiencies in our policies and procedures regarding risk assessment, lack of an adequate incident response and business continuity plan, and deficiencies in our application development security. RHC and the NYDFS have reached a settlement with respect to these allegations in connection with which, among other things, RHC will pay a monetary penalty of $30 million and engage an independent compliance consultant.</w:t>
      </w:r>
    </w:p>
    <w:p>
      <w:pPr>
        <w:spacing w:after="0" w:line="23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in April 2021, the California Attorney General’s Office issued an investigative subpoena to RHC, seeking documents and answers to interrogatories about RHC’s trading platform, business and operations, application of California’s commodities regulations to RHC, customer disclosures, and other matters. RHC is cooperating with this investigation.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Takeovers</w:t>
      </w:r>
    </w:p>
    <w:p>
      <w:pPr>
        <w:spacing w:after="0" w:line="19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Since February 2021, RHF has received requests for documents and information from the SEC’s Division of Enforcement in connection with its investigation into account takeovers and, more recently, suspicious activity report filings and issues related to the Electronic Funds Transfer Act. Additionally, state regulators, including the New York Attorney General’s Office, have opened inquiries into RHM, RHF, and RHC related to account takeovers. We are cooperating with these investigations and inquiries.</w:t>
      </w:r>
    </w:p>
    <w:p>
      <w:pPr>
        <w:spacing w:after="0" w:line="17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January 2021, Siddharth Mehta filed a putative class action in California state court against RHF and RHS, purportedly on behalf of approximately 2,000 Robinhood customers whose accounts were allegedly accessed by unauthorized users. RHF and RHS removed this action to the United States District Court for the Northern District of California. Plaintiff generally alleges that RHF and RHS breached commitments made and duties owed to customers to safeguard customer data and assets and seek monetary damages and injunctive relief. In April 2022, the parties reached a settlement in principle to resolve this matter. The settlement agreement is subject to court approval.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Securities Division Matter</w:t>
      </w:r>
    </w:p>
    <w:p>
      <w:pPr>
        <w:spacing w:after="0" w:line="19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2020, the Enforcement Section of the Massachusetts Securities Division (“MSD”) filed an administrative complaint against RHF, which stems from an investigation initiated by the MSD in July 2020. The complaint alleged three counts of Massachusetts securities law violations regarding alleged unethical and dishonest conduct or practices, failure to supervise, and failure to act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Massachusetts fiduciary duty standard, which became effective on March 6, 2020 and had an effective enforcement date beginning September 1, 2020. Among other things, the MSD alleged that our product features and marketing strategies, outages, and options trading approval process constitute violations of Massachusetts securities laws. MSD subsequently filed an amended complaint that seeks, among other things, injunctive relief (a permanent cease and desist order), censure, restitution, disgorgement, appointment of an independent consultant, an administrative fine, and revocation of RHF's license to operate in Massachusetts. If RHF were to lose its license to operate in Massachusetts, we would not be able to acquire any new customers in Massachusetts, and we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w:t>
      </w:r>
    </w:p>
    <w:p>
      <w:pPr>
        <w:spacing w:after="0" w:line="18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April 2021, RHF filed a complaint and motion for preliminary injunction and declaratory relief in Massachusetts state court seeking to enjoin the MSD administrative proceeding and challenging the legality of the Massachusetts fiduciary duty standard. In September 2021, the parties filed cross-motions for partial judgment on the pleadings. In March 2022, the court ruled in favor of RHF, declaring that the Massachusetts fiduciary duty regulation was unlawful. The MSD has filed a notice of appeal. A hearing on the two remaining counts alleged by the MSD in its amended administrative complaint is expected to begin in early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Text Message Litigation</w:t>
      </w:r>
    </w:p>
    <w:p>
      <w:pPr>
        <w:spacing w:after="0" w:line="19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August 2021, Cooper Moore filed a putative class action against RHF alleging that RHF initiated or assisted in the transmission of commercial electronic text messages to Washington State residents without their consent in violation of Washington state law. The complaint seeks statutory and treble damages, injunctive relief, and attorneys’ fees and costs. The case is currently pending in the U.S. District Court for the Western District of Washington. RHF filed a motion to dismiss the complaint. In February 2022, Moore and Andrew Gillette filed an amended complaint, which RHF again moved to dismiss.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 Matters</w:t>
      </w:r>
    </w:p>
    <w:p>
      <w:pPr>
        <w:spacing w:after="0" w:line="24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platform (the “Early 2021 Trading Restrictions”).</w:t>
      </w:r>
    </w:p>
    <w:p>
      <w:pPr>
        <w:spacing w:after="0" w:line="16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 number of individual and putative class actions related to the Early 2021 Trading Restrictions were filed against RHM, RHF, and RHS, among others, in various federal and state courts. In April 2021, the Judicial Panel on Multidistrict Litigation entered an order centralizing the federal cases identified in a motion to transfer and coordinate or consolidate the actions filed in connection with the Early 2021 Trading Restrictions in the United States District Court for the Southern District of Florida (the “MDL”). The court subsequently divided plaintiffs’ claims against Robinhood into three tranches: federal antitrust claims, federal securities law claims, and state law claims. In July 2021, plaintiffs filed consolidated complaints seeking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September 2021, plaintiffs filed an amended complaint asserting state law claims of negligence, breach of fiduciary duty, tortious interference with contract and business relationship, civil conspiracy,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breaches of the covenant of good faith and fair dealing and implied duty of care. In January 2022, the court dismissed the state law complaint with prejudice. Plaintiffs have appealed the court’s order to the United States Court of Appeals for the Eleventh Circuit.</w:t>
      </w:r>
    </w:p>
    <w:p>
      <w:pPr>
        <w:spacing w:after="0" w:line="17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November 2021, the court dismissed the federal antitrust complaint without prejudice. In January 2022, plaintiffs filed an amended complaint in connection with the federal antitrust tranche and Robinhood moved to dismiss the amended complaint. In May 2022, the court dismissed the federal antitrust complaint with prejudice. Plaintiffs have appealed the court’s order to the United States Court of Appeals for the Eleventh Circuit.</w:t>
      </w:r>
    </w:p>
    <w:p>
      <w:pPr>
        <w:spacing w:after="0" w:line="16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November 2021, plaintiffs for the federal securities tranche filed a complaint alleging violations of Sections 9(a) and 10(b) of the Exchange Act. In January 2022, we moved to dismiss the federal securities law complaint. In July 2022, plaintiffs in the federal securities tranche informed us of their intent to file an amended complaint.</w:t>
      </w:r>
    </w:p>
    <w:p>
      <w:pPr>
        <w:spacing w:after="0" w:line="16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SEC’s Division of Enforcement,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requests from the SEC’s Division of Examinations and Division of Enforcement and FINRA related to employee trading in certain securities that were subject to the Early 2021 Trading Restrictions, including GameStop Corp. and AMC Entertainment Holdings, Inc., during the week of January 25, 2021. These matters include requests related to whether any employee trading in these securities may have occurred after the decision to impose the Early 2021 Trading Restrictions and before the public announcement of the Early 2021 Trading Restrictions on January 28, 2021. We are cooperating with these investigations and examinations. The SEC’s Division of Examinations concluded their examinations related to the Early 2021 Trading Restrictions. In February 2022, SEC staff notified us of their findings to which we responded in April 2022. FINRA Enforcement has also requested information about policies, procedures, and supervision related to employee trading generally.</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we received information and testimony requests from certain committees and members of the U.S. Congress and Mr. Tenev, among others, provided testimony with respect to the Early 2021 Trading Restrictions. In June 2022, the majority staff of the U.S. House Committee on Financial Services released a report regarding its investigation.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Requirements for Member Personnel</w:t>
      </w:r>
    </w:p>
    <w:p>
      <w:pPr>
        <w:spacing w:after="0" w:line="19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July 2021, RHF received a FINRA investigative request seeking documents and information related to its compliance with FINRA registration requirements for member personnel, including related to the FINRA non-registration status of Mr. Tenev and Co-Founder and Chief Creative Officer Mr. Bhatt. Robinhood is cooperating with the investigation.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Litigation</w:t>
      </w:r>
    </w:p>
    <w:p>
      <w:pPr>
        <w:spacing w:after="0" w:line="19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December 2021, Philip Golubowski filed a putative class action in the U.S. District Court for the Northern District of California against RHM, the officers and directors who signed Robinhood’s IPO offering documents, and Robinhood’s IPO underwriters. Plaintiff’s claims are based on alleged false or misleading statements in Robinhood’s IPO offering documents allegedly in violation of Sections 11 and 12(a) of the Securities Act of 1933, as amended (the “Securities Act”). Plaintiff seeks compensatory damages, rescission of shareholders’ share purchases, and an award for attorneys’ fees and costs. In February 2022, certain alleged Robinhood stockholders submitted applications seeking appointment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court to be the lead plaintiff to represent the putative class in this matter, and in March 2022, the court appointed lead plaintiffs. In June 2022, plaintiffs filed an amended complaint.</w:t>
      </w:r>
    </w:p>
    <w:p>
      <w:pPr>
        <w:spacing w:after="0" w:line="17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NOTE 15: SUBSEQUENT EVENTS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Workforce Reduction and Restructuring</w:t>
      </w:r>
    </w:p>
    <w:p>
      <w:pPr>
        <w:spacing w:after="0" w:line="21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August 2, 2022 we announced another reduction in force, the planned closure of two offices, and related matters (the “August 2022 Restructuring”). The reduction in force involved approximately 780 employees, representing approximately 23% of our full-time employees. We estimate that we will incur approximately $30 million to $40 million of cash restructuring and related charges primarily related to employee severance and benefits costs (excluding the impact of share-based compensation) and approximately $15 million to $20 million of charges related to the office closures and contract termination fees, substantially all of which we expect to incur in the third quarter of 2022.</w:t>
      </w:r>
    </w:p>
    <w:p>
      <w:pPr>
        <w:spacing w:after="0" w:line="16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With respect to share-based compensation, as part of this reduction in force we will allow affected employees' awards to continue vesting over a transitional period (generally two months during which they remain employed but are not expected to provide active service), which we will generally account for as a modification allowing a portion of the awards to vest that otherwise would have been forfeited. However, as a result of the reversal of share-based compensation expense that had been previously recognized (under the accelerated attribution method, generally) for the forfeited portions of such employees’ stock awards, we expect the August 2022 Restructuring will result in a net reduction to share-based compensation of approximately $40 million to $50 million in the third quarter of 2022. This estimate may change due to future changes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340" w:right="760"/>
        <w:spacing w:after="0" w:line="266" w:lineRule="auto"/>
        <w:rPr>
          <w:sz w:val="20"/>
          <w:szCs w:val="20"/>
          <w:color w:val="auto"/>
        </w:rPr>
      </w:pPr>
      <w:r>
        <w:rPr>
          <w:rFonts w:ascii="Arial" w:cs="Arial" w:eastAsia="Arial" w:hAnsi="Arial"/>
          <w:sz w:val="35"/>
          <w:szCs w:val="35"/>
          <w:color w:val="auto"/>
        </w:rPr>
        <w:t>ITEM 2. MANAGEMENT’S DISCUSSION AND ANALYSIS OF FINANCIAL CONDITION AND RESULTS OF OPERATIONS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on Form 10-Q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2021 Form 10-K.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Data as of and for the three and six months ended June 30, 2021 and 2022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spacing w:after="0" w:line="18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refer to our “users” and our “customers” interchangeably throughout this Quarterly Report to refer to individuals who hold accounts on our platform. The definition of “customer” under Exchange Act Rule 15c3-3 means any person from whom or on whose behalf a broker or dealer has received or acquired or holds funds or securities for the account of that person. However, because we do not earn consideration from users (other than Robinhood Gold Subscribers and debit card users), users are not “customers” as defined in ASC 606, Revenue from Contracts with Customers. Accordingly, our users do not meet the definition of “customer” for purposes of the accounting rules. See “—Revenue Recognition” in Note 1 to our audited consolidated financial statements included in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6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mission is to democratize finance for all. We use mobile phone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and the Robinhood app now makes investing approachable for millions. We pioneered commission-free stock trading with no account minimums, which the rest of the industry emulated, and we have continued to build relationships with our customers by introducing new products that further expand access to the financial system. Through these efforts, we believe we have made investing culturally relevant and understandable, and that our platform is enabling our customers to become long-term investors and take greater control of their finances.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Financial Results and Performance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 respect to the three months ended June 30, 2022, as compared to the three months ended June 30, 2021:</w:t>
      </w:r>
    </w:p>
    <w:p>
      <w:pPr>
        <w:spacing w:after="0" w:line="177"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generated total net revenues of $318 million compared to $565 million, for a year-over-year decrease of 44%;</w:t>
      </w:r>
    </w:p>
    <w:p>
      <w:pPr>
        <w:spacing w:after="0" w:line="177" w:lineRule="exact"/>
        <w:rPr>
          <w:rFonts w:ascii="Arial" w:cs="Arial" w:eastAsia="Arial" w:hAnsi="Arial"/>
          <w:sz w:val="18"/>
          <w:szCs w:val="18"/>
          <w:color w:val="auto"/>
        </w:rPr>
      </w:pPr>
    </w:p>
    <w:p>
      <w:pPr>
        <w:jc w:val="both"/>
        <w:ind w:left="640" w:hanging="316"/>
        <w:spacing w:after="0" w:line="248" w:lineRule="auto"/>
        <w:tabs>
          <w:tab w:leader="none" w:pos="609"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we incurred a net loss of $295 million, which included $164 million of share-based compensation expense, compared to a net loss of $502 million, which included expense of $528 million associated with the change in fair value of convertible notes and warrants issued in February 2021;</w:t>
      </w:r>
    </w:p>
    <w:p>
      <w:pPr>
        <w:spacing w:after="0" w:line="179" w:lineRule="exact"/>
        <w:rPr>
          <w:rFonts w:ascii="Arial" w:cs="Arial" w:eastAsia="Arial" w:hAnsi="Arial"/>
          <w:sz w:val="18"/>
          <w:szCs w:val="18"/>
          <w:b w:val="1"/>
          <w:bCs w:val="1"/>
          <w:i w:val="1"/>
          <w:iCs w:val="1"/>
          <w:color w:val="auto"/>
        </w:rPr>
      </w:pPr>
    </w:p>
    <w:p>
      <w:pPr>
        <w:ind w:left="620" w:hanging="296"/>
        <w:spacing w:after="0"/>
        <w:tabs>
          <w:tab w:leader="none" w:pos="62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our Adjusted EBITDA was negative $80 million compared to positive $90 million;</w:t>
      </w:r>
    </w:p>
    <w:p>
      <w:pPr>
        <w:spacing w:after="0" w:line="177" w:lineRule="exact"/>
        <w:rPr>
          <w:rFonts w:ascii="Arial" w:cs="Arial" w:eastAsia="Arial" w:hAnsi="Arial"/>
          <w:sz w:val="18"/>
          <w:szCs w:val="18"/>
          <w:i w:val="1"/>
          <w:iCs w:val="1"/>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had Net Cumulative Funded Accounts of 22.9 million compared to 22.5 million, for year-over-year growth of 2%;</w:t>
      </w:r>
    </w:p>
    <w:p>
      <w:pPr>
        <w:spacing w:after="0" w:line="177" w:lineRule="exact"/>
        <w:rPr>
          <w:rFonts w:ascii="Arial" w:cs="Arial" w:eastAsia="Arial" w:hAnsi="Arial"/>
          <w:sz w:val="18"/>
          <w:szCs w:val="18"/>
          <w:color w:val="auto"/>
        </w:rPr>
      </w:pPr>
    </w:p>
    <w:p>
      <w:pPr>
        <w:ind w:left="640" w:hanging="316"/>
        <w:spacing w:after="0" w:line="251" w:lineRule="auto"/>
        <w:tabs>
          <w:tab w:leader="none" w:pos="609"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we had Monthly Active Users (MAU) of 14.0 million compared to 21.3 million, for a year-over-year decrease of 34%, as our customers navigated the volatile market environment;</w:t>
      </w:r>
    </w:p>
    <w:p>
      <w:pPr>
        <w:spacing w:after="0" w:line="176" w:lineRule="exact"/>
        <w:rPr>
          <w:rFonts w:ascii="Arial" w:cs="Arial" w:eastAsia="Arial" w:hAnsi="Arial"/>
          <w:sz w:val="18"/>
          <w:szCs w:val="18"/>
          <w:b w:val="1"/>
          <w:bCs w:val="1"/>
          <w:i w:val="1"/>
          <w:iCs w:val="1"/>
          <w:color w:val="auto"/>
        </w:rPr>
      </w:pPr>
    </w:p>
    <w:p>
      <w:pPr>
        <w:ind w:left="640" w:hanging="316"/>
        <w:spacing w:after="0" w:line="251" w:lineRule="auto"/>
        <w:tabs>
          <w:tab w:leader="none" w:pos="609"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we had Assets Under Custody (AUC) of $64.2 billion compared to $102.0 billion, for year-over-year decrease of 37%, primarily due to decreasing asset values in the current market environment;</w:t>
      </w:r>
    </w:p>
    <w:p>
      <w:pPr>
        <w:spacing w:after="0" w:line="163" w:lineRule="exact"/>
        <w:rPr>
          <w:rFonts w:ascii="Arial" w:cs="Arial" w:eastAsia="Arial" w:hAnsi="Arial"/>
          <w:sz w:val="18"/>
          <w:szCs w:val="18"/>
          <w:b w:val="1"/>
          <w:bCs w:val="1"/>
          <w:i w:val="1"/>
          <w:iCs w:val="1"/>
          <w:color w:val="auto"/>
        </w:rPr>
      </w:pPr>
    </w:p>
    <w:p>
      <w:pPr>
        <w:jc w:val="both"/>
        <w:ind w:left="640" w:hanging="316"/>
        <w:spacing w:after="0" w:line="248"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had Average Revenues Per User (ARPU) of $56 compared to $112, for a year-over-year decrease of 50%. The decreases were primarily related to lower transaction-based revenue driven by the current market environment, which had a negative impact on the number of traders and notional trading volumes in all asset classes.</w:t>
      </w:r>
    </w:p>
    <w:p>
      <w:pPr>
        <w:spacing w:after="0" w:line="16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definitions of “Net Cumulative Funded Accounts”, “MAU”, “AUC” and “ARPU” please see “—Key Performance Metrics.” 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 Developments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Acquisition of Ziglu</w:t>
      </w:r>
    </w:p>
    <w:p>
      <w:pPr>
        <w:spacing w:after="0" w:line="19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April 16, 2022, we entered into a definitive agreement to acquire all outstanding equity of Ziglu, a U.K.-based electronic money institution and crypto-asset firm that allows customers to buy and sell eligible cryptocurrencies, earn yield via its ‘Boost’ products, pay using a debit card, and move and spend money without fees for approximately $170 million. See Note 3 to our unaudited consolidated financial statements in this Quarterly Report for further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Restructurings</w:t>
      </w:r>
    </w:p>
    <w:p>
      <w:pPr>
        <w:spacing w:after="0" w:line="26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Through 2020 and the first half of 2021, we went through a period of hyper growth accelerated by several factors including pandemic lockdowns, low interest rates, and fiscal stimulus. From the beginning of 2020 to the end of 2021, we grew net funded accounts from 5.1 million to 22.7 million and revenue from $278 million in 2019 to $1.8 billion in 2021. To meet customer and market demands, we grew our headcount from 700 at the end of 2019 to nearly 3,900 at the end of the first quarter of 2022. This rapid headcount growth led to some duplicate roles and job functions with more layers and complexity than were optimal. As a result, we have undertaken two restructurings, detailed below, and significantly reduced our hiring plans for 2022.</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 xml:space="preserve">April 2022 Restructuring. </w:t>
      </w:r>
      <w:r>
        <w:rPr>
          <w:rFonts w:ascii="Arial" w:cs="Arial" w:eastAsia="Arial" w:hAnsi="Arial"/>
          <w:sz w:val="18"/>
          <w:szCs w:val="18"/>
          <w:color w:val="auto"/>
        </w:rPr>
        <w:t>As part of our efforts to improve efficiency and operating costs, increase our velocity, and ensure that we are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responsive to the changing needs of our customers, we announced the April 2022 Restructuring. This reduction in force involved approximately 330 employees, representing approximately 9% of our full-time employees at the time. In connection with the April 2022 Restructuring, we recognized a net reversal of share-based compensation of $24 million (refer to Note 10 to our unaudited consolidated financial statements in this Quarterly Report for further information) and restructuring charges of $17 million, which primarily consisted of employee-related wages and benefits and severance expenses.</w:t>
      </w:r>
    </w:p>
    <w:p>
      <w:pPr>
        <w:spacing w:after="0" w:line="15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August 2022 Restructuring. </w:t>
      </w:r>
      <w:r>
        <w:rPr>
          <w:rFonts w:ascii="Arial" w:cs="Arial" w:eastAsia="Arial" w:hAnsi="Arial"/>
          <w:sz w:val="18"/>
          <w:szCs w:val="18"/>
          <w:color w:val="auto"/>
        </w:rPr>
        <w:t>On August 2, 2022 we announced an additional reduction in force involving approximately 780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approximately 23% of our full-time employees, the planned closure of two offices, and related matters. These actions are part of a Company reorganization into a general manager (GM) structure under which GMs will assume broad responsibility for our individual businesses.</w:t>
      </w:r>
    </w:p>
    <w:p>
      <w:pPr>
        <w:spacing w:after="0" w:line="16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connection with the August 2022 Restructuring, we estimate that we will incur approximately $30 million to $40 million of cash restructuring and related charges primarily related to employee severance and benefits costs (excluding the impact of share-based compensation) and approximately $15 million to $20 million of charges related to the office closures and contract termination fees, substantially all of which we expect to incur in the third quarter of 2022.</w:t>
      </w:r>
    </w:p>
    <w:p>
      <w:pPr>
        <w:spacing w:after="0" w:line="16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With respect to share-based compensation, as part of this reduction in force we are allowing impacted employees' awards to continue vesting over a transitional period (generally two months during which they remain employed but are not expected to provide active service), which we will generally account for as a modification allowing a portion of the awards to vest that otherwise would have been forfeited. However, as a result of the reversal of share-based compensation expense that had been previously recognized (under the accelerated attribution method, generally) for the forfeited portions of such employees’ stock awards, we expect the August 2022 Restructuring will result in a net reduction to share-based compensation of approximately $40 million to $50 million in the third quarter of 2022. This estimate may change due to future changes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COVID-19 Update</w:t>
      </w:r>
    </w:p>
    <w:p>
      <w:pPr>
        <w:spacing w:after="0" w:line="21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the fourth quarter of 2021, we elected to become a “Remote First” company and we fully implemented this program in April 2022. Under this approach, a large segment of our employees has no assigned location or regular in-office requirement, some teams need to live within a commutable distance to an office location for regulatory and business reasons, and a small segment of our workforce will still need to come into the office. All employees currently have access to our offices throughout the country. Starting in July 2022, we no longer require proof of vaccination or a negative test for entry into our offices. We continue to monitor developments related to the pandemic, such as the severity and transmission rate of the virus and its variants, and we may adjust our workplace strategy as necessary.</w:t>
      </w:r>
    </w:p>
    <w:p>
      <w:pPr>
        <w:spacing w:after="0" w:line="17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Following the March 2020 onset of the COVID-19 pandemic, we saw substantial growth in our user base, retention, engagement, and trading activity metrics, and over the course of the pandemic we saw periodic all-time highs achieved by the equity markets generally. During this period, market volatility, stay-at-home orders, and increased interest in investing and personal finance, coupled with low interest rates and a positive market environment, especially in the U.S. equity and cryptocurrency markets, helped foster an environment that encouraged an unprecedented number of first-time retail investors to become our users and begin trading on our platform. However, we have seen the growth of our user base in recent periods slow compared to the accelerated growth we experienced in 2020 and the first half of 2021. Additionally, to the extent that government stimulus measures enacted in response to the pandemic contributed to an increase in customer engagement, that benefit might not have continued as those stimulus measures have expired.</w:t>
      </w:r>
    </w:p>
    <w:p>
      <w:pPr>
        <w:spacing w:after="0" w:line="17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COVID-19 pandemic has resulted, in part, in inefficiencies and delays in our business, operational challenges, additional costs related to business continuity initiatives as our workforce continues to work remotely, and increased vulnerability to cybersecurity attacks or other privacy or data security incidents. The extent of the continuing impact of COVID-19 on our business, financial condition, and results of operations will depend largely on future developments, including the duration of the pandemic, actions taken to contain COVID-19 or address its impact, our ability to adapt to the long-term distributed Remote First workforce model we have adopted, the impact on capital and financial markets, and the related impact on the financial circumstances of our customers, all of which are highly uncertain and difficult to predict.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174"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In addition to the measures presented in our unaudited condensed consolidated financial statements, we use the following key performance metrics to help us evaluate our business, identify trends affecting our business, formulate business plans, and make strategic decisions:</w:t>
      </w:r>
    </w:p>
    <w:p>
      <w:pPr>
        <w:spacing w:after="0" w:line="157"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4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18"/>
        </w:trPr>
        <w:tc>
          <w:tcPr>
            <w:tcW w:w="82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Net Cumulative Funded Accounts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(in millions)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5"/>
        </w:trPr>
        <w:tc>
          <w:tcPr>
            <w:tcW w:w="8240" w:type="dxa"/>
            <w:vAlign w:val="bottom"/>
          </w:tcPr>
          <w:p>
            <w:pPr>
              <w:ind w:left="20"/>
              <w:spacing w:after="0" w:line="225" w:lineRule="exact"/>
              <w:rPr>
                <w:sz w:val="20"/>
                <w:szCs w:val="20"/>
                <w:color w:val="auto"/>
              </w:rPr>
            </w:pPr>
            <w:r>
              <w:rPr>
                <w:rFonts w:ascii="Arial" w:cs="Arial" w:eastAsia="Arial" w:hAnsi="Arial"/>
                <w:sz w:val="18"/>
                <w:szCs w:val="18"/>
                <w:color w:val="auto"/>
              </w:rPr>
              <w:t>Monthly Active Users (MAU)</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(in millions)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5"/>
        </w:trPr>
        <w:tc>
          <w:tcPr>
            <w:tcW w:w="82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Assets Under Custody (AUC)</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w:t>
            </w:r>
            <w:r>
              <w:rPr>
                <w:rFonts w:ascii="Arial" w:cs="Arial" w:eastAsia="Arial" w:hAnsi="Arial"/>
                <w:sz w:val="18"/>
                <w:szCs w:val="18"/>
                <w:i w:val="1"/>
                <w:iCs w:val="1"/>
                <w:color w:val="auto"/>
              </w:rPr>
              <w:t>(in billions)</w:t>
            </w:r>
          </w:p>
        </w:tc>
        <w:tc>
          <w:tcPr>
            <w:tcW w:w="90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309"/>
        </w:trPr>
        <w:tc>
          <w:tcPr>
            <w:tcW w:w="8240" w:type="dxa"/>
            <w:vAlign w:val="bottom"/>
          </w:tcPr>
          <w:p>
            <w:pPr>
              <w:ind w:left="20"/>
              <w:spacing w:after="0"/>
              <w:rPr>
                <w:sz w:val="20"/>
                <w:szCs w:val="20"/>
                <w:color w:val="auto"/>
              </w:rPr>
            </w:pPr>
            <w:r>
              <w:rPr>
                <w:rFonts w:ascii="Arial" w:cs="Arial" w:eastAsia="Arial" w:hAnsi="Arial"/>
                <w:sz w:val="18"/>
                <w:szCs w:val="18"/>
                <w:color w:val="auto"/>
              </w:rPr>
              <w:t>Average Revenues Per User (ARPU)</w:t>
            </w:r>
            <w:r>
              <w:rPr>
                <w:rFonts w:ascii="Arial" w:cs="Arial" w:eastAsia="Arial" w:hAnsi="Arial"/>
                <w:sz w:val="22"/>
                <w:szCs w:val="22"/>
                <w:color w:val="auto"/>
                <w:vertAlign w:val="superscript"/>
              </w:rPr>
              <w:t>(4)</w:t>
            </w:r>
          </w:p>
        </w:tc>
        <w:tc>
          <w:tcPr>
            <w:tcW w:w="900" w:type="dxa"/>
            <w:vAlign w:val="bottom"/>
          </w:tcPr>
          <w:p>
            <w:pPr>
              <w:jc w:val="right"/>
              <w:ind w:right="698"/>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4"/>
                <w:szCs w:val="24"/>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jc w:val="both"/>
        <w:ind w:left="320" w:hanging="314"/>
        <w:spacing w:after="0" w:line="243" w:lineRule="auto"/>
        <w:tabs>
          <w:tab w:leader="none" w:pos="307"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Robinhood account is designed to provide a user with access to any and all of the products offered on our platform. We define “Net Cumulative Funded Accounts” as New Funded Accounts less Churned Accounts plus Resurrected Accounts (each as defined below). A “New Funded Account” is a Robinhood account into which the account user makes an initial deposit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20"/>
        <w:spacing w:after="0" w:line="239" w:lineRule="auto"/>
        <w:rPr>
          <w:sz w:val="20"/>
          <w:szCs w:val="20"/>
          <w:color w:val="auto"/>
        </w:rPr>
      </w:pPr>
      <w:r>
        <w:rPr>
          <w:rFonts w:ascii="Arial" w:cs="Arial" w:eastAsia="Arial" w:hAnsi="Arial"/>
          <w:sz w:val="14"/>
          <w:szCs w:val="14"/>
          <w:color w:val="auto"/>
        </w:rPr>
        <w:t>money or asset transfer, of any amount, during the relevant period. An account is considered “Churned” if it was ever a New Funded Account and its balance (measured as the fair value of assets in the account less any amount due from the user and excluding certain Company-initiated credits) drops to or below zero for at least 45 consecutive calendar days. Negative balances typically result from Fraudulent Deposit Transactions (as defined in Note 5 to our unaudited condensed consolidated financial statements in this Quarterly Report for further information) and, less often, from margin loans. An account is considered “Resurrected” in a stated period if it was a Churned Account as of the end of the immediately preceding period and its balance (excluding certain Company-initiated credits) rises above zero. Examples of credits excluded for purposes of identifying Churned Accounts and Resurrected Accounts are price correction credits, related interest adjustments, and fee adjustments.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Three Months Ended</w:t>
            </w:r>
          </w:p>
        </w:tc>
      </w:tr>
      <w:tr>
        <w:trPr>
          <w:trHeight w:val="172"/>
        </w:trPr>
        <w:tc>
          <w:tcPr>
            <w:tcW w:w="8260" w:type="dxa"/>
            <w:vAlign w:val="bottom"/>
          </w:tcPr>
          <w:p>
            <w:pPr>
              <w:spacing w:after="0"/>
              <w:rPr>
                <w:sz w:val="14"/>
                <w:szCs w:val="14"/>
                <w:color w:val="auto"/>
              </w:rPr>
            </w:pPr>
          </w:p>
        </w:tc>
        <w:tc>
          <w:tcPr>
            <w:tcW w:w="1940" w:type="dxa"/>
            <w:vAlign w:val="bottom"/>
            <w:tcBorders>
              <w:bottom w:val="single" w:sz="8" w:color="auto"/>
            </w:tcBorders>
            <w:gridSpan w:val="3"/>
          </w:tcPr>
          <w:p>
            <w:pPr>
              <w:jc w:val="center"/>
              <w:ind w:left="99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r>
      <w:tr>
        <w:trPr>
          <w:trHeight w:val="19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4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Net Cumulative Funded Accounts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8"/>
        </w:trPr>
        <w:tc>
          <w:tcPr>
            <w:tcW w:w="8260" w:type="dxa"/>
            <w:vAlign w:val="bottom"/>
          </w:tcPr>
          <w:p>
            <w:pPr>
              <w:ind w:left="20"/>
              <w:spacing w:after="0"/>
              <w:rPr>
                <w:sz w:val="20"/>
                <w:szCs w:val="20"/>
                <w:color w:val="auto"/>
              </w:rPr>
            </w:pPr>
            <w:r>
              <w:rPr>
                <w:rFonts w:ascii="Arial" w:cs="Arial" w:eastAsia="Arial" w:hAnsi="Arial"/>
                <w:sz w:val="18"/>
                <w:szCs w:val="18"/>
                <w:color w:val="auto"/>
              </w:rPr>
              <w:t>New funded accounts</w:t>
            </w: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8"/>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Resurrected accounts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8"/>
        </w:trPr>
        <w:tc>
          <w:tcPr>
            <w:tcW w:w="8260" w:type="dxa"/>
            <w:vAlign w:val="bottom"/>
          </w:tcPr>
          <w:p>
            <w:pPr>
              <w:ind w:left="20"/>
              <w:spacing w:after="0"/>
              <w:rPr>
                <w:sz w:val="20"/>
                <w:szCs w:val="20"/>
                <w:color w:val="auto"/>
              </w:rPr>
            </w:pPr>
            <w:r>
              <w:rPr>
                <w:rFonts w:ascii="Arial" w:cs="Arial" w:eastAsia="Arial" w:hAnsi="Arial"/>
                <w:sz w:val="18"/>
                <w:szCs w:val="18"/>
                <w:color w:val="auto"/>
              </w:rPr>
              <w:t>Churned accounts</w:t>
            </w:r>
          </w:p>
        </w:tc>
        <w:tc>
          <w:tcPr>
            <w:tcW w:w="14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8"/>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Net Cumulative Funded Accounts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jc w:val="both"/>
        <w:ind w:left="320" w:hanging="314"/>
        <w:spacing w:after="0" w:line="239" w:lineRule="auto"/>
        <w:tabs>
          <w:tab w:leader="none" w:pos="3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MAU as the number of Monthly Active Users during a specified calendar month. A “Monthly Active User” is a unique user who makes a debit card transaction, or who transitions between two different screens on a mobile device or loads a page in a web browser while logged into their account, at any point during the relevant month. A user need not satisfy these conditions on a recurring monthly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45" w:lineRule="exact"/>
        <w:rPr>
          <w:rFonts w:ascii="Arial" w:cs="Arial" w:eastAsia="Arial" w:hAnsi="Arial"/>
          <w:sz w:val="14"/>
          <w:szCs w:val="14"/>
          <w:color w:val="auto"/>
        </w:rPr>
      </w:pPr>
    </w:p>
    <w:p>
      <w:pPr>
        <w:ind w:left="320" w:hanging="314"/>
        <w:spacing w:after="0" w:line="250" w:lineRule="auto"/>
        <w:tabs>
          <w:tab w:leader="none" w:pos="3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AUC as the sum of the fair value of all equities, options, cryptocurrency and cash held by users in their accounts, net of receivables from users, as of a stated date or period end on a trade date basis. The following table sets out the components of AUC by type of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r>
      <w:tr>
        <w:trPr>
          <w:trHeight w:val="172"/>
        </w:trPr>
        <w:tc>
          <w:tcPr>
            <w:tcW w:w="7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r>
      <w:tr>
        <w:trPr>
          <w:trHeight w:val="192"/>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billions)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r>
      <w:tr>
        <w:trPr>
          <w:trHeight w:val="24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64"/>
        </w:trPr>
        <w:tc>
          <w:tcPr>
            <w:tcW w:w="7840" w:type="dxa"/>
            <w:vAlign w:val="bottom"/>
          </w:tcPr>
          <w:p>
            <w:pPr>
              <w:ind w:left="2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6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Cryptocurrencies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65"/>
        </w:trPr>
        <w:tc>
          <w:tcPr>
            <w:tcW w:w="7840" w:type="dxa"/>
            <w:vAlign w:val="bottom"/>
          </w:tcPr>
          <w:p>
            <w:pPr>
              <w:ind w:left="20"/>
              <w:spacing w:after="0"/>
              <w:rPr>
                <w:sz w:val="20"/>
                <w:szCs w:val="20"/>
                <w:color w:val="auto"/>
              </w:rPr>
            </w:pPr>
            <w:r>
              <w:rPr>
                <w:rFonts w:ascii="Arial" w:cs="Arial" w:eastAsia="Arial" w:hAnsi="Arial"/>
                <w:sz w:val="18"/>
                <w:szCs w:val="18"/>
                <w:color w:val="auto"/>
              </w:rPr>
              <w:t>Cash held by users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6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from users</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9"/>
        </w:trPr>
        <w:tc>
          <w:tcPr>
            <w:tcW w:w="7840" w:type="dxa"/>
            <w:vAlign w:val="bottom"/>
          </w:tcPr>
          <w:p>
            <w:pPr>
              <w:ind w:left="20"/>
              <w:spacing w:after="0"/>
              <w:rPr>
                <w:sz w:val="20"/>
                <w:szCs w:val="20"/>
                <w:color w:val="auto"/>
              </w:rPr>
            </w:pPr>
            <w:r>
              <w:rPr>
                <w:rFonts w:ascii="Arial" w:cs="Arial" w:eastAsia="Arial" w:hAnsi="Arial"/>
                <w:sz w:val="18"/>
                <w:szCs w:val="18"/>
                <w:color w:val="auto"/>
              </w:rPr>
              <w:t>Assets Under Custody (AUC)</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left="320"/>
        <w:spacing w:after="0" w:line="243" w:lineRule="auto"/>
        <w:rPr>
          <w:sz w:val="20"/>
          <w:szCs w:val="20"/>
          <w:color w:val="auto"/>
        </w:rPr>
      </w:pPr>
      <w:r>
        <w:rPr>
          <w:rFonts w:ascii="Arial" w:cs="Arial" w:eastAsia="Arial" w:hAnsi="Arial"/>
          <w:sz w:val="14"/>
          <w:szCs w:val="14"/>
          <w:color w:val="auto"/>
        </w:rPr>
        <w:t>Net Deposits and net market gains drive the change in AUC in any given period. We define “Net Deposits” as all cash deposits and asset transfers received from customers, net of reversals, customer cash withdrawals, and other assets transferred out of our platform (assets transferred in or out include debit card transactions, ACATS transfers, and custodial crypto wallet transfers) for a stated period. The following table describes the changes within Assets Under Custody:</w:t>
      </w:r>
    </w:p>
    <w:p>
      <w:pPr>
        <w:ind w:left="8920"/>
        <w:spacing w:after="0"/>
        <w:rPr>
          <w:sz w:val="20"/>
          <w:szCs w:val="20"/>
          <w:color w:val="auto"/>
        </w:rPr>
      </w:pPr>
      <w:r>
        <w:rPr>
          <w:rFonts w:ascii="Arial" w:cs="Arial" w:eastAsia="Arial" w:hAnsi="Arial"/>
          <w:sz w:val="14"/>
          <w:szCs w:val="14"/>
          <w:b w:val="1"/>
          <w:bCs w:val="1"/>
          <w:color w:val="auto"/>
        </w:rPr>
        <w:t>Three Months Ended</w:t>
      </w:r>
    </w:p>
    <w:tbl>
      <w:tblPr>
        <w:tblLayout w:type="fixed"/>
        <w:tblInd w:w="320" w:type="dxa"/>
        <w:tblCellMar>
          <w:top w:w="0" w:type="dxa"/>
          <w:left w:w="0" w:type="dxa"/>
          <w:bottom w:w="0" w:type="dxa"/>
          <w:right w:w="0" w:type="dxa"/>
        </w:tblCellMar>
      </w:tblPr>
      <w:tr>
        <w:trPr>
          <w:trHeight w:val="168"/>
        </w:trPr>
        <w:tc>
          <w:tcPr>
            <w:tcW w:w="7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92"/>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i w:val="1"/>
                <w:iCs w:val="1"/>
                <w:color w:val="auto"/>
              </w:rPr>
              <w:t>(in billions)</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45"/>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AUC</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65"/>
        </w:trPr>
        <w:tc>
          <w:tcPr>
            <w:tcW w:w="7480" w:type="dxa"/>
            <w:vAlign w:val="bottom"/>
          </w:tcPr>
          <w:p>
            <w:pPr>
              <w:ind w:left="340"/>
              <w:spacing w:after="0"/>
              <w:rPr>
                <w:sz w:val="20"/>
                <w:szCs w:val="20"/>
                <w:color w:val="auto"/>
              </w:rPr>
            </w:pPr>
            <w:r>
              <w:rPr>
                <w:rFonts w:ascii="Arial" w:cs="Arial" w:eastAsia="Arial" w:hAnsi="Arial"/>
                <w:sz w:val="18"/>
                <w:szCs w:val="18"/>
                <w:color w:val="auto"/>
              </w:rPr>
              <w:t>Net Deposits</w:t>
            </w:r>
          </w:p>
        </w:tc>
        <w:tc>
          <w:tcPr>
            <w:tcW w:w="6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5"/>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market gains (losses)</w:t>
            </w:r>
          </w:p>
        </w:tc>
        <w:tc>
          <w:tcPr>
            <w:tcW w:w="6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58"/>
        </w:trPr>
        <w:tc>
          <w:tcPr>
            <w:tcW w:w="7480" w:type="dxa"/>
            <w:vAlign w:val="bottom"/>
          </w:tcPr>
          <w:p>
            <w:pPr>
              <w:ind w:left="340"/>
              <w:spacing w:after="0"/>
              <w:rPr>
                <w:sz w:val="20"/>
                <w:szCs w:val="20"/>
                <w:color w:val="auto"/>
              </w:rPr>
            </w:pPr>
            <w:r>
              <w:rPr>
                <w:rFonts w:ascii="Arial" w:cs="Arial" w:eastAsia="Arial" w:hAnsi="Arial"/>
                <w:sz w:val="18"/>
                <w:szCs w:val="18"/>
                <w:color w:val="auto"/>
              </w:rPr>
              <w:t>Ending AUC</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0"/>
        </w:trPr>
        <w:tc>
          <w:tcPr>
            <w:tcW w:w="7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320" w:hanging="314"/>
        <w:spacing w:after="0" w:line="250" w:lineRule="auto"/>
        <w:tabs>
          <w:tab w:leader="none" w:pos="3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define ARPU as total revenue for a given period divided by the average of Net Cumulative Funded Accounts on the last day of that period and the last day of the immediately preceding period. Figures presented above represent annualized ARPU for each three-month period presented.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Adjusted EBITDA</w:t>
      </w:r>
    </w:p>
    <w:p>
      <w:pPr>
        <w:spacing w:after="0" w:line="20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earnings before interest, taxes, depreciation, and amortization (“Adjusted EBITDA”). Adjusted EBITDA is defined as net income (loss), excluding (i) interest expenses related to credit facilities, (ii) provision for (benefit from) income taxes, (iii) depreciation and amortization, (iv) share-based compensation, (v) change in fair value of convertible notes and warrant liability, (vi) significant legal and tax settlements and reserves, and (vii)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 The following table presents a reconciliation of net income (loss), which is the most directly comparable GAAP measure, to Adjusted EBITDA: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40" w:type="dxa"/>
            <w:vAlign w:val="bottom"/>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72"/>
        </w:trPr>
        <w:tc>
          <w:tcPr>
            <w:tcW w:w="6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r>
      <w:tr>
        <w:trPr>
          <w:trHeight w:val="179"/>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r>
      <w:tr>
        <w:trPr>
          <w:trHeight w:val="21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(502)</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Add:</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 related to credit facilities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9"/>
        </w:trPr>
        <w:tc>
          <w:tcPr>
            <w:tcW w:w="6180" w:type="dxa"/>
            <w:vAlign w:val="bottom"/>
          </w:tcPr>
          <w:p>
            <w:pPr>
              <w:ind w:left="20"/>
              <w:spacing w:after="0"/>
              <w:rPr>
                <w:sz w:val="20"/>
                <w:szCs w:val="20"/>
                <w:color w:val="auto"/>
              </w:rPr>
            </w:pPr>
            <w:r>
              <w:rPr>
                <w:rFonts w:ascii="Arial" w:cs="Arial" w:eastAsia="Arial" w:hAnsi="Arial"/>
                <w:sz w:val="18"/>
                <w:szCs w:val="18"/>
                <w:color w:val="auto"/>
              </w:rPr>
              <w:t>EBITDA (non-GAAP)</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(454)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26"/>
        </w:trPr>
        <w:tc>
          <w:tcPr>
            <w:tcW w:w="61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2"/>
                <w:szCs w:val="22"/>
                <w:color w:val="auto"/>
                <w:vertAlign w:val="superscript"/>
              </w:rPr>
              <w:t>(1)</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1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(2)</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Significant legal and tax settlements and reserves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(non-GAAP)</w:t>
            </w:r>
          </w:p>
        </w:tc>
        <w:tc>
          <w:tcPr>
            <w:tcW w:w="76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ind w:left="320" w:hanging="314"/>
        <w:spacing w:after="0" w:line="250" w:lineRule="auto"/>
        <w:tabs>
          <w:tab w:leader="none" w:pos="3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Share-based compensation included a net reduction of $24 million as a result of the reversal of previously recognized expense for stock awards that were forfeited in connection with the April 2022 Restructuring.</w:t>
      </w:r>
    </w:p>
    <w:p>
      <w:pPr>
        <w:spacing w:after="0" w:line="35" w:lineRule="exact"/>
        <w:rPr>
          <w:rFonts w:ascii="Arial" w:cs="Arial" w:eastAsia="Arial" w:hAnsi="Arial"/>
          <w:sz w:val="14"/>
          <w:szCs w:val="14"/>
          <w:color w:val="auto"/>
        </w:rPr>
      </w:pPr>
    </w:p>
    <w:p>
      <w:pPr>
        <w:ind w:left="320" w:hanging="314"/>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Restructuring charges related to the April 2022 Restructuring and primarily consisted of employee-related wages and benefits and severance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unaudited condensed consolidated statements of operations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6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72"/>
        </w:trPr>
        <w:tc>
          <w:tcPr>
            <w:tcW w:w="5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r>
      <w:tr>
        <w:trPr>
          <w:trHeight w:val="192"/>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05"/>
        </w:trPr>
        <w:tc>
          <w:tcPr>
            <w:tcW w:w="57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5"/>
        </w:trPr>
        <w:tc>
          <w:tcPr>
            <w:tcW w:w="570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840" w:type="dxa"/>
            <w:vAlign w:val="bottom"/>
          </w:tcPr>
          <w:p>
            <w:pPr>
              <w:jc w:val="right"/>
              <w:ind w:right="64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860" w:type="dxa"/>
            <w:vAlign w:val="bottom"/>
          </w:tcPr>
          <w:p>
            <w:pPr>
              <w:jc w:val="right"/>
              <w:ind w:right="658"/>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26"/>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5"/>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18"/>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2"/>
        </w:trPr>
        <w:tc>
          <w:tcPr>
            <w:tcW w:w="5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5"/>
        </w:trPr>
        <w:tc>
          <w:tcPr>
            <w:tcW w:w="57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70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6"/>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5"/>
        </w:trPr>
        <w:tc>
          <w:tcPr>
            <w:tcW w:w="57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6"/>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r>
      <w:tr>
        <w:trPr>
          <w:trHeight w:val="219"/>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8"/>
        </w:trPr>
        <w:tc>
          <w:tcPr>
            <w:tcW w:w="5700" w:type="dxa"/>
            <w:vAlign w:val="bottom"/>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57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(464)</w:t>
            </w: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2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tcBorders>
              <w:bottom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(502)</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8"/>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tabs>
          <w:tab w:leader="none" w:pos="300" w:val="left"/>
        </w:tabs>
        <w:rPr>
          <w:sz w:val="20"/>
          <w:szCs w:val="20"/>
          <w:color w:val="auto"/>
        </w:rPr>
      </w:pPr>
      <w:r>
        <w:rPr>
          <w:rFonts w:ascii="Arial" w:cs="Arial" w:eastAsia="Arial" w:hAnsi="Arial"/>
          <w:sz w:val="14"/>
          <w:szCs w:val="14"/>
          <w:color w:val="auto"/>
        </w:rPr>
        <w:t>(1)</w:t>
        <w:tab/>
        <w:t>Includes share-based compensation expense as follows:</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millions)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2"/>
        </w:trPr>
        <w:tc>
          <w:tcPr>
            <w:tcW w:w="880" w:type="dxa"/>
            <w:vAlign w:val="bottom"/>
          </w:tcPr>
          <w:p>
            <w:pPr>
              <w:spacing w:after="0"/>
              <w:rPr>
                <w:sz w:val="14"/>
                <w:szCs w:val="14"/>
                <w:color w:val="auto"/>
              </w:rPr>
            </w:pPr>
          </w:p>
        </w:tc>
        <w:tc>
          <w:tcPr>
            <w:tcW w:w="17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Pr>
          <w:p>
            <w:pPr>
              <w:spacing w:after="0"/>
              <w:rPr>
                <w:sz w:val="14"/>
                <w:szCs w:val="14"/>
                <w:color w:val="auto"/>
              </w:rPr>
            </w:pPr>
          </w:p>
        </w:tc>
        <w:tc>
          <w:tcPr>
            <w:tcW w:w="1640" w:type="dxa"/>
            <w:vAlign w:val="bottom"/>
          </w:tcPr>
          <w:p>
            <w:pPr>
              <w:jc w:val="center"/>
              <w:ind w:right="809"/>
              <w:spacing w:after="0"/>
              <w:rPr>
                <w:sz w:val="20"/>
                <w:szCs w:val="20"/>
                <w:color w:val="auto"/>
              </w:rPr>
            </w:pPr>
            <w:r>
              <w:rPr>
                <w:rFonts w:ascii="Arial" w:cs="Arial" w:eastAsia="Arial" w:hAnsi="Arial"/>
                <w:sz w:val="14"/>
                <w:szCs w:val="14"/>
                <w:b w:val="1"/>
                <w:bCs w:val="1"/>
                <w:color w:val="auto"/>
                <w:w w:val="99"/>
              </w:rPr>
              <w:t>June 30,</w:t>
            </w:r>
          </w:p>
        </w:tc>
      </w:tr>
      <w:tr>
        <w:trPr>
          <w:trHeight w:val="218"/>
        </w:trPr>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1640" w:type="dxa"/>
            <w:vAlign w:val="bottom"/>
            <w:tcBorders>
              <w:top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1640" w:type="dxa"/>
            <w:vAlign w:val="bottom"/>
            <w:tcBorders>
              <w:top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p>
      <w:pPr>
        <w:sectPr>
          <w:pgSz w:w="11900" w:h="16838" w:orient="portrait"/>
          <w:cols w:equalWidth="0" w:num="2">
            <w:col w:w="5400" w:space="720"/>
            <w:col w:w="512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6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Brokerage and transaction</w:t>
            </w:r>
          </w:p>
        </w:tc>
        <w:tc>
          <w:tcPr>
            <w:tcW w:w="5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6120" w:type="dxa"/>
            <w:vAlign w:val="bottom"/>
          </w:tcPr>
          <w:p>
            <w:pPr>
              <w:ind w:left="120"/>
              <w:spacing w:after="0"/>
              <w:rPr>
                <w:sz w:val="20"/>
                <w:szCs w:val="20"/>
                <w:color w:val="auto"/>
              </w:rPr>
            </w:pPr>
            <w:r>
              <w:rPr>
                <w:rFonts w:ascii="Arial" w:cs="Arial" w:eastAsia="Arial" w:hAnsi="Arial"/>
                <w:sz w:val="18"/>
                <w:szCs w:val="18"/>
                <w:color w:val="auto"/>
              </w:rPr>
              <w:t>Technology and development</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5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6120" w:type="dxa"/>
            <w:vAlign w:val="bottom"/>
          </w:tcPr>
          <w:p>
            <w:pPr>
              <w:ind w:left="120"/>
              <w:spacing w:after="0"/>
              <w:rPr>
                <w:sz w:val="20"/>
                <w:szCs w:val="20"/>
                <w:color w:val="auto"/>
              </w:rPr>
            </w:pPr>
            <w:r>
              <w:rPr>
                <w:rFonts w:ascii="Arial" w:cs="Arial" w:eastAsia="Arial" w:hAnsi="Arial"/>
                <w:sz w:val="18"/>
                <w:szCs w:val="18"/>
                <w:color w:val="auto"/>
              </w:rPr>
              <w:t>Marketing</w:t>
            </w:r>
          </w:p>
        </w:tc>
        <w:tc>
          <w:tcPr>
            <w:tcW w:w="5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9"/>
        </w:trPr>
        <w:tc>
          <w:tcPr>
            <w:tcW w:w="6120" w:type="dxa"/>
            <w:vAlign w:val="bottom"/>
          </w:tcPr>
          <w:p>
            <w:pPr>
              <w:ind w:left="340"/>
              <w:spacing w:after="0"/>
              <w:rPr>
                <w:sz w:val="20"/>
                <w:szCs w:val="20"/>
                <w:color w:val="auto"/>
              </w:rPr>
            </w:pPr>
            <w:r>
              <w:rPr>
                <w:rFonts w:ascii="Arial" w:cs="Arial" w:eastAsia="Arial" w:hAnsi="Arial"/>
                <w:sz w:val="18"/>
                <w:szCs w:val="18"/>
                <w:color w:val="auto"/>
              </w:rPr>
              <w:t>Total share-based compensation expense</w:t>
            </w: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6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Three and Six Months Ended June 30, 2021 and 2022</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gridSpan w:val="5"/>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gridSpan w:val="5"/>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ind w:left="340"/>
              <w:spacing w:after="0" w:line="126" w:lineRule="exact"/>
              <w:rPr>
                <w:sz w:val="20"/>
                <w:szCs w:val="20"/>
                <w:color w:val="auto"/>
              </w:rPr>
            </w:pPr>
            <w:r>
              <w:rPr>
                <w:rFonts w:ascii="Arial" w:cs="Arial" w:eastAsia="Arial" w:hAnsi="Arial"/>
                <w:sz w:val="14"/>
                <w:szCs w:val="14"/>
                <w:i w:val="1"/>
                <w:iCs w:val="1"/>
                <w:color w:val="auto"/>
              </w:rPr>
              <w:t>(in millions, except for</w:t>
            </w:r>
          </w:p>
        </w:tc>
        <w:tc>
          <w:tcPr>
            <w:tcW w:w="560" w:type="dxa"/>
            <w:vAlign w:val="bottom"/>
          </w:tcPr>
          <w:p>
            <w:pPr>
              <w:spacing w:after="0"/>
              <w:rPr>
                <w:sz w:val="10"/>
                <w:szCs w:val="10"/>
                <w:color w:val="auto"/>
              </w:rPr>
            </w:pPr>
          </w:p>
        </w:tc>
        <w:tc>
          <w:tcPr>
            <w:tcW w:w="8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Transaction-based revenues</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00" w:type="dxa"/>
            <w:vAlign w:val="bottom"/>
          </w:tcPr>
          <w:p>
            <w:pPr>
              <w:ind w:left="440"/>
              <w:spacing w:after="0"/>
              <w:rPr>
                <w:sz w:val="20"/>
                <w:szCs w:val="20"/>
                <w:color w:val="auto"/>
              </w:rPr>
            </w:pPr>
            <w:r>
              <w:rPr>
                <w:rFonts w:ascii="Arial" w:cs="Arial" w:eastAsia="Arial" w:hAnsi="Arial"/>
                <w:sz w:val="18"/>
                <w:szCs w:val="18"/>
                <w:color w:val="auto"/>
              </w:rPr>
              <w:t>Options</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320" w:type="dxa"/>
            <w:vAlign w:val="bottom"/>
            <w:gridSpan w:val="2"/>
          </w:tcPr>
          <w:p>
            <w:pPr>
              <w:jc w:val="right"/>
              <w:ind w:right="249"/>
              <w:spacing w:after="0"/>
              <w:rPr>
                <w:sz w:val="20"/>
                <w:szCs w:val="20"/>
                <w:color w:val="auto"/>
              </w:rPr>
            </w:pPr>
            <w:r>
              <w:rPr>
                <w:rFonts w:ascii="Arial" w:cs="Arial" w:eastAsia="Arial" w:hAnsi="Arial"/>
                <w:sz w:val="18"/>
                <w:szCs w:val="18"/>
                <w:color w:val="auto"/>
              </w:rPr>
              <w:t>(32)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32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(34)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Cryptocurrencies</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32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3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9"/>
              </w:rPr>
              <w:t>(65)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5"/>
        </w:trPr>
        <w:tc>
          <w:tcPr>
            <w:tcW w:w="24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56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249"/>
              <w:spacing w:after="0"/>
              <w:rPr>
                <w:sz w:val="20"/>
                <w:szCs w:val="20"/>
                <w:color w:val="auto"/>
              </w:rPr>
            </w:pPr>
            <w:r>
              <w:rPr>
                <w:rFonts w:ascii="Arial" w:cs="Arial" w:eastAsia="Arial" w:hAnsi="Arial"/>
                <w:sz w:val="18"/>
                <w:szCs w:val="18"/>
                <w:color w:val="auto"/>
              </w:rPr>
              <w:t>(44)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32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(65)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5"/>
        </w:trPr>
        <w:tc>
          <w:tcPr>
            <w:tcW w:w="2400" w:type="dxa"/>
            <w:vAlign w:val="bottom"/>
          </w:tcPr>
          <w:p>
            <w:pPr>
              <w:ind w:left="420"/>
              <w:spacing w:after="0" w:line="164" w:lineRule="exact"/>
              <w:rPr>
                <w:sz w:val="20"/>
                <w:szCs w:val="20"/>
                <w:color w:val="auto"/>
              </w:rPr>
            </w:pPr>
            <w:r>
              <w:rPr>
                <w:rFonts w:ascii="Arial" w:cs="Arial" w:eastAsia="Arial" w:hAnsi="Arial"/>
                <w:sz w:val="18"/>
                <w:szCs w:val="18"/>
                <w:color w:val="auto"/>
              </w:rPr>
              <w:t>Total transaction-based</w:t>
            </w:r>
          </w:p>
        </w:tc>
        <w:tc>
          <w:tcPr>
            <w:tcW w:w="56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6"/>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6"/>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3"/>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ind w:left="580"/>
              <w:spacing w:after="0" w:line="187" w:lineRule="exact"/>
              <w:rPr>
                <w:sz w:val="20"/>
                <w:szCs w:val="20"/>
                <w:color w:val="auto"/>
              </w:rPr>
            </w:pPr>
            <w:r>
              <w:rPr>
                <w:rFonts w:ascii="Arial" w:cs="Arial" w:eastAsia="Arial" w:hAnsi="Arial"/>
                <w:sz w:val="18"/>
                <w:szCs w:val="18"/>
                <w:color w:val="auto"/>
              </w:rPr>
              <w:t>revenues</w:t>
            </w:r>
          </w:p>
        </w:tc>
        <w:tc>
          <w:tcPr>
            <w:tcW w:w="5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320" w:type="dxa"/>
            <w:vAlign w:val="bottom"/>
            <w:gridSpan w:val="2"/>
          </w:tcPr>
          <w:p>
            <w:pPr>
              <w:jc w:val="right"/>
              <w:ind w:right="249"/>
              <w:spacing w:after="0" w:line="187" w:lineRule="exact"/>
              <w:rPr>
                <w:sz w:val="20"/>
                <w:szCs w:val="20"/>
                <w:color w:val="auto"/>
              </w:rPr>
            </w:pPr>
            <w:r>
              <w:rPr>
                <w:rFonts w:ascii="Arial" w:cs="Arial" w:eastAsia="Arial" w:hAnsi="Arial"/>
                <w:sz w:val="18"/>
                <w:szCs w:val="18"/>
                <w:color w:val="auto"/>
              </w:rPr>
              <w:t>(55)</w:t>
            </w:r>
          </w:p>
        </w:tc>
        <w:tc>
          <w:tcPr>
            <w:tcW w:w="180" w:type="dxa"/>
            <w:vAlign w:val="bottom"/>
          </w:tcPr>
          <w:p>
            <w:pPr>
              <w:jc w:val="right"/>
              <w:spacing w:after="0" w:line="187" w:lineRule="exact"/>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320" w:type="dxa"/>
            <w:vAlign w:val="bottom"/>
            <w:gridSpan w:val="2"/>
          </w:tcPr>
          <w:p>
            <w:pPr>
              <w:jc w:val="center"/>
              <w:ind w:left="272"/>
              <w:spacing w:after="0" w:line="187" w:lineRule="exact"/>
              <w:rPr>
                <w:sz w:val="20"/>
                <w:szCs w:val="20"/>
                <w:color w:val="auto"/>
              </w:rPr>
            </w:pPr>
            <w:r>
              <w:rPr>
                <w:rFonts w:ascii="Arial" w:cs="Arial" w:eastAsia="Arial" w:hAnsi="Arial"/>
                <w:sz w:val="18"/>
                <w:szCs w:val="18"/>
                <w:color w:val="auto"/>
                <w:w w:val="99"/>
              </w:rPr>
              <w:t>(52)</w:t>
            </w:r>
          </w:p>
        </w:tc>
        <w:tc>
          <w:tcPr>
            <w:tcW w:w="180" w:type="dxa"/>
            <w:vAlign w:val="bottom"/>
          </w:tcPr>
          <w:p>
            <w:pPr>
              <w:jc w:val="right"/>
              <w:spacing w:after="0" w:line="18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0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Transaction-based revenues</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0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as a % of total net</w:t>
            </w: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Pr>
          <w:p>
            <w:pPr>
              <w:ind w:left="440"/>
              <w:spacing w:after="0"/>
              <w:rPr>
                <w:sz w:val="20"/>
                <w:szCs w:val="20"/>
                <w:color w:val="auto"/>
              </w:rPr>
            </w:pPr>
            <w:r>
              <w:rPr>
                <w:rFonts w:ascii="Arial" w:cs="Arial" w:eastAsia="Arial" w:hAnsi="Arial"/>
                <w:sz w:val="18"/>
                <w:szCs w:val="18"/>
                <w:color w:val="auto"/>
              </w:rPr>
              <w:t>Options</w:t>
            </w:r>
          </w:p>
        </w:tc>
        <w:tc>
          <w:tcPr>
            <w:tcW w:w="56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Cryptocurrencies</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56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400" w:type="dxa"/>
            <w:vAlign w:val="bottom"/>
          </w:tcPr>
          <w:p>
            <w:pPr>
              <w:ind w:left="420"/>
              <w:spacing w:after="0" w:line="164" w:lineRule="exact"/>
              <w:rPr>
                <w:sz w:val="20"/>
                <w:szCs w:val="20"/>
                <w:color w:val="auto"/>
              </w:rPr>
            </w:pPr>
            <w:r>
              <w:rPr>
                <w:rFonts w:ascii="Arial" w:cs="Arial" w:eastAsia="Arial" w:hAnsi="Arial"/>
                <w:sz w:val="18"/>
                <w:szCs w:val="18"/>
                <w:color w:val="auto"/>
              </w:rPr>
              <w:t>Total transaction-based</w:t>
            </w:r>
          </w:p>
        </w:tc>
        <w:tc>
          <w:tcPr>
            <w:tcW w:w="5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ind w:left="580"/>
              <w:spacing w:after="0" w:line="187" w:lineRule="exact"/>
              <w:rPr>
                <w:sz w:val="20"/>
                <w:szCs w:val="20"/>
                <w:color w:val="auto"/>
              </w:rPr>
            </w:pPr>
            <w:r>
              <w:rPr>
                <w:rFonts w:ascii="Arial" w:cs="Arial" w:eastAsia="Arial" w:hAnsi="Arial"/>
                <w:sz w:val="18"/>
                <w:szCs w:val="18"/>
                <w:color w:val="auto"/>
              </w:rPr>
              <w:t>revenues</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Transaction-based revenues decreased by $249 million and $451 million for the three and six months ended June 30, 2022, compared to the same periods in the prior year. The decreases were primarily driven by the market environment which had a negative impact on the number of traders and notional trading volumes in all asset classes. We define "notional trading volume" for any specified asset class as the aggregate dollar value (purchase price or sale price as applicable) of trades executed in that asset class over a specified period of time. We define “daily average revenue trades” for any asset class as the total number of revenue generating trades for such asset class executed during a given period divided by the number of trading days for such asset class in that period.</w:t>
      </w:r>
    </w:p>
    <w:p>
      <w:pPr>
        <w:spacing w:after="0" w:line="18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While cryptocurrencies revenue benefited from a higher rebate rate from crypto market makers (initial increase was effective in late December 2021 and a further increase was effective in May 2022), this benefit was offset by lower trading volumes. Our daily average revenue trades for cryptocurrencies decreased for the three and six months ended June 30, 2022, from 2.6 million to 0.4 million and from 2.0 million to 0.4 million, compared to the same periods in the prior year. The number of users placing cryptocurrency trades decreased 75% and 67% while the average notional volume traded per trader was down 60% and 46%, for the three and six months ended June 30, 2022, compared to the same periods in the prior year.</w:t>
      </w:r>
    </w:p>
    <w:p>
      <w:pPr>
        <w:spacing w:after="0" w:line="17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daily average revenue trades for equities decreased for the three and six months ended June 30, 2022, from 2.8 million to 1.6 million and from 4.0 million to 1.7 million, compared to the same periods in the prior year. The number of users placing equity trades decreased 50%, for both of the three and six months ended June 30, 2022, compared to the same periods in the prior year, while the average notional volume traded per trader increased 21% and decreased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daily average revenue trades for options decreased for the three and six months ended June 30, 2022, from 0.8 million to 0.5 million and from 0.9 million to 0.6 million, compared to the same periods in the prior year. The number of users placing option trades decreased 41% and 44% while the average number of contracts traded per trader went up 30% and 31%, for the three and six months ended June 30, 2022, compared to the same periods in the prior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gridSpan w:val="5"/>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tcPr>
          <w:p>
            <w:pPr>
              <w:ind w:left="340"/>
              <w:spacing w:after="0" w:line="126" w:lineRule="exact"/>
              <w:rPr>
                <w:sz w:val="20"/>
                <w:szCs w:val="20"/>
                <w:color w:val="auto"/>
              </w:rPr>
            </w:pPr>
            <w:r>
              <w:rPr>
                <w:rFonts w:ascii="Arial" w:cs="Arial" w:eastAsia="Arial" w:hAnsi="Arial"/>
                <w:sz w:val="14"/>
                <w:szCs w:val="14"/>
                <w:i w:val="1"/>
                <w:iCs w:val="1"/>
                <w:color w:val="auto"/>
              </w:rPr>
              <w:t>(in millions, except for</w:t>
            </w:r>
          </w:p>
        </w:tc>
        <w:tc>
          <w:tcPr>
            <w:tcW w:w="540" w:type="dxa"/>
            <w:vAlign w:val="bottom"/>
          </w:tcPr>
          <w:p>
            <w:pPr>
              <w:spacing w:after="0"/>
              <w:rPr>
                <w:sz w:val="10"/>
                <w:szCs w:val="10"/>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154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10"/>
                <w:szCs w:val="10"/>
                <w:color w:val="auto"/>
              </w:rPr>
            </w:pPr>
          </w:p>
        </w:tc>
        <w:tc>
          <w:tcPr>
            <w:tcW w:w="8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146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248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5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4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interest revenues:</w:t>
            </w: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tcPr>
          <w:p>
            <w:pPr>
              <w:ind w:left="440"/>
              <w:spacing w:after="0"/>
              <w:rPr>
                <w:sz w:val="20"/>
                <w:szCs w:val="20"/>
                <w:color w:val="auto"/>
              </w:rPr>
            </w:pPr>
            <w:r>
              <w:rPr>
                <w:rFonts w:ascii="Arial" w:cs="Arial" w:eastAsia="Arial" w:hAnsi="Arial"/>
                <w:sz w:val="18"/>
                <w:szCs w:val="18"/>
                <w:color w:val="auto"/>
              </w:rPr>
              <w:t>Margin interest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89"/>
              <w:spacing w:after="0"/>
              <w:rPr>
                <w:sz w:val="20"/>
                <w:szCs w:val="20"/>
                <w:color w:val="auto"/>
              </w:rPr>
            </w:pPr>
            <w:r>
              <w:rPr>
                <w:rFonts w:ascii="Arial" w:cs="Arial" w:eastAsia="Arial" w:hAnsi="Arial"/>
                <w:sz w:val="18"/>
                <w:szCs w:val="18"/>
                <w:color w:val="auto"/>
              </w:rPr>
              <w:t>26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74</w:t>
            </w:r>
          </w:p>
        </w:tc>
        <w:tc>
          <w:tcPr>
            <w:tcW w:w="1140" w:type="dxa"/>
            <w:vAlign w:val="bottom"/>
            <w:gridSpan w:val="2"/>
          </w:tcPr>
          <w:p>
            <w:pPr>
              <w:jc w:val="right"/>
              <w:ind w:right="89"/>
              <w:spacing w:after="0"/>
              <w:rPr>
                <w:sz w:val="20"/>
                <w:szCs w:val="20"/>
                <w:color w:val="auto"/>
              </w:rPr>
            </w:pPr>
            <w:r>
              <w:rPr>
                <w:rFonts w:ascii="Arial" w:cs="Arial" w:eastAsia="Arial" w:hAnsi="Arial"/>
                <w:sz w:val="18"/>
                <w:szCs w:val="18"/>
                <w:color w:val="auto"/>
              </w:rPr>
              <w:t>25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 lending</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w:t>
            </w:r>
          </w:p>
        </w:tc>
        <w:tc>
          <w:tcPr>
            <w:tcW w:w="114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w:t>
            </w:r>
          </w:p>
        </w:tc>
        <w:tc>
          <w:tcPr>
            <w:tcW w:w="11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2480" w:type="dxa"/>
            <w:vAlign w:val="bottom"/>
          </w:tcPr>
          <w:p>
            <w:pPr>
              <w:ind w:left="160"/>
              <w:spacing w:after="0" w:line="185" w:lineRule="exact"/>
              <w:rPr>
                <w:sz w:val="20"/>
                <w:szCs w:val="20"/>
                <w:color w:val="auto"/>
              </w:rPr>
            </w:pPr>
            <w:r>
              <w:rPr>
                <w:rFonts w:ascii="Arial" w:cs="Arial" w:eastAsia="Arial" w:hAnsi="Arial"/>
                <w:sz w:val="18"/>
                <w:szCs w:val="18"/>
                <w:color w:val="auto"/>
              </w:rPr>
              <w:t>Interest on investments and</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80" w:type="dxa"/>
            <w:vAlign w:val="bottom"/>
          </w:tcPr>
          <w:p>
            <w:pPr>
              <w:ind w:left="320"/>
              <w:spacing w:after="0"/>
              <w:rPr>
                <w:sz w:val="20"/>
                <w:szCs w:val="20"/>
                <w:color w:val="auto"/>
              </w:rPr>
            </w:pPr>
            <w:r>
              <w:rPr>
                <w:rFonts w:ascii="Arial" w:cs="Arial" w:eastAsia="Arial" w:hAnsi="Arial"/>
                <w:sz w:val="18"/>
                <w:szCs w:val="18"/>
                <w:color w:val="auto"/>
              </w:rPr>
              <w:t>corporate cash</w:t>
            </w:r>
          </w:p>
        </w:tc>
        <w:tc>
          <w:tcPr>
            <w:tcW w:w="54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1140" w:type="dxa"/>
            <w:vAlign w:val="bottom"/>
            <w:gridSpan w:val="2"/>
          </w:tcPr>
          <w:p>
            <w:pPr>
              <w:jc w:val="right"/>
              <w:ind w:right="89"/>
              <w:spacing w:after="0"/>
              <w:rPr>
                <w:sz w:val="20"/>
                <w:szCs w:val="20"/>
                <w:color w:val="auto"/>
              </w:rPr>
            </w:pPr>
            <w:r>
              <w:rPr>
                <w:rFonts w:ascii="Arial" w:cs="Arial" w:eastAsia="Arial" w:hAnsi="Arial"/>
                <w:sz w:val="18"/>
                <w:szCs w:val="18"/>
                <w:color w:val="auto"/>
              </w:rPr>
              <w:t>900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60"/>
              <w:spacing w:after="0" w:line="185" w:lineRule="exact"/>
              <w:rPr>
                <w:sz w:val="20"/>
                <w:szCs w:val="20"/>
                <w:color w:val="auto"/>
              </w:rPr>
            </w:pPr>
            <w:r>
              <w:rPr>
                <w:rFonts w:ascii="Arial" w:cs="Arial" w:eastAsia="Arial" w:hAnsi="Arial"/>
                <w:sz w:val="18"/>
                <w:szCs w:val="18"/>
                <w:color w:val="auto"/>
              </w:rPr>
              <w:t>Interest on segregated cash</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securities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80" w:type="dxa"/>
            <w:vAlign w:val="bottom"/>
          </w:tcPr>
          <w:p>
            <w:pPr>
              <w:ind w:left="440"/>
              <w:spacing w:after="0"/>
              <w:rPr>
                <w:sz w:val="20"/>
                <w:szCs w:val="20"/>
                <w:color w:val="auto"/>
              </w:rPr>
            </w:pPr>
            <w:r>
              <w:rPr>
                <w:rFonts w:ascii="Arial" w:cs="Arial" w:eastAsia="Arial" w:hAnsi="Arial"/>
                <w:sz w:val="18"/>
                <w:szCs w:val="18"/>
                <w:color w:val="auto"/>
              </w:rPr>
              <w:t>Other interest revenue</w:t>
            </w:r>
          </w:p>
        </w:tc>
        <w:tc>
          <w:tcPr>
            <w:tcW w:w="54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56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89"/>
              <w:spacing w:after="0"/>
              <w:rPr>
                <w:sz w:val="20"/>
                <w:szCs w:val="20"/>
                <w:color w:val="auto"/>
              </w:rPr>
            </w:pPr>
            <w:r>
              <w:rPr>
                <w:rFonts w:ascii="Arial" w:cs="Arial" w:eastAsia="Arial" w:hAnsi="Arial"/>
                <w:sz w:val="18"/>
                <w:szCs w:val="18"/>
                <w:color w:val="auto"/>
              </w:rPr>
              <w:t>100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60"/>
              <w:spacing w:after="0" w:line="185" w:lineRule="exact"/>
              <w:rPr>
                <w:sz w:val="20"/>
                <w:szCs w:val="20"/>
                <w:color w:val="auto"/>
              </w:rPr>
            </w:pPr>
            <w:r>
              <w:rPr>
                <w:rFonts w:ascii="Arial" w:cs="Arial" w:eastAsia="Arial" w:hAnsi="Arial"/>
                <w:sz w:val="18"/>
                <w:szCs w:val="18"/>
                <w:color w:val="auto"/>
              </w:rPr>
              <w:t>Interest expenses related to</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credit facilities</w:t>
            </w:r>
          </w:p>
        </w:tc>
        <w:tc>
          <w:tcPr>
            <w:tcW w:w="5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2480" w:type="dxa"/>
            <w:vAlign w:val="bottom"/>
          </w:tcPr>
          <w:p>
            <w:pPr>
              <w:ind w:left="420"/>
              <w:spacing w:after="0" w:line="164" w:lineRule="exact"/>
              <w:rPr>
                <w:sz w:val="20"/>
                <w:szCs w:val="20"/>
                <w:color w:val="auto"/>
              </w:rPr>
            </w:pPr>
            <w:r>
              <w:rPr>
                <w:rFonts w:ascii="Arial" w:cs="Arial" w:eastAsia="Arial" w:hAnsi="Arial"/>
                <w:sz w:val="18"/>
                <w:szCs w:val="18"/>
                <w:color w:val="auto"/>
              </w:rPr>
              <w:t>Total net interest</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5"/>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53"/>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5"/>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53"/>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580"/>
              <w:spacing w:after="0" w:line="187" w:lineRule="exact"/>
              <w:rPr>
                <w:sz w:val="20"/>
                <w:szCs w:val="20"/>
                <w:color w:val="auto"/>
              </w:rPr>
            </w:pPr>
            <w:r>
              <w:rPr>
                <w:rFonts w:ascii="Arial" w:cs="Arial" w:eastAsia="Arial" w:hAnsi="Arial"/>
                <w:sz w:val="18"/>
                <w:szCs w:val="18"/>
                <w:color w:val="auto"/>
              </w:rPr>
              <w:t>revenues</w:t>
            </w:r>
          </w:p>
        </w:tc>
        <w:tc>
          <w:tcPr>
            <w:tcW w:w="5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140" w:type="dxa"/>
            <w:vAlign w:val="bottom"/>
            <w:gridSpan w:val="2"/>
          </w:tcPr>
          <w:p>
            <w:pPr>
              <w:jc w:val="right"/>
              <w:ind w:right="89"/>
              <w:spacing w:after="0" w:line="187" w:lineRule="exact"/>
              <w:rPr>
                <w:sz w:val="20"/>
                <w:szCs w:val="20"/>
                <w:color w:val="auto"/>
              </w:rPr>
            </w:pPr>
            <w:r>
              <w:rPr>
                <w:rFonts w:ascii="Arial" w:cs="Arial" w:eastAsia="Arial" w:hAnsi="Arial"/>
                <w:sz w:val="18"/>
                <w:szCs w:val="18"/>
                <w:color w:val="auto"/>
              </w:rPr>
              <w:t>9</w:t>
            </w:r>
          </w:p>
        </w:tc>
        <w:tc>
          <w:tcPr>
            <w:tcW w:w="400" w:type="dxa"/>
            <w:vAlign w:val="bottom"/>
          </w:tcPr>
          <w:p>
            <w:pPr>
              <w:jc w:val="right"/>
              <w:spacing w:after="0" w:line="187"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40" w:type="dxa"/>
            <w:vAlign w:val="bottom"/>
            <w:gridSpan w:val="2"/>
          </w:tcPr>
          <w:p>
            <w:pPr>
              <w:jc w:val="right"/>
              <w:ind w:right="29"/>
              <w:spacing w:after="0" w:line="187" w:lineRule="exact"/>
              <w:rPr>
                <w:sz w:val="20"/>
                <w:szCs w:val="20"/>
                <w:color w:val="auto"/>
              </w:rPr>
            </w:pPr>
            <w:r>
              <w:rPr>
                <w:rFonts w:ascii="Arial" w:cs="Arial" w:eastAsia="Arial" w:hAnsi="Arial"/>
                <w:sz w:val="18"/>
                <w:szCs w:val="18"/>
                <w:color w:val="auto"/>
              </w:rPr>
              <w:t>(1)</w:t>
            </w:r>
          </w:p>
        </w:tc>
        <w:tc>
          <w:tcPr>
            <w:tcW w:w="400" w:type="dxa"/>
            <w:vAlign w:val="bottom"/>
          </w:tcPr>
          <w:p>
            <w:pPr>
              <w:jc w:val="right"/>
              <w:spacing w:after="0" w:line="18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8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Net interest revenues as a %</w:t>
            </w: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total net revenues: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tcPr>
          <w:p>
            <w:pPr>
              <w:ind w:left="440"/>
              <w:spacing w:after="0"/>
              <w:rPr>
                <w:sz w:val="20"/>
                <w:szCs w:val="20"/>
                <w:color w:val="auto"/>
              </w:rPr>
            </w:pPr>
            <w:r>
              <w:rPr>
                <w:rFonts w:ascii="Arial" w:cs="Arial" w:eastAsia="Arial" w:hAnsi="Arial"/>
                <w:sz w:val="18"/>
                <w:szCs w:val="18"/>
                <w:color w:val="auto"/>
              </w:rPr>
              <w:t>Margin interest</w:t>
            </w:r>
          </w:p>
        </w:tc>
        <w:tc>
          <w:tcPr>
            <w:tcW w:w="540" w:type="dxa"/>
            <w:vAlign w:val="bottom"/>
          </w:tcPr>
          <w:p>
            <w:pPr>
              <w:spacing w:after="0"/>
              <w:rPr>
                <w:sz w:val="19"/>
                <w:szCs w:val="19"/>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 lending</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120"/>
              <w:spacing w:after="0" w:line="185" w:lineRule="exact"/>
              <w:rPr>
                <w:sz w:val="20"/>
                <w:szCs w:val="20"/>
                <w:color w:val="auto"/>
              </w:rPr>
            </w:pPr>
            <w:r>
              <w:rPr>
                <w:rFonts w:ascii="Arial" w:cs="Arial" w:eastAsia="Arial" w:hAnsi="Arial"/>
                <w:sz w:val="18"/>
                <w:szCs w:val="18"/>
                <w:color w:val="auto"/>
              </w:rPr>
              <w:t>Interest on corporate cash</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80" w:type="dxa"/>
            <w:vAlign w:val="bottom"/>
          </w:tcPr>
          <w:p>
            <w:pPr>
              <w:ind w:left="280"/>
              <w:spacing w:after="0"/>
              <w:rPr>
                <w:sz w:val="20"/>
                <w:szCs w:val="20"/>
                <w:color w:val="auto"/>
              </w:rPr>
            </w:pPr>
            <w:r>
              <w:rPr>
                <w:rFonts w:ascii="Arial" w:cs="Arial" w:eastAsia="Arial" w:hAnsi="Arial"/>
                <w:sz w:val="18"/>
                <w:szCs w:val="18"/>
                <w:color w:val="auto"/>
              </w:rPr>
              <w:t>and investments</w:t>
            </w:r>
          </w:p>
        </w:tc>
        <w:tc>
          <w:tcPr>
            <w:tcW w:w="54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Interest on segregated cash</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securities</w:t>
            </w:r>
          </w:p>
        </w:tc>
        <w:tc>
          <w:tcPr>
            <w:tcW w:w="5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tcPr>
          <w:p>
            <w:pPr>
              <w:ind w:left="440"/>
              <w:spacing w:after="0"/>
              <w:rPr>
                <w:sz w:val="20"/>
                <w:szCs w:val="20"/>
                <w:color w:val="auto"/>
              </w:rPr>
            </w:pPr>
            <w:r>
              <w:rPr>
                <w:rFonts w:ascii="Arial" w:cs="Arial" w:eastAsia="Arial" w:hAnsi="Arial"/>
                <w:sz w:val="18"/>
                <w:szCs w:val="18"/>
                <w:color w:val="auto"/>
              </w:rPr>
              <w:t>Other interest revenue</w:t>
            </w:r>
          </w:p>
        </w:tc>
        <w:tc>
          <w:tcPr>
            <w:tcW w:w="54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Interest expenses related to</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credit facilities</w:t>
            </w:r>
          </w:p>
        </w:tc>
        <w:tc>
          <w:tcPr>
            <w:tcW w:w="5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760"/>
              <w:spacing w:after="0" w:line="164" w:lineRule="exact"/>
              <w:rPr>
                <w:sz w:val="20"/>
                <w:szCs w:val="20"/>
                <w:color w:val="auto"/>
              </w:rPr>
            </w:pPr>
            <w:r>
              <w:rPr>
                <w:rFonts w:ascii="Arial" w:cs="Arial" w:eastAsia="Arial" w:hAnsi="Arial"/>
                <w:sz w:val="18"/>
                <w:szCs w:val="18"/>
                <w:color w:val="auto"/>
              </w:rPr>
              <w:t>Total net interest</w:t>
            </w:r>
          </w:p>
        </w:tc>
        <w:tc>
          <w:tcPr>
            <w:tcW w:w="540" w:type="dxa"/>
            <w:vAlign w:val="bottom"/>
          </w:tcPr>
          <w:p>
            <w:pPr>
              <w:spacing w:after="0"/>
              <w:rPr>
                <w:sz w:val="14"/>
                <w:szCs w:val="14"/>
                <w:color w:val="auto"/>
              </w:rPr>
            </w:pPr>
          </w:p>
        </w:tc>
        <w:tc>
          <w:tcPr>
            <w:tcW w:w="780" w:type="dxa"/>
            <w:vAlign w:val="bottom"/>
            <w:vMerge w:val="restart"/>
          </w:tcPr>
          <w:p>
            <w:pPr>
              <w:jc w:val="right"/>
              <w:ind w:right="35"/>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vMerge w:val="restart"/>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440"/>
              <w:spacing w:after="0" w:line="187" w:lineRule="exact"/>
              <w:rPr>
                <w:sz w:val="20"/>
                <w:szCs w:val="20"/>
                <w:color w:val="auto"/>
              </w:rPr>
            </w:pPr>
            <w:r>
              <w:rPr>
                <w:rFonts w:ascii="Arial" w:cs="Arial" w:eastAsia="Arial" w:hAnsi="Arial"/>
                <w:sz w:val="18"/>
                <w:szCs w:val="18"/>
                <w:color w:val="auto"/>
              </w:rPr>
              <w:t>revenues</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interest revenues increased by $6 million and decreased by $1 million for the three and six months ended June 30, 2022, compared to the same periods in the prior year, primarily driven by higher interest revenues earned from margin borrowings, investments and corporate cash, and segregated cash and securities, partially offset by lower interest revenues earned through securities lending activities.</w:t>
      </w:r>
    </w:p>
    <w:p>
      <w:pPr>
        <w:spacing w:after="0" w:line="16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Increased net interest revenues were driven by the higher interest rate environment due to the rise in the federal funds rate, which is an input to our floating margin rate calculation and impacts the interest rate we receive on investable assets. Interest revenues earned on margin borrowings increased by $8 million and $15 million for the three and six months ended June 30, 2022, compared to the same periods in the prior year. The first $1,000 in margin borrowed by each user is not charged interest. Net interest revenues earned from investments and corporate cash increased by $9 million and $10 million for both the three and six months ended June 30, 2022 and net interest revenues earned from segregated cash and securities also increased by $5 million for both the three and six months ended June 30, 2022. These increases were partially offset by the $17 million and $28 million decrease in net interest revenues earned from securities lending transactions for the three and six months ended June 30, 2022 due to lower demand in hard-to-borrow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9"/>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  $</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185"/>
        </w:trPr>
        <w:tc>
          <w:tcPr>
            <w:tcW w:w="3440" w:type="dxa"/>
            <w:vAlign w:val="bottom"/>
          </w:tcPr>
          <w:p>
            <w:pPr>
              <w:ind w:left="20"/>
              <w:spacing w:after="0" w:line="185" w:lineRule="exact"/>
              <w:rPr>
                <w:sz w:val="20"/>
                <w:szCs w:val="20"/>
                <w:color w:val="auto"/>
              </w:rPr>
            </w:pPr>
            <w:r>
              <w:rPr>
                <w:rFonts w:ascii="Arial" w:cs="Arial" w:eastAsia="Arial" w:hAnsi="Arial"/>
                <w:sz w:val="18"/>
                <w:szCs w:val="18"/>
                <w:color w:val="auto"/>
              </w:rPr>
              <w:t>Other revenues as a % of total net</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2"/>
        </w:trPr>
        <w:tc>
          <w:tcPr>
            <w:tcW w:w="34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6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26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Other revenues decreased by $4 million and $18 million, for the three and six months ended June 30, 2022, compared to the same periods in the prior year, which was substantially due to decreases relating to fees charged to users for facilitating the transfer of their account to another broker-dealer.</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80" w:type="dxa"/>
            <w:vAlign w:val="bottom"/>
          </w:tcPr>
          <w:p>
            <w:pPr>
              <w:spacing w:after="0"/>
              <w:rPr>
                <w:sz w:val="15"/>
                <w:szCs w:val="15"/>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5"/>
        </w:trPr>
        <w:tc>
          <w:tcPr>
            <w:tcW w:w="31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395"/>
              <w:spacing w:after="0"/>
              <w:rPr>
                <w:sz w:val="20"/>
                <w:szCs w:val="20"/>
                <w:color w:val="auto"/>
              </w:rPr>
            </w:pPr>
            <w:r>
              <w:rPr>
                <w:rFonts w:ascii="Arial" w:cs="Arial" w:eastAsia="Arial" w:hAnsi="Arial"/>
                <w:sz w:val="18"/>
                <w:szCs w:val="18"/>
                <w:color w:val="auto"/>
                <w:w w:val="89"/>
              </w:rPr>
              <w:t>38</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700" w:type="dxa"/>
            <w:vAlign w:val="bottom"/>
            <w:gridSpan w:val="4"/>
          </w:tcPr>
          <w:p>
            <w:pPr>
              <w:jc w:val="right"/>
              <w:ind w:right="180"/>
              <w:spacing w:after="0"/>
              <w:rPr>
                <w:sz w:val="20"/>
                <w:szCs w:val="20"/>
                <w:color w:val="auto"/>
              </w:rPr>
            </w:pPr>
            <w:r>
              <w:rPr>
                <w:rFonts w:ascii="Arial" w:cs="Arial" w:eastAsia="Arial" w:hAnsi="Arial"/>
                <w:sz w:val="18"/>
                <w:szCs w:val="18"/>
                <w:color w:val="auto"/>
              </w:rPr>
              <w:t>(21)%  $</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5"/>
        </w:trPr>
        <w:tc>
          <w:tcPr>
            <w:tcW w:w="3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177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9"/>
              </w:rPr>
              <w:t>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5"/>
        </w:trPr>
        <w:tc>
          <w:tcPr>
            <w:tcW w:w="3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494</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9"/>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610</w:t>
            </w:r>
          </w:p>
        </w:tc>
        <w:tc>
          <w:tcPr>
            <w:tcW w:w="17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 of net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Brokerage and transaction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280" w:type="dxa"/>
            <w:vAlign w:val="bottom"/>
          </w:tcPr>
          <w:p>
            <w:pPr>
              <w:spacing w:after="0"/>
              <w:rPr>
                <w:sz w:val="19"/>
                <w:szCs w:val="19"/>
                <w:color w:val="auto"/>
              </w:rPr>
            </w:pPr>
          </w:p>
        </w:tc>
        <w:tc>
          <w:tcPr>
            <w:tcW w:w="940" w:type="dxa"/>
            <w:vAlign w:val="bottom"/>
          </w:tcPr>
          <w:p>
            <w:pPr>
              <w:jc w:val="center"/>
              <w:ind w:left="395"/>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19"/>
                <w:szCs w:val="19"/>
                <w:color w:val="auto"/>
              </w:rPr>
            </w:pPr>
          </w:p>
        </w:tc>
        <w:tc>
          <w:tcPr>
            <w:tcW w:w="940" w:type="dxa"/>
            <w:vAlign w:val="bottom"/>
          </w:tcPr>
          <w:p>
            <w:pPr>
              <w:jc w:val="center"/>
              <w:ind w:left="395"/>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395"/>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8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395"/>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10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Change</w:t>
            </w:r>
          </w:p>
        </w:tc>
      </w:tr>
      <w:tr>
        <w:trPr>
          <w:trHeight w:val="218"/>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Broker-dealer transaction expenses</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w:t>
            </w: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color w:val="auto"/>
              </w:rPr>
              <w:t>Market data expenses</w:t>
            </w:r>
          </w:p>
        </w:tc>
        <w:tc>
          <w:tcPr>
            <w:tcW w:w="800" w:type="dxa"/>
            <w:vAlign w:val="bottom"/>
          </w:tcPr>
          <w:p>
            <w:pPr>
              <w:spacing w:after="0"/>
              <w:rPr>
                <w:sz w:val="19"/>
                <w:szCs w:val="19"/>
                <w:color w:val="auto"/>
              </w:rPr>
            </w:pPr>
          </w:p>
        </w:tc>
        <w:tc>
          <w:tcPr>
            <w:tcW w:w="3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(7)%</w:t>
            </w:r>
          </w:p>
        </w:tc>
      </w:tr>
      <w:tr>
        <w:trPr>
          <w:trHeight w:val="185"/>
        </w:trPr>
        <w:tc>
          <w:tcPr>
            <w:tcW w:w="35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Employee compensation, benefits, and</w:t>
            </w: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2"/>
        </w:trPr>
        <w:tc>
          <w:tcPr>
            <w:tcW w:w="3580" w:type="dxa"/>
            <w:vAlign w:val="bottom"/>
            <w:shd w:val="clear" w:color="auto" w:fill="CCEEFF"/>
          </w:tcPr>
          <w:p>
            <w:pPr>
              <w:ind w:left="260"/>
              <w:spacing w:after="0" w:line="172" w:lineRule="exact"/>
              <w:rPr>
                <w:sz w:val="20"/>
                <w:szCs w:val="20"/>
                <w:color w:val="auto"/>
              </w:rPr>
            </w:pPr>
            <w:r>
              <w:rPr>
                <w:rFonts w:ascii="Arial" w:cs="Arial" w:eastAsia="Arial" w:hAnsi="Arial"/>
                <w:sz w:val="18"/>
                <w:szCs w:val="18"/>
                <w:color w:val="auto"/>
              </w:rPr>
              <w:t>overhead, excluding share-based</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3"/>
        </w:trPr>
        <w:tc>
          <w:tcPr>
            <w:tcW w:w="3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compensation</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w:t>
            </w: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color w:val="auto"/>
              </w:rPr>
              <w:t>Cash management transaction expenses</w:t>
            </w:r>
          </w:p>
        </w:tc>
        <w:tc>
          <w:tcPr>
            <w:tcW w:w="800" w:type="dxa"/>
            <w:vAlign w:val="bottom"/>
          </w:tcPr>
          <w:p>
            <w:pPr>
              <w:spacing w:after="0"/>
              <w:rPr>
                <w:sz w:val="19"/>
                <w:szCs w:val="19"/>
                <w:color w:val="auto"/>
              </w:rPr>
            </w:pPr>
          </w:p>
        </w:tc>
        <w:tc>
          <w:tcPr>
            <w:tcW w:w="3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(20)%</w:t>
            </w: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NM</w:t>
            </w:r>
          </w:p>
        </w:tc>
      </w:tr>
      <w:tr>
        <w:trPr>
          <w:trHeight w:val="22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280" w:type="dxa"/>
            <w:vAlign w:val="bottom"/>
            <w:tcBorders>
              <w:bottom w:val="single" w:sz="8" w:color="CCEEFF"/>
            </w:tcBorders>
            <w:gridSpan w:val="2"/>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CCEEFF"/>
            </w:tcBorders>
            <w:gridSpan w:val="2"/>
          </w:tcPr>
          <w:p>
            <w:pPr>
              <w:jc w:val="right"/>
              <w:ind w:right="41"/>
              <w:spacing w:after="0"/>
              <w:rPr>
                <w:sz w:val="20"/>
                <w:szCs w:val="20"/>
                <w:color w:val="auto"/>
              </w:rPr>
            </w:pPr>
            <w:r>
              <w:rPr>
                <w:rFonts w:ascii="Arial" w:cs="Arial" w:eastAsia="Arial" w:hAnsi="Arial"/>
                <w:sz w:val="18"/>
                <w:szCs w:val="18"/>
                <w:color w:val="auto"/>
              </w:rPr>
              <w:t>(26)%</w:t>
            </w: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w:t>
            </w:r>
          </w:p>
        </w:tc>
      </w:tr>
    </w:tbl>
    <w:p>
      <w:pPr>
        <w:spacing w:after="0" w:line="2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Brokerage and transaction costs decreased by $8 million and $18 million, for the three and six months ended June 30, 2022, compared to the same periods in the prior year, primarily due to decreases in broker-dealer transaction expenses of $8 million and $15 million, driven by lower trading volume and a reduction of certain of these expenses effective in June 2021, as well as decreases in bank charges, included in other brokerage and transaction costs, of $5 million and $10 million as a result of more favorable pricing from our banking counterparties. These decreases were partially offset by increases in other employee compensation, benefits, and overhead of $1 million and $3 million as our brokerage teams have grown to support the growth of our user base and platform, and increases in share-based compensation expense of $1 million and $2 million as vesting conditions were met upon our IPO in July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2"/>
        </w:trPr>
        <w:tc>
          <w:tcPr>
            <w:tcW w:w="3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9"/>
        </w:trPr>
        <w:tc>
          <w:tcPr>
            <w:tcW w:w="34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5"/>
                <w:szCs w:val="15"/>
                <w:color w:val="auto"/>
              </w:rPr>
            </w:pPr>
          </w:p>
        </w:tc>
        <w:tc>
          <w:tcPr>
            <w:tcW w:w="900" w:type="dxa"/>
            <w:vAlign w:val="bottom"/>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5"/>
                <w:szCs w:val="15"/>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320" w:type="dxa"/>
            <w:vAlign w:val="bottom"/>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165"/>
        </w:trPr>
        <w:tc>
          <w:tcPr>
            <w:tcW w:w="346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Employee compensation, benefits, and</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r>
      <w:tr>
        <w:trPr>
          <w:trHeight w:val="172"/>
        </w:trPr>
        <w:tc>
          <w:tcPr>
            <w:tcW w:w="3460" w:type="dxa"/>
            <w:vAlign w:val="bottom"/>
            <w:shd w:val="clear" w:color="auto" w:fill="CCEEFF"/>
          </w:tcPr>
          <w:p>
            <w:pPr>
              <w:ind w:left="260"/>
              <w:spacing w:after="0" w:line="172" w:lineRule="exact"/>
              <w:rPr>
                <w:sz w:val="20"/>
                <w:szCs w:val="20"/>
                <w:color w:val="auto"/>
              </w:rPr>
            </w:pPr>
            <w:r>
              <w:rPr>
                <w:rFonts w:ascii="Arial" w:cs="Arial" w:eastAsia="Arial" w:hAnsi="Arial"/>
                <w:sz w:val="18"/>
                <w:szCs w:val="18"/>
                <w:color w:val="auto"/>
              </w:rPr>
              <w:t>overhead, excluding share-based</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13"/>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compensation</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infrastructure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rPr>
              <w:t>Software and tools</w:t>
            </w:r>
          </w:p>
        </w:tc>
        <w:tc>
          <w:tcPr>
            <w:tcW w:w="26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109 %</w:t>
            </w:r>
          </w:p>
        </w:tc>
      </w:tr>
      <w:tr>
        <w:trPr>
          <w:trHeight w:val="225"/>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18"/>
        </w:trPr>
        <w:tc>
          <w:tcPr>
            <w:tcW w:w="3460" w:type="dxa"/>
            <w:vAlign w:val="bottom"/>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8"/>
                <w:szCs w:val="18"/>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87 %</w:t>
            </w:r>
          </w:p>
        </w:tc>
      </w:tr>
    </w:tbl>
    <w:p>
      <w:pPr>
        <w:spacing w:after="0" w:line="26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Technology and development costs increased by $88 million and $237 million for the three and six months ended June 30, 2022, compared to the same periods in the prior year, primarily due to increases in share-based compensation expense of $59 million and $140 million as vesting conditions were met upon our IPO in July 2021 and increases in other employee compensation, benefits, and overhead of $35 million and $86 million as our engineering, data science, and design teams have grown to support the growth of our user base and develop new products. For the three and six months ended June 30, 2022, share-based compensation expense included a net reduction of $16 million and other employee compensation expense included approximately $6 million of separation related expenses due to the April 2022 Restructuring. Additionally, we experienced increases of $14 million and $25 million in costs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other software services utilized in delivering our products. These increases were offset by $23 million and $21 million decreases in cloud infrastructure services primarily due to cost optimization efforts focusing on improvements in utilization of cloud infrastructure.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1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right"/>
              <w:ind w:right="118"/>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9"/>
        </w:trPr>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5"/>
                <w:szCs w:val="15"/>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181"/>
              <w:spacing w:after="0"/>
              <w:rPr>
                <w:sz w:val="20"/>
                <w:szCs w:val="20"/>
                <w:color w:val="auto"/>
              </w:rPr>
            </w:pPr>
            <w:r>
              <w:rPr>
                <w:rFonts w:ascii="Arial" w:cs="Arial" w:eastAsia="Arial" w:hAnsi="Arial"/>
                <w:sz w:val="14"/>
                <w:szCs w:val="14"/>
                <w:b w:val="1"/>
                <w:bCs w:val="1"/>
                <w:color w:val="auto"/>
              </w:rPr>
              <w:t>% Change</w:t>
            </w:r>
          </w:p>
        </w:tc>
      </w:tr>
      <w:tr>
        <w:trPr>
          <w:trHeight w:val="165"/>
        </w:trPr>
        <w:tc>
          <w:tcPr>
            <w:tcW w:w="35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Employee compensation, benefits, and</w:t>
            </w:r>
          </w:p>
        </w:tc>
        <w:tc>
          <w:tcPr>
            <w:tcW w:w="7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72"/>
        </w:trPr>
        <w:tc>
          <w:tcPr>
            <w:tcW w:w="3580" w:type="dxa"/>
            <w:vAlign w:val="bottom"/>
            <w:shd w:val="clear" w:color="auto" w:fill="CCEEFF"/>
          </w:tcPr>
          <w:p>
            <w:pPr>
              <w:ind w:left="260"/>
              <w:spacing w:after="0" w:line="172" w:lineRule="exact"/>
              <w:rPr>
                <w:sz w:val="20"/>
                <w:szCs w:val="20"/>
                <w:color w:val="auto"/>
              </w:rPr>
            </w:pPr>
            <w:r>
              <w:rPr>
                <w:rFonts w:ascii="Arial" w:cs="Arial" w:eastAsia="Arial" w:hAnsi="Arial"/>
                <w:sz w:val="18"/>
                <w:szCs w:val="18"/>
                <w:color w:val="auto"/>
              </w:rPr>
              <w:t>overhead, excluding share-based</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3"/>
        </w:trPr>
        <w:tc>
          <w:tcPr>
            <w:tcW w:w="3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w:t>
            </w: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color w:val="auto"/>
              </w:rPr>
              <w:t>Customer experience</w:t>
            </w:r>
          </w:p>
        </w:tc>
        <w:tc>
          <w:tcPr>
            <w:tcW w:w="760" w:type="dxa"/>
            <w:vAlign w:val="bottom"/>
          </w:tcPr>
          <w:p>
            <w:pPr>
              <w:spacing w:after="0"/>
              <w:rPr>
                <w:sz w:val="19"/>
                <w:szCs w:val="19"/>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39%</w:t>
            </w: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and fraud</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w:t>
            </w: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76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NM</w:t>
            </w: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w:t>
            </w:r>
          </w:p>
        </w:tc>
      </w:tr>
      <w:tr>
        <w:trPr>
          <w:trHeight w:val="218"/>
        </w:trPr>
        <w:tc>
          <w:tcPr>
            <w:tcW w:w="3580" w:type="dxa"/>
            <w:vAlign w:val="bottom"/>
          </w:tcPr>
          <w:p>
            <w:pPr>
              <w:ind w:left="26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581"/>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101</w:t>
            </w:r>
          </w:p>
        </w:tc>
        <w:tc>
          <w:tcPr>
            <w:tcW w:w="80" w:type="dxa"/>
            <w:vAlign w:val="bottom"/>
          </w:tcPr>
          <w:p>
            <w:pPr>
              <w:spacing w:after="0"/>
              <w:rPr>
                <w:sz w:val="18"/>
                <w:szCs w:val="18"/>
                <w:color w:val="auto"/>
              </w:rPr>
            </w:pPr>
          </w:p>
        </w:tc>
        <w:tc>
          <w:tcPr>
            <w:tcW w:w="840" w:type="dxa"/>
            <w:vAlign w:val="bottom"/>
          </w:tcPr>
          <w:p>
            <w:pPr>
              <w:jc w:val="right"/>
              <w:ind w:right="638"/>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760" w:type="dxa"/>
            <w:vAlign w:val="bottom"/>
          </w:tcPr>
          <w:p>
            <w:pPr>
              <w:jc w:val="right"/>
              <w:ind w:right="578"/>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177</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5%</w:t>
            </w:r>
          </w:p>
        </w:tc>
      </w:tr>
    </w:tbl>
    <w:p>
      <w:pPr>
        <w:spacing w:after="0" w:line="26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Operations costs decreased by $15 million and increased by $9 million for the three and six months ended June 30, 2022, compared to the same periods in the prior year, primarily due to decreases in provision for credit losses and fraud of $28 million and $35 million primarily related to Fraudulent Deposit Transactions as we continue to strengthen our process to identify high risk users and transactions on our platform and prevent Fraudulent Deposit Transactions. Additionally, we experienced decreases of $2 million and $10 million in other operations expense primarily related to costs associated with new customer onboarding and account verification as the growth of our user base in recent periods had been slow compared to the accelerated growth we experienced in the first half of 2021. For example, our new funded accounts decreased by 91% from 5.1 million for the quarter ended June 30, 2021 to 0.4 million for the quarter ended June 30, 2022. These decreases were offset by increases in other employee compensation, benefits, and overhead for customer support and other operations employees of $12 million and $33 million as we increased the number of our dedicated customer support professionals. Other employee compensation expense for the three and six months ended June 30, 2022 included approximately $3 million of separation related expenses due to the April 2022 Restructuring. Finally, we experienced an increase in costs related to third-party customer support vendors of $2 million and $16 million as we continued to make investments to support our users, and an increase in share-based compensation expense of $1 million and $5 million as vesting conditions were met upon our IPO in July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r>
      <w:tr>
        <w:trPr>
          <w:trHeight w:val="179"/>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bottom w:val="single" w:sz="8" w:color="CCEEFF"/>
            </w:tcBorders>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420" w:type="dxa"/>
            <w:vAlign w:val="bottom"/>
            <w:tcBorders>
              <w:bottom w:val="single" w:sz="8" w:color="CCEEFF"/>
            </w:tcBorders>
          </w:tcPr>
          <w:p>
            <w:pPr>
              <w:jc w:val="right"/>
              <w:ind w:right="234"/>
              <w:spacing w:after="0"/>
              <w:rPr>
                <w:sz w:val="20"/>
                <w:szCs w:val="20"/>
                <w:color w:val="auto"/>
              </w:rPr>
            </w:pPr>
            <w:r>
              <w:rPr>
                <w:rFonts w:ascii="Arial" w:cs="Arial" w:eastAsia="Arial" w:hAnsi="Arial"/>
                <w:sz w:val="14"/>
                <w:szCs w:val="14"/>
                <w:b w:val="1"/>
                <w:bCs w:val="1"/>
                <w:color w:val="auto"/>
              </w:rPr>
              <w:t>% Change</w:t>
            </w:r>
          </w:p>
        </w:tc>
      </w:tr>
      <w:tr>
        <w:trPr>
          <w:trHeight w:val="165"/>
        </w:trPr>
        <w:tc>
          <w:tcPr>
            <w:tcW w:w="34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Employee compensation, benefits, and</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72"/>
        </w:trPr>
        <w:tc>
          <w:tcPr>
            <w:tcW w:w="3440" w:type="dxa"/>
            <w:vAlign w:val="bottom"/>
            <w:shd w:val="clear" w:color="auto" w:fill="CCEEFF"/>
          </w:tcPr>
          <w:p>
            <w:pPr>
              <w:ind w:left="260"/>
              <w:spacing w:after="0" w:line="172" w:lineRule="exact"/>
              <w:rPr>
                <w:sz w:val="20"/>
                <w:szCs w:val="20"/>
                <w:color w:val="auto"/>
              </w:rPr>
            </w:pPr>
            <w:r>
              <w:rPr>
                <w:rFonts w:ascii="Arial" w:cs="Arial" w:eastAsia="Arial" w:hAnsi="Arial"/>
                <w:sz w:val="18"/>
                <w:szCs w:val="18"/>
                <w:color w:val="auto"/>
              </w:rPr>
              <w:t>overhead, excluding share-based</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13"/>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compensation</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Digital marketing</w:t>
            </w:r>
          </w:p>
        </w:tc>
        <w:tc>
          <w:tcPr>
            <w:tcW w:w="260" w:type="dxa"/>
            <w:vAlign w:val="bottom"/>
          </w:tcPr>
          <w:p>
            <w:pPr>
              <w:spacing w:after="0"/>
              <w:rPr>
                <w:sz w:val="19"/>
                <w:szCs w:val="19"/>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Marketing incentives</w:t>
            </w:r>
          </w:p>
        </w:tc>
        <w:tc>
          <w:tcPr>
            <w:tcW w:w="260" w:type="dxa"/>
            <w:vAlign w:val="bottom"/>
          </w:tcPr>
          <w:p>
            <w:pPr>
              <w:spacing w:after="0"/>
              <w:rPr>
                <w:sz w:val="19"/>
                <w:szCs w:val="19"/>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Creative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Brand marketing</w:t>
            </w:r>
          </w:p>
        </w:tc>
        <w:tc>
          <w:tcPr>
            <w:tcW w:w="260" w:type="dxa"/>
            <w:vAlign w:val="bottom"/>
          </w:tcPr>
          <w:p>
            <w:pPr>
              <w:spacing w:after="0"/>
              <w:rPr>
                <w:sz w:val="19"/>
                <w:szCs w:val="19"/>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5"/>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400 %</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8"/>
        </w:trPr>
        <w:tc>
          <w:tcPr>
            <w:tcW w:w="3440" w:type="dxa"/>
            <w:vAlign w:val="bottom"/>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42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6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Included in marketing incentives are costs associated with the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 periods presented. The following table summarizes the Robinhood Referral Program liability activity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January 1</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Fair value of current period awards</w:t>
            </w:r>
          </w:p>
        </w:tc>
        <w:tc>
          <w:tcPr>
            <w:tcW w:w="36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 of unclaimed awards for current and prior periods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Reversals related to unclaimed, expired awards</w:t>
            </w:r>
          </w:p>
        </w:tc>
        <w:tc>
          <w:tcPr>
            <w:tcW w:w="36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Claimed awards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auto"/>
              </w:rPr>
              <w:t>Ending balance, June 30</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bl>
    <w:p>
      <w:pPr>
        <w:spacing w:after="0" w:line="26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Marketing costs decreased by $70 million and $138 million for the three and six months ended June 30, 2022, compared to the same periods in the prior year, primarily due to decreases in marketing incentives of $50 million and $100 million, substantially all of which was due to lower costs associated with the Robinhood Referral Program, which was in line with the slow growth in our user base in recent periods.</w:t>
      </w:r>
    </w:p>
    <w:p>
      <w:pPr>
        <w:spacing w:after="0" w:line="16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digital marketing and brand marketing decreased by $12 million and $22 million, and $6 million and $16 million. During the first half of 2021, we invested significantly in marketing costs to raise brand awareness. As we established our brand, we switched to a more disciplined strategy in our marketing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218"/>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85"/>
        </w:trPr>
        <w:tc>
          <w:tcPr>
            <w:tcW w:w="3340" w:type="dxa"/>
            <w:vAlign w:val="bottom"/>
          </w:tcPr>
          <w:p>
            <w:pPr>
              <w:ind w:left="20"/>
              <w:spacing w:after="0" w:line="185" w:lineRule="exact"/>
              <w:rPr>
                <w:sz w:val="20"/>
                <w:szCs w:val="20"/>
                <w:color w:val="auto"/>
              </w:rPr>
            </w:pPr>
            <w:r>
              <w:rPr>
                <w:rFonts w:ascii="Arial" w:cs="Arial" w:eastAsia="Arial" w:hAnsi="Arial"/>
                <w:sz w:val="18"/>
                <w:szCs w:val="18"/>
                <w:color w:val="auto"/>
              </w:rPr>
              <w:t>Employee compensation, benefits, and</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2"/>
        </w:trPr>
        <w:tc>
          <w:tcPr>
            <w:tcW w:w="3340" w:type="dxa"/>
            <w:vAlign w:val="bottom"/>
          </w:tcPr>
          <w:p>
            <w:pPr>
              <w:ind w:left="260"/>
              <w:spacing w:after="0" w:line="172" w:lineRule="exact"/>
              <w:rPr>
                <w:sz w:val="20"/>
                <w:szCs w:val="20"/>
                <w:color w:val="auto"/>
              </w:rPr>
            </w:pPr>
            <w:r>
              <w:rPr>
                <w:rFonts w:ascii="Arial" w:cs="Arial" w:eastAsia="Arial" w:hAnsi="Arial"/>
                <w:sz w:val="18"/>
                <w:szCs w:val="18"/>
                <w:color w:val="auto"/>
              </w:rPr>
              <w:t>overhead, excluding share-based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2"/>
        </w:trPr>
        <w:tc>
          <w:tcPr>
            <w:tcW w:w="334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280" w:type="dxa"/>
            <w:vAlign w:val="bottom"/>
          </w:tcPr>
          <w:p>
            <w:pPr>
              <w:spacing w:after="0"/>
              <w:rPr>
                <w:sz w:val="18"/>
                <w:szCs w:val="18"/>
                <w:color w:val="auto"/>
              </w:rPr>
            </w:pPr>
          </w:p>
        </w:tc>
        <w:tc>
          <w:tcPr>
            <w:tcW w:w="900" w:type="dxa"/>
            <w:vAlign w:val="bottom"/>
          </w:tcPr>
          <w:p>
            <w:pPr>
              <w:jc w:val="center"/>
              <w:ind w:left="457"/>
              <w:spacing w:after="0"/>
              <w:rPr>
                <w:sz w:val="20"/>
                <w:szCs w:val="20"/>
                <w:color w:val="auto"/>
              </w:rPr>
            </w:pPr>
            <w:r>
              <w:rPr>
                <w:rFonts w:ascii="Arial" w:cs="Arial" w:eastAsia="Arial" w:hAnsi="Arial"/>
                <w:sz w:val="18"/>
                <w:szCs w:val="18"/>
                <w:color w:val="auto"/>
                <w:w w:val="99"/>
              </w:rPr>
              <w:t>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64 %</w:t>
            </w: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99"/>
              </w:rPr>
              <w:t>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Other professional fees</w:t>
            </w:r>
          </w:p>
        </w:tc>
        <w:tc>
          <w:tcPr>
            <w:tcW w:w="280" w:type="dxa"/>
            <w:vAlign w:val="bottom"/>
          </w:tcPr>
          <w:p>
            <w:pPr>
              <w:spacing w:after="0"/>
              <w:rPr>
                <w:sz w:val="19"/>
                <w:szCs w:val="19"/>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and penalties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99"/>
              </w:rPr>
              <w:t>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Business insurance</w:t>
            </w:r>
          </w:p>
        </w:tc>
        <w:tc>
          <w:tcPr>
            <w:tcW w:w="280" w:type="dxa"/>
            <w:vAlign w:val="bottom"/>
          </w:tcPr>
          <w:p>
            <w:pPr>
              <w:spacing w:after="0"/>
              <w:rPr>
                <w:sz w:val="19"/>
                <w:szCs w:val="19"/>
                <w:color w:val="auto"/>
              </w:rPr>
            </w:pPr>
          </w:p>
        </w:tc>
        <w:tc>
          <w:tcPr>
            <w:tcW w:w="900" w:type="dxa"/>
            <w:vAlign w:val="bottom"/>
          </w:tcPr>
          <w:p>
            <w:pPr>
              <w:jc w:val="center"/>
              <w:ind w:left="437"/>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7"/>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8"/>
        </w:trPr>
        <w:tc>
          <w:tcPr>
            <w:tcW w:w="3340" w:type="dxa"/>
            <w:vAlign w:val="bottom"/>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8"/>
                <w:szCs w:val="18"/>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98 %</w:t>
            </w:r>
          </w:p>
        </w:tc>
      </w:tr>
    </w:tbl>
    <w:p>
      <w:pPr>
        <w:spacing w:after="0" w:line="26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General and administrative costs increased by $114 million and $245 million for the three and six months ended June 30, 2022, compared to the same periods in the prior year, primarily due to increases in share-based compensation recognized of $105 million and $225 million as vesting conditions were met upon our IPO in July 2021, including $82 million related to executive compensation arrangements (see Note 10 to our unaudited condensed consolidated financial statements in this Quarterly Report for further information). The share-based compensation expense for the three and six months ended June 30, 2022 included a net reduction of $6 million due to the April 2022 Restructuring. Additionally, to support the growth of our business, other employee compensation, benefits, and overhead also increased by $20 million and $50 million as we continued to increase our general and administrative personnel. Other employee compensation expense for the three and six months ended June 30, 2022 included approximately $7 million of separation related expenses due to the April 2022 Restructuring. Business insurance increased by $7 million and $16 million, which was primarily attributable to additional costs of being a public company. These increases were partially offset by decreases of $10 million and $40 million in costs associated with legal settlements. Refer to Note 14 of our unaudited condensed consolidated financial statements in this Quarterly Report for further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Change in Fair Value of Convertible Notes and Warrant Liability</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2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9"/>
        </w:trPr>
        <w:tc>
          <w:tcPr>
            <w:tcW w:w="2600" w:type="dxa"/>
            <w:vAlign w:val="bottom"/>
          </w:tcPr>
          <w:p>
            <w:pPr>
              <w:ind w:left="340"/>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5"/>
                <w:szCs w:val="15"/>
                <w:color w:val="auto"/>
              </w:rPr>
            </w:pPr>
          </w:p>
        </w:tc>
        <w:tc>
          <w:tcPr>
            <w:tcW w:w="880" w:type="dxa"/>
            <w:vAlign w:val="bottom"/>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22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spacing w:after="0"/>
              <w:rPr>
                <w:sz w:val="15"/>
                <w:szCs w:val="15"/>
                <w:color w:val="auto"/>
              </w:rPr>
            </w:pPr>
          </w:p>
        </w:tc>
        <w:tc>
          <w:tcPr>
            <w:tcW w:w="940" w:type="dxa"/>
            <w:vAlign w:val="bottom"/>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120" w:type="dxa"/>
            <w:vAlign w:val="bottom"/>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165"/>
        </w:trPr>
        <w:tc>
          <w:tcPr>
            <w:tcW w:w="26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Change in fair value of</w:t>
            </w: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72"/>
        </w:trPr>
        <w:tc>
          <w:tcPr>
            <w:tcW w:w="260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convertible notes and warrant</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3"/>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NM</w:t>
            </w:r>
          </w:p>
        </w:tc>
      </w:tr>
    </w:tbl>
    <w:p>
      <w:pPr>
        <w:spacing w:after="0" w:line="2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Change in fair value of convertible notes and warrant liability was due to the mark-to-market adjustment of the convertible notes and warrants we issued in February 2021. Upon completion of our IPO, the aggregate outstanding principal and accrued interest of the convertible notes converted into Class A common stock and the warrants became equity-classified, which resulted in the warrant liability being reclassified to additional paid-in capital. There will be no additional mark-to-market adjustments related to the convertible notes or warrant liability. See Note 6 to our unaudited condensed consolidated financial statements in this Quarterly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Provision for (Benefit from) Income Taxes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240" w:type="dxa"/>
            <w:vAlign w:val="bottom"/>
            <w:gridSpan w:val="4"/>
          </w:tcPr>
          <w:p>
            <w:pPr>
              <w:jc w:val="center"/>
              <w:ind w:left="24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4"/>
                <w:szCs w:val="14"/>
                <w:color w:val="auto"/>
              </w:rPr>
            </w:pPr>
          </w:p>
        </w:tc>
      </w:tr>
      <w:tr>
        <w:trPr>
          <w:trHeight w:val="172"/>
        </w:trPr>
        <w:tc>
          <w:tcPr>
            <w:tcW w:w="30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489"/>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525"/>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18"/>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bl>
    <w:p>
      <w:pPr>
        <w:spacing w:after="0" w:line="2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Provision for income taxes decreased by $37 million and $48 million, for the three and six months ended June 30, 2022, compared to the same periods in the prior year, primarily due to the increase in total business operating expenses, and offset by the change in valuation allowance on our remaining U.S. federal and state deferred tax assets and by our current state taxes payable.</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Source and Uses of Funds</w:t>
      </w:r>
    </w:p>
    <w:p>
      <w:pPr>
        <w:spacing w:after="0" w:line="21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expect to use our available cash, cash equivalents, and investments, including potential future borrowings under our revolving lines of credit and potential issuance of new debt or equity,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Depository Trust Company (“DTC”), NSCC, and the Options Clearing Corporation (“OCC”)). Based on our current level of operations, we believe our available cash, available lines of credit, and cash provided by operations will be adequate to meet our liquidity needs for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Investments</w:t>
      </w:r>
    </w:p>
    <w:p>
      <w:pPr>
        <w:spacing w:after="0" w:line="19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cash, cash equivalents, and investments were $6.3 billion and $6.0 billion as of December 31, 2021 and June 30, 2022. Our investment portfolio comprises highly liquid available-for-sale securities, including asset-backed securities, commercial paper, corporate bonds, and government bonds.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Lines of Credit</w:t>
      </w:r>
    </w:p>
    <w:p>
      <w:pPr>
        <w:spacing w:after="0" w:line="19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June 30, 2022, we had a total of $2.91 billion in committed revolving lines of credit. See Note 9 to our unaudited condensed consolidated financial statements in this Quarterly Report for further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Lease and Purchase Commitments</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98"/>
        </w:trPr>
        <w:tc>
          <w:tcPr>
            <w:tcW w:w="3920" w:type="dxa"/>
            <w:vAlign w:val="bottom"/>
            <w:gridSpan w:val="2"/>
          </w:tcPr>
          <w:p>
            <w:pPr>
              <w:ind w:left="320"/>
              <w:spacing w:after="0"/>
              <w:rPr>
                <w:sz w:val="20"/>
                <w:szCs w:val="20"/>
                <w:color w:val="auto"/>
              </w:rPr>
            </w:pPr>
            <w:r>
              <w:rPr>
                <w:rFonts w:ascii="Arial" w:cs="Arial" w:eastAsia="Arial" w:hAnsi="Arial"/>
                <w:sz w:val="18"/>
                <w:szCs w:val="18"/>
                <w:color w:val="auto"/>
              </w:rPr>
              <w:t>The   following   table   summarizes   our</w:t>
            </w:r>
          </w:p>
        </w:tc>
        <w:tc>
          <w:tcPr>
            <w:tcW w:w="640" w:type="dxa"/>
            <w:vAlign w:val="bottom"/>
          </w:tcPr>
          <w:p>
            <w:pPr>
              <w:ind w:left="120"/>
              <w:spacing w:after="0"/>
              <w:rPr>
                <w:sz w:val="20"/>
                <w:szCs w:val="20"/>
                <w:color w:val="auto"/>
              </w:rPr>
            </w:pPr>
            <w:r>
              <w:rPr>
                <w:rFonts w:ascii="Arial" w:cs="Arial" w:eastAsia="Arial" w:hAnsi="Arial"/>
                <w:sz w:val="18"/>
                <w:szCs w:val="18"/>
                <w:color w:val="auto"/>
              </w:rPr>
              <w:t>short-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and</w:t>
            </w:r>
          </w:p>
        </w:tc>
        <w:tc>
          <w:tcPr>
            <w:tcW w:w="1000" w:type="dxa"/>
            <w:vAlign w:val="bottom"/>
            <w:gridSpan w:val="2"/>
          </w:tcPr>
          <w:p>
            <w:pPr>
              <w:jc w:val="right"/>
              <w:ind w:right="109"/>
              <w:spacing w:after="0"/>
              <w:rPr>
                <w:sz w:val="20"/>
                <w:szCs w:val="20"/>
                <w:color w:val="auto"/>
              </w:rPr>
            </w:pPr>
            <w:r>
              <w:rPr>
                <w:rFonts w:ascii="Arial" w:cs="Arial" w:eastAsia="Arial" w:hAnsi="Arial"/>
                <w:sz w:val="18"/>
                <w:szCs w:val="18"/>
                <w:color w:val="auto"/>
              </w:rPr>
              <w:t>long-term</w:t>
            </w:r>
          </w:p>
        </w:tc>
        <w:tc>
          <w:tcPr>
            <w:tcW w:w="1400" w:type="dxa"/>
            <w:vAlign w:val="bottom"/>
            <w:gridSpan w:val="3"/>
          </w:tcPr>
          <w:p>
            <w:pPr>
              <w:jc w:val="right"/>
              <w:ind w:right="41"/>
              <w:spacing w:after="0"/>
              <w:rPr>
                <w:sz w:val="20"/>
                <w:szCs w:val="20"/>
                <w:color w:val="auto"/>
              </w:rPr>
            </w:pPr>
            <w:r>
              <w:rPr>
                <w:rFonts w:ascii="Arial" w:cs="Arial" w:eastAsia="Arial" w:hAnsi="Arial"/>
                <w:sz w:val="18"/>
                <w:szCs w:val="18"/>
                <w:color w:val="auto"/>
              </w:rPr>
              <w:t>material   cash</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requirements</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as   of</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June</w:t>
            </w:r>
          </w:p>
        </w:tc>
        <w:tc>
          <w:tcPr>
            <w:tcW w:w="1000" w:type="dxa"/>
            <w:vAlign w:val="bottom"/>
          </w:tcPr>
          <w:p>
            <w:pPr>
              <w:jc w:val="right"/>
              <w:spacing w:after="0"/>
              <w:rPr>
                <w:sz w:val="20"/>
                <w:szCs w:val="20"/>
                <w:color w:val="auto"/>
              </w:rPr>
            </w:pPr>
            <w:r>
              <w:rPr>
                <w:rFonts w:ascii="Arial" w:cs="Arial" w:eastAsia="Arial" w:hAnsi="Arial"/>
                <w:sz w:val="18"/>
                <w:szCs w:val="18"/>
                <w:color w:val="auto"/>
              </w:rPr>
              <w:t>30,   2022:</w:t>
            </w:r>
          </w:p>
        </w:tc>
      </w:tr>
      <w:tr>
        <w:trPr>
          <w:trHeight w:val="234"/>
        </w:trPr>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71"/>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400"/>
              <w:spacing w:after="0"/>
              <w:rPr>
                <w:sz w:val="20"/>
                <w:szCs w:val="20"/>
                <w:color w:val="auto"/>
              </w:rPr>
            </w:pPr>
            <w:r>
              <w:rPr>
                <w:rFonts w:ascii="Arial" w:cs="Arial" w:eastAsia="Arial" w:hAnsi="Arial"/>
                <w:sz w:val="14"/>
                <w:szCs w:val="14"/>
                <w:b w:val="1"/>
                <w:bCs w:val="1"/>
                <w:color w:val="auto"/>
              </w:rPr>
              <w:t>Remainder of</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9"/>
        </w:trPr>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2023-2024</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2025-2026</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Thereafter</w:t>
            </w:r>
          </w:p>
        </w:tc>
      </w:tr>
      <w:tr>
        <w:trPr>
          <w:trHeight w:val="238"/>
        </w:trPr>
        <w:tc>
          <w:tcPr>
            <w:tcW w:w="3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 commitments</w:t>
            </w:r>
          </w:p>
        </w:tc>
        <w:tc>
          <w:tcPr>
            <w:tcW w:w="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0" w:type="dxa"/>
            <w:vAlign w:val="bottom"/>
            <w:tcBorders>
              <w:bottom w:val="single" w:sz="8" w:color="CCEEFF"/>
            </w:tcBorders>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65"/>
        </w:trPr>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9"/>
              </w:rPr>
              <w:t>Non-cancelable purchase commitments</w:t>
            </w:r>
            <w:r>
              <w:rPr>
                <w:rFonts w:ascii="Arial" w:cs="Arial" w:eastAsia="Arial" w:hAnsi="Arial"/>
                <w:sz w:val="22"/>
                <w:szCs w:val="22"/>
                <w:color w:val="auto"/>
                <w:w w:val="99"/>
                <w:vertAlign w:val="superscript"/>
              </w:rPr>
              <w:t>(1)</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8"/>
        </w:trPr>
        <w:tc>
          <w:tcPr>
            <w:tcW w:w="3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320" w:hanging="314"/>
        <w:spacing w:after="0" w:line="250" w:lineRule="auto"/>
        <w:tabs>
          <w:tab w:leader="none" w:pos="3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Non-cancelable purchase commitments are determined based on the non-cancelable quantities or termination amounts to which we are contractually obligated. They are primarily commitments for cloud infrastructure and data services, business insurance and tenant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to lease and purchase commitments, we have two committed financing agreements: one with a contractual term of 30 days and a daily minimum commitment of $25 million and another with a contractual term of 21 days with a daily minimum commitment of $35 million. See "Securities Borrowing and Lending" in Note 1 to our unaudited condensed consolidated financial statements in this Quarterly Report for further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Flows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2"/>
        </w:trPr>
        <w:tc>
          <w:tcPr>
            <w:tcW w:w="8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4"/>
                <w:szCs w:val="14"/>
                <w:color w:val="auto"/>
              </w:rPr>
            </w:pP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6"/>
              </w:rPr>
              <w:t>2022</w:t>
            </w:r>
          </w:p>
        </w:tc>
      </w:tr>
      <w:tr>
        <w:trPr>
          <w:trHeight w:val="205"/>
        </w:trPr>
        <w:tc>
          <w:tcPr>
            <w:tcW w:w="82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4"/>
        </w:trPr>
        <w:tc>
          <w:tcPr>
            <w:tcW w:w="82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3,559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6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Cash provided by and used in operating activities consisted of net loss adjusted for certain non-cash items including change in fair value of convertible notes and warrant liability, share-based compensation expense, depreciation and amortization, and provision for credit losses, as well as the effect of changes in operating assets and liabilities. Net operating assets and liabilities at any specific point in time are subject to many variables, including variability in user activity, the timing of cash receipts and payments, and vendor payment terms.</w:t>
      </w:r>
    </w:p>
    <w:p>
      <w:pPr>
        <w:spacing w:after="0" w:line="18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the six months ended June 30, 2022, cash used in operating activities was $826 million, primarily due to a net loss of $687 million, adjusted for the add back of non-cash expenses of $432 million, consisting primarily of share-based compensation expense of $384 million, depreciation and amortization of $29 million, and provision for credit losses of $19 million. Additionally, there was a cash outflow due to changes in operating assets and liabilities of $571 million, primarily due to a decrease of $2.3 billion in securities loaned and a decrease in payables to users of $680 million driven by an decrease in customer cash held, offset by a decrease in receivables from users, net, of $2.5 billion, driven by an decrease in margin borrowing from users.</w:t>
      </w:r>
    </w:p>
    <w:p>
      <w:pPr>
        <w:spacing w:after="0" w:line="17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the six months ended June 30, 2021, cash provided by operating activities was $399 million, partially due to a net loss of $1.9 billion, adjusted for the add back of non-cash expenses of $2.1 billion consisting primarily of changes in fair value of convertible notes and warrant liability of $2.0 billion, provision for credit losses of $37 million, share-based compensation expense of $10 million, and depreciation and amortization of $9 million. Additionally, there was a cash inflow due to changes in operating assets and liabilities of $270 million, primarily due to an increase in payables to users of $1.9 billion driven by an increase in customer cash held in line with the growth in our user base and an increase in securities loaned of $722 million, offset by an increase in receivables from users, net of $2.1 billion, driven by an increase in margin receivables due to the growth in our user base and a decrease in our margin interest rate.</w:t>
      </w:r>
    </w:p>
    <w:p>
      <w:pPr>
        <w:spacing w:after="0" w:line="17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six months ended June 30, 2022, cash used in investing activities was $60 million, which primarily consisted of $27 million used for the purchase of investments, $19 million in purchases of property, software, and equipment, and $14 million in capitalization of internally developed software. For the six months ended June 30, 2021, cash used in investing activities was $28 million, which primarily consisted of $22 million in purchases of property, software and equipment and $6 million in capitalization of internally developed software.</w:t>
      </w:r>
    </w:p>
    <w:p>
      <w:pPr>
        <w:spacing w:after="0" w:line="18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six months ended June 30, 2021, cash provided by financing activities was $3.6 billion, which primarily consisted of the proceeds from issuance of convertible notes and warrants of $3.6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Regulatory Capital Requirements</w:t>
      </w:r>
    </w:p>
    <w:p>
      <w:pPr>
        <w:spacing w:after="0" w:line="2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broker-dealer subsidiaries (RHF and RHS) are subject to the SEC Uniform Net Capital Rule, administered by the SEC and FINRA, which requires the maintenance of minimum net capital, as defined. Net capital and the related net capital requirements may fluctuate on a daily basis. RHS and RHF compute net capital under the alternative method as permitted by the SEC Uniform Net Capital Rule.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tables below summarize the net capital, capital requirements and excess net capital of RHS and RHF as of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33"/>
        </w:trPr>
        <w:tc>
          <w:tcPr>
            <w:tcW w:w="6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1"/>
                <w:szCs w:val="11"/>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Capital</w:t>
            </w: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200" w:type="dxa"/>
            <w:vAlign w:val="bottom"/>
          </w:tcPr>
          <w:p>
            <w:pPr>
              <w:spacing w:after="0"/>
              <w:rPr>
                <w:sz w:val="11"/>
                <w:szCs w:val="11"/>
                <w:color w:val="auto"/>
              </w:rPr>
            </w:pPr>
          </w:p>
        </w:tc>
        <w:tc>
          <w:tcPr>
            <w:tcW w:w="138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72"/>
        </w:trPr>
        <w:tc>
          <w:tcPr>
            <w:tcW w:w="6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21"/>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8"/>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24"/>
        </w:trPr>
        <w:tc>
          <w:tcPr>
            <w:tcW w:w="6320" w:type="dxa"/>
            <w:vAlign w:val="bottom"/>
          </w:tcPr>
          <w:p>
            <w:pPr>
              <w:ind w:left="20"/>
              <w:spacing w:after="0"/>
              <w:rPr>
                <w:sz w:val="20"/>
                <w:szCs w:val="20"/>
                <w:color w:val="auto"/>
              </w:rPr>
            </w:pPr>
            <w:r>
              <w:rPr>
                <w:rFonts w:ascii="Arial" w:cs="Arial" w:eastAsia="Arial" w:hAnsi="Arial"/>
                <w:sz w:val="18"/>
                <w:szCs w:val="18"/>
                <w:color w:val="auto"/>
              </w:rPr>
              <w:t>RHF</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20" w:type="dxa"/>
            <w:vAlign w:val="bottom"/>
          </w:tcPr>
          <w:p>
            <w:pPr>
              <w:jc w:val="right"/>
              <w:ind w:right="18"/>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2022, our broker-dealer subsidiaries were in compliance with their respective regulatory capital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Policies and Estimates</w:t>
      </w:r>
    </w:p>
    <w:p>
      <w:pPr>
        <w:spacing w:after="0" w:line="18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unaudited condensed consolidated financial statements requires us to make estimates and assumptions that affect the reported amounts of revenues, expenses, assets, and liabilities and the disclosure of contingent assets and liabilities on our unaudited condensed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w:t>
      </w:r>
    </w:p>
    <w:p>
      <w:pPr>
        <w:spacing w:after="0" w:line="17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There have been no material changes to our critical accounting policies and estimates during the six months ended June 30, 2022, as compared to those disclosed in “Management’s Discussion and Analysis of Financial Condition and Results of Operations — Critical Accounting Policies and Estimates” in our 2021 Form 10-K.</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1 of Part I, “Unaudited Financial Statements — Note 2 —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ITEM 3. QUANTITATIVE AND QUALITATIVE DISCLOSURES ABOUT MARKET RISK</w:t>
      </w:r>
    </w:p>
    <w:p>
      <w:pPr>
        <w:spacing w:after="0" w:line="17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Risk</w:t>
      </w:r>
    </w:p>
    <w:p>
      <w:pPr>
        <w:spacing w:after="0" w:line="188"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Our exposure to changes in interest rates relates to interest earned on our cash and cash equivalents, cash and securities segregated under federal and other regulations, deposits with clearing organizations, restricted cash, investments in debt securities and margin loans. We use a net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sensitivity analysis to evaluate the effect that changes in interest rates might have on total net revenues. The results of the analysis based on our financial position as of June 30, 2022, indicate that a hypothetical 100 basis point increase or decrease in interest rates would have had a positively correlated impact of approximately 13% on total net revenues.</w:t>
      </w:r>
    </w:p>
    <w:p>
      <w:pPr>
        <w:spacing w:after="0" w:line="160"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We also have exposure to change in interest rates related to our variable-rate credit facilities. See Note 9 to our unaudited condensed consolidated financial statements in this Quarterly Report for further information. However, as there were no outstanding borrowings under our credit facilities as of June 30, 2022, we had limited financial exposure associated with changes in interest rates as of such date.</w:t>
      </w:r>
    </w:p>
    <w:p>
      <w:pPr>
        <w:spacing w:after="0" w:line="16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Market-Related Credit Risk</w:t>
      </w:r>
    </w:p>
    <w:p>
      <w:pPr>
        <w:spacing w:after="0" w:line="21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ITEM 4.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Evaluation of Disclosure Controls and Procedures</w:t>
      </w:r>
    </w:p>
    <w:p>
      <w:pPr>
        <w:spacing w:after="0" w:line="24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Quarterly Report, our disclosure controls and procedures were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Changes in Internal Control Over Financial Reporting</w:t>
      </w:r>
    </w:p>
    <w:p>
      <w:pPr>
        <w:spacing w:after="0" w:line="2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15d-15(f) under the Exchange Act) during the three months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20"/>
        <w:spacing w:after="0"/>
        <w:rPr>
          <w:sz w:val="20"/>
          <w:szCs w:val="20"/>
          <w:color w:val="auto"/>
        </w:rPr>
      </w:pPr>
      <w:r>
        <w:rPr>
          <w:rFonts w:ascii="Arial" w:cs="Arial" w:eastAsia="Arial" w:hAnsi="Arial"/>
          <w:sz w:val="35"/>
          <w:szCs w:val="35"/>
          <w:color w:val="auto"/>
        </w:rPr>
        <w:t>PART II</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ITEM 1. LEGAL PROCEEDINGS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Item 1 of Part I, “Unaudited Financial Statements— Note 14—Commitments and Contingencies—Contingencies.”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ITEM 1A. RISK FACTORS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 including statements in the following risk factors, constitute forward-looking statements. Please refer to “Cautionary Note Regarding Forward-Looking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auto"/>
        </w:rPr>
        <w:t>Summary of Risk Factors</w:t>
      </w:r>
    </w:p>
    <w:p>
      <w:pPr>
        <w:spacing w:after="0" w:line="17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business is subject to a number of risks and uncertainties including those described at length in the Risk Factors section below. We consider the following to be our most material risks:</w:t>
      </w:r>
    </w:p>
    <w:p>
      <w:pPr>
        <w:spacing w:after="0" w:line="177" w:lineRule="exact"/>
        <w:rPr>
          <w:sz w:val="20"/>
          <w:szCs w:val="20"/>
          <w:color w:val="auto"/>
        </w:rPr>
      </w:pPr>
    </w:p>
    <w:p>
      <w:pPr>
        <w:ind w:left="64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business and prospects and increases the risks associated with an investment in our Class A common stock.</w:t>
      </w:r>
    </w:p>
    <w:p>
      <w:pPr>
        <w:spacing w:after="0" w:line="163"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grown rapidly in recent years and we have limited operating experience at our current scale. If we are unable to manage our business effectively, including the size of our workforce, our financial performance might suffer and our brand and company culture could be harmed.</w:t>
      </w:r>
    </w:p>
    <w:p>
      <w:pPr>
        <w:spacing w:after="0" w:line="16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grow in line with historical rates.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results of operations and other operating metrics fluctuate from quarter to quarter, which makes these metrics difficult to predict.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incurred operating losses in the past and might not be profitable in the future.</w:t>
      </w:r>
    </w:p>
    <w:p>
      <w:pPr>
        <w:spacing w:after="0" w:line="177"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a majority of our revenue is transaction-based (including PFOF), factors that affect transaction-based revenue—such as reduced spreads in securities pricing, reduced levels of trading activity generally, changes in our business relationships with market makers, and any new regulation of, or any bans on, PFOF and similar practices—might result in reduced profitability, increased compliance costs, and negative publicity.</w:t>
      </w:r>
    </w:p>
    <w:p>
      <w:pPr>
        <w:spacing w:after="0" w:line="181"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66" w:lineRule="exact"/>
        <w:rPr>
          <w:rFonts w:ascii="Arial" w:cs="Arial" w:eastAsia="Arial" w:hAnsi="Arial"/>
          <w:sz w:val="18"/>
          <w:szCs w:val="18"/>
          <w:color w:val="auto"/>
        </w:rPr>
      </w:pPr>
    </w:p>
    <w:p>
      <w:pPr>
        <w:ind w:left="640" w:hanging="316"/>
        <w:spacing w:after="0" w:line="28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40" w:lineRule="exact"/>
        <w:rPr>
          <w:rFonts w:ascii="Arial" w:cs="Arial" w:eastAsia="Arial" w:hAnsi="Arial"/>
          <w:sz w:val="17"/>
          <w:szCs w:val="17"/>
          <w:color w:val="auto"/>
        </w:rPr>
      </w:pPr>
    </w:p>
    <w:p>
      <w:pPr>
        <w:ind w:left="64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media coverage and other events that harm our brand and reputation could adversely affect our revenue and the size, engagement, and loyalty of our customer base.</w:t>
      </w:r>
    </w:p>
    <w:p>
      <w:pPr>
        <w:spacing w:after="0" w:line="17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has been and might continue to be harmed by changes in business, economic, or political conditions that impact global financial markets, or by a systemic market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right="6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success depends on the continuing efforts of our key employees and our ability to attract and retain senior management and other highly skilled personnel.</w:t>
      </w:r>
    </w:p>
    <w:p>
      <w:pPr>
        <w:spacing w:after="0" w:line="176"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66" w:lineRule="exact"/>
        <w:rPr>
          <w:rFonts w:ascii="Arial" w:cs="Arial" w:eastAsia="Arial" w:hAnsi="Arial"/>
          <w:sz w:val="18"/>
          <w:szCs w:val="18"/>
          <w:color w:val="auto"/>
        </w:rPr>
      </w:pPr>
    </w:p>
    <w:p>
      <w:pPr>
        <w:ind w:left="640" w:right="80" w:hanging="316"/>
        <w:spacing w:after="0" w:line="24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6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involved in numerous litigation matters that are expensive and time consuming, and, if resolved adversely, could expose us to significant liability and reputational harm.</w:t>
      </w:r>
    </w:p>
    <w:p>
      <w:pPr>
        <w:spacing w:after="0" w:line="17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operate in highly competitive markets, and many of our competitors have greater resources than we do and may have products and services that are more appealing than ours to our current or potential customers.</w:t>
      </w:r>
    </w:p>
    <w:p>
      <w:pPr>
        <w:spacing w:after="0" w:line="163"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retain existing customers or attract new customers, or if our customers decrease their use of our products and services, our revenue will decline.</w:t>
      </w:r>
    </w:p>
    <w:p>
      <w:pPr>
        <w:spacing w:after="0" w:line="16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provide and monetize new and innovative products and services that are adopted by customers, our business may become less competitive and our revenue might decline.</w:t>
      </w:r>
    </w:p>
    <w:p>
      <w:pPr>
        <w:spacing w:after="0" w:line="176"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products and services rely on software and systems that are highly technical and have been, and may in the future be, subject to interruption and instability due to software errors, design defects, and other operational and technological failures, whether internal or external.</w:t>
      </w:r>
    </w:p>
    <w:p>
      <w:pPr>
        <w:spacing w:after="0" w:line="16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third parties to perform some key functions, and their failure to perform those functions could adversely affect our business, financial condition and results of operations.</w:t>
      </w:r>
    </w:p>
    <w:p>
      <w:pPr>
        <w:spacing w:after="0" w:line="16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could be materially and adversely affected by a cybersecurity breach or other attack involving our computer systems or data or those of our customers or third-party service providers.</w:t>
      </w:r>
    </w:p>
    <w:p>
      <w:pPr>
        <w:spacing w:after="0" w:line="17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do not maintain the net capital levels required by regulators, our broker-dealer business may be restricted and we may be fined or subject to other disciplinary or corrective actions.</w:t>
      </w:r>
    </w:p>
    <w:p>
      <w:pPr>
        <w:spacing w:after="0" w:line="16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203" w:lineRule="exact"/>
        <w:rPr>
          <w:rFonts w:ascii="Arial" w:cs="Arial" w:eastAsia="Arial" w:hAnsi="Arial"/>
          <w:sz w:val="18"/>
          <w:szCs w:val="18"/>
          <w:color w:val="auto"/>
        </w:rPr>
      </w:pPr>
    </w:p>
    <w:p>
      <w:pPr>
        <w:jc w:val="both"/>
        <w:ind w:left="640" w:hanging="316"/>
        <w:spacing w:after="0" w:line="232" w:lineRule="auto"/>
        <w:tabs>
          <w:tab w:leader="none" w:pos="635" w:val="left"/>
        </w:tabs>
        <w:numPr>
          <w:ilvl w:val="0"/>
          <w:numId w:val="18"/>
        </w:numPr>
        <w:rPr>
          <w:rFonts w:ascii="Arial" w:cs="Arial" w:eastAsia="Arial" w:hAnsi="Arial"/>
          <w:sz w:val="21"/>
          <w:szCs w:val="21"/>
          <w:color w:val="auto"/>
        </w:rPr>
      </w:pPr>
      <w:r>
        <w:rPr>
          <w:rFonts w:ascii="Arial" w:cs="Arial" w:eastAsia="Arial" w:hAnsi="Arial"/>
          <w:sz w:val="18"/>
          <w:szCs w:val="18"/>
          <w:color w:val="auto"/>
        </w:rPr>
        <w:t>The prices of cryptocurrencies are extremely volatile. Fluctuations in the price of various cryptocurrencies might cause uncertainty in the market and could negatively impact trading volumes of cryptocurrencies, which would adversely affect the success of our business, financial condition and results of operations.</w:t>
      </w:r>
    </w:p>
    <w:p>
      <w:pPr>
        <w:spacing w:after="0" w:line="187" w:lineRule="exact"/>
        <w:rPr>
          <w:rFonts w:ascii="Arial" w:cs="Arial" w:eastAsia="Arial" w:hAnsi="Arial"/>
          <w:sz w:val="21"/>
          <w:szCs w:val="21"/>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support for Crypto Wallet transfers, spending accounts, and debit card services increases the risk that our platform could be exploited to facilitate illegal payments, potentially resulting in enforcement actions, fines, and civil liability.</w:t>
      </w:r>
    </w:p>
    <w:p>
      <w:pPr>
        <w:spacing w:after="0" w:line="203" w:lineRule="exact"/>
        <w:rPr>
          <w:rFonts w:ascii="Arial" w:cs="Arial" w:eastAsia="Arial" w:hAnsi="Arial"/>
          <w:sz w:val="18"/>
          <w:szCs w:val="18"/>
          <w:color w:val="auto"/>
        </w:rPr>
      </w:pPr>
    </w:p>
    <w:p>
      <w:pPr>
        <w:ind w:left="640" w:hanging="316"/>
        <w:spacing w:after="0" w:line="226" w:lineRule="auto"/>
        <w:tabs>
          <w:tab w:leader="none" w:pos="635" w:val="left"/>
        </w:tabs>
        <w:numPr>
          <w:ilvl w:val="0"/>
          <w:numId w:val="18"/>
        </w:numPr>
        <w:rPr>
          <w:rFonts w:ascii="Arial" w:cs="Arial" w:eastAsia="Arial" w:hAnsi="Arial"/>
          <w:sz w:val="21"/>
          <w:szCs w:val="21"/>
          <w:color w:val="auto"/>
        </w:rPr>
      </w:pPr>
      <w:r>
        <w:rPr>
          <w:rFonts w:ascii="Arial" w:cs="Arial" w:eastAsia="Arial" w:hAnsi="Arial"/>
          <w:sz w:val="18"/>
          <w:szCs w:val="18"/>
          <w:color w:val="auto"/>
        </w:rPr>
        <w:t>Substantial future issuances and sales of shares of our Class A common stock in the public market could result in significant dilution to our stockholders and cause the trading price of our Class A common stock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40" w:hanging="316"/>
        <w:spacing w:after="0" w:line="232" w:lineRule="auto"/>
        <w:tabs>
          <w:tab w:leader="none" w:pos="635" w:val="left"/>
        </w:tabs>
        <w:numPr>
          <w:ilvl w:val="0"/>
          <w:numId w:val="19"/>
        </w:numPr>
        <w:rPr>
          <w:rFonts w:ascii="Arial" w:cs="Arial" w:eastAsia="Arial" w:hAnsi="Arial"/>
          <w:sz w:val="21"/>
          <w:szCs w:val="21"/>
          <w:color w:val="auto"/>
        </w:rPr>
      </w:pPr>
      <w:r>
        <w:rPr>
          <w:rFonts w:ascii="Arial" w:cs="Arial" w:eastAsia="Arial" w:hAnsi="Arial"/>
          <w:sz w:val="18"/>
          <w:szCs w:val="18"/>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business and prospects and increases the risks associated with an investment in our Class A common stock.</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began operations in 2013, publicly launched our first product in 2015, and have since continued to introduce new products and services to our platform. As a result,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 For example, most of our operating history coincided with an extended period of general macroeconomic growth in the United States, particularly in U.S. equity markets, as well as growth in the financial services and technology industries in which we operate. We therefore have not experienced any prolonged downturn or slowdown in macroeconomic or industry growth or any significant prolonged downturn in U.S. equity markets and we might not be able to respond effectively to any such downturn or slowdown in the future, such as if the current environment marked by higher interest rates and rising inflation continues or worsens. We have also encountered, and will continue to encounter, risks and difficulties frequently experienced by growing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We might fail to adequately address these and other challenges we may face, and our business will be adversely affected if we do not manage these risks successfully. In addition, we might not achieve sufficient revenue to maintain positive cash flows from operations or profitability in any given period, or at all.</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grown rapidly in recent years and we have limited operating experience at our current scale. If we are unable to manage our business effectively, including the size of our workforce, our financial performance might suffer and our brand and company culture could be harmed.</w:t>
      </w:r>
    </w:p>
    <w:p>
      <w:pPr>
        <w:spacing w:after="0" w:line="16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expanded our operations rapidly and have limited operating experience at our current size and scale. Between December 31, 2019 and December 31, 2021, our employee headcount increased from approximately 700 to approximately 3,800, and as of March 31, 2022, we had approximately 3,900 employees. In April 2022, we announced the April 2022 Restructuring involving approximately 330 employees, representing approximately 9% of our full-time employees at that time, and as of June 30, 2022 we had approximately 3,400 employees. In August 2022, we announced the August 2022 Restructuring involving approximately 780 employees, representing approximately 23% of our full-time employees and reducing our headcount to approximately 2,600 employees. We have also scaled back hiring plans for the remainder of 2022. We face a risk that our efforts to control costs could result in reduced productivity and deteriorating workforce morale, which could cause our business initiatives to suffer.</w:t>
      </w:r>
    </w:p>
    <w:p>
      <w:pPr>
        <w:spacing w:after="0" w:line="23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current market conditions improve, we face a risk that renewed business growth could strain our existing resources, and we could experience ongoing operating difficulties in managing our business across numerous jurisdictions, including difficulties in hiring, training, and managing a dispersed employee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business growth strategy contemplates significant expenditures for marketing, acquisitions, expansion into new countries and markets, enhancements to our current offerings and development of new products and services, and these efforts might not be successful. In addition, our business is highly dependent on our technology platform, and we also rely on certain third-party service providers and computer systems. Any failure to maintain or upgrade our technology or network infrastructure effectively to support our growth, particularly if our customer base grows and we experience any corresponding surges in trading volume, or any interruption in the third-party services or deterioration in the quality of their service or performance, could result in unanticipated system disruptions, partial or full platform outages or other performance problems which have in the past and might in the future result in degraded service, costly litigation, regulatory and U.S. Congressional inquiries, examinations and investigations, customer dissatisfaction, arbitration and complaints and reputational harm and might have an adverse effect on our business. For example, we experienced (i) the March 2020 Outages and (ii) partial service outages and degraded service on our cryptocurrency platform from time to time in mid-April and early May 2021 caused by a surging demand for cryptocurrency trading (the “April-May 2021 Disruptions”). In addition, our customer service team has historically experienced, from time to time, and continues to experience backlogs responding to customer support requests, including in connection with the April-May 2021 Disruptions, and reviewing new account applications, due to significant spikes in volumes. Further, any growth must be accomplished in a manner that is consistent with regulatory requirements that apply to our business. If we do not adapt to meet these evolving challenges and requirements, or if our management team does not effectively scale with such growth, we might experience erosion to our brand, the quality of our products and services might suffer, we might face regulatory obstacles, including adverse enforcement actions, other regulatory restrictions or limitations, or failure to obtain regulatory approvals required for certain types of growth, and our company culture might be harmed. We might also experience difficulties in providing adequate customer support to our customer base. Failure to improve, maintain or increase customer support now or in the future could inhibit our growth.</w:t>
      </w:r>
    </w:p>
    <w:p>
      <w:pPr>
        <w:spacing w:after="0" w:line="23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Because we have limited experience operating our business at its current scale, it is difficult to evaluate our current business and future prospects, including our ability to plan for and model potential future growth. Our limited operating experience at this scale, combined with the rapidly evolving nature of the market for our products and services, substantial uncertainty concerning how these markets might develop, the complex regulatory regimes applicable to different aspects of our business, and other factors beyond our control, reduces our ability to accurately forecast quarterly or annual results and to predict the risks and challenges we might encounter.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grow in line with historical rates.</w:t>
      </w:r>
    </w:p>
    <w:p>
      <w:pPr>
        <w:spacing w:after="0" w:line="21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grown rapidly over the last few years. In particular, from March 2020 through June 2021, we experienced a significant increase in revenue, MAU, AUC, and Net Cumulative Funded Accounts. For example, for full years 2019, 2020, and 2021, our revenue was $278 million, $959 million, and $1,815 million, respectively, representing annual growth of 245% in 2020 and 89% in 2021. Similarly, at year-end 2019, 2020, and 2021 we had Net Cumulative Funded Accounts of 5.1 million, 12.5 million, and 22.7 million, respectively, representing annual growth of 143% in 2020 and 81% in 2021.</w:t>
      </w:r>
    </w:p>
    <w:p>
      <w:pPr>
        <w:spacing w:after="0" w:line="23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circumstances that accelerated the growth of our business over the last few years have not continued, and might not return in the future, and we expect our growth rates in revenue, MAU, AUC, and Net Cumulative Funded Accounts to decline in future periods, and such declines could be significant. It is also possible that revenue, MAU, AUC, and Net Cumulative Funded Accounts might fail to grow at all, and might decline. For example, during the first half of 2021 we experienced high trading volume and account sign-ups as well as high market volatility, particularly in certain market sectors, but those growth factors were largely absent during the second half of 2021. Sequentially from the first half of 2021 compared to the second half of 2021, revenue declined by 33% and Net Cumulative Funded Accounts remained roughly flat. For the first half of 2022, total net revenues decreased by 43% while Net Cumulative Funded Accounts remained roughly flat compared to the second half of 2021. You should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rely on our revenue or key business metrics for any previous quarterly or annual period as any indication of our revenue, revenue growth, key business metrics or key business metrics growth in future periods. Our historical annual revenue growth rates are likely to decline in future periods as the size of our business grows and as we achieve higher market adoption rates. We might be negatively impacted as the pandemic wanes and customers spend less time at home. We might also experience declines in our revenue growth rate (or negative growth) as a result of a number of other factors, including slowing demand for our platform, insufficient growth in the number of customers that utilize our platform, macroeconomic factors, increasing competition, a decrease in the growth of our overall market, or our failure to continue to capitalize on growth opportunities, including as a result of our inability to scale to meet such growth and economic conditions that could reduce financial activity and the maturation of our business, among others. For instance, the current market environment has been marked by higher interest rates and rising inflation, which has negatively impacted Net Cumulative Funded Accounts and MAU and will likely continue to do so if such environment persists or worsens. Any failure to successfully address these risks and challenges as we encounter them, will negatively affect our growth. If our revenue growth rate declines, investors’ perceptions of our business and the trading price of our Class A common stock could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and other operating metrics fluctuate from quarter to quarter, which makes these metrics difficult to predict.</w:t>
      </w:r>
    </w:p>
    <w:p>
      <w:pPr>
        <w:spacing w:after="0" w:line="22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results of operations are heavily reliant on the level of trading activity on our platform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spacing w:after="0" w:line="247"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our ability to retain and engage existing customers and attract new customers;</w:t>
      </w:r>
    </w:p>
    <w:p>
      <w:pPr>
        <w:spacing w:after="0" w:line="39"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color w:val="auto"/>
        </w:rPr>
        <w:t>the timing and success of new product and service introductions by us or our competitors, or other changes in the competitive landscape of our market;</w:t>
      </w:r>
    </w:p>
    <w:p>
      <w:pPr>
        <w:spacing w:after="0" w:line="1" w:lineRule="exact"/>
        <w:rPr>
          <w:rFonts w:ascii="Arial" w:cs="Arial" w:eastAsia="Arial" w:hAnsi="Arial"/>
          <w:sz w:val="21"/>
          <w:szCs w:val="21"/>
          <w:color w:val="auto"/>
        </w:rPr>
      </w:pPr>
    </w:p>
    <w:p>
      <w:pPr>
        <w:ind w:left="640" w:hanging="316"/>
        <w:spacing w:after="0" w:line="250"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the market generally or the occurrence of so-called “meme” trading in equities, options, or cryptocurrencies, which can cause our trading volumes to fluctuate;</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the occurrence of so-called “meme” trading in equities, options, or cryptocurrencies;</w:t>
      </w:r>
    </w:p>
    <w:p>
      <w:pPr>
        <w:spacing w:after="0" w:line="39"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color w:val="auto"/>
        </w:rPr>
        <w:t>increases in marketing, sales, compensation (for example, due to increased headcount), cloud infrastructure, and other operating expenses that we might incur to grow and expand our operations and to remain competitive;</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the timing and amount of non-cash expenses, such as share-based compensation and asset impairment;</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the success of our expansion into new markets;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trading volume and the prevailing trading prices for cryptocurrencies, which can be highly volatile;</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changes in the public’s perception, adoption, and use of cryptocurrencies and other asset classes;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any inability of customers to place trades, due to system disruptions, outages, or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any events that damage customer confidence in Robinhood, such as breaches of security or privacy;</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the impacts of the ongoing COVID-19 pandemic, unemployment, and inflation; and</w:t>
      </w:r>
    </w:p>
    <w:p>
      <w:pPr>
        <w:spacing w:after="0" w:line="40"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changes in tax laws or judicial or regulatory interpretations of tax laws, which are recorded in the period such laws are enacted or interpretations are issued, and might significantly affect the effective tax rate of that period.</w:t>
      </w:r>
    </w:p>
    <w:p>
      <w:pPr>
        <w:spacing w:after="0" w:line="24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Any of the factors above or listed elsewhere in this Risk Factors section, or the cumulative effect of some of those factors, could result in significant fluctuations in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might not be profitable in the future.</w:t>
      </w:r>
    </w:p>
    <w:p>
      <w:pPr>
        <w:spacing w:after="0" w:line="21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incurred operating losses each year from our inception in 2013 through 2019, including net losses of $6 million, $58 million, and $107 million for years 2017, 2018, and 2019, respectively. Although we generated positive net income for 2020, we returned to a net loss position for 2021 as our operating expenses increased substantially. Although we are actively evaluating ways to reduce our operating expenses, we might not be able to increase our revenue and/or reduce our operating expenses by sufficient amounts to become profitable again. If we are unable to generate adequate revenue to offset our operating expenses, we will continue to incur operating losses, which could be significant, and we might not be able to achieve profitability in the future.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a majority of our revenue is transaction-based (including PFOF), factors that affect transaction-based revenue—such as reduced spreads in securities pricing, reduced levels of trading activity generally, changes in our business relationships with market makers, and any new regulation of, or any bans on, PFOF and similar practices—might result in reduced profitability, increased compliance costs, and negative publicity.</w:t>
      </w:r>
    </w:p>
    <w:p>
      <w:pPr>
        <w:spacing w:after="0" w:line="15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 majority of our revenue is transaction-based, in that we receive consideration in exchange for routing our users’ equity, option, and cryptocurrency trade orders to market makers for execution. With respect to equities and options trading, such fees are known as payment for order flow, or “PFOF.” With respect to cryptocurrency trading,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market makers. In addition, the regulatory landscape involving cryptocurrencies is subject to change and is experiencing rapid evolution, and future regulatory actions or policies could reduce demand for cryptocurrency trading and might materially decrease our revenue derived from Transaction Rebates in absolute terms and as a proportion of our total revenues.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Relationships with Market Makers</w:t>
      </w:r>
    </w:p>
    <w:p>
      <w:pPr>
        <w:spacing w:after="0" w:line="26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PFOF and Transaction Rebate arrangements with market makers are a matter of practice and business understanding and not documented under binding contracts. If any of these market makers were unwilling to continue to receive orders from us or to pay us for those orders (including, for example, as a result of unusually high volatility), we might have little to no recourse and, if there are no other market makers that are willing to receive such orders from us or to pay us for such orders, or if we are unable to find replacement market makers in a timely manner, our transaction-based revenue would be negatively impacted. This risk is particularly heightened for cryptocurrencies because fewer market makers are currently able to execute cryptocurrency trades. Furthermore, if market makers decide to alter our fee structure, our transaction-based revenue could significantly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of PFOF</w:t>
      </w:r>
    </w:p>
    <w:p>
      <w:pPr>
        <w:spacing w:after="0" w:line="26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PFOF practices have drawn heightened scrutiny from the U.S. Congress, the SEC, state regulators, and other regulatory and legislative authorities. For example, in November 2018, the SEC amended its rules relating to broker-dealer disclosure of order handling and routing to require that, among other things, such public disclosures must now describe additional detail regarding terms of PFOF arrangements and profit-sharing relationships that may influence a broker-dealer’s routing decision, including information about average rebates the broker received from, and fees the broker paid to, market makers. As previously disclosed, in December 2020, we settled an SEC investigation into our best execution and PFOF practices and are defending putative class actions in federal district courts relating to the same factual allegations. Additionally, our PFOF practices were the subject of a line of critical questioning during a February 18, 2021 U.S. Congressional hearing related to the Early 2021 Trading Restrictions (defined above). We also face a risk that the SEC, other regulatory authorities, or legislative bodies might adopt additional regulation or legislation relating to PFOF practices as a result of such heightened scrutiny or otherwise, including regulation that could substantially limit or ban such practices, or pursue additional inquiries or investigations relating to PFOF practices. For example, a bill to direct the SEC to study and consider banning or limiting PFOF in the form of exchange rebates or payments from market centers to broker dealers, conflicts of interest based on PFOF arrangements, and the impact of PFOF on the quality of order execution passed out of the House Financial Services Committee in July 2021. In an August 2021 interview, Gary Gensler, Chair of the SEC, commented that a full ban of PFOF was “on the table.” Also in a June 2022 keynote address to an investor conference (the “June 2022 Keynote”), Chair Gensler indicated that he had instructed the staff of the SEC to make rulemaking recommendations to the SEC regarding a variety of market issues and practices, including minimum pricing increments, the National Best Bid and Offer, disclosure of order execution quality, best execution, PFOF, exchange rebates and related access fees, and order-by-order competition (including the possibility of requiring that orders be routed into an open auction system). Any new or heightened PFOF regulation could result in increased compliance costs and otherwise materially decrease our transaction-based revenue, might also make it more difficult for us to expand our platform in certain jurisdictions, and could require us to make significant changes to our revenue model, which changes might not be successful. Because some of our competitors either do not engage in PFOF or derive a lower percentage of their revenues from PFOF than we do, any such heightened regulation or ban of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Negative Publicity Associated with PFOF or our Market Makers</w:t>
      </w:r>
    </w:p>
    <w:p>
      <w:pPr>
        <w:spacing w:after="0" w:line="26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Additionally, any negative publicity surrounding PFOF or Transaction Rebate practices generally, or our implementation of these practices, could harm our brand and reputation. For example, as a result of the Early 2021 Trading Restrictions, we faced allegations that our decision to temporarily prevent our customers from purchasing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might themselves generate negative publicity associated with PFOF.</w:t>
      </w:r>
    </w:p>
    <w:p>
      <w:pPr>
        <w:spacing w:after="0" w:line="23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if our customers or potential customers believe that they might get better execution quality (including better price improvement) directly from stock exchanges or from our competitors that have different execution arrangements, or if our customers perceive our PFOF practices to create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 Some customers might prefer to invest through our competitors that do not engage in PFOF or Transaction Rebate practices or engage in them differently than do we. Any such loss of customer engagement as a result of any negative publicity associated with PFOF or Transaction Rebate practices could adversely affect our business, financial condition, and results of operations.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6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registered broker-dealers, we are subject to “best execution” requirements under SEC guidelines and FINRA rules, which requires us to obtain the best reasonably available terms for customer orders, as described in Part I, Item 1 “Business” of our 2021 Form 10-K. As previously disclosed, in December 2019 and 2020, we settled an SEC investigation and FINRA disciplinary action, respectively, that related to our best execution practices. We face a risk of additional investigations or penalties in the future related to our best execution practices.</w:t>
      </w:r>
    </w:p>
    <w:p>
      <w:pPr>
        <w:spacing w:after="0" w:line="23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also might be adversely affected in the future by regulatory changes related to our obligations with regard to best execution. In particular, PFOF practices and best execution requirements have drawn heightened scrutiny from the U.S. Congress, the SEC, and other regulatory and legislative authorities, who have at times alleged that PFOF arrangements, like those we have with our market makers, can result in harm to customer execution quality. In his September 2021 testimony before the U.S. Senate Committee on Banking, Housing and Urban Affairs, Gary Gensler, Chair of the SEC, described a number of on-going projects he had instructed SEC staff to pursue related to market structure, including review of PFOF, best execution in the context of the National Best Bid and Offer system, and cryptocurrency asset markets and trading platforms. Chair Gensler made similar comments in his October 2021 testimony before the U.S. House Committee on Financial Services, including noting that the National Best Bid and Offer system might benefit from modernization and might no longer necessarily be an appropriate baseline from which to measure price improvement in the context of assessing best execution (together with his September 2021 testimony, the “Gensler Market Structure Testimony”). And in his June 2022 Keynote, Chair Gensler indicated he has instructed SEC staff to make rulemaking recommendations on these topics. There is a risk that these bodies might adopt additional regulation relating to PFOF practices and best execution requirements as a result of such heightened scrutiny or otherwise. Any such regulation could have a material adverse impact on our business and our primary source of revenue.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Maintaining adequate liquidity is crucial to our securities brokerage and our money services business operations, including key functions such as transaction settlement, custody requirements, and margin lending. The SEC, FINRA, and various state regulators also have stringent rules with respect to the maintenance of specific levels of net capital by securities broker-dealers. We meet our liquidity needs primarily from working capital and cash generated by customer activity, as well as from external debt and equity financing. As of June 30, 2022, on a consolidated basis we had $6.0 billion in cash and cash equivalents and $2.91 billion available under our existing credit facilities. Despite these resources, increases in the number of customers, and fluctuations in customer cash or deposit balances, as well as market conditions or changes in regulatory treatment of customer deposits, could affect our ability to meet our liquidity needs.</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our clearing and carrying broker-dealer is subject to cash deposit and collateral requirements under the rules of the clearinghouses in which it participates (including the DTC, NSCC,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 future and, if we are unable to satisfy our deposit requirements, the clearinghouse may cease to act for us and may liquidate our unsettled clearing portfolio.</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Self-Regulatory Organizations (“SROs”) or state regulators, and could ultimately lead to the liquidation of our broker-dealers or other regulated entities. Factors which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withdrawals of customer assets.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might also need additional capital to continue to support our business and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a result of a cease-and-desist order issued by the SEC on December 17, 2020 and our related settlement in connection with the SEC’s investigation of our best execution and PFOF practices, we are currently an “ineligible issuer,” as the term is defined under Rule 405 of the Securities Act, and we will remain an ineligible issuer until December 17, 2023. As long as we are an ineligible issuer, we will generally be prevented from using free writing prospectuses and recorded roadshows in securities offerings, and we will not qualify as a “well-known seasoned issuer” (“WKSI”) (which status we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otherwise likely achieve by August 2022). We will therefore be unable to take advantage of benefits associated with WKSI status, such as the ability to file universal shelf registration statements on Form S-3 that are automatically effective. These restrictions could impair our ability to raise additional capital quickly in response to changing requirements and market conditions.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Unfavorable media coverage and other events that harm our brand and reputation could adversely affect our revenue and the size, engagement, and loyalty of our customer base.</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 and our customers, even if factually incorrect or based on isolated incidents.</w:t>
      </w:r>
    </w:p>
    <w:p>
      <w:pPr>
        <w:spacing w:after="0" w:line="23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receive a high volume of media coverage, which has increased as our company has grown and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 such as the March 2020 Outages and the April-May 2021 Disruptions,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 could result in unfavorable media</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coverage or publicity. For example, we received customer complaints and significant media attention as a result of the Early 2021 Trading Restrictions.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Damage to our brand and reputation could also be caused by:</w:t>
      </w:r>
    </w:p>
    <w:p>
      <w:pPr>
        <w:spacing w:after="0" w:line="217" w:lineRule="exact"/>
        <w:rPr>
          <w:sz w:val="20"/>
          <w:szCs w:val="20"/>
          <w:color w:val="auto"/>
        </w:rPr>
      </w:pPr>
    </w:p>
    <w:p>
      <w:pPr>
        <w:ind w:left="640" w:hanging="316"/>
        <w:spacing w:after="0" w:line="226"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cybersecurity attacks, privacy or data security breaches, or other security incidents, payment disruptions or other incidents that impact the reliability of our platform;</w:t>
      </w:r>
    </w:p>
    <w:p>
      <w:pPr>
        <w:spacing w:after="0" w:line="41" w:lineRule="exact"/>
        <w:rPr>
          <w:rFonts w:ascii="Arial" w:cs="Arial" w:eastAsia="Arial" w:hAnsi="Arial"/>
          <w:sz w:val="21"/>
          <w:szCs w:val="21"/>
          <w:color w:val="auto"/>
        </w:rPr>
      </w:pPr>
    </w:p>
    <w:p>
      <w:pPr>
        <w:jc w:val="both"/>
        <w:ind w:left="640" w:hanging="316"/>
        <w:spacing w:after="0" w:line="232"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actual or alleged illegal, negligent, reckless, fraudulent or otherwise inappropriate behavior by our management team, our other employees or contractors, our customers or third-party service providers as well as complaints or negative publicity about such individuals;</w:t>
      </w:r>
    </w:p>
    <w:p>
      <w:pPr>
        <w:spacing w:after="0" w:line="2"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April 2022 and August 2022 restructurings or any similar such reductions or activities in the future;</w:t>
      </w:r>
    </w:p>
    <w:p>
      <w:pPr>
        <w:spacing w:after="0" w:line="44" w:lineRule="exact"/>
        <w:rPr>
          <w:rFonts w:ascii="Arial" w:cs="Arial" w:eastAsia="Arial" w:hAnsi="Arial"/>
          <w:sz w:val="18"/>
          <w:szCs w:val="18"/>
          <w:color w:val="auto"/>
        </w:rPr>
      </w:pPr>
    </w:p>
    <w:p>
      <w:pPr>
        <w:ind w:left="640" w:hanging="316"/>
        <w:spacing w:after="0" w:line="226"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any repeat imposition of temporary trading restrictions (similar to our Early 2021 Trading Restrictions), or any outright failure to meet our deposit requirements;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litigation involving, or regulatory actions or investigations into, our platform or our business;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any failures to comply with legal, tax and regulatory requirements;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any perceived or actual weakness in our financial strength or liquidity;</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any regulatory action that results in changes to, or prohibits us from offering, certain features or services;</w:t>
      </w:r>
    </w:p>
    <w:p>
      <w:pPr>
        <w:spacing w:after="0" w:line="40"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changes to our policies, features or services that customers or others perceive as overly restrictive, unclear, inconsistent with our values or mission, or not clearly articulated;</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a failure to operate our business in a way that is consistent with our values and mission;</w:t>
      </w:r>
    </w:p>
    <w:p>
      <w:pPr>
        <w:spacing w:after="0" w:line="39" w:lineRule="exact"/>
        <w:rPr>
          <w:rFonts w:ascii="Arial" w:cs="Arial" w:eastAsia="Arial" w:hAnsi="Arial"/>
          <w:sz w:val="21"/>
          <w:szCs w:val="21"/>
          <w:color w:val="auto"/>
        </w:rPr>
      </w:pPr>
    </w:p>
    <w:p>
      <w:pPr>
        <w:ind w:left="640" w:right="20" w:hanging="316"/>
        <w:spacing w:after="0" w:line="226"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inadequate or unsatisfactory customer support experiences. For example, prior to October 2021, we did not offer general customer support by telephone for all use cases;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negative responses by customers or regulators to our business model or to particular features or services;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a failure to adapt to new or changing customer preferences;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line="226"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8"/>
          <w:szCs w:val="18"/>
          <w:color w:val="auto"/>
        </w:rPr>
        <w:t>a prolonged weakness in popular equities or cryptocurrencies specifically or in U.S. equity and cryptocurrency markets generally, or a sustained downturn in the U.S. economy; and</w:t>
      </w:r>
    </w:p>
    <w:p>
      <w:pPr>
        <w:spacing w:after="0" w:line="41"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8"/>
          <w:szCs w:val="18"/>
          <w:color w:val="auto"/>
        </w:rPr>
        <w:t>any of the foregoing with respect to our competitors, to the extent the resulting negative perception affects the public’s perception of us or our industry as a whole.</w:t>
      </w:r>
    </w:p>
    <w:p>
      <w:pPr>
        <w:spacing w:after="0" w:line="24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These and other events could negatively impact the willingness of our existing customers, and potential new customers, to do business with us, which could adversely affect our trading volumes and number of funded accounts, as well as our ability to recruit and retain personnel, any of which could have an adverse effect on our business, financial condition, and results of operations, as well as the trading price of our Class A common stock.</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business has been and might continue to be harmed by changes in business, economic, or political conditions that impact global financial markets, or by a systemic market event.</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we are a financial services company, our business, results of operations, and reputation are directly affected by elements beyond our control, such as economic and political conditions including unemployment rates, inflation and tax and interest rates, financial market volatility (such as we experienced during the COVID-19 pandemic), significant increases in the volatility or trading volume of particular securities or cryptocurrencies (such as we experienced during the meme stock events of early 2021 and the Dogecoin surge of mid-2021), broad trends in business and finance, changes in volume of securities or cryptocurrencies trading generally, changes in the markets in which such transactions occur (such as the bear markets that developed for equities and crypto in the second quarter of 2022), and changes in how such transactions are processed. These elements can arise suddenly and the full impact of such conditions could remain uncertain indefinitely. Because a large percentage of our customers are first time investors, we might be disproportionately affected by declines in investor confidence caused by adverse economic conditions. In the second quarter of 2022, our daily average revenue trades for options and equities declined by 17% and 13%, while daily average revenue trades for cryptocurrencies increased by 12%, respectively, from the prior quarter. A prolonged market weakness, such as a slowdown causing reduced trading volume in securities, derivatives, or cryptocurrency markets, could result in reduced revenues and adversely affect our business, financial condition, and results of operations. Significant downturns in such markets or in general economic and political conditions could also cause individuals to be reluctant to make their own investment decisions and thus decrease the demand for our products and services and could also result in our customers reducing their engagement with our platform. Conversely, significant upturns in such markets or conditions might cause individuals to be less proactive in seeking ways to improve the returns on their trading or investment decisions and, thus, decrease the demand for our products and services. Any of these changes could cause our future performance to be uncertain or unpredictable, and could have an adverse effect on our business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impact of the COVID-19 pandemic on our business, financial condition, and results of operations is uncertain.</w:t>
      </w:r>
    </w:p>
    <w:p>
      <w:pPr>
        <w:spacing w:after="0" w:line="26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Following the March 2020 onset of the COVID-19 pandemic, we saw substantial growth in our user base, retention, engagement, and trading activity metrics, and over the course of the pandemic we saw periodic all-time highs achieved by the equity markets generally. During this period, market volatility, stay-at-home orders, and increased interest in investing and personal finance, coupled with low interest rates and a positive market environment, especially in the U.S. equity and cryptocurrency markets, helped foster an environment that encouraged an unprecedented number of first-time retail investors to become our users and begin trading on our platform.</w:t>
      </w:r>
    </w:p>
    <w:p>
      <w:pPr>
        <w:spacing w:after="0" w:line="23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However, we have seen the growth of our user base in recent periods slow compared to the accelerated growth we experienced in 2020 and the first half of 2021. For example, the pace of growth in new funded accounts slowed considerably in the second half of 2021 (compared to the first half of 2021) and remained roughly flat in the first half of 2022. Additionally, to the extent that government stimulus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measures enacted in response to the pandemic contributed to an increase in customer engagement, that benefit might not have continued as those stimulus measures have expired. For example, we saw MAU decline from 21.3 million in June 2021 to 14.0 million in June 2022. Further, if the financial markets continue to experience a downturn, we might have difficulty retaining customers, particularly first-time retail investors, who might elect not to continue to invest in the financial markets by trading on our platform or at all due to any number of factors: as a result of a prolonged downturn, a lack of access to additional stimulus funds, the ability to resume pre-COVID-19 activities, or otherwise. To the extent that customer preferences revert to pre-COVID-19 behaviors or the financial markets experience reduced volatility or prolonged decline, our trading volumes and transaction-based revenues could continue to decline.</w:t>
      </w:r>
    </w:p>
    <w:p>
      <w:pPr>
        <w:spacing w:after="0" w:line="23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The COVID-19 pandemic and the various measures instituted by governments and businesses to mitigate its spread, including travel restrictions, stay-at-home orders and quarantine restrictions, could adversely impact our customers, employees and business partners, and continue to disrupt our operations, including as the pandemic and related supply-chain disruptions contribute to a general slowdown in the global economy. The COVID-19 pandemic has resulted, in part, in inefficiencies and delays in our business, operational challenges, additional costs related to business continuity initiatives as our workforce continues to work remotely, and increased vulnerability to cybersecurity attacks or other privacy or data security incidents. The extent of the continuing impact of COVID-19 on our business, financial condition and results of operations will depend largely on future developments, including the duration of the pandemic, actions taken to contain COVID-19 or address its impact, our ability to adapt to the long-term distributed Remote First workforce model we have adopted, the impact on capital and financial markets, and the related impact on the financial circumstances of our customers, all of which are highly uncertain and difficult to predict. The future of remote work and our physical office build-out strategy have been challenged by the COVID-19 pandemic, which might adversely affect successful cross-functional collaboration, product development velocity, and our company culture. In particular, our new Remote First workforce model increases risk of culture drift and could lead to lower operational effectiveness. As vaccination rates among the population have increased, we have opened our corporate offices and provided access to all employees across the country, and starting in July 2022 we no longer require proof of vaccination or a negative test for entry into our offices. Even after the COVID-19 outbreak has subsided, we might continue to experience adverse impacts to our business as a result of the global economic impact, including the availability of credit, adverse impacts on our liquidity, and any recession that has occurred or might occur in the future. A sustained or prolonged COVID-19 pandemic or a resurgence could exacerbate the factors described above and intensify the impact on our business.</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senior management and other highly skilled personnel.</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Co-Founder and CEO, Vladimir Tenev, and our Co-Founder and Chief Creative Officer, Baiju Bhatt, have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these agreements have no specific duration and are terminable by either party at-will. We do not maintain key person life insurance policies on any of our employees.</w:t>
      </w:r>
    </w:p>
    <w:p>
      <w:pPr>
        <w:spacing w:after="0" w:line="23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might not be successful in attracting, integrating, or retaining qualified personnel to fulfill our current or future needs. In particular, there is particularly high competition in the San Francisco Bay Area for software engineers, computer scientists, and other technical personnel. In the fourth quarter of 2021, we experienced higher rates of employee attrition as well as recruiting challenges in the post-IPO context. We might continue to experience difficulty in hiring and retaining highly skilled employees with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qualifications. Given our heavy emphasis on share-based compensation, the continuing declines in our stock price (which make previously-granted share-based compensation less valuable) are exacerbating the difficulty of recruiting, retaining, and motivating highly skilled personnel. Attrition and workforce reductions (such as the April 2022 and August 2022 restructurings) could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w:t>
      </w:r>
    </w:p>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believe that a critical component of our efforts to attract and retain employees has been our corporate culture. We have invested substantial time and resources in building our team. As we continue to grow our business and expand internationally, we will face new challenges to maintain our corporate culture among more geographically dispersed employees. Our transition to having a more dispersed, remote-working employee base might contribute to these challenges. Failure to preserve our company culture could harm our ability to retain and recruit personnel.</w:t>
      </w:r>
    </w:p>
    <w:p>
      <w:pPr>
        <w:spacing w:after="0" w:line="23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If we are unable to attract, integrate, or retain our key employees and qualified and highly skilled personnel, our ability to effectively focus on and pursue our corporate objectives will decline, and our business and future growth prospects could be harmed.</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Future acquisitions of, or investments in, other companies, products, technologies or specialized employees could require significant management attention, disrupt our business, dilute stockholder value, and adversely affect our results of operations.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part of our business strategy, we might make acquisitions of, or investments in, specialized employees or other compatible companies, products, or technologies. We also might enter into relationships with other businesses in order to expand our products and services. Negotiating these transactions can be time-consuming, difficult, and expensive and our ability to close these transactions might be subject to third-party approvals, such as governmental and other regulatory approvals, which are beyond our control. For example, in April 2022 we signed a definitive agreement to acquire Ziglu Limited, a U.K.-based electronic money institution and crypto-asset firm, subject to regulatory approvals and other customary closing conditions. Ziglu enables its U.K.-based customers to buy and sell eleven cryptocurrencies, earn yield via its ‘Boost’ products, pay using a debit card, and move and spend money, even abroad, without fees. We expect its team and technology will help us accelerate our international expansion, both in the U.K. and across Europe, however, our ability to close this transaction is subject to receipt of required regulatory approvals,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Further, we might not be able to find suitable acquisition or investment candidates and we might not be able to complete acquisitions on favorable terms, if at all. Moreover, these kinds of acquisitions or investments can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results of operations. If we acquire businesses or technologies, including our pending acquisition of Ziglu, we might not be able to integrate the acquired personnel, operations, and technologies successfully, or effectively manage the combined business following the acquisition. Moreover, the anticipated benefits of any acquisition or investment might not be realized and we might be exposed to unknown liabilities.</w:t>
      </w:r>
    </w:p>
    <w:p>
      <w:pPr>
        <w:spacing w:after="0" w:line="23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intend to expand into international markets, which will expose us to significant new risks, and our international expansion efforts might not succeed.</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currently do not offer services to the public outside the United States. However, we currently have corporate subsidiaries, offices, and some employees or contractors, in each of the U.K. and the Netherlands (and, in the case of the U.K., our U.K. subsidiary Robinhood U.K. Ltd is authorized and regulated by the U.K. Financial Conduct Authority). We also expect that our pending acquisition of Ziglu, which is subject to receipt of required regulatory approvals, if completed, will help us accelerate our international expansion, both in the U.K. and across Europe. Any delay in completing, or any termination of, the Ziglu acquisition could significantly delay our European expansion plans, particularly with respect to cryptocurrency trading.</w:t>
      </w:r>
    </w:p>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intend to expand our operations to other countries outside of the United States, including and beyond the pending U.K. acquisition described above. International expansion will require significant resources and management attention and will subject us to regulatory, economic, operational, and political risks in addition to those we already face in the United States. There are significant risks and costs inherent in establishing and doing business in international markets, including:</w:t>
      </w:r>
    </w:p>
    <w:p>
      <w:pPr>
        <w:spacing w:after="0" w:line="274" w:lineRule="exact"/>
        <w:rPr>
          <w:sz w:val="20"/>
          <w:szCs w:val="20"/>
          <w:color w:val="auto"/>
        </w:rPr>
      </w:pPr>
    </w:p>
    <w:p>
      <w:pPr>
        <w:ind w:left="640" w:hanging="316"/>
        <w:spacing w:after="0" w:line="226"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41" w:lineRule="exact"/>
        <w:rPr>
          <w:rFonts w:ascii="Arial" w:cs="Arial" w:eastAsia="Arial" w:hAnsi="Arial"/>
          <w:sz w:val="21"/>
          <w:szCs w:val="21"/>
          <w:color w:val="auto"/>
        </w:rPr>
      </w:pPr>
    </w:p>
    <w:p>
      <w:pPr>
        <w:jc w:val="both"/>
        <w:ind w:left="640" w:hanging="316"/>
        <w:spacing w:after="0" w:line="235"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the need to understand, interpret and comply with local laws, regulations and customs in multiple jurisdictions, including laws and regulations governing cryptocurrency-related, broker-dealer or regulated entity practices, some of which might require permissions, registrations, authorizations, licenses or consents, or might be different from, or conflict with, those of other jurisdictions or foreign cybersecurity, data privacy or labor and employment laws;</w:t>
      </w:r>
    </w:p>
    <w:p>
      <w:pPr>
        <w:spacing w:after="0" w:line="43"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the additional complexities of any merger or acquisition activity internationally, which would be new for us and could subject us to additional regulatory scrutiny or approvals;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Arial" w:cs="Arial" w:eastAsia="Arial" w:hAnsi="Arial"/>
          <w:sz w:val="18"/>
          <w:szCs w:val="18"/>
          <w:color w:val="auto"/>
        </w:rPr>
        <w:t>the need to adapt, localize, and position our products for specific countries (also known as “product-market fit”);</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4"/>
        </w:numPr>
        <w:rPr>
          <w:rFonts w:ascii="Arial" w:cs="Arial" w:eastAsia="Arial" w:hAnsi="Arial"/>
          <w:sz w:val="21"/>
          <w:szCs w:val="21"/>
          <w:color w:val="auto"/>
        </w:rPr>
      </w:pPr>
      <w:r>
        <w:rPr>
          <w:rFonts w:ascii="Arial" w:cs="Arial" w:eastAsia="Arial" w:hAnsi="Arial"/>
          <w:sz w:val="18"/>
          <w:szCs w:val="18"/>
          <w:color w:val="auto"/>
        </w:rPr>
        <w:t>increased competition from local providers of similar products and services;</w:t>
      </w:r>
    </w:p>
    <w:p>
      <w:pPr>
        <w:spacing w:after="0" w:line="40"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41"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the need to offer customer support and other aspects of our offering (including websites, articles, blog posts, and customer support documentation) in various languages or locations;</w:t>
      </w:r>
    </w:p>
    <w:p>
      <w:pPr>
        <w:spacing w:after="0" w:line="41" w:lineRule="exact"/>
        <w:rPr>
          <w:rFonts w:ascii="Arial" w:cs="Arial" w:eastAsia="Arial" w:hAnsi="Arial"/>
          <w:sz w:val="21"/>
          <w:szCs w:val="21"/>
          <w:color w:val="auto"/>
        </w:rPr>
      </w:pPr>
    </w:p>
    <w:p>
      <w:pPr>
        <w:jc w:val="both"/>
        <w:ind w:left="640" w:hanging="316"/>
        <w:spacing w:after="0" w:line="232"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compliance with anti-bribery laws, such as the Foreign Corrupt Practices Act (the “FCPA”) and equivalent anti-money laundering rules and requirements, and with anti-bribery and anti-corruption requirements in local markets, by us, our employees, and our business partners;</w:t>
      </w:r>
    </w:p>
    <w:p>
      <w:pPr>
        <w:spacing w:after="0" w:line="42" w:lineRule="exact"/>
        <w:rPr>
          <w:rFonts w:ascii="Arial" w:cs="Arial" w:eastAsia="Arial" w:hAnsi="Arial"/>
          <w:sz w:val="21"/>
          <w:szCs w:val="21"/>
          <w:color w:val="auto"/>
        </w:rPr>
      </w:pPr>
    </w:p>
    <w:p>
      <w:pPr>
        <w:ind w:left="640" w:right="20" w:hanging="316"/>
        <w:spacing w:after="0" w:line="226"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the need to recruit and manage staff in new countries and regions to support international operations, and comply with employment law, payroll, and benefits requirements in multiple countries;</w:t>
      </w:r>
    </w:p>
    <w:p>
      <w:pPr>
        <w:spacing w:after="0" w:line="41"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the need to enter into new business partnerships with third-party service providers in order to provide products and services in the local market, or to meet regulatory obligations;</w:t>
      </w:r>
    </w:p>
    <w:p>
      <w:pPr>
        <w:spacing w:after="0" w:line="41"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line="226" w:lineRule="auto"/>
        <w:tabs>
          <w:tab w:leader="none" w:pos="635" w:val="left"/>
        </w:tabs>
        <w:numPr>
          <w:ilvl w:val="0"/>
          <w:numId w:val="25"/>
        </w:numPr>
        <w:rPr>
          <w:rFonts w:ascii="Arial" w:cs="Arial" w:eastAsia="Arial" w:hAnsi="Arial"/>
          <w:sz w:val="21"/>
          <w:szCs w:val="21"/>
          <w:color w:val="auto"/>
        </w:rPr>
      </w:pPr>
      <w:r>
        <w:rPr>
          <w:rFonts w:ascii="Arial" w:cs="Arial" w:eastAsia="Arial" w:hAnsi="Arial"/>
          <w:sz w:val="18"/>
          <w:szCs w:val="18"/>
          <w:color w:val="auto"/>
        </w:rPr>
        <w:t>fluctuations in currency exchange rates and the requirements of currency control regulations, which might restrict or prohibit conversion of other currencies into U.S. dollars;</w:t>
      </w:r>
    </w:p>
    <w:p>
      <w:pPr>
        <w:spacing w:after="0" w:line="41"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5"/>
        </w:numPr>
        <w:rPr>
          <w:rFonts w:ascii="Arial" w:cs="Arial" w:eastAsia="Arial" w:hAnsi="Arial"/>
          <w:sz w:val="21"/>
          <w:szCs w:val="21"/>
          <w:color w:val="auto"/>
        </w:rPr>
      </w:pPr>
      <w:r>
        <w:rPr>
          <w:rFonts w:ascii="Arial" w:cs="Arial" w:eastAsia="Arial" w:hAnsi="Arial"/>
          <w:sz w:val="18"/>
          <w:szCs w:val="18"/>
          <w:color w:val="auto"/>
        </w:rPr>
        <w:t>taxation of our international earnings and potentially adverse tax consequences due to requirements of or changes in the income and other tax laws of the United States or the international jurisdictions in which we operate; and</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5"/>
        </w:numPr>
        <w:rPr>
          <w:rFonts w:ascii="Arial" w:cs="Arial" w:eastAsia="Arial" w:hAnsi="Arial"/>
          <w:sz w:val="21"/>
          <w:szCs w:val="21"/>
          <w:color w:val="auto"/>
        </w:rPr>
      </w:pPr>
      <w:r>
        <w:rPr>
          <w:rFonts w:ascii="Arial" w:cs="Arial" w:eastAsia="Arial" w:hAnsi="Arial"/>
          <w:sz w:val="18"/>
          <w:szCs w:val="18"/>
          <w:color w:val="auto"/>
        </w:rPr>
        <w:t>political or social change or unrest or economic instability in a specific country or region in which we operate.</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funding transaction losses due to reversals or insufficient funds.</w:t>
      </w:r>
    </w:p>
    <w:p>
      <w:pPr>
        <w:spacing w:after="0" w:line="26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spacing w:after="0" w:line="16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While we have policies and procedures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subject to a wide variety of local, state, federal, and international laws, regulations, licensing schemes, and industry standards in the United States and in other countries in which we operate. These laws, regulations, and standards govern numerous areas that are important to our business, and include, or might in the future include, those relating to all aspects of the securities industry, money transmission, foreign exchange, payments services (such as payment processing and settlement services), cryptocurrency, trading in shares and fractional shares, fraud detection, consumer protection, anti-money laundering, escheatment, sanctions regimes and export controls, data privacy, data protection, and data security.</w:t>
      </w:r>
    </w:p>
    <w:p>
      <w:pPr>
        <w:spacing w:after="0" w:line="18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substantial costs and uncertainties related to complying with these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Regulation</w:t>
      </w:r>
    </w:p>
    <w:p>
      <w:pPr>
        <w:spacing w:after="0" w:line="26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broker-dealers, our subsidiaries RHF and RHS are subject to extensive regulation by federal, state and non-U.S. regulators and SROs, and are subject to laws and regulations covering all aspects of the securities industry. Federal, state and non-U.S. regulators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us for violating applicable laws, rules, or regulations.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Money-Transmitter Regulation</w:t>
      </w:r>
    </w:p>
    <w:p>
      <w:pPr>
        <w:spacing w:after="0" w:line="26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money transmitters, our subsidiaries RHC and RHY are subject to regulation, primarily at the state level. We are also subject to regulation by the Consumer Financial Protection Bureau (the “CFPB”). We have obtained or are in the process of obtaining licenses to operate as a money transmitter (or as another type of regulated financial services institution, as applicable) in the United States and in the states where this is required. As a licensed money transmitter, we are subject to obligations and restrictions with respect to the investment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22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From time to time, we have been subject, and, given the highly regulated nature of the industries in which we operate, we expect that we will be subject in the future, to a number of legal and regulatory examinations and investigations arising out of our business practices and operations, conducted by the SEC or FINRA, other federal agencies such as the U.S. Department of Treasury’s Office of Foreign Assets Control (“OFAC”), and state regulatory agencies, such as the MSD, the California Attorney General’s Office, and the NYDFS,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w:t>
      </w:r>
    </w:p>
    <w:p>
      <w:pPr>
        <w:spacing w:after="0" w:line="237" w:lineRule="exact"/>
        <w:rPr>
          <w:sz w:val="20"/>
          <w:szCs w:val="20"/>
          <w:color w:val="auto"/>
        </w:rPr>
      </w:pPr>
    </w:p>
    <w:p>
      <w:pPr>
        <w:ind w:left="640" w:hanging="316"/>
        <w:spacing w:after="0" w:line="24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December 2020, we settled an SEC investigation under which we paid a $65 million civil penalty and agreed to engage an independent compliance consultant.</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June 2021, we resolved multiple matters with FINRA (including investigations into systems outages, our options product offering, and margin-related communications with customers), resulting in censure, fines and restitution of $70 million, and engagement of an independent consultant.</w:t>
      </w:r>
    </w:p>
    <w:p>
      <w:pPr>
        <w:spacing w:after="0" w:line="2" w:lineRule="exact"/>
        <w:rPr>
          <w:rFonts w:ascii="Arial" w:cs="Arial" w:eastAsia="Arial" w:hAnsi="Arial"/>
          <w:sz w:val="18"/>
          <w:szCs w:val="18"/>
          <w:color w:val="auto"/>
        </w:rPr>
      </w:pPr>
    </w:p>
    <w:p>
      <w:pPr>
        <w:jc w:val="both"/>
        <w:ind w:left="640" w:hanging="316"/>
        <w:spacing w:after="0" w:line="262"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connection with the Early 2021 Trading Restrictions, we and our employees, including our co-founder and CEO, Vladimir Tenev, have received requests for information, and in some cases, subpoenas and requests for testimony from the USAO (as defined below), the U.S. Department of Justice, Antitrust Division, the SEC staff, FINRA, the New York Attorney General’s Office, other state attorneys general offices, and a number of state securities regulators. Also, a related search warrant was executed by the USAO to obtain Mr. Tenev’s cell phone. We have also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occurred after the decision to impose the Early 2021 Trading Restrictions and before the public announcement of the Early 2021 Trading Restrictions on January 28, 2021. We are cooperating with these investigations and examinations.</w:t>
      </w:r>
    </w:p>
    <w:p>
      <w:pPr>
        <w:spacing w:after="0" w:line="22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These and other proceedings, some of which are described in Note 14 to our unaudited condensed consolidated financial statements in this Quarterly Report, have in the past and might in the future relate to broker-dealer and financial services rules and regulations, including our trading and supervisory policies and procedures, our clearing practices, our trade reporting, our public communications, our compliance with FINRA registration requirements, anti-money laundering and other financial crimes regulations, cybersecurity matters, and our business continuity plans, among other topics. These sorts of proceedings, inquiries, examinations, investigations, and other regulatory matters might subject us to fines, penalties, and monetary settlements, harm our reputation and brand, require substantial management attention, result in additional compliance requirements, result in certain of our subsidiaries losing their regulatory licenses or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connection with litigation settlements, we have in the past and might in the future be required to make expenditures to enhance our compliance activities. For example, the independent consultant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engaged in connection with the June 2021 FINRA multi-matter settlement delivered its initial report in December 2021. While we believe we have made significant improvements to address FINRA’s original allegations, the independent consultant recommended additional</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enhancements in certain areas identified in the settlement. Implementing these recommendations has required significant effort and expense.</w:t>
      </w:r>
    </w:p>
    <w:p>
      <w:pPr>
        <w:spacing w:after="0" w:line="255"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Additionally, our broker-dealer subsidiaries are registered in the United States but are not licensed, authorized, or registered in any other jurisdiction. Under the terms of our customer agreements, we currently offer services only to U.S. citizens and permanent residents with a legal address within the United States or Puerto Rico, and our application includes features designed to block access to our services from certain</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countries. However, to the extent a customer accesses our application or services from outside the United States,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20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Various lawmakers, regulators and other public officials have recently made statements about our business and that of other broker-dealers and signaled an increased focus on new or additional laws or regulations that, if acted upon, could impact our business. Over three days in the spring of 2021, the Committee on Financial Services of the U.S. House of Representatives held hearings on the January 2021 market volatility and disruptions surrounding GameStop and other “meme” stocks at which various members of Congress expressed concerns about various market practices, including PFOF and options trading. In his testimony, Chair Gensler indicated that he had instructed the staff of the SEC to study, and in some cases make rulemaking recommendations to the SEC regarding, a variety of market issues and practices, including PFOF, so-called gamification, and whether broker-dealers are adequately disclosing their policies and procedures around potential trading restrictions; whether margin requirements and other payment requirements are sufficient; and whether broker-dealers have appropriate tools to manage their liquidity and risk. Chair Gensler also discussed the use of mobile app features such as rewards, bonuses, push notifications, and other prompts. Chair Gensler suggested that such prompts could promote behavior that is not in the interest of the customer, such as excessive trading. Chair Gensler also advised that he had directed the SEC staff to consider whether expanded enforcement mechanisms are necessary. On August 27, 2021, the SEC issued a request for information and public comment on matters related to the use of digital engagement practices by broker-dealers and investment advisers, including behavioral prompts, differential marketing, game-like features, and other design elements or features designed to engage with retail investors on digital platforms (e.g., websites, portals, and applications), as well as related analytical and technological tools and methods. In an August 2021 interview, Chair Gensler commented that a full ban on PFOF was “on the table.” Chair Gensler also described a number of on-going projects he had instructed SEC staff to pursue related to market structure in the Gensler Market Structure Testimony. Also in October 2021, the SEC staff released its report on the equity and options market structure conditions surrounding the Early 2021 Trading Restrictions, which concluded in part that the episode may "present an opportunity to reflect" on market structure issues such as digital engagement practices, PFOF, dark pool trading, and other structures that affect Robinhood’s operations. In June 2022, the majority staff of the House Financial Services Committee released a report on the market events surrounding the Early 2021 Trading Restrictions, which alleged that “Robinhood exhibited troubling business practices, inadequate risk management, and a culture that prioritized growth above stability” and concluded in part that Congress should adopt legislation requiring the SEC and FINRA to study how market rules and supervision should evolve to address social media driven market activity. Also in his June 2022 Keynote, Chair Gensler indicated that he had instructed the staff of the SEC to make rulemaking recommendations to the SEC regarding a variety of market issues and practices, including minimum pricing increments, the National Best Bid and Offer, disclosure of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execution quality, best execution, PFOF, exchange rebates and related access fees, and order-by-order competition (including the possibility of requiring that orders be routed into an open auction system). The spring 2022 regulatory agenda published by the SEC also indicated that the SEC would consider proposing rules in October 2022 to modernize equity market structure, including possible new rules on PFOF, best execution (amendments to Rule 605), market concentration, the disclosure of best execution statistics, and certain other practices.</w:t>
      </w:r>
    </w:p>
    <w:p>
      <w:pPr>
        <w:spacing w:after="0" w:line="23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on March 18, 2021, FINRA issued a regulatory notice reminding member firms of their obligations with respect to maintaining margin requirements, customer order handling, and effectively managing liquidity, with a particular focus on best execution practices and the need for member firms to make “meaningful disclosures” to inform customers of a firm’s order handling procedures during extreme market conditions. Further, at a public conference on May 19, 2021, FINRA indicated an intention to solicit public feedback, such as through notices or surveys, regarding so-called gamification in order to determine whether to adopt additional guidance or additional rules in that regard. Also, on June 23, 2021, FINRA issued a regulatory notice reminding member firms of the requirement that customer order flow be directed to markets providing the “most beneficial terms for their customers” and indicated that member firms may not negotiate the terms of order routing arrangements in a manner that reduces price improvement opportunities that would otherwise be available to those customers in the absence of PFOF. The impact that this notice might have on the ability of market participants to enter into PFOF arrangements, if any, has not been determined.</w:t>
      </w:r>
    </w:p>
    <w:p>
      <w:pPr>
        <w:spacing w:after="0" w:line="23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September 2021, FINRA announced that it is reviewing firms’ use of social media marketing, including social media influencers, which is a marketing channel that we actively utilize. In February 2022, FINRA opened an investigation into our use of social media marketing. Any limits that FINRA might impose on our use of this marketing channel could make it more difficult for us to attract new customers, resulting in slower growth.</w:t>
      </w:r>
    </w:p>
    <w:p>
      <w:pPr>
        <w:spacing w:after="0" w:line="23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March 8, 2022, FINRA issued a regulatory notice requesting comment on complex products and options including, among other things, "whether the current regulatory framework, which was adopted at a time when the majority of individuals accessed financial products through financial professionals, rather than through self-directed platforms, 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expose us to significant liability and reputational harm.</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insurance matters, privacy and cybersecurity disputes, intellectual property disputes, contract disputes, consumer protection matters, and employment matters. This risk might be more pronounced during market downturns, during which the volume of legal claims and amount of damages sought in litigation and regulatory proceedings against financial services companies have historically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For more information about the legal proceedings in which we are currently involved, see Note 14 to our unaudited condensed consolidated financial statements in this Quarterly Report.</w:t>
      </w:r>
    </w:p>
    <w:p>
      <w:pPr>
        <w:spacing w:after="0" w:line="2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Litigation matters brought against us might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anti-corruption, anti-bribery, economic and trade sanctions, anti-money laundering, and counter-terror financing that could impair our ability to compete in international markets or subject us to criminal or civil liability if we violate them.</w:t>
      </w:r>
    </w:p>
    <w:p>
      <w:pPr>
        <w:spacing w:after="0" w:line="22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required to comply with U.S. economic and trade sanctions administered by OFAC and we have processes in place to facilitate compliance with the OFAC regulations. As part of our customer onboarding process, in accordance with the Customer Identification Program rules under Section 326 of the USA PATRIOT ACT of 2001,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w:t>
      </w:r>
    </w:p>
    <w:p>
      <w:pPr>
        <w:spacing w:after="0" w:line="23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subject to the FCPA, U.S. domestic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23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that prohibit, among other things, our involvement in transferring the proceeds of criminal activities. In the United States, most of our services are subject to anti-money laundering laws and regulations, including the Bank Secrecy Act, as amended (“BSA”), and similar laws and regulations. The BSA is the primary U.S. anti-money laundering law and has been amended to include certain provisions of Title III of the USA PATRIOT ACT of 2001 to detect, deter, and disrupt terrorist financing networks. Regulators in the United States continue to increase their scrutiny of compliance with these obligations. For example, in July 2020, the NYDFS issued a report of its examination of our cryptocurrency business citing a number of “matters requiring attention” focused primarily on anti-money laundering and cybersecurity-related issues, which we expect will result in a significant monetary penalty and a requirement that we engage a monitor.</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Although our operations are currently concentrated in the United States (with the limited exception of our U.K. and Dutch subsidiaries, which have U.K.- and Netherlands-based employees and contractors, but currently have no customers), we intend to expand internationally and we will become subject to additional non-U.S. laws, rules, regulations, and other requirements regarding economic and trade sanctions, anti-money laundering, and counter-terror financing. In order to comply with applicable laws, we will need to further revise or expand our compliance program, including the procedures we use to verify the identity of our customers and to monitor transactions on our system, including payments to persons outside of the United States. The need to comply with multiple sets of laws, rules,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and other requirements could substantially increase our compliance costs, impair our ability to compete in international markets, and subject us to risk of criminal or civil liability for violations.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Attracting, Retaining, and Engaging Customers</w:t>
      </w:r>
    </w:p>
    <w:p>
      <w:pPr>
        <w:spacing w:after="0" w:line="16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4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and technology platforms. The majority of our competitors have longer operating histories and greater capital resources 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and no account minimums, since their introduction on our platform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 into business combinations or partnerships, or established companies in other market segments expand to become competitive with our business.</w:t>
      </w:r>
    </w:p>
    <w:p>
      <w:pPr>
        <w:spacing w:after="0" w:line="200" w:lineRule="exact"/>
        <w:rPr>
          <w:sz w:val="20"/>
          <w:szCs w:val="20"/>
          <w:color w:val="auto"/>
        </w:rPr>
      </w:pPr>
    </w:p>
    <w:p>
      <w:pPr>
        <w:spacing w:after="0" w:line="24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240"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maintaining competitive pricing;</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providing easy-to-use, innovative, and attractive products and services that are adopted by customers;</w:t>
      </w:r>
    </w:p>
    <w:p>
      <w:pPr>
        <w:spacing w:after="0" w:line="22" w:lineRule="exact"/>
        <w:rPr>
          <w:rFonts w:ascii="Arial" w:cs="Arial" w:eastAsia="Arial" w:hAnsi="Arial"/>
          <w:sz w:val="21"/>
          <w:szCs w:val="21"/>
          <w:color w:val="auto"/>
        </w:rPr>
      </w:pPr>
    </w:p>
    <w:p>
      <w:pPr>
        <w:ind w:left="640" w:hanging="316"/>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17"/>
          <w:szCs w:val="17"/>
          <w:color w:val="auto"/>
        </w:rPr>
        <w:t>retaining customers (such as by providing effective customer support and avoiding outages, security breaches, and trading restrictions);</w:t>
      </w:r>
    </w:p>
    <w:p>
      <w:pPr>
        <w:spacing w:after="0" w:line="12" w:lineRule="exact"/>
        <w:rPr>
          <w:rFonts w:ascii="Arial" w:cs="Arial" w:eastAsia="Arial" w:hAnsi="Arial"/>
          <w:sz w:val="20"/>
          <w:szCs w:val="20"/>
          <w:color w:val="auto"/>
        </w:rPr>
      </w:pPr>
    </w:p>
    <w:p>
      <w:pPr>
        <w:ind w:left="640" w:hanging="316"/>
        <w:spacing w:after="0" w:line="238" w:lineRule="auto"/>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recruiting and retaining highly skilled personnel and senior management;</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maintaining and improving our reputation and the market perception of our brand and overall value;</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maintaining our relationships with our counterparties; and</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adjusting to a dynamic regulatory environment.</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revenue will decline.</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experienced significant customer growth over the past several years, including a significant fraction of new customers, often more than 50%, who have told us that Robinhood is their first brokerage account. We have historically relied significantly on our customers joining organically or through the Robinhood Referral Program, which accounted for over 80% of the customers that joined our platform in each of 2020 and 2021. Our continued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spacing w:after="0" w:line="247"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a decline in our brand and reputation;</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increased pricing for our products and services;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ineffective marketing efforts or a reduction in marketing activity;</w:t>
      </w:r>
    </w:p>
    <w:p>
      <w:pPr>
        <w:spacing w:after="0" w:line="40"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8"/>
          <w:szCs w:val="18"/>
          <w:color w:val="auto"/>
        </w:rPr>
        <w:t>our customers, due to being new and inexperienced, might be less loyal to our product or less likely to maintain historical trading patterns and interest in investing;</w:t>
      </w:r>
    </w:p>
    <w:p>
      <w:pPr>
        <w:spacing w:after="0" w:line="41"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8"/>
          <w:szCs w:val="18"/>
          <w:color w:val="auto"/>
        </w:rPr>
        <w:t>a broad decline in the equity or other financial markets, which could result in many of these investors feeling discouraged and exiting the markets altogether;</w:t>
      </w:r>
    </w:p>
    <w:p>
      <w:pPr>
        <w:spacing w:after="0" w:line="41"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8"/>
          <w:szCs w:val="18"/>
          <w:color w:val="auto"/>
        </w:rPr>
        <w:t>our customers experiencing difficulties using the Robinhood app as intended, due to any number of reasons such as design errors, service outages, or trading restrictions imposed by us;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our customers experiencing security or data breaches, account intrusions, or other unauthorized access;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our failure to provide adequate customer service;</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customer resistance to and non-acceptance of cryptocurrencies; and</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customer dissatisfaction with the limited number of cryptocurrencies available on our platform.</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customers may choose to cease using our platform,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 The total value of outbound ACATS, an automated industry system for account asset transfers, was $4.2 billion in the first quarter of 2021, involving 5.2% of AUC from approximately 206,000 accounts, as compared to outbound ACATS transfers of $0.5 billion, involving 1.2% of AUC from approximately 24,000 accounts during each quarter of 2020 on average.</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fail to provide and monetize new and innovative products and services that are adopted by customers, our business may become less competitive and our revenue might decline.</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might introduce significant changes to our existing products and services or acquire or introduce new and unproven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including using technologies with which we have little or no prior development or operating experience. Our efforts might be inhibited by industry-wide standards, legal restrictions, incompatible customer expectations, demands, and preferences, or third-party intellectual property rights. Our efforts to innovate might also be delayed or blocked by new or enhanced regulatory scrutiny or technical complications. Incorporating new technologies into our products and services might require substantial expenditures and take considerable time, and we might not be successful in realizing a return on these development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 Systems, and Technology</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products and services rely on software and systems that are highly technical and have been, and may in the future be, subject to interruption and instability due to software errors, design defects, and other operational and technological failures, whether internal or external.</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on technology, including the internet and mobile services, to conduct much of our business activity and allow our customers to conduct financial transactions on our platform. Our systems and operations, including our Cloud-based operations and disaster recovery operations, as well as those of the 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might be particularly vulnerable to any such internal technology failures because we rely heavily on our own self-clearing platform, proprietary order routing system, data platform, and other back-end infrastructure for our operations, and any such failures could have an adverse effect on our reputation, business, financial condition, and results of operations. For example, in December 2018, we experienced a failure of our order routing technology caused by code being inadvertently pushed to the production environment that led to option trades being incorrectly routed, resulting in estimated out-of-pocket losses to us of approximately $1 million.</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might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From time to time media outlets learn of our plans for features (including for example, Crypto Wallets (defined below) in the third quarter of 2021) by examining hidden but unprotected images and code in publicly available beta versions of our app, resulting in unwanted publicity prior to our intended announcement dates.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w:t>
      </w:r>
    </w:p>
    <w:p>
      <w:pPr>
        <w:spacing w:after="0" w:line="23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While we have made, and continue to make, significant investments designed to correct software errors and design defects and to enhance the reliability and scalability of our platform and operations, the risk of software and system failures and design defects is always present, we do not have fully redundant systems, and we might fail to maintain, expand, and upgrade our systems and infrastructure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future requirements and mitigate future risks on a timely basis. It might become increasingly difficult to maintain and improve the availability of our platform, especially as our platform and product offerings become more complex and our customer base grows. For example, the customer waitlist to use our Crypto Wallets feature grew to more than one million users in less than a month. There might be risks related to the technology and operation of Crypto Wallets that we have not yet identified or cannot foresee, and any failure or interruption of the Crypto Wallets feature on our platform could adversely affect our relationships with customers that use this feature.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 If we are unable to identify, troubleshoot, and resolve any such issues successfully, we might no longer be able to support such cryptocurrency, our customers’ assets might be frozen or lost, the security of our hot or cold wallets might be compromised, and our platform and technical infrastructure might be affected.</w:t>
      </w:r>
    </w:p>
    <w:p>
      <w:pPr>
        <w:spacing w:after="0" w:line="22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In addition, surges in trading volume on our platform have in the past and might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the March 2020 Outages resulted in some of our customers being unable to buy and sell securities and other financial products on our platform for a period of time. Similarly, the April-May 2021 Disruptions resulted in some of our customers being unable to buy and sell cryptocurrencies for a period of time. Our platform has otherwise in the past and might in the future experience outages. The March 2020 Outages resulted in putative class action lawsuits, arbitrations, and regulatory examinations and investigations. We provided remediation to many of our customers impacted by the March 2020 Outages through cash payments, resulting in out-of-pocket losses to us of approximately $3.6 million. See Note 14 to our unaudited condensed consolidated financial statements in this Quarterly Report. Disruptions to, destruction of, improper 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20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 substantial majority of our customers’ activity on our platform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Further, we are subject to the standard policies and terms of service of these operating systems, as well as policies and terms of service of the various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might be unfavorable to us and our customers’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In the event that it is more difficult for our customers to access and use our app, or if our customers choose not to access or use our app on their mobile devices or use mobile products that do not offer access to our app, our customer growth and engagement could be adversely affected and our revenues might decline.</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on certain third-party computer systems or third-party service providers, including cloud technology providers such as Amazon Web Services (on which we primarily rely to deliver our services to customers on our platform), internet service providers, payment services providers, market and third-party data providers, regulatory services providers, clearing systems, market makers, exchange systems, banking systems, payment gateways that link us to the payment card and bank clearing networks to process transactions, co-location facilities, communications facilities, and other third-party facilities to run our platform, facilitate trades by our customers, provide the technology we use to manage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are susceptible to operational, technological and security vulnerabilities, including security breaches, which might impact our business, and our ability to monitor our third-party service providers’ data security is limited. In addition, these third-party service providers might rely on subcontractors to provide services to us that face similar risks.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w:t>
      </w:r>
    </w:p>
    <w:p>
      <w:pPr>
        <w:spacing w:after="0" w:line="2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personal data of customers and employees might increase. Third-party risks might include insufficient security measures, data location uncertainty, and the possibility of data storage in inappropriate jurisdictions where laws or security measures might be inadequate, and our ability to monitor our third-party service providers’ data security practices are limited.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service providers.</w:t>
      </w:r>
    </w:p>
    <w:p>
      <w:pPr>
        <w:spacing w:after="0" w:line="14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Our systems and those of our customers and third-party service providers have been and might in the future be vulnerable to cybersecurity issues. We, like other financial technology organizations, routinely are subject to cybersecurity threats and our technologies, systems, and networks have been and might in the future be subject to attempted cybersecurity attacks. Such issues are increasing in frequency and evolving in nature, including employee theft or misuse, denial-of-service attacks, and sophisticated nation-state and nation-state-supported actors engaging in attacks. The operation of our platform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 For instance, in December 2021, a vulnerability was discovered in Apache Software Foundation’s Log4j internet software, which is broadly used (including by us and some of our service providers) in a variety of consumer and enterprise services, websites, applications, and operational technology products. In general, the vulnerability could have allowed malicious attackers to execute code remotely on any exposed computer, which could have enabled the attackers to then steal data, install malware, or take control of the device. We have updated the software to patch the vulnerability and to date we are not aware of any related malicious activity affecting us or our users. Similarly in March 2022 a security breach occurred at Okta, an identity authentication provider that we utilize across our employee base. In general, an attacker with forged or compromised Okta service provider credentials could potentially have accessed several of our sensitive internal systems. Okta reports it has now corrected the issue and working with Okta we have confirmed that such third-party vulnerability was not exploited to gain access to our systems. We have also implemented additional controls to protect against compromised service provider credentials.</w:t>
      </w:r>
    </w:p>
    <w:p>
      <w:pPr>
        <w:spacing w:after="0" w:line="200" w:lineRule="exact"/>
        <w:rPr>
          <w:sz w:val="20"/>
          <w:szCs w:val="20"/>
          <w:color w:val="auto"/>
        </w:rPr>
      </w:pPr>
    </w:p>
    <w:p>
      <w:pPr>
        <w:spacing w:after="0" w:line="24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For example, from January 1, 2020 to October 16, 2020, approximately 2,000 Robinhood customer accounts were allegedly accessed by unauthorized users. We believe these incidents resulted from compromised passwords off of our platform, rather than any failure of our security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Nonetheless, we experienced negative publicity in connection with these events and might in the future experience similar adverse effects relating to real or perceived security incidents, whether or not related to the security of our platform or systems. We have also received customer complaints and been subject 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 Additionally, due to the current COVID-19 pandemic, there is an increased risk that we might experience cybersecurity-related incidents as a result of our employees, service providers and other third parties working remotely on less secure systems and environments. While we take significant efforts to protect our systems and data, including establishing internal processes and implementing technological measures designed to provide multiple layers of security, and contract with third-party service providers to take similar steps, our safety and security measures (and those of our third-party service providers) might be insufficient to prevent damage to, or interruption or breach of, our information systems, data (including personal data), and operations. For example, in November 2021 we experienced a data security incident when an unauthorized third party socially engineered a customer support employee by phone and obtained access to certain customer support systems (the “November 2021 Data Security Incident”). Based on our investigation and that of a third-party security firm, we believe that the unauthorized party obtained names or email addresses for millions of people, phone numbers for several thousand people, additional personal information for a few hundred people, and extensive account details for about ten people, though we believe no Social Security numbers, bank account numbers, or credit or debit card numbers were exposed and that there has been no financial loss to any customers as a result of the incident.</w:t>
      </w:r>
    </w:p>
    <w:p>
      <w:pPr>
        <w:spacing w:after="0" w:line="2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 core aspect of our business is the reliability and security of our platform. Any unauthorized access to or disclosure, loss, destruction, disablement or encryption of, use or misuse of or modification of data, including personal data, cybersecurity breach or other security incident that we, our customers or our third-party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Class A common stock.</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2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subject to a variety of federal, state, local, and non-U.S. laws, directives, rules, policies, industry standards and regulations, as well as contractual obligations, relating to privacy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collection, protection, use, retention, security, disclosure, transfer and other processing of personal data and other data, including the Gramm-Leach-Bliley Act of 1999, Section 5(c) of the Federal Trade Commission Act and state laws such as the California Consumer Privacy Act. We will also face particular privacy, data security and data protection risks if we continue to expand into the U.K. and the EU and other jurisdictions in connection with the General Data Protection Regulation and other data protection regulations.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agencies and state attorneys general and legislatures and consumer protection agencies. For instance, we have in the past (as discussed in Note 14 to our unaudited condensed consolidated financial statements in this Quarterly Report) and might in the future be subject to investigations and examinations by the NYDFS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have received requests for information from FINRA examination staff, the SEC Division of Enforcement, and other regulatory authorities regarding, among other things, the adequacy of our information security measures.</w:t>
      </w:r>
    </w:p>
    <w:p>
      <w:pPr>
        <w:spacing w:after="0" w:line="23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SEC, FINRA, and various state regulators have stringent rules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Exchange Act, which requires broker-dealers to maintain liquidity reserves. Our failure to maintain the required net capital levels could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A large operating loss or charge against net capital could have adverse effects on our ability to maintain or expand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limited operating history, evolving business, and unpredictable periods of rapid growth make it difficult to predict all of the risks and challenges we might encounter and therefore increase the risk that our policies and procedures to identify, monitor and manage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when we launched our fractional shares program in late 2019, based on our understanding of the reporting requirements we did not report proprietary fractional trades to FINRA’s Trade Reporting Facility. Since then, FINRA has informed us that such trades should be reported. As a result, we began reporting fractional shares in January 2021, and we continue to work with FINRA to complete back reporting, which might result in fines or penalties for failing to do so at the time of the trades.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6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could lead to (i) civil penalties, as well as losses and liability as a result of related lawsuits brought by customers and others and any out-of-pocket costs associated with remediating customers for losses, and (ii) the risk of fines or other actions by regulators.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clearing operations also require a commitment of our capital and, despite safeguards implemented by our software, involve risks of losses due to the potential failure of our customers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to manage risks related to our clearing and execution services,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face a risk that such systems and processes might be inadequate. Any liability arising from clearing and margin operations could have an adverse effect on our business, financial condition and results of operations.</w:t>
      </w:r>
    </w:p>
    <w:p>
      <w:pPr>
        <w:spacing w:after="0" w:line="23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market makers, and other counterparties could result in losses.</w:t>
      </w:r>
    </w:p>
    <w:p>
      <w:pPr>
        <w:spacing w:after="0" w:line="24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extend margin credit and leverage to customers, which are collateralized by customer cash and securities. We also borrow and lend securities in connection with our broker-dealer business.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In addition, in accordance with regulatory guidelines, we collateralize borrowings of securities by depositing cash or securities with lenders. Sharp changes in market values of substantial amounts of securities in a short period of time and the failure by parties to the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also exposed to credit risk in our dealings with the market makers to which we route cryptocurrency orders. Unlike equities and option trades, cryptocurrency trades do not settle through any central clearinghouses but rather are conducted under bilateral agreements</w:t>
      </w:r>
    </w:p>
    <w:p>
      <w:pPr>
        <w:spacing w:after="0" w:line="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between us and each crypto market maker. (The risk of the market maker's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obligations are generally unsecured during the interval between delivery and payment. It is not uncommon for us to have an intra-day</w:t>
      </w:r>
    </w:p>
    <w:p>
      <w:pPr>
        <w:spacing w:after="0" w:line="4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outstanding net receivable of $100 million that we are owed by any one cryptocurrency market maker. Similarly, we routinely have unsecured PFOF receivables from equities and options market makers. Any payment default by a market maker could have adverse effects on our financial condition and results of operations.</w:t>
      </w:r>
    </w:p>
    <w:p>
      <w:pPr>
        <w:spacing w:after="0" w:line="23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policies and procedures designed to manage credit risk, but we face a risk that such policies and procedures might not be fully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Providing investment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p>
    <w:p>
      <w:pPr>
        <w:spacing w:after="0" w:line="22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launched (other than in Massachusetts) a recommended portfolio feature for customers who have not yet placed any trades as described further in Part I, Item I “Business” of our 2021 Form 10-K.</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Risks associated with providing investment recommendations include those arising from how we disclose and address possible conflicts of interest, inadequate due diligence, inadequate disclosure, and human error. New regulations, such as the SEC’s Regulation Best Interest and certain state broker-dealer regulations, impose heightened conduct standards and requirements on recommendations to retail investors. In addition, various states are considering potential regulations or have already adopted certain regulations that could impose additional standards of conduct or other obligations on us to the extent we provide investment advice or recommendations to our customers.</w:t>
      </w:r>
    </w:p>
    <w:p>
      <w:pPr>
        <w:spacing w:after="0" w:line="23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provide customers with a variety of educational materials, investment tools, and financial news (including our “Robinhood Snacks” newsletters). Additionally, Robinhood Gold members have access to stock research reports prepared by our third-party collaborator, Morningstar, Inc.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w:t>
      </w:r>
    </w:p>
    <w:p>
      <w:pPr>
        <w:spacing w:after="0" w:line="23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services that we do not consider to be recommendations (such as educational materials and Snacks) are construed as constituting investment advice or recommendations, we could be subject to investigations by regulatory agencies. For example, in December 2020, the Enforcement Section of MSD filed a complaint against us alleging that a fiduciary conduct standard applies to us under Massachusetts securities law by claiming that our product features and marketing strategies amount to investment recommendations. See Note 14 to our unaudited condensed consolidated financial statements in this Quarterly Report for more information. Changes in law or changes in interpretations of existing law might also require us to modify the nature of these services or discontinue them altogether, one or more of which could have an adverse effect on our ability to attract and retain customers. SEC staff members have also suggested that digital engagement practices could be considered recommendations in some circumstances and the spring 2022 regulatory agenda published by the SEC also indicated that the SEC would consider proposing rules in October 2022 for broker-dealers and investment advisers related to the use of predictive data analytics, differential marketing, and behavioral prompts.</w:t>
      </w:r>
    </w:p>
    <w:p>
      <w:pPr>
        <w:spacing w:after="0" w:line="23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To the extent our investment education tools, news,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Cryptocurrency Products and Services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spacing w:after="0" w:line="1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our business continues to grow and we expand cryptocurrency product and service offerings, so do the risks associated with failing to safeguard and manage cryptocurrencies we hold on behalf of our customers. Our success and the success of our offerings requires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spacing w:after="0" w:line="22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hold all cryptocurrencies in custody on behalf of customers in two types of wallets: (i) hot wallets, which are managed online, and (ii) cold wallets, which are managed entirely offline on a computer stored in one or more secure data facilities. We do not utilize third-party custodians but we do utilize technology from a third-party provider to manage our cryptocurrency custody, transfer, and settlement operations. In general, the overwhelming majority of cryptocurrency coins on our platform are held in cold storage, though some coins are held in hot wallets to support day-to-day operations. Under blockchain protocol, in order to access or transfer cryptocurrency stored in a wallet, we need to use a private key. We maintain backup copies of our private keys in multiple separate locations and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or compromised such that cryptocurrencies are sent to one or more private addresses that we do not control, which could result in the loss of some or all of the cryptocurrencies that we hold in custody on behalf of customers. Any such losses could be significant, and we might not be able to obtain insurance coverage for some or all of those losses. Cryptocurrencies and blockchain technologies have been, and might in the future be, subject to security breaches, hacking, or other malicious activities. For example, in August 2021, hackers were able to momentarily take over the Bitcoin SV network, allowing them to spend coins they did not have and prevent transactions from completing. Any loss of private keys relating to, or hack or other compromise of, the hot wallets or cold wallets we use to store our customers’ cryptocurrencies could result in total loss of customers’ cryptocurrencies (because customers’ cryptocurrency balances and cryptocurrency investments are not protected by the Securities Investor Protection Corporation (the “SIPC”)) or adversely affect our customers’ ability to sell their assets, and could result in our being required to reimburse customers for some or all of their losses, subjecting us to significant financial losses. Our insurance coverage for such events is limited and might not cover the extent of loss nor the nature of such loss, in which case we might be liable for the full amount of losses suffered, which could be greater than all of our remaining assets. The total value of cryptocurrencies under our control on behalf of customers is significantly greater than the total value of insurance coverage that would compensate us in the event of theft or other loss of such assets. Additionally, any such security compromises or any business continuity issues affecting our cryptocurrency market makers might affect the ability or willingness of our customers to trade or hold cryptocurrencies on our platform, might result in litigation and regulatory enforcement actions, and could harm customer trust in us and our products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prices of cryptocurrencies are extremely volatile. Fluctuations in the price of various cryptocurrencies might cause uncertainty in the market and could negatively impact trading volumes of cryptocurrencies, which would adversely affect the success of our business, financial condition and results of operations.</w:t>
      </w:r>
    </w:p>
    <w:p>
      <w:pPr>
        <w:spacing w:after="0" w:line="22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price of each cryptocurrency is based in part on market adoption and future expectations, which might or might not be realized. As a result, the prices of cryptocurrencies are highly speculative. The prices of cryptocurrencies have been subject to dramatic fluctuations (including the challenging environment for the whole crypto ecosystem in the second quarter of 2022), which have impacted, and will continue to impact, our trading volumes and operating results and might adversely impact our growth strategy and business. Several factors could affect a cryptocurrency’s price, including, but not limited to:</w:t>
      </w:r>
    </w:p>
    <w:p>
      <w:pPr>
        <w:spacing w:after="0" w:line="273" w:lineRule="exact"/>
        <w:rPr>
          <w:sz w:val="20"/>
          <w:szCs w:val="20"/>
          <w:color w:val="auto"/>
        </w:rPr>
      </w:pPr>
    </w:p>
    <w:p>
      <w:pPr>
        <w:jc w:val="both"/>
        <w:ind w:left="640" w:hanging="316"/>
        <w:spacing w:after="0" w:line="235"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43"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Changes in the software, software requirements or hardware requirements underlying a blockchain network, such as a fork. Forks in the future are likely to occur and could result in a sustained decline in the market price of cryptocurrencies.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Changes in the rights, obligations, incentives, or rewards for the various participants in a blockchain network.</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The maintenance and development of the software protocol of cryptocurrencies.</w:t>
      </w:r>
    </w:p>
    <w:p>
      <w:pPr>
        <w:spacing w:after="0" w:line="40"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Cryptocurrency exchanges’ deposit and withdrawal policies and practices, liquidity on such exchanges and interruptions in service from or failures of such exchanges.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Regulatory measures, if any, that affect the use and value of cryptocurrencies.</w:t>
      </w:r>
    </w:p>
    <w:p>
      <w:pPr>
        <w:spacing w:after="0" w:line="39"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Competition for and among various cryptocurrencies that exist and market preferences and expectations with respect to adoption of individual currencies.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Actual or perceived manipulation of the markets for cryptocurrencies.</w:t>
      </w:r>
    </w:p>
    <w:p>
      <w:pPr>
        <w:spacing w:after="0" w:line="39"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Actual or perceived connections between cryptocurrencies (and related activities such as mining) and adverse environmental effects or illegal activities.</w:t>
      </w:r>
    </w:p>
    <w:p>
      <w:pPr>
        <w:spacing w:after="0" w:line="41"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41" w:lineRule="exact"/>
        <w:rPr>
          <w:rFonts w:ascii="Arial" w:cs="Arial" w:eastAsia="Arial" w:hAnsi="Arial"/>
          <w:sz w:val="21"/>
          <w:szCs w:val="21"/>
          <w:color w:val="auto"/>
        </w:rPr>
      </w:pPr>
    </w:p>
    <w:p>
      <w:pPr>
        <w:ind w:left="640" w:right="20" w:hanging="316"/>
        <w:spacing w:after="0" w:line="226"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Expectations with respect to the rate of inflation in the economy, monetary policies of governments, trade restrictions, and currency devaluations and revaluations.</w:t>
      </w:r>
    </w:p>
    <w:p>
      <w:pPr>
        <w:spacing w:after="0" w:line="24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w:t>
      </w:r>
    </w:p>
    <w:p>
      <w:pPr>
        <w:spacing w:after="0" w:line="23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While we currently support thirteen cryptocurrencies for trading, market interest in particular cryptocurrencies can also be volatile and there are many cryptocurrencies in the market that we do not support. For example, we support trading in Dogecoin and we benefited from a surge in interest for Dogecoin during the second quarter of 2021. For the first, second, and third quarters of 2021,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based revenue attributable to transactions in Dogecoin generated approximately 7%, 32%, and 8% of our total net revenues, respectively. Our business could be adversely affected, and growth in our net revenue earned from cryptocurrency transactions could slow or decline, if the markets for the cryptocurrencies we support deteriorate or if demand moves to other cryptocurrencies not supported by our platform.</w:t>
      </w:r>
    </w:p>
    <w:p>
      <w:pPr>
        <w:spacing w:after="0" w:line="23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 xml:space="preserve">We currently facilitate customer trades for a limited number of cryptocurrencies that we have analyzed under applicable internal policies and procedures and that we believe are not securities under U.S. federal and state securities laws. The legal test for determining whether any given cryptocurrency is a security is a highly complex, fact-driven analysis that evolves over time, and the outcome is difficult to predict. The SEC staff has indicated that the determination of whether or not a cryptocurrency is a security depends on the characteristics and use of that particular asset. The SEC generally does not provide advance guidance or confirmation on the status of any particular cryptocurrency as a security. Occasionally though the SEC and its staff have taken positions that certain cryptocurrencies </w:t>
      </w:r>
      <w:r>
        <w:rPr>
          <w:rFonts w:ascii="Arial" w:cs="Arial" w:eastAsia="Arial" w:hAnsi="Arial"/>
          <w:sz w:val="18"/>
          <w:szCs w:val="18"/>
          <w:i w:val="1"/>
          <w:iCs w:val="1"/>
          <w:color w:val="auto"/>
        </w:rPr>
        <w:t>are</w:t>
      </w:r>
      <w:r>
        <w:rPr>
          <w:rFonts w:ascii="Arial" w:cs="Arial" w:eastAsia="Arial" w:hAnsi="Arial"/>
          <w:sz w:val="18"/>
          <w:szCs w:val="18"/>
          <w:color w:val="auto"/>
        </w:rPr>
        <w:t xml:space="preserve"> securities – often in the context of enforcement actions – and we do not currently support any cryptocurrencies for which the SEC or its staff has taken such a position. Prior public statements by senior officials at the SEC indicate that the SEC does not intend to take the position that Bitcoin or Ethereum are securities (in their current forms). Bitcoin and Ethereum are the only cryptocurrencies as to which senior officials at the SEC have publicly expressed such a view. Moreover, such statements are not official policy statements by the SEC and reflect only the speakers’ views, which are not binding on the SEC or any other agency or court, cannot be generalized to any other cryptocurrency, and might evolve. Similarly, although the SEC’s Strategic Hub for Innovation and Financial Technology published a framework for analyzing whether any given cryptocurrency is a security in April 2019, this framework is also not a rule, regulation, or statement of the SEC and is not binding on the SEC. With respect to all other cryptocurrencies, there is currently no certainty under the applicable legal test that such assets are not securities, and regulators have expressed concerns about cryptocurrency platforms adding multiple new coins, some of which the regulators question might be unregistered securities.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or a court were to determine that a cryptocurrency supported by our platform is a “security” under U.S. law. In July 2022, the SEC filed an insider trading case against, among others, an employee of one of our competitors in which the complaint alleged that certain cryptocurrencies (none of which we currently support) were securities under the Securities Act and the Exchange Act. The status of this action, or any related investigation by regulators, might provide additional guidance on the legal status of cryptocurrencies as securities more generally, which might significantly affect the actual or perceived regulatory status and value of cryptocurrencies we currently support or might support in the future. From time to time, we have received and might in the future receive SEC inquiries regarding specific cryptocurrency listings and added features.</w:t>
      </w:r>
    </w:p>
    <w:p>
      <w:pPr>
        <w:spacing w:after="0" w:line="23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To the extent that the SEC or a court determines that any cryptocurrencies supported by our platform are securities, that determination could prevent us from continuing to facilitate trading of those cryptocurrencies (including delisting from our platform). It could also result in regulatory enforcement penalties and financial losses in the event that we have liability to our customers and need to compensate them for any losses or damages. We could be subject to judicial or administrative sanctions for failing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offer or sell the cryptocurrency in compliance with securities registration requirements, or for acting as a securities broker or dealer without appropriate registration. Such an action could result in injunctions and cease and desist orders, as well as civil monetary penalties, fines, and disgorgement, criminal liability, and reputational harm. Customers that traded such supported cryptocurrency through our platform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A determination by the SEC or a court that a cryptocurrency supported by our platform constitutes a security could also result in our determination that it is advisable to remove other cryptocurrencies from our platform that have similar characteristics to the cryptocurrency that was determined to be a security. Further, if Bitcoin, Ethereum, or any other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Further, any determination that Bitcoin or Ethereum is a security could draw negative publicity and cause a decline in the general acceptance of cryptocurrencies. Also, it would make it more difficult for Bitcoin or Ethereum, as applicable, to be traded, cleared, and custodied as compared to other cryptocurrencies that are not considered to be securities. In addition, our growth might be adversely affected if we are not able to expand our platform to include additional cryptocurrencies that the SEC has determined to be securities or that we believe are likely to be determined to be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laws, regulations, and accounting standards are often difficult to interpret and are rapidly evolving in ways that are</w:t>
      </w:r>
    </w:p>
    <w:p>
      <w:pPr>
        <w:spacing w:after="0" w:line="4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difficult to predict. Changes in these laws and regulations, or our failure to comply with them, could negatively impact cryptocurrency trading on our platform.</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provide users with the ability to buy, hold, and sell a limited number of cryptocurrencies, including Bitcoin, Ethereum, Dogecoin, Compound, Polygon, Shiba Inu, Solana, Chainlink, and Uniswap. Domestic and foreign regulators and governments are increasingly focused on the regulation of cryptocurrencies. In the United States, cryptocurrencies are regulated by both federal and state authorities, depending on the context of their usage.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 among state governments which, along with potential accounting and tax issues or other requirements relating to cryptocurrencies, could impede the growth of our cryptocurrency operations. Additionally, regulation in response to the climate impact of cryptocurrency mining could negatively impact cryptocurrency trading on our platform.</w:t>
      </w:r>
    </w:p>
    <w:p>
      <w:pPr>
        <w:spacing w:after="0" w:line="23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cryptocurrency accounting rules and regulations that we must comply with are complex and subject to interpretation by the FASB, the SEC, and various bodies formed to promulgate and interpret 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no official guidance has been provided by the FASB or the SEC. Accordingly, there remains significant uncertainty as to the appropriate accounting for cryptocurrency asset transactions, cryptocurrency assets, and related revenues. Uncertainties in or changes in regulatory or financial accounting standards could result in the need to change our accounting methods and/or restate our financial statements, and could impair our ability to provide timely and accurate financial information, which could adversely affect our financial statements, and result in a loss of investor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future regulatory actions or policies could limit or restrict cryptocurrency usage, custody, or trading, or the ability to convert cryptocurrencies to fiat currencies. For example, in August 2021, September 2021, October 2021, and April 2022, Chair Gensler remarked on the need for further regulatory oversight of crypto trading and crypto lending platforms. Some lawmakers and regulators have also raised questions about Transaction Rebates from cryptocurrency trading. Transaction Rebates from cryptocurrency trading have historically, and might continue, to comprise a significant percentage of our total net revenues. Any future regulatory actions or policies could reduce the demand for cryptocurrency trading and might materially decrease our revenue derived from Transaction Rebates in absolute terms and as a proportion of our total revenues.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Recently, the SEC staff issued SAB 121 requiring crypto platforms to recognize a liability and a corresponding asset equal to the fair value of the crypto-assets the entity safeguards on behalf of users. Such accounting treatment enhances the information received by investors regarding potential liabilities upon theft or loss of crypto-assets. But such treatment has also caused some users to question how safeguarded crypto-assets would be treated in a platform bankruptcy. We implemented SAB 121 for the quarter ended June 30, 2022, with retrospective application to the beginning of 2022. As a result of (and solely by virtue of) our implementation of SAB 121, the cryptocurrency we custody for users now appears on our balance sheet as an asset. Nonetheless, based on the terms of our user agreement and applicable law, we believe that the cryptocurrency we hold in custody for users of our platform should be respected as users’ property (and should not be available to satisfy the claims of our general creditors) in the event we were to enter bankruptcy. To our knowledge, however, no court has considered the issues that would be presented in such a case. Although we are well-capitalized (with more than $6.0 billion in corporate cash and cash equivalents as of June 30, 2022), to the extent users are concerned that crypto-assets might not be secure in a platform bankruptcy generally, their willingness to hold crypto in custodial accounts and their general interest in trading cryptocurrencies might decline.</w:t>
      </w:r>
    </w:p>
    <w:p>
      <w:pPr>
        <w:spacing w:after="0" w:line="23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Furthermore, the recently enacted Infrastructure Investment and Jobs Act significantly changes the tax reporting requirements applicable to brokers and holders of cryptocurrency and digital assets. New reporting requirements will apply to information returns filed in 2024 regarding</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transactions occurring in calendar year 2023. The implementation of these requirements, and any further legislative changes or related guidance from the Internal Revenue Service, might significantly impact our tax reporting and withholding processes and result in increased compliance costs. Failure to comply with these new information reporting and withholding requirements might subject us to significant tax liabilities and penalties. Similarly, the Organization for Economic Cooperation and Development has proposed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launch of the Crypto Wallets feature, which allows customers to deposit and withdraw cryptocurrencies to and from our platform, could result in loss of customer assets, customer disputes, and other liabilities, which could harm our reputation and adversely impact trading volumes and transaction-based revenues.</w:t>
      </w:r>
    </w:p>
    <w:p>
      <w:pPr>
        <w:spacing w:after="0" w:line="22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recently began to allow customers to deposit and withdraw cryptocurrencies to and from our platform. User testing of this crypto wallet transfer feature (“Crypto Wallets”) had been ramping up since the fourth quarter of 2021 and enrollment opened in April 2022 (other than in Hawaii, Nevada, and New York, where regulatory applications are still pending). Crypto Wallets transfers are processed using Robinhood’s general custodial wallets in which we hold cryptocurrencies on behalf of customers; when transactions are completed, coins are allocated to and from individuals’ accounts in our customer records.</w:t>
      </w:r>
    </w:p>
    <w:p>
      <w:pPr>
        <w:spacing w:after="0" w:line="23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Crypto Wallets transfers initiated by users are subject to a heightened risk of user error. Under blockchain protocol, recording a transfer of cryptocurrency on the blockchain involves both the private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of the sending wallet and the unique public key of the receiving wallet. Such keys are strings of alphanumeric characters. In order for a customer to receive cryptocurrency on our platform, the customer will need to arrange for the owner of an external source wallet to “sign” a transaction with the private key of that external wallet, directing a transfer of the cryptocurrency to our receiving Robinhood wallet by inputting the public key (which we will provide to the customer) of our Robinhood wallet. Similarly, in order to withdraw cryptocurrency from our platform, the customer will need to provide us with the public key of the external wallet to which the cryptocurrency is to be transferred, and we will “sign”</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transaction using the private key of our Robinhood wallet. Some crypto networks might require additional information to be provided in connection with any transfer of cryptocurrency to or from our platform. A number of errors could occur in the process of depositing or withdrawing cryptocurrencies to or from our platform, such as typos, mistakes, or the failure to include information required by the blockchain network. For instance, a user might include typos when entering our wallet’s public key or the desired recipient’s public key when depositing to and withdrawing from our platform,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 Although our account agreement disclaims responsibility for losses caused by customer errors, such incidents could result in customer disputes, damage to our brand and reputation, legal claims against us, and financial liabilities.</w:t>
      </w:r>
    </w:p>
    <w:p>
      <w:pPr>
        <w:spacing w:after="0" w:line="237"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Additionally, allowing customers to deposit and withdraw cryptocurrencies to and from our platform increases the risk that our platform might be exploited to facilitate illegal activity such as fraud, gambling, money laundering, tax evasion, and scams. Crypto Wallets transfers will also expose us to heightened risks related to potential violations of trade sanctions, including OFAC regulations, and anti-money laundering and</w:t>
      </w:r>
    </w:p>
    <w:p>
      <w:pPr>
        <w:spacing w:after="0" w:line="1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counter-terrorist financing laws, which among other things impose strict liability for transacting with prohibited persons. We engage blockchain analytics vendors to help determine whether the external wallets involved in our transfers are controlled by persons on prohibited lists or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involved in fraudulent or illegal activity. However, fraudulent and illegal transactions and prohibited status could be difficult or impossible for us</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and our vendors to detect in some circumstances. The use of our platform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4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22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Both Bitcoin and Ethereum protocols have been subject to “forks” recently that resulted in the creation of new networks, including, among others, Bitcoin Cash, Bitcoin SV, Bitcoin Diamond, Bitcoin Gold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Ethereum Classic.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exceed 50% of the mining power of that network. Such disruption and loss could cause our company to be exposed to liability, even in circumstances where we have no intention of supporting a cryptocurrency compromised by a fork.</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Moreover, we might not wish to or be able to support a cryptocurrency resulting from the fork of a network which might cause our customers to lose confidence in us or reduce their engagement on our platform.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a general cryptocurrency approval policy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 clearly indicates that we have the sole discretion to determine whether we will support a forked network and the approach to such forked cryptocurrencies and that we may temporarily suspend trading for a cryptocurrency whose network is undergoing a fork without advanced notice to the customer. 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spacing w:after="0" w:line="21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Any inability to maintain adequate relationships with third-party banks and market makers with respect to, and any inability to settle customer trades related to, our cryptocurrency offerings, would disrupt our ability to offer cryptocurrency trading to customers.</w:t>
      </w:r>
    </w:p>
    <w:p>
      <w:pPr>
        <w:spacing w:after="0" w:line="18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rely on third-party banks and market makers to provide cryptocurrency products and services to our customers. The cryptocurrency market operates 24 hours a day, seven days a week. The cryptocurrency market does not have a centralized clearinghouse, and the transactions in cryptocurrencies on our platform rely on direct settlements between us and our customers and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settlements between us and our market makers after customer trades are executed. Accordingly, we rely on third-party banks to facilitate cash settlements with customers’ brokerage accounts and we rely on the ability of market makers to complete cryptocurrency settlements with us to obtain cryptocurrency for customer accounts. In addition, we must maintain cash assets in our bank accounts sufficient to meet the working capital needs of our business, which includes deploying available working capital to facilitate cash settlements with our customers and market makers (as well as maintaining the minimum capital required by regulators). If we, third-party banks, or market makers have operational failures and cannot perform and facilitate our routine cash and cryptocurrency settlement transactions, we will be unable to support normal trading operations on our cryptocurrency trading platform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 which could cause cryptocurrency trading volumes and transaction-based revenues to decline significantly.</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might also be harmed by the loss of any of our banking partners and market makers. As a result of the many regulations applicable to cryptocurrencies or the risks of cryptocurrencies generally, many financial institutions have decided, and other financial institutions might in the future decide, not to provide bank accounts (or access to bank accounts), payments services, or other financial services to companies providing cryptocurrency products, including us. If we or our market makers cannot maintain sufficient relationships with the banks that provide these services, if banking regulators restrict or prohibit banking of cryptocurrency businesses, or if these banks impose significant operational restrictions, it could be difficult for us to find alternative business partners for our cryptocurrency offerings, which would disrupt our business and could cause cryptocurrency trading volumes and transaction-based revenues to decline significantly.</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From time to time, we might encounter technical issues in connection with changes and upgrades to the underlying networks of supported cryptocurrencies, which could cause revenues to decline and expose us to potential liability for customer losses.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might occur from time to time, causing incompatibility, technical issues, disruptions or security weaknesses to our platform. If we are unable to identify, troubleshoot and resolve any such issues successfully, we might no longer be able to support such cryptocurrency, our customers’ assets might be frozen or lost, the security of our hot or cold wallets might be compromised and our platform and technical infrastructure might be affected, all of which could cause trading volumes and transaction-based revenue to decline and expose us to potential liability for customer losses.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RHY’s Products and Services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RHY spending account and Robinhood Cash Card subject us to risks related to bank partnerships and FDIC and other regulatory obligations.</w:t>
      </w:r>
    </w:p>
    <w:p>
      <w:pPr>
        <w:spacing w:after="0" w:line="14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offer spending accounts at RHY (in connection with a partnership with a national bank), and we have also partnered, on a non-exclusive basis, with Sutton Bank (“Sutton”), an Ohio-chartered bank, pursuant to a license from Mastercard International Incorporated, to offer the Robinhood Cash Card through RHY. Under the terms of our program agreement with Sutton, Robinhood Cash Card accounts for our users are opened and maintained by Sutton. We act as the service provider to, among other things, facilitate communication between our users and Sutton for which we receive compensation from Sutton. Our partner banks are members of the Federal Deposit Insurance Corporation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believe our record keeping for our users’ funds held in Robinhood Cash Card accounts at Sutton and held in spending accounts at our other partner bank complies with all applicable requirements for each participating user’s deposits to be eligible for FDIC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RHY funds held at our partner banks are not covered by deposit insurance, participating users might decide to withdraw their funds, which could adversely affect our brand and our business. Due to the fact that we are deemed a service-provider to our partner banks, we are subject to audit standards for third-party vendors in accordance with bank regulatory guidance and examinations by federal bank regulatory authorities and the CFPB.</w:t>
      </w:r>
    </w:p>
    <w:p>
      <w:pPr>
        <w:spacing w:after="0" w:line="18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a result of the stored value spending account program and the Robinhood Cash Card, RHY is subject to federal and state consumer protection laws and regulations, including the Electronic Fund Transfer Act and Regulation E as implemented by the CFPB. Violations of any of these requirements could result in the assessment of significant actual damages or statutory damages or penalties (including treble damages in some instances) and plaintiffs’ attorneys’ fees.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our payments services for illegal activities or improper purposes could harm our business.</w:t>
      </w:r>
    </w:p>
    <w:p>
      <w:pPr>
        <w:spacing w:after="0" w:line="19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highly automated nature of, and liquidity offered by, our payments services make us and our customers a target for illegal or improper uses, including scams and fraud directed at our stored value account and Robinhood Cash Card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RHY, that are peripherally involved in the sale of infringing or allegedly infringing items. While we invest in measures intended to prevent and detect illegal activities on our payments platform, these measures require continuous improvement and might not be effective in detecting and preventing illegal activity or improper uses.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illegal or improper uses of our payments platform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payments platform for illegal or improper activity, and our failure to detect or prevent such use. Illegitimate transactions can also prevent us from satisfying our contractual obligations to our third-party partners, which might cause us to be in breach of our obligations.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w:t>
      </w:r>
    </w:p>
    <w:p>
      <w:pPr>
        <w:spacing w:after="0" w:line="199"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spacing w:after="0" w:line="2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we might need to expend significant resources to apply for, maintain, enforce and monitor our intellectual property rights and</w:t>
      </w:r>
    </w:p>
    <w:p>
      <w:pPr>
        <w:spacing w:after="0" w:line="4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21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We have been, and might in the future be, subject to claims that we violated third-party intellectual property rights, which, even where meritless, can be costly to defend and could materially adversely affect our business, results of operations, and financial condition.</w:t>
      </w:r>
    </w:p>
    <w:p>
      <w:pPr>
        <w:spacing w:after="0" w:line="18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success depends, in part, on our ability to develop and commercialize our products and services without infringing, misappropriating or otherwise violating the intellectual property rights of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However, we might not be aware that our products or services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w:t>
      </w:r>
    </w:p>
    <w:p>
      <w:pPr>
        <w:spacing w:after="0" w:line="23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From time to time, our competitors or other third parties might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23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re-engineer them to avoid infringement,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Any actual or 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requirement to disclose our proprietary source code or pay damages for breach of license terms could harm our business and could help third parties, including our competitors, develop products and services that are similar to or better than ours.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16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entered into two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spacing w:after="0" w:line="23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might be inadequate or expensive.</w:t>
      </w:r>
    </w:p>
    <w:p>
      <w:pPr>
        <w:spacing w:after="0" w:line="26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business interruption, cyber and data breach, crime and fidelity bond insurance. Our insurance coverage is expensive and maintaining or expanding our insurance coverage might have an adverse effect on our results of operations and financial condition.</w:t>
      </w:r>
    </w:p>
    <w:p>
      <w:pPr>
        <w:spacing w:after="0" w:line="21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operational and technological failures. For example, we offer a guarantee to our customers to fully reimburse direct losses that occur due to unauthorized activity that is not the fault of the customer, and any such losses we incur in satisfaction of this guarantee might not be fully or even partially covered by insurance. Furthermore, continued insurance coverage might not be available to us in the future on economically reasonable terms, or at all.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and foreign tax laws and policies could adversely impact our financial condition and results of operations.</w:t>
      </w:r>
    </w:p>
    <w:p>
      <w:pPr>
        <w:spacing w:after="0" w:line="26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complex and evolving U.S. and foreign tax laws and regulations, which might in the future make changes to corporate income tax rates, the treatment of foreign earnings, or other income tax laws that could affect our future income tax provision and reduce our earnings while increasing the complexity, burden and cost of tax compliance.</w:t>
      </w:r>
    </w:p>
    <w:p>
      <w:pPr>
        <w:spacing w:after="0" w:line="23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determination of our tax liability is subject to review by applicable tax authorities. Any adverse outcome of such a review could harm our results of operations and financial condition. The determination of our tax liabilities requires significant judgment and, in the ordinary course of business, there are many transactions and calculations where the ultimate tax determination is complex and uncertain.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effect on our financial condition.</w:t>
      </w:r>
    </w:p>
    <w:p>
      <w:pPr>
        <w:spacing w:after="0" w:line="2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Although we believe our estimates are reasonable, as a result of these and other factors, the ultimate amount of our tax obligations owed might differ from the amounts recorded in our consolidated financial statements and any such difference could harm our results of operations in future periods in which we change our estimates of our tax obligations or in which the ultimate tax outcome is determined.</w:t>
      </w:r>
    </w:p>
    <w:p>
      <w:pPr>
        <w:spacing w:after="0" w:line="23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from time to time, proposals are introduced in the U.S. Congress and state legislatures to impose new taxes on a broad range of financial transactions, including transactions that occur on our platform, such as the buying and selling of stocks, derivative transactions, and cryptocurrencies. If enacted, such financial transaction taxes could increase the cost to customers of investing or trading on our platform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also are subject to non-income taxes, such as payroll, sales, use, value-added, net worth, and property taxes in the United States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 Tax authorities might disagree with certain positions we have taken or might take in the future. As a result, we could be subject to additional tax liabilities that could have an adverse effect on our operating results and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could be subject to certain limitations.</w:t>
      </w:r>
    </w:p>
    <w:p>
      <w:pPr>
        <w:spacing w:after="0" w:line="26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2021, we have net operating loss carryforwards (“NOLs”) available to reduce future taxable income. However, under Sections 382 and 383 of the United States Internal Revenue Code of 1986, as amended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382 or 383 of the Code. Furthermore, our ability to utilize NOLs of any companies that we acquire in the future may be subject to limitations. For these reasons, we might not be able to utilize our NOLs, even if we maintain profitability.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could harm our reputation, adversely affect our stock price, and result in litigation.</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track certain operational metrics using internal company data gathered on an analytics platform that we developed and operate, including metrics such as MAU, AUC and Net Cumulative Funded Accounts,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Net Cumulative Funded Accounts, that, since November 2018, we have calculated based on data sourced and processed internally.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 is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23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directly and indirectly exposed to fluctuations in interest rates.</w:t>
      </w:r>
    </w:p>
    <w:p>
      <w:pPr>
        <w:spacing w:after="0" w:line="26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Fluctuations in interest rates could adversely impact our customers’ general spending levels and ability and willingness to invest through our platform. Additionally, some of our products, such as our brokerage cash sweep service and margin lending programs, are affected by interest rate changes. Higher interest rates often lead to higher payment obligations by our customers to us and to their creditors under mortgage, credit card, and other consumer and merchant loans, which might reduce our customers’ ability to satisfy their obligations to us, including failing to pay for securities purchased, deliver securities sold, or meet margin calls, and therefore lead to increased delinquencies, charge-offs, and allowances for loan and interest receivables, which could have an adverse effect on our net income. Fluctuations in interest rates might also adversely impact our customers’ returns on their cash deposits. We are also exposed to interest rate risk from our investment portfolio and from interest-rate sensitive assets, including assets underlying the customer balances we hold on our balance sheet as customer accounts. A low or negative interest rate environment or reductions in interest rates might negatively impact our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6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Sarbanes-Oxley Act of 2002 (the “Sarbanes-Oxley Act”)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3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As a newly public company, however, we are not required to comply fully with the SEC’s rules that implement Section 404 of the Sarbanes-Oxley Act until our second Annual Report on Form 10-K, which we expect to file in February 2023. In particular, we are not required to provide an annual management report on the effectiveness of our internal control over financial reporting and our independent registered public accounting firm is not required to formally attest to the effectiveness of our internal control over financial reporting until such time.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trading price for our Class A common stock has been and might continue to be volatile and you could lose all or part of your investment.</w:t>
      </w:r>
    </w:p>
    <w:p>
      <w:pPr>
        <w:spacing w:after="0" w:line="14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trading price of our Class A common stock has been and might continue to be highly volatile and could continue to be subject to fluctuations in response to one or more of the risk factors described in this report, many of which are beyond our control. For example, on the day after our October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quarterly earnings release, the closing price of our Class A common stock fell by more than 10%. These fluctuations could cause you to lose all or part of your investment in our Class A common stock since you might be unable to sell your shares at or above the price you paid. From our IPO in July 2021 through June 2022, the intra-day trading prices of our Class A common stock ranged from a low of $6.81 to a high of $85.00 per share. Additional factors that could have a significant effect on the trading price of our Class A common stock include:</w:t>
      </w:r>
    </w:p>
    <w:p>
      <w:pPr>
        <w:spacing w:after="0" w:line="274" w:lineRule="exact"/>
        <w:rPr>
          <w:sz w:val="20"/>
          <w:szCs w:val="20"/>
          <w:color w:val="auto"/>
        </w:rPr>
      </w:pPr>
    </w:p>
    <w:p>
      <w:pPr>
        <w:jc w:val="both"/>
        <w:ind w:left="640" w:hanging="316"/>
        <w:spacing w:after="0" w:line="232"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8"/>
          <w:szCs w:val="18"/>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2" w:lineRule="exact"/>
        <w:rPr>
          <w:rFonts w:ascii="Arial" w:cs="Arial" w:eastAsia="Arial" w:hAnsi="Arial"/>
          <w:sz w:val="21"/>
          <w:szCs w:val="21"/>
          <w:color w:val="auto"/>
        </w:rPr>
      </w:pPr>
    </w:p>
    <w:p>
      <w:pPr>
        <w:ind w:left="640" w:hanging="316"/>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announcements by us or our competitors of new offerings or platform features;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the public’s perception of the quality and accuracy of our key metrics on our customer base and engagement;</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the public’s reaction to our media statements, other public announcements and filings with the SEC;</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rumors and market speculation involving us or other companies in our industry; and</w:t>
      </w:r>
    </w:p>
    <w:p>
      <w:pPr>
        <w:spacing w:after="0" w:line="40" w:lineRule="exact"/>
        <w:rPr>
          <w:rFonts w:ascii="Arial" w:cs="Arial" w:eastAsia="Arial" w:hAnsi="Arial"/>
          <w:sz w:val="21"/>
          <w:szCs w:val="21"/>
          <w:color w:val="auto"/>
        </w:rPr>
      </w:pPr>
    </w:p>
    <w:p>
      <w:pPr>
        <w:ind w:left="640" w:right="20" w:hanging="316"/>
        <w:spacing w:after="0" w:line="226"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8"/>
          <w:szCs w:val="18"/>
          <w:color w:val="auto"/>
        </w:rPr>
        <w:t>the extent to which retail and other individual investors (as distinguished from institutional investors), including our customers, invest in our Class A common stock, which might result in increased volatility.</w:t>
      </w:r>
    </w:p>
    <w:p>
      <w:pPr>
        <w:spacing w:after="0" w:line="24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3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Substantial future issuances and sales of shares of our Class A common stock in the public market could result in significant dilution to our stockholders and cause the trading price of our Class A common stock to fall.</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June 30, 2022, our founders and their related entities hold nearly 15% of our outstanding common stock (and, as described in the following risk factor, over 50% of the voting power of our outstanding capital stock). If our founders or other significant stockholders sell, or indicate an intent to sell, large amounts of stock in the public market, or the perception that these sales might occur, could cause the trading price of our Class A common stock to decline substantially.</w:t>
      </w:r>
    </w:p>
    <w:p>
      <w:pPr>
        <w:spacing w:after="0" w:line="23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and for issuance under our ESPP. All of these shares will become eligible for sale in the public market upon exercise, vesting, or settlement, as applicable (and to the extent granted in the discretion of our board of directors, in the case of shares available for grant). Moreover, to fund the tax withholding and remittance obligations arising in connection with future vesting and settlement of RSUs, we currently intend to have most holders of such RSUs, including our founders, sell a portion of such shares into the market on the applicable settlement date, with the proceeds of such sales delivered to us for remittance to the relevant taxing authorities. These and any future issuances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of our capital stock, or of securities convertible into or exercisable for our capital stock could depress the market price of our Class A common stock and result in a significant dilution for stockholders.</w:t>
      </w:r>
    </w:p>
    <w:p>
      <w:pPr>
        <w:spacing w:after="0" w:line="2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authorized more capital stock in recent years to provide additional stock options and RSUs to our employees and to permit for the consummation of equity and equity-linked financings and might continue to do so in the future. Our employee headcount has increased significantly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23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Further pursuant to the equity exchange right agreements entered into between us and each of our founders in connection with our IPO, each of our founders has a right (but not an obligation) to require us to exchange, for shares of Class B common stock, any shares of Class A common stock received by them upon the vesting and settlement of pre-IPO RSUs (the “Equity Exchange Rights”). Any exercise by our founders of these Equity Exchange Rights will dilute the voting power of holders of our Class A common stock.</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22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Class A common stock has one vote per share, our Class B common stock has 10 votes per share, and our Class C common stock has no voting rights, except as otherwise required by law. Our founders and certain of their related entities together hold all of the issued and outstanding shares of our Class B common stock. Accordingly, Mr. Tenev, who is also our CEO, President, and a director, and Mr. Bhatt, who is also our Chief Creative Officer and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Amended and Restated Certificate of Incorporation (our “Charter”) and our Amended and Restated Bylaws (our “Bylaws”), and the approval of any merger, consolidation, sale of all or substantially all of our assets, or other major corporate transaction.</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our founders and certain of their related entities (“Founder Affiliates”) have entered into a voting agreement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w:t>
      </w:r>
    </w:p>
    <w:p>
      <w:pPr>
        <w:spacing w:after="0" w:line="23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spacing w:after="0" w:line="23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multi-class structure might depress the trading price of our Class A common stock.</w:t>
      </w:r>
    </w:p>
    <w:p>
      <w:pPr>
        <w:spacing w:after="0" w:line="26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recent years some index providers have announced restrictions on including companies with multi-class share structures in some of their indices. For example, in July 2017, FTSE Russell announced that it plans to require new constituents of its indices to have greater than 5% of the company’s voting rights in the hands of public stockholders, and S&amp;P Dow Jones announced that it will no longer admit companies with multi-class share structures to certain of its indices. Affected indices include the Russell 2000 and the S&amp;P Composite 1500, which is comprised of S&amp;P 500, S&amp;P MidCap 400 and S&amp;P SmallCap 600. Also in October 2018, MSCI (a leading stock index provider) announced its decision to reduce the weighting of equity securities “with unequal voting structures” in some of its indices. Under such announced policies, the multi-class structure of our common stock would make us ineligible for inclusion in some indices and, as a result, mutual funds, exchange-traded funds and other investment vehicles that attempt to passively track those indices would not invest in our Class A common stock. Such restrictive policies might depress our valuation, as compared to similar companies that are included in the indices, particularly if such policies become more widespread. Given the sustained flow of investment funds into passive strategies that seek to track indices, exclusion from popular stock indices would likely preclude investment by many of these funds and could make our Class A common stock less attractive to other investors. As a result, the market price of our Class A common stock could be adversely affected.</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might prevent or delay an acquisition of Robinhood, which could decrease the trading price of our Class A common stock.</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a third party attempting to acquire us or a substantial position in our Class A common stock might be delayed or ultimately</w:t>
      </w:r>
    </w:p>
    <w:p>
      <w:pPr>
        <w:spacing w:after="0" w:line="4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U.K. Financial Conduct Authority, which regulates our U.K. authorized broker-dealer subsidiary (which does not currently do business),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215"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color w:val="auto"/>
        </w:rPr>
        <w:t>ITEM 2. UNREGISTERED SALES OF EQUITY SECURITIES AND USE OF PROCEEDS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From April 1, 2022 through June 30, 2022 we did not sell any shares of Class A common stock (or other equity securities of Robinhood Markets, Inc.) that were not registered under the Securities 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IPO Proceeds</w:t>
      </w:r>
    </w:p>
    <w:p>
      <w:pPr>
        <w:spacing w:after="0" w:line="26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previously disclosed, our total net proceeds from the sale of Class A common stock by us in the IPO were approximately $2.05 billion after deducting the underwriting discounts and commissions.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used a portion of the net proceeds we received in the IPO to repay borrowings made under our revolving lines of credit (which borrowing were utilized to fund tax withholdings due prior to the IPO closing as a result of RSU settlements in connection with the pricing of our IPO).</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intend to use the remaining IPO proceeds for working capital, capital expenditures, and general corporate purposes, which may include acquisitions, investments in the business to drive product expansion and other additional features to our platforms, and satisfying our general capital needs (including capital requirements imposed by regulators and SROs and cash deposit and collateral requirements under the rules of the DTC, NSCC, and OCC).</w:t>
      </w: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expected use of net proceeds from the IPO represents our intentions based upon our present plans and business conditions. We cannot predict with certainty all of the particular uses for the proceeds of the IPO or the amounts that we will actually spend on the uses set forth above. Accordingly, our management will have broad discretion in the application of the net proceeds we received from the IPO, and investors will be relying on the judgment of our management regarding the application of our net proceeds. While we expect to use the net proceeds for purposes described above, the timing and amount of our actual expenditures will be based on many factors, including cash flows from operations, the anticipated growth of our business, and the availability and terms of alternative financing sources to fund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color w:val="auto"/>
        </w:rPr>
        <w:t>ITEM 3. DEFAULTS UPON SENIOR SECURITIES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ITEM 4. MINE SAFETY DISCLOSURES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color w:val="auto"/>
        </w:rPr>
        <w:t>ITEM 5. OTHER INFORMATION</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ITEM 6. EXHIBIT INDEX</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960" w:type="dxa"/>
            <w:vAlign w:val="bottom"/>
            <w:gridSpan w:val="11"/>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0"/>
                <w:szCs w:val="10"/>
                <w:color w:val="auto"/>
              </w:rPr>
            </w:pPr>
          </w:p>
        </w:tc>
        <w:tc>
          <w:tcPr>
            <w:tcW w:w="66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0"/>
                <w:szCs w:val="10"/>
                <w:color w:val="auto"/>
              </w:rPr>
            </w:pP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72"/>
        </w:trPr>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gridSpan w:val="11"/>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6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5"/>
                <w:szCs w:val="15"/>
                <w:color w:val="auto"/>
              </w:rPr>
            </w:pPr>
          </w:p>
        </w:tc>
        <w:tc>
          <w:tcPr>
            <w:tcW w:w="5540" w:type="dxa"/>
            <w:vAlign w:val="bottom"/>
            <w:gridSpan w:val="14"/>
            <w:shd w:val="clear" w:color="auto" w:fill="CCEEFF"/>
          </w:tcPr>
          <w:p>
            <w:pPr>
              <w:spacing w:after="0" w:line="179" w:lineRule="exact"/>
              <w:rPr>
                <w:rFonts w:ascii="Arial" w:cs="Arial" w:eastAsia="Arial" w:hAnsi="Arial"/>
                <w:sz w:val="18"/>
                <w:szCs w:val="18"/>
                <w:color w:val="0000FF"/>
              </w:rPr>
            </w:pPr>
            <w:hyperlink r:id="rId114">
              <w:r>
                <w:rPr>
                  <w:rFonts w:ascii="Arial" w:cs="Arial" w:eastAsia="Arial" w:hAnsi="Arial"/>
                  <w:sz w:val="18"/>
                  <w:szCs w:val="18"/>
                  <w:color w:val="0000FF"/>
                </w:rPr>
                <w:t>Amended and Restated Certificate of Incorporation of Robinhood</w:t>
              </w:r>
            </w:hyperlink>
          </w:p>
        </w:tc>
        <w:tc>
          <w:tcPr>
            <w:tcW w:w="660" w:type="dxa"/>
            <w:vAlign w:val="bottom"/>
            <w:shd w:val="clear" w:color="auto" w:fill="CCEEFF"/>
          </w:tcPr>
          <w:p>
            <w:pPr>
              <w:jc w:val="center"/>
              <w:ind w:left="35"/>
              <w:spacing w:after="0" w:line="179" w:lineRule="exact"/>
              <w:rPr>
                <w:sz w:val="20"/>
                <w:szCs w:val="20"/>
                <w:color w:val="auto"/>
              </w:rPr>
            </w:pPr>
            <w:r>
              <w:rPr>
                <w:rFonts w:ascii="Arial" w:cs="Arial" w:eastAsia="Arial" w:hAnsi="Arial"/>
                <w:sz w:val="18"/>
                <w:szCs w:val="18"/>
                <w:color w:val="auto"/>
                <w:w w:val="92"/>
              </w:rPr>
              <w:t>8-K</w:t>
            </w:r>
          </w:p>
        </w:tc>
        <w:tc>
          <w:tcPr>
            <w:tcW w:w="1480" w:type="dxa"/>
            <w:vAlign w:val="bottom"/>
            <w:gridSpan w:val="3"/>
            <w:shd w:val="clear" w:color="auto" w:fill="CCEEFF"/>
          </w:tcPr>
          <w:p>
            <w:pPr>
              <w:jc w:val="center"/>
              <w:ind w:left="135"/>
              <w:spacing w:after="0" w:line="179" w:lineRule="exact"/>
              <w:rPr>
                <w:sz w:val="20"/>
                <w:szCs w:val="20"/>
                <w:color w:val="auto"/>
              </w:rPr>
            </w:pPr>
            <w:r>
              <w:rPr>
                <w:rFonts w:ascii="Arial" w:cs="Arial" w:eastAsia="Arial" w:hAnsi="Arial"/>
                <w:sz w:val="18"/>
                <w:szCs w:val="18"/>
                <w:color w:val="auto"/>
                <w:w w:val="97"/>
              </w:rPr>
              <w:t>2021-08-02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9" w:lineRule="exact"/>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98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7"/>
                <w:szCs w:val="17"/>
                <w:color w:val="0000FF"/>
              </w:rPr>
            </w:pPr>
            <w:hyperlink r:id="rId114">
              <w:r>
                <w:rPr>
                  <w:rFonts w:ascii="Arial" w:cs="Arial" w:eastAsia="Arial" w:hAnsi="Arial"/>
                  <w:sz w:val="17"/>
                  <w:szCs w:val="17"/>
                  <w:color w:val="0000FF"/>
                </w:rPr>
                <w:t>Markets, Inc., dated August 2, 2021 (our “Charter”)</w:t>
              </w:r>
            </w:hyperlink>
          </w:p>
        </w:tc>
        <w:tc>
          <w:tcPr>
            <w:tcW w:w="110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60" w:type="dxa"/>
            <w:vAlign w:val="bottom"/>
          </w:tcPr>
          <w:p>
            <w:pPr>
              <w:ind w:left="20"/>
              <w:spacing w:after="0" w:line="18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5540" w:type="dxa"/>
            <w:vAlign w:val="bottom"/>
            <w:gridSpan w:val="14"/>
          </w:tcPr>
          <w:p>
            <w:pPr>
              <w:spacing w:after="0" w:line="186" w:lineRule="exact"/>
              <w:rPr>
                <w:rFonts w:ascii="Arial" w:cs="Arial" w:eastAsia="Arial" w:hAnsi="Arial"/>
                <w:sz w:val="18"/>
                <w:szCs w:val="18"/>
                <w:color w:val="0000FF"/>
              </w:rPr>
            </w:pPr>
            <w:hyperlink r:id="rId115">
              <w:r>
                <w:rPr>
                  <w:rFonts w:ascii="Arial" w:cs="Arial" w:eastAsia="Arial" w:hAnsi="Arial"/>
                  <w:sz w:val="18"/>
                  <w:szCs w:val="18"/>
                  <w:color w:val="0000FF"/>
                </w:rPr>
                <w:t>Amended and Restated Bylaws of Robinhood Markets, Inc., dated</w:t>
              </w:r>
            </w:hyperlink>
          </w:p>
        </w:tc>
        <w:tc>
          <w:tcPr>
            <w:tcW w:w="660" w:type="dxa"/>
            <w:vAlign w:val="bottom"/>
          </w:tcPr>
          <w:p>
            <w:pPr>
              <w:jc w:val="center"/>
              <w:ind w:left="35"/>
              <w:spacing w:after="0" w:line="186" w:lineRule="exact"/>
              <w:rPr>
                <w:sz w:val="20"/>
                <w:szCs w:val="20"/>
                <w:color w:val="auto"/>
              </w:rPr>
            </w:pPr>
            <w:r>
              <w:rPr>
                <w:rFonts w:ascii="Arial" w:cs="Arial" w:eastAsia="Arial" w:hAnsi="Arial"/>
                <w:sz w:val="18"/>
                <w:szCs w:val="18"/>
                <w:color w:val="auto"/>
                <w:w w:val="99"/>
              </w:rPr>
              <w:t>10-K</w:t>
            </w:r>
          </w:p>
        </w:tc>
        <w:tc>
          <w:tcPr>
            <w:tcW w:w="1480" w:type="dxa"/>
            <w:vAlign w:val="bottom"/>
            <w:gridSpan w:val="3"/>
          </w:tcPr>
          <w:p>
            <w:pPr>
              <w:jc w:val="center"/>
              <w:ind w:left="135"/>
              <w:spacing w:after="0" w:line="186" w:lineRule="exact"/>
              <w:rPr>
                <w:sz w:val="20"/>
                <w:szCs w:val="20"/>
                <w:color w:val="auto"/>
              </w:rPr>
            </w:pPr>
            <w:r>
              <w:rPr>
                <w:rFonts w:ascii="Arial" w:cs="Arial" w:eastAsia="Arial" w:hAnsi="Arial"/>
                <w:sz w:val="18"/>
                <w:szCs w:val="18"/>
                <w:color w:val="auto"/>
                <w:w w:val="97"/>
              </w:rPr>
              <w:t>2022-02-24</w:t>
            </w:r>
          </w:p>
        </w:tc>
        <w:tc>
          <w:tcPr>
            <w:tcW w:w="100" w:type="dxa"/>
            <w:vAlign w:val="bottom"/>
          </w:tcPr>
          <w:p>
            <w:pPr>
              <w:spacing w:after="0"/>
              <w:rPr>
                <w:sz w:val="16"/>
                <w:szCs w:val="16"/>
                <w:color w:val="auto"/>
              </w:rPr>
            </w:pPr>
          </w:p>
        </w:tc>
        <w:tc>
          <w:tcPr>
            <w:tcW w:w="980" w:type="dxa"/>
            <w:vAlign w:val="bottom"/>
          </w:tcPr>
          <w:p>
            <w:pPr>
              <w:jc w:val="center"/>
              <w:spacing w:after="0" w:line="186" w:lineRule="exact"/>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80" w:type="dxa"/>
            <w:vAlign w:val="bottom"/>
            <w:tcBorders>
              <w:top w:val="single" w:sz="8" w:color="0000FF"/>
            </w:tcBorders>
            <w:gridSpan w:val="9"/>
          </w:tcPr>
          <w:p>
            <w:pPr>
              <w:spacing w:after="0" w:line="165" w:lineRule="exact"/>
              <w:rPr>
                <w:rFonts w:ascii="Arial" w:cs="Arial" w:eastAsia="Arial" w:hAnsi="Arial"/>
                <w:sz w:val="18"/>
                <w:szCs w:val="18"/>
                <w:color w:val="0000FF"/>
              </w:rPr>
            </w:pPr>
            <w:hyperlink r:id="rId115">
              <w:r>
                <w:rPr>
                  <w:rFonts w:ascii="Arial" w:cs="Arial" w:eastAsia="Arial" w:hAnsi="Arial"/>
                  <w:sz w:val="18"/>
                  <w:szCs w:val="18"/>
                  <w:color w:val="0000FF"/>
                </w:rPr>
                <w:t>February 24, 2022 (our “Bylaws”)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6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5540" w:type="dxa"/>
            <w:vAlign w:val="bottom"/>
            <w:gridSpan w:val="14"/>
            <w:shd w:val="clear" w:color="auto" w:fill="CCEEFF"/>
          </w:tcPr>
          <w:p>
            <w:pPr>
              <w:spacing w:after="0" w:line="186" w:lineRule="exact"/>
              <w:rPr>
                <w:rFonts w:ascii="Arial" w:cs="Arial" w:eastAsia="Arial" w:hAnsi="Arial"/>
                <w:sz w:val="18"/>
                <w:szCs w:val="18"/>
                <w:color w:val="0000FF"/>
              </w:rPr>
            </w:pPr>
            <w:hyperlink r:id="rId116">
              <w:r>
                <w:rPr>
                  <w:rFonts w:ascii="Arial" w:cs="Arial" w:eastAsia="Arial" w:hAnsi="Arial"/>
                  <w:sz w:val="18"/>
                  <w:szCs w:val="18"/>
                  <w:color w:val="0000FF"/>
                </w:rPr>
                <w:t>Form of Class A Common Stock Certificate of Robinhood Markets,</w:t>
              </w:r>
            </w:hyperlink>
          </w:p>
        </w:tc>
        <w:tc>
          <w:tcPr>
            <w:tcW w:w="660" w:type="dxa"/>
            <w:vAlign w:val="bottom"/>
            <w:shd w:val="clear" w:color="auto" w:fill="CCEEFF"/>
          </w:tcPr>
          <w:p>
            <w:pPr>
              <w:jc w:val="center"/>
              <w:ind w:left="15"/>
              <w:spacing w:after="0" w:line="186" w:lineRule="exact"/>
              <w:rPr>
                <w:sz w:val="20"/>
                <w:szCs w:val="20"/>
                <w:color w:val="auto"/>
              </w:rPr>
            </w:pPr>
            <w:r>
              <w:rPr>
                <w:rFonts w:ascii="Arial" w:cs="Arial" w:eastAsia="Arial" w:hAnsi="Arial"/>
                <w:sz w:val="18"/>
                <w:szCs w:val="18"/>
                <w:color w:val="auto"/>
                <w:w w:val="97"/>
              </w:rPr>
              <w:t>S-1/A</w:t>
            </w:r>
          </w:p>
        </w:tc>
        <w:tc>
          <w:tcPr>
            <w:tcW w:w="1480" w:type="dxa"/>
            <w:vAlign w:val="bottom"/>
            <w:gridSpan w:val="3"/>
            <w:shd w:val="clear" w:color="auto" w:fill="CCEEFF"/>
          </w:tcPr>
          <w:p>
            <w:pPr>
              <w:jc w:val="center"/>
              <w:ind w:left="135"/>
              <w:spacing w:after="0" w:line="186" w:lineRule="exact"/>
              <w:rPr>
                <w:sz w:val="20"/>
                <w:szCs w:val="20"/>
                <w:color w:val="auto"/>
              </w:rPr>
            </w:pPr>
            <w:r>
              <w:rPr>
                <w:rFonts w:ascii="Arial" w:cs="Arial" w:eastAsia="Arial" w:hAnsi="Arial"/>
                <w:sz w:val="18"/>
                <w:szCs w:val="18"/>
                <w:color w:val="auto"/>
                <w:w w:val="97"/>
              </w:rPr>
              <w:t>2021-07-19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0000FF"/>
            </w:tcBorders>
            <w:shd w:val="clear" w:color="auto" w:fill="CCEEFF"/>
          </w:tcPr>
          <w:p>
            <w:pPr>
              <w:spacing w:after="0" w:line="152" w:lineRule="exact"/>
              <w:rPr>
                <w:rFonts w:ascii="Arial" w:cs="Arial" w:eastAsia="Arial" w:hAnsi="Arial"/>
                <w:sz w:val="17"/>
                <w:szCs w:val="17"/>
                <w:color w:val="0000FF"/>
              </w:rPr>
            </w:pPr>
            <w:hyperlink r:id="rId116">
              <w:r>
                <w:rPr>
                  <w:rFonts w:ascii="Arial" w:cs="Arial" w:eastAsia="Arial" w:hAnsi="Arial"/>
                  <w:sz w:val="17"/>
                  <w:szCs w:val="17"/>
                  <w:color w:val="0000FF"/>
                </w:rPr>
                <w:t>Inc.</w:t>
              </w:r>
            </w:hyperlink>
          </w:p>
        </w:tc>
        <w:tc>
          <w:tcPr>
            <w:tcW w:w="492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60" w:type="dxa"/>
            <w:vAlign w:val="bottom"/>
          </w:tcPr>
          <w:p>
            <w:pPr>
              <w:ind w:left="20"/>
              <w:spacing w:after="0" w:line="18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5540" w:type="dxa"/>
            <w:vAlign w:val="bottom"/>
            <w:gridSpan w:val="14"/>
          </w:tcPr>
          <w:p>
            <w:pPr>
              <w:spacing w:after="0" w:line="186" w:lineRule="exact"/>
              <w:rPr>
                <w:rFonts w:ascii="Arial" w:cs="Arial" w:eastAsia="Arial" w:hAnsi="Arial"/>
                <w:sz w:val="18"/>
                <w:szCs w:val="18"/>
                <w:color w:val="0000FF"/>
              </w:rPr>
            </w:pPr>
            <w:hyperlink r:id="rId117">
              <w:r>
                <w:rPr>
                  <w:rFonts w:ascii="Arial" w:cs="Arial" w:eastAsia="Arial" w:hAnsi="Arial"/>
                  <w:sz w:val="18"/>
                  <w:szCs w:val="18"/>
                  <w:color w:val="0000FF"/>
                </w:rPr>
                <w:t>Form of ten -year Warrant to Purchase Stock of Robinhood Markets,</w:t>
              </w:r>
            </w:hyperlink>
          </w:p>
        </w:tc>
        <w:tc>
          <w:tcPr>
            <w:tcW w:w="660" w:type="dxa"/>
            <w:vAlign w:val="bottom"/>
          </w:tcPr>
          <w:p>
            <w:pPr>
              <w:jc w:val="center"/>
              <w:ind w:left="35"/>
              <w:spacing w:after="0" w:line="186" w:lineRule="exact"/>
              <w:rPr>
                <w:sz w:val="20"/>
                <w:szCs w:val="20"/>
                <w:color w:val="auto"/>
              </w:rPr>
            </w:pPr>
            <w:r>
              <w:rPr>
                <w:rFonts w:ascii="Arial" w:cs="Arial" w:eastAsia="Arial" w:hAnsi="Arial"/>
                <w:sz w:val="18"/>
                <w:szCs w:val="18"/>
                <w:color w:val="auto"/>
                <w:w w:val="92"/>
              </w:rPr>
              <w:t>S-1</w:t>
            </w:r>
          </w:p>
        </w:tc>
        <w:tc>
          <w:tcPr>
            <w:tcW w:w="1480" w:type="dxa"/>
            <w:vAlign w:val="bottom"/>
            <w:gridSpan w:val="3"/>
          </w:tcPr>
          <w:p>
            <w:pPr>
              <w:jc w:val="center"/>
              <w:ind w:left="135"/>
              <w:spacing w:after="0" w:line="186" w:lineRule="exact"/>
              <w:rPr>
                <w:sz w:val="20"/>
                <w:szCs w:val="20"/>
                <w:color w:val="auto"/>
              </w:rPr>
            </w:pPr>
            <w:r>
              <w:rPr>
                <w:rFonts w:ascii="Arial" w:cs="Arial" w:eastAsia="Arial" w:hAnsi="Arial"/>
                <w:sz w:val="18"/>
                <w:szCs w:val="18"/>
                <w:color w:val="auto"/>
                <w:w w:val="97"/>
              </w:rPr>
              <w:t>2021-07-01</w:t>
            </w:r>
          </w:p>
        </w:tc>
        <w:tc>
          <w:tcPr>
            <w:tcW w:w="100" w:type="dxa"/>
            <w:vAlign w:val="bottom"/>
          </w:tcPr>
          <w:p>
            <w:pPr>
              <w:spacing w:after="0"/>
              <w:rPr>
                <w:sz w:val="16"/>
                <w:szCs w:val="16"/>
                <w:color w:val="auto"/>
              </w:rPr>
            </w:pPr>
          </w:p>
        </w:tc>
        <w:tc>
          <w:tcPr>
            <w:tcW w:w="980" w:type="dxa"/>
            <w:vAlign w:val="bottom"/>
          </w:tcPr>
          <w:p>
            <w:pPr>
              <w:jc w:val="center"/>
              <w:spacing w:after="0" w:line="186"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rPr>
            </w:pPr>
            <w:hyperlink r:id="rId117">
              <w:r>
                <w:rPr>
                  <w:rFonts w:ascii="Arial" w:cs="Arial" w:eastAsia="Arial" w:hAnsi="Arial"/>
                  <w:sz w:val="17"/>
                  <w:szCs w:val="17"/>
                  <w:color w:val="0000FF"/>
                </w:rPr>
                <w:t>Inc., issued to multiple investors on February 12, 2021</w:t>
              </w:r>
            </w:hyperlink>
          </w:p>
        </w:tc>
        <w:tc>
          <w:tcPr>
            <w:tcW w:w="1040" w:type="dxa"/>
            <w:vAlign w:val="bottom"/>
            <w:tcBorders>
              <w:top w:val="single" w:sz="8" w:color="0000FF"/>
            </w:tcBorders>
            <w:gridSpan w:val="7"/>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5540" w:type="dxa"/>
            <w:vAlign w:val="bottom"/>
            <w:gridSpan w:val="14"/>
            <w:shd w:val="clear" w:color="auto" w:fill="CCEEFF"/>
          </w:tcPr>
          <w:p>
            <w:pPr>
              <w:spacing w:after="0" w:line="195" w:lineRule="exact"/>
              <w:rPr>
                <w:rFonts w:ascii="Arial" w:cs="Arial" w:eastAsia="Arial" w:hAnsi="Arial"/>
                <w:sz w:val="18"/>
                <w:szCs w:val="18"/>
                <w:color w:val="0000FF"/>
              </w:rPr>
            </w:pPr>
            <w:hyperlink r:id="rId118">
              <w:r>
                <w:rPr>
                  <w:rFonts w:ascii="Arial" w:cs="Arial" w:eastAsia="Arial" w:hAnsi="Arial"/>
                  <w:sz w:val="18"/>
                  <w:szCs w:val="18"/>
                  <w:color w:val="0000FF"/>
                </w:rPr>
                <w:t>Amended and Restated Credit Agreement, dated as of April 11,</w:t>
              </w:r>
            </w:hyperlink>
          </w:p>
        </w:tc>
        <w:tc>
          <w:tcPr>
            <w:tcW w:w="660" w:type="dxa"/>
            <w:vAlign w:val="bottom"/>
            <w:shd w:val="clear" w:color="auto" w:fill="CCEEFF"/>
          </w:tcPr>
          <w:p>
            <w:pPr>
              <w:jc w:val="center"/>
              <w:ind w:left="35"/>
              <w:spacing w:after="0" w:line="195" w:lineRule="exact"/>
              <w:rPr>
                <w:sz w:val="20"/>
                <w:szCs w:val="20"/>
                <w:color w:val="auto"/>
              </w:rPr>
            </w:pPr>
            <w:r>
              <w:rPr>
                <w:rFonts w:ascii="Arial" w:cs="Arial" w:eastAsia="Arial" w:hAnsi="Arial"/>
                <w:sz w:val="18"/>
                <w:szCs w:val="18"/>
                <w:color w:val="auto"/>
                <w:w w:val="92"/>
              </w:rPr>
              <w:t>8-K</w:t>
            </w:r>
          </w:p>
        </w:tc>
        <w:tc>
          <w:tcPr>
            <w:tcW w:w="1480" w:type="dxa"/>
            <w:vAlign w:val="bottom"/>
            <w:gridSpan w:val="3"/>
            <w:shd w:val="clear" w:color="auto" w:fill="CCEEFF"/>
          </w:tcPr>
          <w:p>
            <w:pPr>
              <w:jc w:val="center"/>
              <w:ind w:left="135"/>
              <w:spacing w:after="0" w:line="195" w:lineRule="exact"/>
              <w:rPr>
                <w:sz w:val="20"/>
                <w:szCs w:val="20"/>
                <w:color w:val="auto"/>
              </w:rPr>
            </w:pPr>
            <w:r>
              <w:rPr>
                <w:rFonts w:ascii="Arial" w:cs="Arial" w:eastAsia="Arial" w:hAnsi="Arial"/>
                <w:sz w:val="18"/>
                <w:szCs w:val="18"/>
                <w:color w:val="auto"/>
                <w:w w:val="97"/>
              </w:rPr>
              <w:t>2022-04-14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540" w:type="dxa"/>
            <w:vAlign w:val="bottom"/>
            <w:gridSpan w:val="14"/>
            <w:shd w:val="clear" w:color="auto" w:fill="CCEEFF"/>
          </w:tcPr>
          <w:p>
            <w:pPr>
              <w:spacing w:after="0" w:line="152" w:lineRule="exact"/>
              <w:rPr>
                <w:rFonts w:ascii="Arial" w:cs="Arial" w:eastAsia="Arial" w:hAnsi="Arial"/>
                <w:sz w:val="17"/>
                <w:szCs w:val="17"/>
                <w:color w:val="0000FF"/>
              </w:rPr>
            </w:pPr>
            <w:hyperlink r:id="rId118">
              <w:r>
                <w:rPr>
                  <w:rFonts w:ascii="Arial" w:cs="Arial" w:eastAsia="Arial" w:hAnsi="Arial"/>
                  <w:sz w:val="17"/>
                  <w:szCs w:val="17"/>
                  <w:color w:val="0000FF"/>
                </w:rPr>
                <w:t>2022, among Robinhood Securities, LLC, as borrower, the lenders</w:t>
              </w:r>
            </w:hyperlink>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10"/>
            <w:shd w:val="clear" w:color="auto" w:fill="CCEEFF"/>
          </w:tcPr>
          <w:p>
            <w:pPr>
              <w:spacing w:after="0" w:line="152" w:lineRule="exact"/>
              <w:rPr>
                <w:rFonts w:ascii="Arial" w:cs="Arial" w:eastAsia="Arial" w:hAnsi="Arial"/>
                <w:sz w:val="17"/>
                <w:szCs w:val="17"/>
                <w:color w:val="0000FF"/>
              </w:rPr>
            </w:pPr>
            <w:hyperlink r:id="rId118">
              <w:r>
                <w:rPr>
                  <w:rFonts w:ascii="Arial" w:cs="Arial" w:eastAsia="Arial" w:hAnsi="Arial"/>
                  <w:sz w:val="17"/>
                  <w:szCs w:val="17"/>
                  <w:color w:val="0000FF"/>
                </w:rPr>
                <w:t>party thereto, and JPMorgan Chase Bank, N.A., as administrative</w:t>
              </w:r>
            </w:hyperlink>
          </w:p>
        </w:tc>
        <w:tc>
          <w:tcPr>
            <w:tcW w:w="22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0000FF"/>
            </w:tcBorders>
            <w:gridSpan w:val="2"/>
            <w:shd w:val="clear" w:color="auto" w:fill="CCEEFF"/>
          </w:tcPr>
          <w:p>
            <w:pPr>
              <w:spacing w:after="0" w:line="152" w:lineRule="exact"/>
              <w:rPr>
                <w:rFonts w:ascii="Arial" w:cs="Arial" w:eastAsia="Arial" w:hAnsi="Arial"/>
                <w:sz w:val="17"/>
                <w:szCs w:val="17"/>
                <w:color w:val="0000FF"/>
              </w:rPr>
            </w:pPr>
            <w:hyperlink r:id="rId118">
              <w:r>
                <w:rPr>
                  <w:rFonts w:ascii="Arial" w:cs="Arial" w:eastAsia="Arial" w:hAnsi="Arial"/>
                  <w:sz w:val="17"/>
                  <w:szCs w:val="17"/>
                  <w:color w:val="0000FF"/>
                </w:rPr>
                <w:t>agent</w:t>
              </w:r>
            </w:hyperlink>
          </w:p>
        </w:tc>
        <w:tc>
          <w:tcPr>
            <w:tcW w:w="466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300" w:type="dxa"/>
            <w:vAlign w:val="bottom"/>
            <w:tcBorders>
              <w:top w:val="single" w:sz="8" w:color="CCEEFF"/>
              <w:bottom w:val="single" w:sz="8" w:color="CCEEFF"/>
              <w:right w:val="single" w:sz="8" w:color="CCEEFF"/>
            </w:tcBorders>
            <w:gridSpan w:val="5"/>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60" w:type="dxa"/>
            <w:vAlign w:val="bottom"/>
          </w:tcPr>
          <w:p>
            <w:pPr>
              <w:ind w:left="20"/>
              <w:spacing w:after="0" w:line="18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5420" w:type="dxa"/>
            <w:vAlign w:val="bottom"/>
            <w:tcBorders>
              <w:bottom w:val="single" w:sz="8" w:color="0000FF"/>
            </w:tcBorders>
            <w:gridSpan w:val="13"/>
          </w:tcPr>
          <w:p>
            <w:pPr>
              <w:spacing w:after="0" w:line="186" w:lineRule="exact"/>
              <w:rPr>
                <w:rFonts w:ascii="Arial" w:cs="Arial" w:eastAsia="Arial" w:hAnsi="Arial"/>
                <w:sz w:val="18"/>
                <w:szCs w:val="18"/>
                <w:color w:val="0000FF"/>
                <w:w w:val="97"/>
              </w:rPr>
            </w:pPr>
            <w:hyperlink w:anchor="page109">
              <w:r>
                <w:rPr>
                  <w:rFonts w:ascii="Arial" w:cs="Arial" w:eastAsia="Arial" w:hAnsi="Arial"/>
                  <w:sz w:val="18"/>
                  <w:szCs w:val="18"/>
                  <w:color w:val="0000FF"/>
                  <w:w w:val="97"/>
                </w:rPr>
                <w:t>CEO Certification pursuant to Section 302 of the Sarbanes-Oxley Act</w:t>
              </w:r>
            </w:hyperlink>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6"/>
                <w:szCs w:val="16"/>
                <w:color w:val="auto"/>
              </w:rPr>
            </w:pPr>
          </w:p>
        </w:tc>
        <w:tc>
          <w:tcPr>
            <w:tcW w:w="5540" w:type="dxa"/>
            <w:vAlign w:val="bottom"/>
            <w:gridSpan w:val="14"/>
            <w:shd w:val="clear" w:color="auto" w:fill="CCEEFF"/>
          </w:tcPr>
          <w:p>
            <w:pPr>
              <w:spacing w:after="0" w:line="195" w:lineRule="exact"/>
              <w:rPr>
                <w:rFonts w:ascii="Arial" w:cs="Arial" w:eastAsia="Arial" w:hAnsi="Arial"/>
                <w:sz w:val="18"/>
                <w:szCs w:val="18"/>
                <w:color w:val="0000FF"/>
              </w:rPr>
            </w:pPr>
            <w:hyperlink w:anchor="page110">
              <w:r>
                <w:rPr>
                  <w:rFonts w:ascii="Arial" w:cs="Arial" w:eastAsia="Arial" w:hAnsi="Arial"/>
                  <w:sz w:val="18"/>
                  <w:szCs w:val="18"/>
                  <w:color w:val="0000FF"/>
                </w:rPr>
                <w:t>CFO Certification pursuant to Section 302 of the Sarbanes-Oxley Act</w:t>
              </w:r>
            </w:hyperlink>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
        </w:trPr>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32.1‡</w:t>
            </w:r>
          </w:p>
        </w:tc>
        <w:tc>
          <w:tcPr>
            <w:tcW w:w="5420" w:type="dxa"/>
            <w:vAlign w:val="bottom"/>
            <w:tcBorders>
              <w:bottom w:val="single" w:sz="8" w:color="0000FF"/>
            </w:tcBorders>
            <w:gridSpan w:val="13"/>
          </w:tcPr>
          <w:p>
            <w:pPr>
              <w:spacing w:after="0" w:line="186" w:lineRule="exact"/>
              <w:rPr>
                <w:rFonts w:ascii="Arial" w:cs="Arial" w:eastAsia="Arial" w:hAnsi="Arial"/>
                <w:sz w:val="18"/>
                <w:szCs w:val="18"/>
                <w:color w:val="0000FF"/>
                <w:w w:val="97"/>
              </w:rPr>
            </w:pPr>
            <w:hyperlink w:anchor="page111">
              <w:r>
                <w:rPr>
                  <w:rFonts w:ascii="Arial" w:cs="Arial" w:eastAsia="Arial" w:hAnsi="Arial"/>
                  <w:sz w:val="18"/>
                  <w:szCs w:val="18"/>
                  <w:color w:val="0000FF"/>
                  <w:w w:val="97"/>
                </w:rPr>
                <w:t>CEO Certification pursuant to Section 906 of the Sarbanes-Oxley Act</w:t>
              </w:r>
            </w:hyperlink>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5"/>
        </w:trPr>
        <w:tc>
          <w:tcPr>
            <w:tcW w:w="11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32.2‡</w:t>
            </w:r>
          </w:p>
        </w:tc>
        <w:tc>
          <w:tcPr>
            <w:tcW w:w="5540" w:type="dxa"/>
            <w:vAlign w:val="bottom"/>
            <w:gridSpan w:val="14"/>
            <w:shd w:val="clear" w:color="auto" w:fill="CCEEFF"/>
          </w:tcPr>
          <w:p>
            <w:pPr>
              <w:spacing w:after="0" w:line="195" w:lineRule="exact"/>
              <w:rPr>
                <w:rFonts w:ascii="Arial" w:cs="Arial" w:eastAsia="Arial" w:hAnsi="Arial"/>
                <w:sz w:val="18"/>
                <w:szCs w:val="18"/>
                <w:color w:val="0000FF"/>
              </w:rPr>
            </w:pPr>
            <w:hyperlink w:anchor="page112">
              <w:r>
                <w:rPr>
                  <w:rFonts w:ascii="Arial" w:cs="Arial" w:eastAsia="Arial" w:hAnsi="Arial"/>
                  <w:sz w:val="18"/>
                  <w:szCs w:val="18"/>
                  <w:color w:val="0000FF"/>
                </w:rPr>
                <w:t>CFO Certification pursuant to Section 906 of the Sarbanes-Oxley Act</w:t>
              </w:r>
            </w:hyperlink>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5"/>
        </w:trPr>
        <w:tc>
          <w:tcPr>
            <w:tcW w:w="1180" w:type="dxa"/>
            <w:vAlign w:val="bottom"/>
            <w:tcBorders>
              <w:top w:val="single" w:sz="8" w:color="CCEEFF"/>
            </w:tcBorders>
            <w:gridSpan w:val="2"/>
          </w:tcPr>
          <w:p>
            <w:pPr>
              <w:ind w:left="20"/>
              <w:spacing w:after="0" w:line="185" w:lineRule="exact"/>
              <w:rPr>
                <w:sz w:val="20"/>
                <w:szCs w:val="20"/>
                <w:color w:val="auto"/>
              </w:rPr>
            </w:pPr>
            <w:r>
              <w:rPr>
                <w:rFonts w:ascii="Arial" w:cs="Arial" w:eastAsia="Arial" w:hAnsi="Arial"/>
                <w:sz w:val="18"/>
                <w:szCs w:val="18"/>
                <w:color w:val="auto"/>
              </w:rPr>
              <w:t>101.INS</w:t>
            </w:r>
          </w:p>
        </w:tc>
        <w:tc>
          <w:tcPr>
            <w:tcW w:w="5420" w:type="dxa"/>
            <w:vAlign w:val="bottom"/>
            <w:tcBorders>
              <w:top w:val="single" w:sz="8" w:color="0000FF"/>
            </w:tcBorders>
            <w:gridSpan w:val="13"/>
          </w:tcPr>
          <w:p>
            <w:pPr>
              <w:spacing w:after="0" w:line="185" w:lineRule="exact"/>
              <w:rPr>
                <w:sz w:val="20"/>
                <w:szCs w:val="20"/>
                <w:color w:val="auto"/>
              </w:rPr>
            </w:pPr>
            <w:r>
              <w:rPr>
                <w:rFonts w:ascii="Arial" w:cs="Arial" w:eastAsia="Arial" w:hAnsi="Arial"/>
                <w:sz w:val="18"/>
                <w:szCs w:val="18"/>
                <w:color w:val="auto"/>
              </w:rPr>
              <w:t>iXBRL (Inline eXtensible Business Reporting Language) Instance</w:t>
            </w:r>
          </w:p>
        </w:tc>
        <w:tc>
          <w:tcPr>
            <w:tcW w:w="1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jc w:val="center"/>
              <w:spacing w:after="0" w:line="18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14"/>
          </w:tcPr>
          <w:p>
            <w:pPr>
              <w:spacing w:after="0" w:line="172" w:lineRule="exact"/>
              <w:rPr>
                <w:sz w:val="20"/>
                <w:szCs w:val="20"/>
                <w:color w:val="auto"/>
              </w:rPr>
            </w:pPr>
            <w:r>
              <w:rPr>
                <w:rFonts w:ascii="Arial" w:cs="Arial" w:eastAsia="Arial" w:hAnsi="Arial"/>
                <w:sz w:val="18"/>
                <w:szCs w:val="18"/>
                <w:color w:val="auto"/>
              </w:rPr>
              <w:t>Document - the instance document does not appear in the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14"/>
          </w:tcPr>
          <w:p>
            <w:pPr>
              <w:spacing w:after="0" w:line="172" w:lineRule="exact"/>
              <w:rPr>
                <w:sz w:val="20"/>
                <w:szCs w:val="20"/>
                <w:color w:val="auto"/>
              </w:rPr>
            </w:pPr>
            <w:r>
              <w:rPr>
                <w:rFonts w:ascii="Arial" w:cs="Arial" w:eastAsia="Arial" w:hAnsi="Arial"/>
                <w:sz w:val="18"/>
                <w:szCs w:val="18"/>
                <w:color w:val="auto"/>
              </w:rPr>
              <w:t>Interactive Data File because its XBRL tags are embedded within the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14"/>
          </w:tcPr>
          <w:p>
            <w:pPr>
              <w:spacing w:after="0"/>
              <w:rPr>
                <w:sz w:val="20"/>
                <w:szCs w:val="20"/>
                <w:color w:val="auto"/>
              </w:rPr>
            </w:pPr>
            <w:r>
              <w:rPr>
                <w:rFonts w:ascii="Arial" w:cs="Arial" w:eastAsia="Arial" w:hAnsi="Arial"/>
                <w:sz w:val="18"/>
                <w:szCs w:val="18"/>
                <w:color w:val="auto"/>
              </w:rPr>
              <w:t>Inline XBRL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55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iXBRL Taxonomy Extension Schema Document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5"/>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5540" w:type="dxa"/>
            <w:vAlign w:val="bottom"/>
            <w:gridSpan w:val="14"/>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6"/>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55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5"/>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5540" w:type="dxa"/>
            <w:vAlign w:val="bottom"/>
            <w:gridSpan w:val="14"/>
          </w:tcPr>
          <w:p>
            <w:pPr>
              <w:spacing w:after="0"/>
              <w:rPr>
                <w:sz w:val="20"/>
                <w:szCs w:val="20"/>
                <w:color w:val="auto"/>
              </w:rPr>
            </w:pPr>
            <w:r>
              <w:rPr>
                <w:rFonts w:ascii="Arial" w:cs="Arial" w:eastAsia="Arial" w:hAnsi="Arial"/>
                <w:sz w:val="18"/>
                <w:szCs w:val="18"/>
                <w:color w:val="auto"/>
              </w:rPr>
              <w:t>iXBRL Taxonomy Extension Label Linkbase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6"/>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55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4"/>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5540" w:type="dxa"/>
            <w:vAlign w:val="bottom"/>
            <w:gridSpan w:val="14"/>
          </w:tcPr>
          <w:p>
            <w:pPr>
              <w:spacing w:after="0"/>
              <w:rPr>
                <w:sz w:val="20"/>
                <w:szCs w:val="20"/>
                <w:color w:val="auto"/>
              </w:rPr>
            </w:pPr>
            <w:r>
              <w:rPr>
                <w:rFonts w:ascii="Arial" w:cs="Arial" w:eastAsia="Arial" w:hAnsi="Arial"/>
                <w:sz w:val="18"/>
                <w:szCs w:val="18"/>
                <w:color w:val="auto"/>
              </w:rPr>
              <w:t>Cover Page Interactive Data File (contained in Exhibit 101)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70" w:lineRule="exact"/>
        <w:rPr>
          <w:sz w:val="20"/>
          <w:szCs w:val="20"/>
          <w:color w:val="auto"/>
        </w:rPr>
      </w:pPr>
    </w:p>
    <w:p>
      <w:pPr>
        <w:ind w:left="220" w:hanging="214"/>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File number is 001-40691 except that the S-1 (and S-1/A) file number is 333-257602.</w:t>
      </w:r>
    </w:p>
    <w:p>
      <w:pPr>
        <w:spacing w:after="0" w:line="51" w:lineRule="exact"/>
        <w:rPr>
          <w:sz w:val="20"/>
          <w:szCs w:val="20"/>
          <w:color w:val="auto"/>
        </w:rPr>
      </w:pPr>
    </w:p>
    <w:p>
      <w:pPr>
        <w:jc w:val="both"/>
        <w:ind w:left="160" w:hanging="154"/>
        <w:spacing w:after="0" w:line="243" w:lineRule="auto"/>
        <w:tabs>
          <w:tab w:leader="none" w:pos="2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SIGNATURES</w:t>
      </w:r>
    </w:p>
    <w:p>
      <w:pPr>
        <w:spacing w:after="0" w:line="208"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Act of 1934, the Registrant has duly signed this report to be signed on its behalf by the undersigned, thereunto duly authorized, in Menlo Park, California, on August 3, 2022.</w:t>
      </w:r>
    </w:p>
    <w:p>
      <w:pPr>
        <w:spacing w:after="0" w:line="20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Robinhood Markets, Inc.</w:t>
      </w:r>
    </w:p>
    <w:p>
      <w:pPr>
        <w:spacing w:after="0" w:line="283" w:lineRule="exact"/>
        <w:rPr>
          <w:sz w:val="20"/>
          <w:szCs w:val="20"/>
          <w:color w:val="auto"/>
        </w:rPr>
      </w:pPr>
    </w:p>
    <w:tbl>
      <w:tblPr>
        <w:tblLayout w:type="fixed"/>
        <w:tblInd w:w="6540" w:type="dxa"/>
        <w:tblCellMar>
          <w:top w:w="0" w:type="dxa"/>
          <w:left w:w="0" w:type="dxa"/>
          <w:bottom w:w="0" w:type="dxa"/>
          <w:right w:w="0" w:type="dxa"/>
        </w:tblCellMar>
      </w:tblPr>
      <w:tr>
        <w:trPr>
          <w:trHeight w:val="21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Vladimir Tenev</w:t>
            </w: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r>
      <w:tr>
        <w:trPr>
          <w:trHeight w:val="186"/>
        </w:trPr>
        <w:tc>
          <w:tcPr>
            <w:tcW w:w="820" w:type="dxa"/>
            <w:vAlign w:val="bottom"/>
          </w:tcPr>
          <w:p>
            <w:pPr>
              <w:spacing w:after="0"/>
              <w:rPr>
                <w:sz w:val="16"/>
                <w:szCs w:val="16"/>
                <w:color w:val="auto"/>
              </w:rPr>
            </w:pPr>
          </w:p>
        </w:tc>
        <w:tc>
          <w:tcPr>
            <w:tcW w:w="3880" w:type="dxa"/>
            <w:vAlign w:val="bottom"/>
          </w:tcPr>
          <w:p>
            <w:pPr>
              <w:ind w:left="20"/>
              <w:spacing w:after="0" w:line="186" w:lineRule="exact"/>
              <w:rPr>
                <w:sz w:val="20"/>
                <w:szCs w:val="20"/>
                <w:color w:val="auto"/>
              </w:rPr>
            </w:pPr>
            <w:r>
              <w:rPr>
                <w:rFonts w:ascii="Arial" w:cs="Arial" w:eastAsia="Arial" w:hAnsi="Arial"/>
                <w:sz w:val="18"/>
                <w:szCs w:val="18"/>
                <w:color w:val="auto"/>
              </w:rPr>
              <w:t>Co-Founder, Chief Executive Officer and</w:t>
            </w:r>
          </w:p>
        </w:tc>
      </w:tr>
      <w:tr>
        <w:trPr>
          <w:trHeight w:val="21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65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Warnick</w:t>
            </w: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Jason Warnick</w:t>
            </w:r>
          </w:p>
        </w:tc>
      </w:tr>
      <w:tr>
        <w:trPr>
          <w:trHeight w:val="173"/>
        </w:trPr>
        <w:tc>
          <w:tcPr>
            <w:tcW w:w="820" w:type="dxa"/>
            <w:vAlign w:val="bottom"/>
          </w:tcPr>
          <w:p>
            <w:pPr>
              <w:spacing w:after="0"/>
              <w:rPr>
                <w:sz w:val="15"/>
                <w:szCs w:val="15"/>
                <w:color w:val="auto"/>
              </w:rPr>
            </w:pPr>
          </w:p>
        </w:tc>
        <w:tc>
          <w:tcPr>
            <w:tcW w:w="3880" w:type="dxa"/>
            <w:vAlign w:val="bottom"/>
          </w:tcPr>
          <w:p>
            <w:pPr>
              <w:ind w:left="20"/>
              <w:spacing w:after="0" w:line="173" w:lineRule="exact"/>
              <w:rPr>
                <w:sz w:val="20"/>
                <w:szCs w:val="20"/>
                <w:color w:val="auto"/>
              </w:rPr>
            </w:pPr>
            <w:r>
              <w:rPr>
                <w:rFonts w:ascii="Arial" w:cs="Arial" w:eastAsia="Arial" w:hAnsi="Arial"/>
                <w:sz w:val="18"/>
                <w:szCs w:val="18"/>
                <w:color w:val="auto"/>
              </w:rPr>
              <w:t>Chief Financial Officer</w:t>
            </w:r>
          </w:p>
        </w:tc>
      </w:tr>
      <w:tr>
        <w:trPr>
          <w:trHeight w:val="172"/>
        </w:trPr>
        <w:tc>
          <w:tcPr>
            <w:tcW w:w="820" w:type="dxa"/>
            <w:vAlign w:val="bottom"/>
          </w:tcPr>
          <w:p>
            <w:pPr>
              <w:spacing w:after="0"/>
              <w:rPr>
                <w:sz w:val="14"/>
                <w:szCs w:val="14"/>
                <w:color w:val="auto"/>
              </w:rPr>
            </w:pPr>
          </w:p>
        </w:tc>
        <w:tc>
          <w:tcPr>
            <w:tcW w:w="388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(Principal Financial Officer and Principal</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0"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D1C1D"/>
        </w:rPr>
        <w:t>I, Vladimir Tenev, certify that:</w:t>
      </w:r>
    </w:p>
    <w:p>
      <w:pPr>
        <w:spacing w:after="0" w:line="18" w:lineRule="exact"/>
        <w:rPr>
          <w:sz w:val="20"/>
          <w:szCs w:val="20"/>
          <w:color w:val="auto"/>
        </w:rPr>
      </w:pPr>
    </w:p>
    <w:p>
      <w:pPr>
        <w:ind w:left="400" w:hanging="394"/>
        <w:spacing w:after="0"/>
        <w:tabs>
          <w:tab w:leader="none" w:pos="400"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I have reviewed this Quarterly Report on Form 10-Q of Robinhood Markets Inc.;</w:t>
      </w:r>
    </w:p>
    <w:p>
      <w:pPr>
        <w:spacing w:after="0" w:line="18" w:lineRule="exact"/>
        <w:rPr>
          <w:rFonts w:ascii="Arial" w:cs="Arial" w:eastAsia="Arial" w:hAnsi="Arial"/>
          <w:sz w:val="18"/>
          <w:szCs w:val="18"/>
          <w:color w:val="1D1C1D"/>
        </w:rPr>
      </w:pPr>
    </w:p>
    <w:p>
      <w:pPr>
        <w:jc w:val="both"/>
        <w:ind w:firstLine="6"/>
        <w:spacing w:after="0" w:line="261" w:lineRule="auto"/>
        <w:tabs>
          <w:tab w:leader="none" w:pos="480"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jc w:val="both"/>
        <w:ind w:firstLine="6"/>
        <w:spacing w:after="0" w:line="276" w:lineRule="auto"/>
        <w:tabs>
          <w:tab w:leader="none" w:pos="493" w:val="left"/>
        </w:tabs>
        <w:numPr>
          <w:ilvl w:val="0"/>
          <w:numId w:val="33"/>
        </w:numPr>
        <w:rPr>
          <w:rFonts w:ascii="Arial" w:cs="Arial" w:eastAsia="Arial" w:hAnsi="Arial"/>
          <w:sz w:val="17"/>
          <w:szCs w:val="17"/>
          <w:color w:val="1D1C1D"/>
        </w:rPr>
      </w:pPr>
      <w:r>
        <w:rPr>
          <w:rFonts w:ascii="Arial" w:cs="Arial" w:eastAsia="Arial" w:hAnsi="Arial"/>
          <w:sz w:val="17"/>
          <w:szCs w:val="17"/>
          <w:color w:val="1D1C1D"/>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ind w:firstLine="6"/>
        <w:spacing w:after="0" w:line="261" w:lineRule="auto"/>
        <w:tabs>
          <w:tab w:leader="none" w:pos="522"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The registrant’s other certifying officer and I are responsible for establishing and maintaining disclosure controls and procedures (as defined in Exchange Act Rules 13a-15(e) and 15d-15(e)) for the registrant and have:</w:t>
      </w:r>
    </w:p>
    <w:p>
      <w:pPr>
        <w:jc w:val="both"/>
        <w:ind w:firstLine="292"/>
        <w:spacing w:after="0" w:line="261" w:lineRule="auto"/>
        <w:rPr>
          <w:rFonts w:ascii="Arial" w:cs="Arial" w:eastAsia="Arial" w:hAnsi="Arial"/>
          <w:sz w:val="18"/>
          <w:szCs w:val="18"/>
          <w:color w:val="1D1C1D"/>
        </w:rPr>
      </w:pPr>
      <w:r>
        <w:rPr>
          <w:rFonts w:ascii="Arial" w:cs="Arial" w:eastAsia="Arial" w:hAnsi="Arial"/>
          <w:sz w:val="18"/>
          <w:szCs w:val="18"/>
          <w:color w:val="1D1C1D"/>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firstLine="196"/>
        <w:spacing w:after="0" w:line="261" w:lineRule="auto"/>
        <w:rPr>
          <w:rFonts w:ascii="Arial" w:cs="Arial" w:eastAsia="Arial" w:hAnsi="Arial"/>
          <w:sz w:val="18"/>
          <w:szCs w:val="18"/>
          <w:color w:val="1D1C1D"/>
        </w:rPr>
      </w:pPr>
      <w:r>
        <w:rPr>
          <w:rFonts w:ascii="Arial" w:cs="Arial" w:eastAsia="Arial" w:hAnsi="Arial"/>
          <w:sz w:val="18"/>
          <w:szCs w:val="18"/>
          <w:color w:val="1D1C1D"/>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firstLine="228"/>
        <w:spacing w:after="0" w:line="261" w:lineRule="auto"/>
        <w:rPr>
          <w:rFonts w:ascii="Arial" w:cs="Arial" w:eastAsia="Arial" w:hAnsi="Arial"/>
          <w:sz w:val="18"/>
          <w:szCs w:val="18"/>
          <w:color w:val="1D1C1D"/>
        </w:rPr>
      </w:pPr>
      <w:r>
        <w:rPr>
          <w:rFonts w:ascii="Arial" w:cs="Arial" w:eastAsia="Arial" w:hAnsi="Arial"/>
          <w:sz w:val="18"/>
          <w:szCs w:val="18"/>
          <w:color w:val="1D1C1D"/>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jc w:val="both"/>
        <w:ind w:firstLine="6"/>
        <w:spacing w:after="0" w:line="261" w:lineRule="auto"/>
        <w:tabs>
          <w:tab w:leader="none" w:pos="547"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firstLine="270"/>
        <w:spacing w:after="0" w:line="261" w:lineRule="auto"/>
        <w:rPr>
          <w:rFonts w:ascii="Arial" w:cs="Arial" w:eastAsia="Arial" w:hAnsi="Arial"/>
          <w:sz w:val="18"/>
          <w:szCs w:val="18"/>
          <w:color w:val="1D1C1D"/>
        </w:rPr>
      </w:pPr>
      <w:r>
        <w:rPr>
          <w:rFonts w:ascii="Arial" w:cs="Arial" w:eastAsia="Arial" w:hAnsi="Arial"/>
          <w:sz w:val="18"/>
          <w:szCs w:val="18"/>
          <w:color w:val="1D1C1D"/>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firstLine="207"/>
        <w:spacing w:after="0" w:line="261" w:lineRule="auto"/>
        <w:rPr>
          <w:rFonts w:ascii="Arial" w:cs="Arial" w:eastAsia="Arial" w:hAnsi="Arial"/>
          <w:sz w:val="18"/>
          <w:szCs w:val="18"/>
          <w:color w:val="1D1C1D"/>
        </w:rPr>
      </w:pPr>
      <w:r>
        <w:rPr>
          <w:rFonts w:ascii="Arial" w:cs="Arial" w:eastAsia="Arial" w:hAnsi="Arial"/>
          <w:sz w:val="18"/>
          <w:szCs w:val="18"/>
          <w:color w:val="1D1C1D"/>
        </w:rPr>
        <w:t>b. any fraud, whether or not material, that involves management or other employees who have a significant role in the registrant’s internal control over financial reporting.</w:t>
      </w:r>
    </w:p>
    <w:p>
      <w:pPr>
        <w:ind w:right="9440"/>
        <w:spacing w:after="0" w:line="261" w:lineRule="auto"/>
        <w:rPr>
          <w:rFonts w:ascii="Arial" w:cs="Arial" w:eastAsia="Arial" w:hAnsi="Arial"/>
          <w:sz w:val="18"/>
          <w:szCs w:val="18"/>
          <w:color w:val="1D1C1D"/>
        </w:rPr>
      </w:pPr>
      <w:r>
        <w:rPr>
          <w:rFonts w:ascii="Arial" w:cs="Arial" w:eastAsia="Arial" w:hAnsi="Arial"/>
          <w:sz w:val="18"/>
          <w:szCs w:val="18"/>
          <w:color w:val="1D1C1D"/>
        </w:rPr>
        <w:t xml:space="preserve">Date: August 3, 2022 /s/ </w:t>
      </w:r>
      <w:r>
        <w:rPr>
          <w:rFonts w:ascii="Arial" w:cs="Arial" w:eastAsia="Arial" w:hAnsi="Arial"/>
          <w:sz w:val="18"/>
          <w:szCs w:val="18"/>
          <w:color w:val="000000"/>
        </w:rPr>
        <w:t>Vladimir Tenev</w:t>
      </w:r>
      <w:r>
        <w:rPr>
          <w:rFonts w:ascii="Arial" w:cs="Arial" w:eastAsia="Arial" w:hAnsi="Arial"/>
          <w:sz w:val="18"/>
          <w:szCs w:val="18"/>
          <w:color w:val="1D1C1D"/>
        </w:rPr>
        <w:t xml:space="preserve"> </w:t>
      </w:r>
      <w:r>
        <w:rPr>
          <w:rFonts w:ascii="Arial" w:cs="Arial" w:eastAsia="Arial" w:hAnsi="Arial"/>
          <w:sz w:val="18"/>
          <w:szCs w:val="18"/>
          <w:color w:val="000000"/>
        </w:rPr>
        <w:t>Vladimir Tenev</w:t>
      </w:r>
    </w:p>
    <w:p>
      <w:pPr>
        <w:spacing w:after="0"/>
        <w:rPr>
          <w:rFonts w:ascii="Arial" w:cs="Arial" w:eastAsia="Arial" w:hAnsi="Arial"/>
          <w:sz w:val="18"/>
          <w:szCs w:val="18"/>
          <w:color w:val="1D1C1D"/>
        </w:rPr>
      </w:pPr>
      <w:r>
        <w:rPr>
          <w:rFonts w:ascii="Arial" w:cs="Arial" w:eastAsia="Arial" w:hAnsi="Arial"/>
          <w:sz w:val="18"/>
          <w:szCs w:val="18"/>
          <w:color w:val="auto"/>
        </w:rPr>
        <w:t>Chief Executive Officer</w:t>
      </w:r>
    </w:p>
    <w:p>
      <w:pPr>
        <w:sectPr>
          <w:pgSz w:w="11900" w:h="16838" w:orient="portrait"/>
          <w:cols w:equalWidth="0" w:num="1">
            <w:col w:w="11240"/>
          </w:cols>
          <w:pgMar w:left="320" w:top="14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D1C1D"/>
        </w:rPr>
        <w:t>I, Jason Warnick, certify that:</w:t>
      </w:r>
    </w:p>
    <w:p>
      <w:pPr>
        <w:spacing w:after="0" w:line="18" w:lineRule="exact"/>
        <w:rPr>
          <w:sz w:val="20"/>
          <w:szCs w:val="20"/>
          <w:color w:val="auto"/>
        </w:rPr>
      </w:pPr>
    </w:p>
    <w:p>
      <w:pPr>
        <w:ind w:left="400" w:hanging="394"/>
        <w:spacing w:after="0"/>
        <w:tabs>
          <w:tab w:leader="none" w:pos="400" w:val="left"/>
        </w:tabs>
        <w:numPr>
          <w:ilvl w:val="0"/>
          <w:numId w:val="34"/>
        </w:numPr>
        <w:rPr>
          <w:rFonts w:ascii="Arial" w:cs="Arial" w:eastAsia="Arial" w:hAnsi="Arial"/>
          <w:sz w:val="18"/>
          <w:szCs w:val="18"/>
          <w:color w:val="1D1C1D"/>
        </w:rPr>
      </w:pPr>
      <w:r>
        <w:rPr>
          <w:rFonts w:ascii="Arial" w:cs="Arial" w:eastAsia="Arial" w:hAnsi="Arial"/>
          <w:sz w:val="18"/>
          <w:szCs w:val="18"/>
          <w:color w:val="1D1C1D"/>
        </w:rPr>
        <w:t>I have reviewed this Quarterly Report on Form 10-Q of Robinhood Markets Inc.;</w:t>
      </w:r>
    </w:p>
    <w:p>
      <w:pPr>
        <w:spacing w:after="0" w:line="18" w:lineRule="exact"/>
        <w:rPr>
          <w:rFonts w:ascii="Arial" w:cs="Arial" w:eastAsia="Arial" w:hAnsi="Arial"/>
          <w:sz w:val="18"/>
          <w:szCs w:val="18"/>
          <w:color w:val="1D1C1D"/>
        </w:rPr>
      </w:pPr>
    </w:p>
    <w:p>
      <w:pPr>
        <w:jc w:val="both"/>
        <w:ind w:firstLine="6"/>
        <w:spacing w:after="0" w:line="261" w:lineRule="auto"/>
        <w:tabs>
          <w:tab w:leader="none" w:pos="480" w:val="left"/>
        </w:tabs>
        <w:numPr>
          <w:ilvl w:val="0"/>
          <w:numId w:val="34"/>
        </w:numPr>
        <w:rPr>
          <w:rFonts w:ascii="Arial" w:cs="Arial" w:eastAsia="Arial" w:hAnsi="Arial"/>
          <w:sz w:val="18"/>
          <w:szCs w:val="18"/>
          <w:color w:val="1D1C1D"/>
        </w:rPr>
      </w:pPr>
      <w:r>
        <w:rPr>
          <w:rFonts w:ascii="Arial" w:cs="Arial" w:eastAsia="Arial" w:hAnsi="Arial"/>
          <w:sz w:val="18"/>
          <w:szCs w:val="18"/>
          <w:color w:val="1D1C1D"/>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jc w:val="both"/>
        <w:ind w:firstLine="6"/>
        <w:spacing w:after="0" w:line="276" w:lineRule="auto"/>
        <w:tabs>
          <w:tab w:leader="none" w:pos="493" w:val="left"/>
        </w:tabs>
        <w:numPr>
          <w:ilvl w:val="0"/>
          <w:numId w:val="34"/>
        </w:numPr>
        <w:rPr>
          <w:rFonts w:ascii="Arial" w:cs="Arial" w:eastAsia="Arial" w:hAnsi="Arial"/>
          <w:sz w:val="17"/>
          <w:szCs w:val="17"/>
          <w:color w:val="1D1C1D"/>
        </w:rPr>
      </w:pPr>
      <w:r>
        <w:rPr>
          <w:rFonts w:ascii="Arial" w:cs="Arial" w:eastAsia="Arial" w:hAnsi="Arial"/>
          <w:sz w:val="17"/>
          <w:szCs w:val="17"/>
          <w:color w:val="1D1C1D"/>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ind w:firstLine="6"/>
        <w:spacing w:after="0" w:line="261" w:lineRule="auto"/>
        <w:tabs>
          <w:tab w:leader="none" w:pos="522" w:val="left"/>
        </w:tabs>
        <w:numPr>
          <w:ilvl w:val="0"/>
          <w:numId w:val="34"/>
        </w:numPr>
        <w:rPr>
          <w:rFonts w:ascii="Arial" w:cs="Arial" w:eastAsia="Arial" w:hAnsi="Arial"/>
          <w:sz w:val="18"/>
          <w:szCs w:val="18"/>
          <w:color w:val="1D1C1D"/>
        </w:rPr>
      </w:pPr>
      <w:r>
        <w:rPr>
          <w:rFonts w:ascii="Arial" w:cs="Arial" w:eastAsia="Arial" w:hAnsi="Arial"/>
          <w:sz w:val="18"/>
          <w:szCs w:val="18"/>
          <w:color w:val="1D1C1D"/>
        </w:rPr>
        <w:t>The registrant’s other certifying officer and I are responsible for establishing and maintaining disclosure controls and procedures (as defined in Exchange Act Rules 13a-15(e) and 15d-15(e)) for the registrant and have:</w:t>
      </w:r>
    </w:p>
    <w:p>
      <w:pPr>
        <w:jc w:val="both"/>
        <w:ind w:firstLine="292"/>
        <w:spacing w:after="0" w:line="261" w:lineRule="auto"/>
        <w:rPr>
          <w:rFonts w:ascii="Arial" w:cs="Arial" w:eastAsia="Arial" w:hAnsi="Arial"/>
          <w:sz w:val="18"/>
          <w:szCs w:val="18"/>
          <w:color w:val="1D1C1D"/>
        </w:rPr>
      </w:pPr>
      <w:r>
        <w:rPr>
          <w:rFonts w:ascii="Arial" w:cs="Arial" w:eastAsia="Arial" w:hAnsi="Arial"/>
          <w:sz w:val="18"/>
          <w:szCs w:val="18"/>
          <w:color w:val="1D1C1D"/>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firstLine="196"/>
        <w:spacing w:after="0" w:line="261" w:lineRule="auto"/>
        <w:rPr>
          <w:rFonts w:ascii="Arial" w:cs="Arial" w:eastAsia="Arial" w:hAnsi="Arial"/>
          <w:sz w:val="18"/>
          <w:szCs w:val="18"/>
          <w:color w:val="1D1C1D"/>
        </w:rPr>
      </w:pPr>
      <w:r>
        <w:rPr>
          <w:rFonts w:ascii="Arial" w:cs="Arial" w:eastAsia="Arial" w:hAnsi="Arial"/>
          <w:sz w:val="18"/>
          <w:szCs w:val="18"/>
          <w:color w:val="1D1C1D"/>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firstLine="228"/>
        <w:spacing w:after="0" w:line="261" w:lineRule="auto"/>
        <w:rPr>
          <w:rFonts w:ascii="Arial" w:cs="Arial" w:eastAsia="Arial" w:hAnsi="Arial"/>
          <w:sz w:val="18"/>
          <w:szCs w:val="18"/>
          <w:color w:val="1D1C1D"/>
        </w:rPr>
      </w:pPr>
      <w:r>
        <w:rPr>
          <w:rFonts w:ascii="Arial" w:cs="Arial" w:eastAsia="Arial" w:hAnsi="Arial"/>
          <w:sz w:val="18"/>
          <w:szCs w:val="18"/>
          <w:color w:val="1D1C1D"/>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jc w:val="both"/>
        <w:ind w:firstLine="6"/>
        <w:spacing w:after="0" w:line="261" w:lineRule="auto"/>
        <w:tabs>
          <w:tab w:leader="none" w:pos="547" w:val="left"/>
        </w:tabs>
        <w:numPr>
          <w:ilvl w:val="0"/>
          <w:numId w:val="34"/>
        </w:numPr>
        <w:rPr>
          <w:rFonts w:ascii="Arial" w:cs="Arial" w:eastAsia="Arial" w:hAnsi="Arial"/>
          <w:sz w:val="18"/>
          <w:szCs w:val="18"/>
          <w:color w:val="1D1C1D"/>
        </w:rPr>
      </w:pPr>
      <w:r>
        <w:rPr>
          <w:rFonts w:ascii="Arial" w:cs="Arial" w:eastAsia="Arial" w:hAnsi="Arial"/>
          <w:sz w:val="18"/>
          <w:szCs w:val="18"/>
          <w:color w:val="1D1C1D"/>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firstLine="270"/>
        <w:spacing w:after="0" w:line="261" w:lineRule="auto"/>
        <w:rPr>
          <w:rFonts w:ascii="Arial" w:cs="Arial" w:eastAsia="Arial" w:hAnsi="Arial"/>
          <w:sz w:val="18"/>
          <w:szCs w:val="18"/>
          <w:color w:val="1D1C1D"/>
        </w:rPr>
      </w:pPr>
      <w:r>
        <w:rPr>
          <w:rFonts w:ascii="Arial" w:cs="Arial" w:eastAsia="Arial" w:hAnsi="Arial"/>
          <w:sz w:val="18"/>
          <w:szCs w:val="18"/>
          <w:color w:val="1D1C1D"/>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firstLine="207"/>
        <w:spacing w:after="0" w:line="261" w:lineRule="auto"/>
        <w:rPr>
          <w:rFonts w:ascii="Arial" w:cs="Arial" w:eastAsia="Arial" w:hAnsi="Arial"/>
          <w:sz w:val="18"/>
          <w:szCs w:val="18"/>
          <w:color w:val="1D1C1D"/>
        </w:rPr>
      </w:pPr>
      <w:r>
        <w:rPr>
          <w:rFonts w:ascii="Arial" w:cs="Arial" w:eastAsia="Arial" w:hAnsi="Arial"/>
          <w:sz w:val="18"/>
          <w:szCs w:val="18"/>
          <w:color w:val="1D1C1D"/>
        </w:rPr>
        <w:t>b. any fraud, whether or not material, that involves management or other employees who have a significant role in the registrant’s internal control over financial reporting.</w:t>
      </w:r>
    </w:p>
    <w:p>
      <w:pPr>
        <w:ind w:right="9440"/>
        <w:spacing w:after="0" w:line="261" w:lineRule="auto"/>
        <w:rPr>
          <w:rFonts w:ascii="Arial" w:cs="Arial" w:eastAsia="Arial" w:hAnsi="Arial"/>
          <w:sz w:val="18"/>
          <w:szCs w:val="18"/>
          <w:color w:val="1D1C1D"/>
        </w:rPr>
      </w:pPr>
      <w:r>
        <w:rPr>
          <w:rFonts w:ascii="Arial" w:cs="Arial" w:eastAsia="Arial" w:hAnsi="Arial"/>
          <w:sz w:val="18"/>
          <w:szCs w:val="18"/>
          <w:color w:val="1D1C1D"/>
        </w:rPr>
        <w:t xml:space="preserve">Date: August 3, 2022 /s/ </w:t>
      </w:r>
      <w:r>
        <w:rPr>
          <w:rFonts w:ascii="Arial" w:cs="Arial" w:eastAsia="Arial" w:hAnsi="Arial"/>
          <w:sz w:val="18"/>
          <w:szCs w:val="18"/>
          <w:color w:val="000000"/>
        </w:rPr>
        <w:t>Jason Warnick</w:t>
      </w:r>
      <w:r>
        <w:rPr>
          <w:rFonts w:ascii="Arial" w:cs="Arial" w:eastAsia="Arial" w:hAnsi="Arial"/>
          <w:sz w:val="18"/>
          <w:szCs w:val="18"/>
          <w:color w:val="1D1C1D"/>
        </w:rPr>
        <w:t xml:space="preserve"> Jason Warnick</w:t>
      </w:r>
    </w:p>
    <w:p>
      <w:pPr>
        <w:spacing w:after="0"/>
        <w:rPr>
          <w:rFonts w:ascii="Arial" w:cs="Arial" w:eastAsia="Arial" w:hAnsi="Arial"/>
          <w:sz w:val="18"/>
          <w:szCs w:val="18"/>
          <w:color w:val="1D1C1D"/>
        </w:rPr>
      </w:pPr>
      <w:r>
        <w:rPr>
          <w:rFonts w:ascii="Arial" w:cs="Arial" w:eastAsia="Arial" w:hAnsi="Arial"/>
          <w:sz w:val="18"/>
          <w:szCs w:val="18"/>
          <w:color w:val="1D1C1D"/>
        </w:rPr>
        <w:t>Chief Financial Officer</w:t>
      </w:r>
    </w:p>
    <w:p>
      <w:pPr>
        <w:sectPr>
          <w:pgSz w:w="11900" w:h="16838" w:orient="portrait"/>
          <w:cols w:equalWidth="0" w:num="1">
            <w:col w:w="11240"/>
          </w:cols>
          <w:pgMar w:left="320" w:top="14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40" w:right="2160"/>
        <w:spacing w:after="0" w:line="261" w:lineRule="auto"/>
        <w:rPr>
          <w:sz w:val="20"/>
          <w:szCs w:val="20"/>
          <w:color w:val="auto"/>
        </w:rPr>
      </w:pPr>
      <w:r>
        <w:rPr>
          <w:rFonts w:ascii="Arial" w:cs="Arial" w:eastAsia="Arial" w:hAnsi="Arial"/>
          <w:sz w:val="18"/>
          <w:szCs w:val="18"/>
          <w:b w:val="1"/>
          <w:bCs w:val="1"/>
          <w:color w:val="1D1C1D"/>
        </w:rPr>
        <w:t>CERTIFICATION BY THE CHIEF EXECUTIVE OFFICER PURSUANT TO 18 U. S. C. SECTION 1350, AS ADOPTED PURSUANT TO SECTION 906 OF THE SARBANES-OXLEY ACT OF 2002</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D1C1D"/>
        </w:rPr>
        <w:t>Pursuant to 18 U.S.C. Section 1350, I, Vladimir Tenev, hereby certify that, to the best of my knowledge, Robinhood Markets, Inc.’s Quarterly Report on Form 10-Q for the period ended June 30, 2022 (the Report), as filed with the Securities and Exchange Commission on August 3, 2022,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1D1C1D"/>
        </w:rPr>
        <w:t>Date:</w:t>
      </w:r>
      <w:r>
        <w:rPr>
          <w:sz w:val="20"/>
          <w:szCs w:val="20"/>
          <w:color w:val="auto"/>
        </w:rPr>
        <w:tab/>
      </w:r>
      <w:r>
        <w:rPr>
          <w:rFonts w:ascii="Arial" w:cs="Arial" w:eastAsia="Arial" w:hAnsi="Arial"/>
          <w:sz w:val="17"/>
          <w:szCs w:val="17"/>
          <w:color w:val="1D1C1D"/>
        </w:rPr>
        <w:t>August 3, 2022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1D1C1D"/>
        </w:rPr>
        <w:t>/s/ Vladimir Tenev</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1D1C1D"/>
        </w:rPr>
        <w:t>Vladimir Tenev</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1D1C1D"/>
        </w:rPr>
        <w:t>Chief Executive Officer</w:t>
      </w:r>
    </w:p>
    <w:p>
      <w:pPr>
        <w:sectPr>
          <w:pgSz w:w="11900" w:h="16838" w:orient="portrait"/>
          <w:cols w:equalWidth="0" w:num="1">
            <w:col w:w="11240"/>
          </w:cols>
          <w:pgMar w:left="320" w:top="14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40" w:right="2160"/>
        <w:spacing w:after="0" w:line="261" w:lineRule="auto"/>
        <w:rPr>
          <w:sz w:val="20"/>
          <w:szCs w:val="20"/>
          <w:color w:val="auto"/>
        </w:rPr>
      </w:pPr>
      <w:r>
        <w:rPr>
          <w:rFonts w:ascii="Arial" w:cs="Arial" w:eastAsia="Arial" w:hAnsi="Arial"/>
          <w:sz w:val="18"/>
          <w:szCs w:val="18"/>
          <w:b w:val="1"/>
          <w:bCs w:val="1"/>
          <w:color w:val="1D1C1D"/>
        </w:rPr>
        <w:t>CERTIFICATION BY THE CHIEF FINANCIAL OFFICER PURSUANT TO 18 U. S. C. SECTION 1350, AS ADOPTED PURSUANT TO SECTION 906 OF THE SARBANES-OXLEY ACT OF 2002</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D1C1D"/>
        </w:rPr>
        <w:t>Pursuant to 18 U.S.C. Section 1350, I, Jason Warnick, hereby certify that, to the best of my knowledge, Robinhood Markets, Inc.’s Quarterly Report on Form 10-Q for the period ended June 30, 2022 (the Report), as filed with the Securities and Exchange Commission on August 3, 2022,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1D1C1D"/>
        </w:rPr>
        <w:t>Date:</w:t>
      </w:r>
      <w:r>
        <w:rPr>
          <w:sz w:val="20"/>
          <w:szCs w:val="20"/>
          <w:color w:val="auto"/>
        </w:rPr>
        <w:tab/>
      </w:r>
      <w:r>
        <w:rPr>
          <w:rFonts w:ascii="Arial" w:cs="Arial" w:eastAsia="Arial" w:hAnsi="Arial"/>
          <w:sz w:val="17"/>
          <w:szCs w:val="17"/>
          <w:color w:val="1D1C1D"/>
        </w:rPr>
        <w:t>August 3, 2022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1D1C1D"/>
        </w:rPr>
        <w:t xml:space="preserve">/s/ </w:t>
      </w:r>
      <w:r>
        <w:rPr>
          <w:rFonts w:ascii="Arial" w:cs="Arial" w:eastAsia="Arial" w:hAnsi="Arial"/>
          <w:sz w:val="18"/>
          <w:szCs w:val="18"/>
          <w:color w:val="000000"/>
        </w:rPr>
        <w:t>Jason Warnick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1D1C1D"/>
        </w:rPr>
        <w:t>Jason Warnick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2"/>
    </w:lvl>
  </w:abstractNum>
  <w:abstractNum w:abstractNumId="13">
    <w:nsid w:val="75A2A8D4"/>
    <w:multiLevelType w:val="hybridMultilevel"/>
    <w:lvl w:ilvl="0">
      <w:lvlJc w:val="left"/>
      <w:lvlText w:val="(%1)"/>
      <w:numFmt w:val="decimal"/>
      <w:start w:val="4"/>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9" Type="http://schemas.openxmlformats.org/officeDocument/2006/relationships/image" Target="media/image107.png"/><Relationship Id="rId114" Type="http://schemas.openxmlformats.org/officeDocument/2006/relationships/hyperlink" Target="https://www.sec.gov/Archives/edgar/data/0001783879/000162828021015177/exhibit31-8xkx8221.htm" TargetMode="External"/><Relationship Id="rId115" Type="http://schemas.openxmlformats.org/officeDocument/2006/relationships/hyperlink" Target="https://www.sec.gov/Archives/edgar/data/1783879/000178387922000044/exhibit32.htm" TargetMode="External"/><Relationship Id="rId116" Type="http://schemas.openxmlformats.org/officeDocument/2006/relationships/hyperlink" Target="https://www.sec.gov/Archives/edgar/data/1783879/000162828021013986/exhibit41-sx1a1.htm" TargetMode="External"/><Relationship Id="rId117" Type="http://schemas.openxmlformats.org/officeDocument/2006/relationships/hyperlink" Target="https://www.sec.gov/Archives/edgar/data/1783879/000162828021013318/exhibit42-sx1.htm" TargetMode="External"/><Relationship Id="rId118" Type="http://schemas.openxmlformats.org/officeDocument/2006/relationships/hyperlink" Target="https://www.sec.gov/Archives/edgar/data/1783879/000119312522105708/d3417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2022-08-03T15:15:17Z</dcterms:created>
  <dcterms:modified xsi:type="dcterms:W3CDTF">2022-08-03T15:15:17Z</dcterms:modified>
</cp:coreProperties>
</file>