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INFORMATION TO BE INCLUDED IN STATEMENTS FILED PURSUANT TO RULES 13d-1 (b), (c) AND (d) AND AMENDMENTS THERETO</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__)*</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Robinhood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770700102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Page 1 of 20 Pages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Exhibit Index on Page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3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2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Bullfrog Capital, L.P. ("Bullfrog")</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12,680,226 shares, except that Bullfrog Capital GP, L.P. (“BF GP”), the general partner of Bullfrog,</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Bullfrog Capital GP, Ltd. (“BF UGP”), the general partner of BF GP, and Meyer Malka (“Malka”),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sole director of BF UGP,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12,680,226 shares, except that BF GP, the general partner of Bullfrog, BF UGP, the general partner of</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89"/>
              </w:rPr>
              <w:t>BF GP, and Malka, the sole director of BF UGP, may be deemed to have sole power to dispose of these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12,680,226</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234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3 of 32</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160" w:type="dxa"/>
            <w:vAlign w:val="bottom"/>
            <w:gridSpan w:val="5"/>
          </w:tcPr>
          <w:p>
            <w:pPr>
              <w:ind w:left="660"/>
              <w:spacing w:after="0"/>
              <w:rPr>
                <w:sz w:val="20"/>
                <w:szCs w:val="20"/>
                <w:color w:val="auto"/>
              </w:rPr>
            </w:pPr>
            <w:r>
              <w:rPr>
                <w:rFonts w:ascii="Arial" w:cs="Arial" w:eastAsia="Arial" w:hAnsi="Arial"/>
                <w:sz w:val="18"/>
                <w:szCs w:val="18"/>
                <w:color w:val="auto"/>
              </w:rPr>
              <w:t>Bullfrog Founder Fund, L.P. (“Bullfrog FF”)</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160" w:type="dxa"/>
            <w:vAlign w:val="bottom"/>
            <w:tcBorders>
              <w:bottom w:val="single" w:sz="8" w:color="auto"/>
            </w:tcBorders>
            <w:gridSpan w:val="5"/>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816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5"/>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816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gridSpan w:val="3"/>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534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182,522 shares which are directly owned by Bullfrog Capital, L.P. (“Bullfrog”) as nominee for Bullfrog</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FF, except that Bullfrog Capital GP, L.P. (“BF GP”), the general partner of Bullfrog FF, Bullfrog</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Capital GP, Ltd. (“BF UGP”) the general partner of BF GP, and Meyer Malka (“Malka”), the sole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director of BF UGP,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vMerge w:val="continue"/>
          </w:tcPr>
          <w:p>
            <w:pPr>
              <w:spacing w:after="0"/>
              <w:rPr>
                <w:sz w:val="5"/>
                <w:szCs w:val="5"/>
                <w:color w:val="auto"/>
              </w:rPr>
            </w:pPr>
          </w:p>
        </w:tc>
        <w:tc>
          <w:tcPr>
            <w:tcW w:w="5340" w:type="dxa"/>
            <w:vAlign w:val="bottom"/>
            <w:gridSpan w:val="3"/>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5340" w:type="dxa"/>
            <w:vAlign w:val="bottom"/>
            <w:gridSpan w:val="3"/>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340" w:type="dxa"/>
            <w:vAlign w:val="bottom"/>
            <w:tcBorders>
              <w:bottom w:val="single" w:sz="8" w:color="auto"/>
            </w:tcBorders>
            <w:gridSpan w:val="3"/>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534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182,522 shares which are directly owned by Bullfrog as nominee for Bullfrog FF, except that BF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the general partner of Bullfrog FF, BF UGP, the general partner of BF GP, and Malka, the sole director</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w w:val="88"/>
              </w:rPr>
              <w:t>of BF UGP, may be deemed to have sole power to dispose of these shares.</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340" w:type="dxa"/>
            <w:vAlign w:val="bottom"/>
            <w:tcBorders>
              <w:bottom w:val="single" w:sz="8" w:color="auto"/>
            </w:tcBorders>
            <w:gridSpan w:val="3"/>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534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340" w:type="dxa"/>
            <w:vAlign w:val="bottom"/>
            <w:tcBorders>
              <w:bottom w:val="single" w:sz="8" w:color="auto"/>
            </w:tcBorders>
            <w:gridSpan w:val="3"/>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816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182,522</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gridSpan w:val="3"/>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40" w:type="dxa"/>
            <w:vAlign w:val="bottom"/>
            <w:tcBorders>
              <w:bottom w:val="single" w:sz="8" w:color="auto"/>
              <w:right w:val="single" w:sz="8" w:color="auto"/>
            </w:tcBorders>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816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4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RH-N Bullfrog Opportunity I, LLC ("RH-N")</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6,083 shares, except that Bullfrog Capital GP, L.P. (“BF GP”), the managing member of RH-N,</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Bullfrog Capital GP, Ltd. (“BF UGP”), the general partner of BF GP, and Meyer Malka (“Malka”),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sole director of BF UGP,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6,083 shares, except that BF GP, the managing member of RH-N, BF UGP, the general partner of BF</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GP, and Malka, the sole director of BF UGP, may be deemed to have sole power to dispose of these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5 of 32</w:t>
            </w: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jc w:val="center"/>
              <w:ind w:right="3660"/>
              <w:spacing w:after="0"/>
              <w:rPr>
                <w:sz w:val="20"/>
                <w:szCs w:val="20"/>
                <w:color w:val="auto"/>
              </w:rPr>
            </w:pPr>
            <w:r>
              <w:rPr>
                <w:rFonts w:ascii="Arial" w:cs="Arial" w:eastAsia="Arial" w:hAnsi="Arial"/>
                <w:sz w:val="18"/>
                <w:szCs w:val="18"/>
                <w:color w:val="auto"/>
                <w:w w:val="94"/>
              </w:rPr>
              <w:t>Bullfrog Capital GP, L.P. (“BF GP”)</w:t>
            </w:r>
          </w:p>
        </w:tc>
        <w:tc>
          <w:tcPr>
            <w:tcW w:w="2700" w:type="dxa"/>
            <w:vAlign w:val="bottom"/>
            <w:tcBorders>
              <w:right w:val="single" w:sz="8" w:color="auto"/>
            </w:tcBorders>
          </w:tcPr>
          <w:p>
            <w:pPr>
              <w:spacing w:after="0"/>
              <w:rPr>
                <w:sz w:val="24"/>
                <w:szCs w:val="24"/>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12,868,831 shares, of which 12,862,748 shares are directly owned by Bullfrog Capital, L.P.</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(“Bullfrog”), for itself and as nominee for Bullfrog Founder Fund, L.P. (“Bullfrog FF”), and 6,038</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shares are directly owned by RH-N Bullfrog Opportunity I, LLC (“RH-N”). BF GP, the general partner</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of Bullfrog and Bullfrog FF and the managing member of RH-N, may be deemed to have sole power to</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vote these shares, and Bullfrog Capital GP, Ltd. (“BF UGP”), the general partner of BF GP, and Meyer</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20"/>
                <w:szCs w:val="20"/>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Malka (“Malka”), the sole director of BF UGP, may be deemed to have sole power to vote these shares.</w:t>
            </w: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6</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7</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12,868,831 shares, of which 12,862,748 are directly owned by Bullfrog, for itself and as nominee for</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Bullfrog FF, and 6,038 shares are directly owned by RH-N. BF GP, the general partner of Bullfrog and</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Bullfrog FF and the managing member of RH-N, may be deemed to have sole power to dispose of</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these shares, and BF UGP, the general partner of BF GP, and Malka, the sole director of BF UGP, may</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be deemed to have sole power to dispose of these shares.</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12,868,831</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PN</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6 of 32</w:t>
            </w: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Bullfrog Capital GP, Ltd. (“BF UGP”)</w:t>
            </w:r>
          </w:p>
        </w:tc>
        <w:tc>
          <w:tcPr>
            <w:tcW w:w="2700" w:type="dxa"/>
            <w:vAlign w:val="bottom"/>
            <w:tcBorders>
              <w:right w:val="single" w:sz="8" w:color="auto"/>
            </w:tcBorders>
          </w:tcPr>
          <w:p>
            <w:pPr>
              <w:spacing w:after="0"/>
              <w:rPr>
                <w:sz w:val="24"/>
                <w:szCs w:val="24"/>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12,868,831 shares, of which 12,862,748 shares are directly owned by Bullfrog Capital, L.P.</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(“Bullfrog”), for itself and as nominee for Bullfrog Founder Fund, L.P. (“Bullfrog FF”), and 6,038</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shares are directly owned by RH-N Bullfrog Opportunity I, LLC (“RH-N”). BF UGP is the general</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partner of Bullfrog Capital GP, L.P. (“BF GP”), which is the general partner of Bullfrog and Bullfrog</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FF and the managing member of RH-N, may be deemed to have sole power to vote these shares, and</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BF GP, the general partner of Bullfrog and Bullfrog FF and the managing member of RH-N, and Meyer</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Malka (“Malka”), the sole director of BF UGP, may be deemed to have sole power to vote these shares.</w:t>
            </w: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12,868,831 shares, of which 12,862,748 are directly owned by Bullfrog, for itself and as nominee for</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Bullfrog FF, and 6,038 shares are directly owned by RH-N. BF UGP is the general partner of BF GP,</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which is the general partner of Bullfrog and Bullfrog FF and the managing member of RH-N, may be</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deemed to have sole power to dispose of these shares, and BF GP, the general partner of Bullfrog and</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Bullfrog FF and the managing member of RH-N, and Malka, the sole director of BF UGP, may be</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deemed to have sole power to dispose of these shares.</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12,868,831</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64"/>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7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RH Ribbit Opportunity II, LLC ("RH II")</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3,220,080 shares, except that Ribbit Capital GP II, L.P. (“GP II”), the managing member of RH II,</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Ribbit Capital GP II, Ltd. (“UGP II”), the general partner of GP II, and Meyer Malka (“Malka”),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sole director of UGP II,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3,220,080 shares, except that GP II, the managing member of RH II, UGP II, the general partner of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II, and Malka, the sole director of UGP II, may be deemed to have sole power to dispose of these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3,220,080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8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RH-E Ribbit Opportunity II, LLC ("RH-E")</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2,363,270 shares, except that Ribbit Capital GP II, L.P. (“GP II”), the managing member of RH-E,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Ribbit Capital GP II, Ltd. (“UGP II”), the general partner of GP II, and Meyer Malka (“Malka”),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sole director of UGP II,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2,363,270 shares, except that GP II, the managing member of RH-E, UGP II, the general partner of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II, and Malka, the sole director of UGP II, may be deemed to have sole power to dispose of these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2,363,270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9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Ribbit Capital II, L.P. ("Fund II")</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25,446,163 shares, except that Ribbit Capital GP II, L.P. (“GP II”) the general partner of Fund II, Ribbit</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Capital GP II, Ltd., (“UGP II”), the general partner of GP II, and Meyer Malka (“Malka”), the sole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director of UGP II,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25,446,163 shares, except that GP II the general partner of Fund II, UGP II, the general partner of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II, and Malka, the sole director of UGP II, may be deemed to have sole power to dispose of these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25,446,163</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90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10 of 32</w:t>
            </w: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720" w:type="dxa"/>
            <w:vAlign w:val="bottom"/>
            <w:gridSpan w:val="5"/>
          </w:tcPr>
          <w:p>
            <w:pPr>
              <w:jc w:val="center"/>
              <w:ind w:right="3680"/>
              <w:spacing w:after="0"/>
              <w:rPr>
                <w:sz w:val="20"/>
                <w:szCs w:val="20"/>
                <w:color w:val="auto"/>
              </w:rPr>
            </w:pPr>
            <w:r>
              <w:rPr>
                <w:rFonts w:ascii="Arial" w:cs="Arial" w:eastAsia="Arial" w:hAnsi="Arial"/>
                <w:sz w:val="18"/>
                <w:szCs w:val="18"/>
                <w:color w:val="auto"/>
                <w:w w:val="94"/>
              </w:rPr>
              <w:t>Ribbit Founder Fund II, L.P. ("FF II")</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tcBorders>
            <w:gridSpan w:val="5"/>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8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72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gridSpan w:val="3"/>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5</w:t>
            </w:r>
          </w:p>
        </w:tc>
        <w:tc>
          <w:tcPr>
            <w:tcW w:w="490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1,035,651 shares, which are directly owned by Ribbit Capital II, L.P. (“Fund II”) as nominee for FF II,</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except that Ribbit Capital GP II, L.P. (“GP II”) the general partner of FF II, Ribbit Capital GP II, Ltd.,</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(“UGP II”), the general partner of GP II, and Meyer Malka (“Malka”), the sole director of UGP II, may</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be deemed to have sole power to vote these shares.</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79"/>
              </w:rPr>
              <w:t>6</w:t>
            </w:r>
          </w:p>
        </w:tc>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vMerge w:val="continue"/>
          </w:tcPr>
          <w:p>
            <w:pPr>
              <w:spacing w:after="0"/>
              <w:rPr>
                <w:sz w:val="5"/>
                <w:szCs w:val="5"/>
                <w:color w:val="auto"/>
              </w:rPr>
            </w:pPr>
          </w:p>
        </w:tc>
        <w:tc>
          <w:tcPr>
            <w:tcW w:w="4900" w:type="dxa"/>
            <w:vAlign w:val="bottom"/>
            <w:gridSpan w:val="3"/>
            <w:vMerge w:val="continue"/>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900" w:type="dxa"/>
            <w:vAlign w:val="bottom"/>
            <w:gridSpan w:val="3"/>
            <w:vMerge w:val="continue"/>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tcBorders>
            <w:gridSpan w:val="3"/>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7</w:t>
            </w:r>
          </w:p>
        </w:tc>
        <w:tc>
          <w:tcPr>
            <w:tcW w:w="490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1,035,651 shares, which are directly owned by Fund II as nominee for FF II, except that GP II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general partner of FF II, UGP II, the general partner of GP II, and Malka, the sole director of UGP II,</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w w:val="96"/>
              </w:rPr>
              <w:t>may be deemed to have sole power to dispose of these shares.</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tcBorders>
            <w:gridSpan w:val="3"/>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8</w:t>
            </w:r>
          </w:p>
        </w:tc>
        <w:tc>
          <w:tcPr>
            <w:tcW w:w="490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tcBorders>
            <w:gridSpan w:val="3"/>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1,035,651</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gridSpan w:val="3"/>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80" w:type="dxa"/>
            <w:vAlign w:val="bottom"/>
            <w:tcBorders>
              <w:bottom w:val="single" w:sz="8" w:color="auto"/>
              <w:right w:val="single" w:sz="8" w:color="auto"/>
            </w:tcBorders>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5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11 of 32</w:t>
            </w: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Ribbit Capital GP II, L.P. (“GP II”)</w:t>
            </w:r>
          </w:p>
        </w:tc>
        <w:tc>
          <w:tcPr>
            <w:tcW w:w="2700" w:type="dxa"/>
            <w:vAlign w:val="bottom"/>
            <w:tcBorders>
              <w:right w:val="single" w:sz="8" w:color="auto"/>
            </w:tcBorders>
          </w:tcPr>
          <w:p>
            <w:pPr>
              <w:spacing w:after="0"/>
              <w:rPr>
                <w:sz w:val="24"/>
                <w:szCs w:val="24"/>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32,065,164 shares, of which 3,220,080 shares are directly owned by RH Ribbit Opportunity II, LLC</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(“RH II”), 2,363,270 shares are directly owned by RH-E Ribbit Opportunity II, LLC (“RH-E”), and</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26,481,814 shares are directly owned by Ribbit Capital II, L.P. (“Fund II”) for itself and as nominee for</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Ribbit Founder Fund II, L.P. (“FF II”). GP II, the general partner of Fund II and FF II and the managing</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member of RH II and RH-E, may be deemed to have sole power to vote these shares, Ribbit Capital GP</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II, Ltd. (“UGP II”), the general partner of GP II, and Meyer Malka (“Malka”), the sole director of UGP</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w w:val="99"/>
              </w:rPr>
              <w:t>II, may be deemed to have sole power to vote these shares.</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89"/>
              </w:rPr>
              <w:t>32,065,164 shares of which 3,220,080 shares are directly owned by RH II, 2,363,270 shares are directly</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owned by RH-E, and 26,481,814 shares are directly owned by Fund II for itself and as nominee for FF</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II. GP II, the general partner of Fund II and FF II and the managing member of RH II and RH-E, may</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89"/>
              </w:rPr>
              <w:t>be deemed to have sole power to dispose of these shares, and UGP II, the general partner of GP II, and</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Malka, the sole director of UGP II, may be deemed to have sole power to dispose of these shares.</w:t>
            </w: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32,065,164</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PN</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98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12 of 32</w:t>
            </w: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800" w:type="dxa"/>
            <w:vAlign w:val="bottom"/>
            <w:gridSpan w:val="5"/>
          </w:tcPr>
          <w:p>
            <w:pPr>
              <w:jc w:val="center"/>
              <w:ind w:right="3800"/>
              <w:spacing w:after="0"/>
              <w:rPr>
                <w:sz w:val="20"/>
                <w:szCs w:val="20"/>
                <w:color w:val="auto"/>
              </w:rPr>
            </w:pPr>
            <w:r>
              <w:rPr>
                <w:rFonts w:ascii="Arial" w:cs="Arial" w:eastAsia="Arial" w:hAnsi="Arial"/>
                <w:sz w:val="18"/>
                <w:szCs w:val="18"/>
                <w:color w:val="auto"/>
                <w:w w:val="97"/>
              </w:rPr>
              <w:t>Ribbit Capital GP II, Ltd. (“UGP II”)</w:t>
            </w:r>
          </w:p>
        </w:tc>
        <w:tc>
          <w:tcPr>
            <w:tcW w:w="2500" w:type="dxa"/>
            <w:vAlign w:val="bottom"/>
            <w:tcBorders>
              <w:right w:val="single" w:sz="8" w:color="auto"/>
            </w:tcBorders>
          </w:tcPr>
          <w:p>
            <w:pPr>
              <w:spacing w:after="0"/>
              <w:rPr>
                <w:sz w:val="24"/>
                <w:szCs w:val="24"/>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0" w:type="dxa"/>
            <w:vAlign w:val="bottom"/>
            <w:tcBorders>
              <w:bottom w:val="single" w:sz="8" w:color="auto"/>
            </w:tcBorders>
            <w:gridSpan w:val="5"/>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Borders>
              <w:right w:val="single" w:sz="8" w:color="auto"/>
            </w:tcBorders>
          </w:tcPr>
          <w:p>
            <w:pPr>
              <w:spacing w:after="0"/>
              <w:rPr>
                <w:sz w:val="20"/>
                <w:szCs w:val="20"/>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r>
      <w:tr>
        <w:trPr>
          <w:trHeight w:val="236"/>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800" w:type="dxa"/>
            <w:vAlign w:val="bottom"/>
            <w:tcBorders>
              <w:bottom w:val="single" w:sz="8" w:color="auto"/>
            </w:tcBorders>
            <w:gridSpan w:val="5"/>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5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5</w:t>
            </w:r>
          </w:p>
        </w:tc>
        <w:tc>
          <w:tcPr>
            <w:tcW w:w="49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5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32,065,164 shares, of which 3,220,080 shares are directly owned by RH Ribbit Opportunity II, LLC</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(“RH II”), 2,363,270 shares are directly owned by RH-E Ribbit Opportunity II, LLC (“RH-E”), and</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26,481,814 shares are directly owned by Ribbit Capital II, L.P. (“Fund II”) for itself and as nominee for</w:t>
            </w: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Ribbit Founder Fund II, L.P. (“FF II”). UGP II is the general partner of Ribbit Capital GP II, L.P. (“GP</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II”), which is the general partner of Fund II and FF II and the managing member of RH II and RH-E</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may be deemed to have sole power to vote these shares, and GP II, the general partner of Fund II and</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FF II and the managing member of RH II and RH-E, and Meyer Malka (“Malka”), the sole director of</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w w:val="95"/>
              </w:rPr>
              <w:t>UGP II, may be deemed to have sole power to vote these shares.</w:t>
            </w:r>
          </w:p>
        </w:tc>
        <w:tc>
          <w:tcPr>
            <w:tcW w:w="25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6</w:t>
            </w:r>
          </w:p>
        </w:tc>
        <w:tc>
          <w:tcPr>
            <w:tcW w:w="498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25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See response to row 5.</w:t>
            </w:r>
          </w:p>
        </w:tc>
        <w:tc>
          <w:tcPr>
            <w:tcW w:w="25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7</w:t>
            </w:r>
          </w:p>
        </w:tc>
        <w:tc>
          <w:tcPr>
            <w:tcW w:w="498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500" w:type="dxa"/>
            <w:vAlign w:val="bottom"/>
            <w:tcBorders>
              <w:right w:val="single" w:sz="8" w:color="auto"/>
            </w:tcBorders>
          </w:tcPr>
          <w:p>
            <w:pPr>
              <w:spacing w:after="0"/>
              <w:rPr>
                <w:sz w:val="19"/>
                <w:szCs w:val="19"/>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32,065,164 shares, of which 3,220,080 shares are directly owned by RH II, 2,363,270 shares are</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directly owned by RH-E, and 26,481,814 shares are directly owned by Fund II for itself and as nominee</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for FF II. UGP II is the general partner of GP II, which is the general partner of Fund II and FF II and</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the managing member of RH II and RH-E may be deemed to have sole power to dispose of these</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shares, and GP II, the general partner of Fund II and FF II and the managing member of RH II and RH-</w:t>
            </w: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E, and Malka, the sole director of UGP II, may be deemed to have sole power to dispose of these</w:t>
            </w: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5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8</w:t>
            </w:r>
          </w:p>
        </w:tc>
        <w:tc>
          <w:tcPr>
            <w:tcW w:w="49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right w:val="single" w:sz="8" w:color="auto"/>
            </w:tcBorders>
          </w:tcPr>
          <w:p>
            <w:pPr>
              <w:spacing w:after="0"/>
              <w:rPr>
                <w:sz w:val="19"/>
                <w:szCs w:val="19"/>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50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32,065,164</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00" w:type="dxa"/>
            <w:vAlign w:val="bottom"/>
            <w:tcBorders>
              <w:bottom w:val="single" w:sz="8" w:color="auto"/>
              <w:right w:val="single" w:sz="8" w:color="auto"/>
            </w:tcBorders>
          </w:tcPr>
          <w:p>
            <w:pPr>
              <w:ind w:left="132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0.0%</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0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OO</w:t>
            </w: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13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RH-D Ribbit Opportunity II, LLC (“RH-D”)</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2,556,431 shares, except that Ribbit Opportunity Manager II, LLC (“Manager II”), the managing</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member of RH-D, and Meyer Malka (“Malka”), the sole managing member of Manager II, may be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deemed to have sole power to vote these shares.</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2,556,431 shares, except that Manager II, the managing member of RH-D, and Malka, the sole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managing member of Manager II, may be deemed to have sole power to dispose of these shares.</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2,556,431</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200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14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820" w:type="dxa"/>
            <w:vAlign w:val="bottom"/>
            <w:gridSpan w:val="5"/>
          </w:tcPr>
          <w:p>
            <w:pPr>
              <w:ind w:left="660"/>
              <w:spacing w:after="0"/>
              <w:rPr>
                <w:sz w:val="20"/>
                <w:szCs w:val="20"/>
                <w:color w:val="auto"/>
              </w:rPr>
            </w:pPr>
            <w:r>
              <w:rPr>
                <w:rFonts w:ascii="Arial" w:cs="Arial" w:eastAsia="Arial" w:hAnsi="Arial"/>
                <w:sz w:val="18"/>
                <w:szCs w:val="18"/>
                <w:color w:val="auto"/>
              </w:rPr>
              <w:t>Ribbit Opportunity Manager II, LLC (“Manager II”)</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gridSpan w:val="5"/>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8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tcBorders>
            <w:gridSpan w:val="5"/>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gridSpan w:val="3"/>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500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2,556,431 shares owned by RH-D Ribbit Opportunity II, LLC (“RH-D”). Manager II, the managing</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member of RH-D, may be deemed to have sole power to vote these shares, except that Meyer Malka</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(“Malka”), the sole managing member of Manager II, may be deemed to have sole power to vote these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vMerge w:val="continue"/>
          </w:tcPr>
          <w:p>
            <w:pPr>
              <w:spacing w:after="0"/>
              <w:rPr>
                <w:sz w:val="5"/>
                <w:szCs w:val="5"/>
                <w:color w:val="auto"/>
              </w:rPr>
            </w:pPr>
          </w:p>
        </w:tc>
        <w:tc>
          <w:tcPr>
            <w:tcW w:w="5000" w:type="dxa"/>
            <w:vAlign w:val="bottom"/>
            <w:gridSpan w:val="3"/>
            <w:vMerge w:val="continue"/>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5000" w:type="dxa"/>
            <w:vAlign w:val="bottom"/>
            <w:gridSpan w:val="3"/>
            <w:vMerge w:val="continue"/>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tcBorders>
            <w:gridSpan w:val="3"/>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500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2,556,431 shares owned by RH-D. Manager II, the managing member of RH-D, may be deemed to</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have sole power to dispose of these shares, except that Malka, the sole managing member of Manager</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w w:val="94"/>
              </w:rPr>
              <w:t>II, may be deemed to have sole power to dispose of these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tcBorders>
            <w:gridSpan w:val="3"/>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500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tcBorders>
            <w:gridSpan w:val="3"/>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4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2,556,431</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gridSpan w:val="3"/>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bottom w:val="single" w:sz="8" w:color="auto"/>
              <w:right w:val="single" w:sz="8" w:color="auto"/>
            </w:tcBorders>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15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Ribbit Capital III, L.P. ("Fund III")</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4,472,391 shares, except that Ribbit Capital GP III, L.P. (“GP III”) the general partner of Fund III,</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Ribbit Capital GP III, Ltd. (“UGP III”), the general partner of GP III, and Meyer Malka (“Malka”),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sole director of UGP III, may be deemed to have sole power to vote these shares.</w:t>
            </w: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24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vMerge w:val="continue"/>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7"/>
                <w:szCs w:val="7"/>
                <w:color w:val="auto"/>
              </w:rPr>
            </w:pPr>
          </w:p>
        </w:tc>
        <w:tc>
          <w:tcPr>
            <w:tcW w:w="4780" w:type="dxa"/>
            <w:vAlign w:val="bottom"/>
            <w:gridSpan w:val="3"/>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4,472,391 shares, except that GP III the general partner of Fund III, UGP III, the general partner of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III, and Malka, the sole director of UGP III, may be deemed to have sole power to dispose of these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4,472,391</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20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16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840" w:type="dxa"/>
            <w:vAlign w:val="bottom"/>
            <w:gridSpan w:val="5"/>
          </w:tcPr>
          <w:p>
            <w:pPr>
              <w:ind w:left="660"/>
              <w:spacing w:after="0"/>
              <w:rPr>
                <w:sz w:val="20"/>
                <w:szCs w:val="20"/>
                <w:color w:val="auto"/>
              </w:rPr>
            </w:pPr>
            <w:r>
              <w:rPr>
                <w:rFonts w:ascii="Arial" w:cs="Arial" w:eastAsia="Arial" w:hAnsi="Arial"/>
                <w:sz w:val="18"/>
                <w:szCs w:val="18"/>
                <w:color w:val="auto"/>
              </w:rPr>
              <w:t>Ribbit Founder Fund III, L.P. ("FF III")</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5"/>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8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6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8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gridSpan w:val="3"/>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50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82,169 shares, which are directly owned by Ribbit Capital III, L.P. (“Fund III”) as nominee for FF III,</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except that Ribbit Capital GP III, L.P. (“GP III”) the general partner of FF III, Ribbit Capital GP III,</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Ltd. (“UGP III”), the general partner of GP III, and Meyer Malka (“Malka”), the sole director of UGP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III, may be deemed to have sole power to vote these shares.</w:t>
            </w: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900" w:type="dxa"/>
            <w:vAlign w:val="bottom"/>
            <w:tcBorders>
              <w:right w:val="single" w:sz="8" w:color="auto"/>
            </w:tcBorders>
            <w:vMerge w:val="restart"/>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502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vMerge w:val="continue"/>
          </w:tcPr>
          <w:p>
            <w:pPr>
              <w:spacing w:after="0"/>
              <w:rPr>
                <w:sz w:val="5"/>
                <w:szCs w:val="5"/>
                <w:color w:val="auto"/>
              </w:rPr>
            </w:pPr>
          </w:p>
        </w:tc>
        <w:tc>
          <w:tcPr>
            <w:tcW w:w="5020" w:type="dxa"/>
            <w:vAlign w:val="bottom"/>
            <w:gridSpan w:val="3"/>
            <w:vMerge w:val="continue"/>
          </w:tcPr>
          <w:p>
            <w:pPr>
              <w:spacing w:after="0"/>
              <w:rPr>
                <w:sz w:val="5"/>
                <w:szCs w:val="5"/>
                <w:color w:val="auto"/>
              </w:rPr>
            </w:pPr>
          </w:p>
        </w:tc>
        <w:tc>
          <w:tcPr>
            <w:tcW w:w="2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5020" w:type="dxa"/>
            <w:vAlign w:val="bottom"/>
            <w:gridSpan w:val="3"/>
            <w:vMerge w:val="restart"/>
          </w:tcPr>
          <w:p>
            <w:pPr>
              <w:spacing w:after="0"/>
              <w:rPr>
                <w:sz w:val="20"/>
                <w:szCs w:val="20"/>
                <w:color w:val="auto"/>
              </w:rPr>
            </w:pPr>
            <w:r>
              <w:rPr>
                <w:rFonts w:ascii="Arial" w:cs="Arial" w:eastAsia="Arial" w:hAnsi="Arial"/>
                <w:sz w:val="18"/>
                <w:szCs w:val="18"/>
                <w:color w:val="auto"/>
              </w:rPr>
              <w:t>See response to row 5.</w:t>
            </w: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5020" w:type="dxa"/>
            <w:vAlign w:val="bottom"/>
            <w:gridSpan w:val="3"/>
            <w:vMerge w:val="continue"/>
          </w:tcPr>
          <w:p>
            <w:pPr>
              <w:spacing w:after="0"/>
              <w:rPr>
                <w:sz w:val="5"/>
                <w:szCs w:val="5"/>
                <w:color w:val="auto"/>
              </w:rPr>
            </w:pPr>
          </w:p>
        </w:tc>
        <w:tc>
          <w:tcPr>
            <w:tcW w:w="2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020" w:type="dxa"/>
            <w:vAlign w:val="bottom"/>
            <w:tcBorders>
              <w:bottom w:val="single" w:sz="8" w:color="auto"/>
            </w:tcBorders>
            <w:gridSpan w:val="3"/>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502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82,169 shares, which are directly owned by Fund III as nominee for FF III, except that GP III, the</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general partner of Fund III, UGP III, the general partner of GP III, and Malka, the sole director of UGP</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4"/>
              </w:rPr>
              <w:t>III, may be deemed to have sole power to dispose of these shares.</w:t>
            </w: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020" w:type="dxa"/>
            <w:vAlign w:val="bottom"/>
            <w:tcBorders>
              <w:bottom w:val="single" w:sz="8" w:color="auto"/>
            </w:tcBorders>
            <w:gridSpan w:val="3"/>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50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020" w:type="dxa"/>
            <w:vAlign w:val="bottom"/>
            <w:tcBorders>
              <w:bottom w:val="single" w:sz="8" w:color="auto"/>
            </w:tcBorders>
            <w:gridSpan w:val="3"/>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84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82,169</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gridSpan w:val="3"/>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60" w:type="dxa"/>
            <w:vAlign w:val="bottom"/>
            <w:tcBorders>
              <w:bottom w:val="single" w:sz="8" w:color="auto"/>
              <w:right w:val="single" w:sz="8" w:color="auto"/>
            </w:tcBorders>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8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17 of 32</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jc w:val="center"/>
              <w:ind w:right="3620"/>
              <w:spacing w:after="0"/>
              <w:rPr>
                <w:sz w:val="20"/>
                <w:szCs w:val="20"/>
                <w:color w:val="auto"/>
              </w:rPr>
            </w:pPr>
            <w:r>
              <w:rPr>
                <w:rFonts w:ascii="Arial" w:cs="Arial" w:eastAsia="Arial" w:hAnsi="Arial"/>
                <w:sz w:val="18"/>
                <w:szCs w:val="18"/>
                <w:color w:val="auto"/>
                <w:w w:val="96"/>
              </w:rPr>
              <w:t>Ribbit Capital GP III, L.P. (“GP III”)</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4,554,560 shares, owned by Ribbit Capital III, L.P. (“Fund III”) for itself and as nominee for Ribbit</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Founder Fund III, L.P. (“FF III”). GP III, the general partner of Fund III and FF III, may be deemed to</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have sole power to vote these shares, and Ribbit Capital III, Ltd. (“UGP III”), the general partner of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III, and Meyer Malka (“Malka”), the sole director of UGP III, may be deemed to have sole power to</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vote these shares.</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7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40" w:type="dxa"/>
            <w:vAlign w:val="bottom"/>
            <w:tcBorders>
              <w:lef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4780" w:type="dxa"/>
            <w:vAlign w:val="bottom"/>
            <w:gridSpan w:val="3"/>
            <w:vMerge w:val="continue"/>
          </w:tcPr>
          <w:p>
            <w:pPr>
              <w:spacing w:after="0"/>
              <w:rPr>
                <w:sz w:val="4"/>
                <w:szCs w:val="4"/>
                <w:color w:val="auto"/>
              </w:rPr>
            </w:pPr>
          </w:p>
        </w:tc>
        <w:tc>
          <w:tcPr>
            <w:tcW w:w="2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7</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4,554,560 shares owned by Fund III for itself and as nominee for FF III. GP III, the general partner of</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Fund III and FF III, may be deemed to have sole power to dispose of these shares, except that UGP III,</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the general partner of GP III, and Malka, the sole director of UGP III, may be deemed to have sole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power to dispose of these 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7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4,554,560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9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17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18 of 32</w:t>
            </w: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6"/>
              </w:rPr>
              <w:t>NAME OF REPORTING PERSONS</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600" w:type="dxa"/>
            <w:vAlign w:val="bottom"/>
            <w:gridSpan w:val="5"/>
          </w:tcPr>
          <w:p>
            <w:pPr>
              <w:ind w:left="660"/>
              <w:spacing w:after="0"/>
              <w:rPr>
                <w:sz w:val="20"/>
                <w:szCs w:val="20"/>
                <w:color w:val="auto"/>
              </w:rPr>
            </w:pPr>
            <w:r>
              <w:rPr>
                <w:rFonts w:ascii="Arial" w:cs="Arial" w:eastAsia="Arial" w:hAnsi="Arial"/>
                <w:sz w:val="18"/>
                <w:szCs w:val="18"/>
                <w:color w:val="auto"/>
              </w:rPr>
              <w:t>Ribbit Capital GP III, Ltd. (“UGP III”)</w:t>
            </w:r>
          </w:p>
        </w:tc>
        <w:tc>
          <w:tcPr>
            <w:tcW w:w="2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gridSpan w:val="5"/>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9"/>
                <w:szCs w:val="19"/>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Cayman Islands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4,554,560 shares, owned by Ribbit Capital III, L.P. (“Fund III”) for itself and as nominee for Ribbit</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Founder Fund III, L.P. (“FF III”). UGP III is the general partner of Ribbit Capital GP III, L.P. (“GP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III”), which is the general partner of Fund III and FF III, and may be deemed to have sole power to</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vote these shares, and GP III and Meyer Malka (“Malka”), the sole director of UGP III, may be deemed</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to have sole power to vote these shares.</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9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40" w:type="dxa"/>
            <w:vAlign w:val="bottom"/>
            <w:tcBorders>
              <w:lef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4780" w:type="dxa"/>
            <w:vAlign w:val="bottom"/>
            <w:gridSpan w:val="3"/>
            <w:vMerge w:val="continue"/>
          </w:tcPr>
          <w:p>
            <w:pPr>
              <w:spacing w:after="0"/>
              <w:rPr>
                <w:sz w:val="4"/>
                <w:szCs w:val="4"/>
                <w:color w:val="auto"/>
              </w:rPr>
            </w:pPr>
          </w:p>
        </w:tc>
        <w:tc>
          <w:tcPr>
            <w:tcW w:w="2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4,554,560 shares, owned by Fund III for itself and as nominee for FF III. UGP III is the general partner</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of GP III, which is the general partner of Fund III and FF III, and may be deemed to have sole power to</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vote these shares, and GP III and Malka, the sole director of UGP III, may be deemed to have sole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power to vote these 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4,554,560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1220" w:type="dxa"/>
            <w:vAlign w:val="bottom"/>
          </w:tcPr>
          <w:p>
            <w:pPr>
              <w:ind w:left="860"/>
              <w:spacing w:after="0"/>
              <w:rPr>
                <w:sz w:val="20"/>
                <w:szCs w:val="20"/>
                <w:color w:val="auto"/>
              </w:rPr>
            </w:pPr>
            <w:r>
              <w:rPr>
                <w:rFonts w:ascii="Arial" w:cs="Arial" w:eastAsia="Arial" w:hAnsi="Arial"/>
                <w:sz w:val="18"/>
                <w:szCs w:val="18"/>
                <w:color w:val="auto"/>
                <w:w w:val="86"/>
              </w:rPr>
              <w:t>13 G</w:t>
            </w:r>
          </w:p>
        </w:tc>
      </w:tr>
    </w:tbl>
    <w:p>
      <w:pPr>
        <w:spacing w:after="0" w:line="215" w:lineRule="exact"/>
        <w:rPr>
          <w:sz w:val="20"/>
          <w:szCs w:val="20"/>
          <w:color w:val="auto"/>
        </w:rPr>
      </w:pPr>
    </w:p>
    <w:p>
      <w:pPr>
        <w:ind w:left="1600" w:right="5480" w:hanging="1543"/>
        <w:spacing w:after="0" w:line="572" w:lineRule="auto"/>
        <w:tabs>
          <w:tab w:leader="none" w:pos="952"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 Meyer Malka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7037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037705"/>
                    </a:xfrm>
                    <a:prstGeom prst="rect">
                      <a:avLst/>
                    </a:prstGeom>
                    <a:noFill/>
                  </pic:spPr>
                </pic:pic>
              </a:graphicData>
            </a:graphic>
          </wp:anchor>
        </w:drawing>
      </w:r>
    </w:p>
    <w:p>
      <w:pPr>
        <w:ind w:left="940" w:hanging="883"/>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THE APPROPRIATE BOX IF A MEMBER OF A GROUP</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20" w:hanging="86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7" w:lineRule="exact"/>
        <w:rPr>
          <w:sz w:val="20"/>
          <w:szCs w:val="20"/>
          <w:color w:val="auto"/>
        </w:rPr>
      </w:pPr>
    </w:p>
    <w:p>
      <w:pPr>
        <w:ind w:left="920" w:right="4400" w:hanging="863"/>
        <w:spacing w:after="0" w:line="274"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color w:val="auto"/>
        </w:rPr>
        <w:t>Page 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-130175</wp:posOffset>
            </wp:positionV>
            <wp:extent cx="285432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07" w:lineRule="exact"/>
        <w:tabs>
          <w:tab w:leader="none" w:pos="440" w:val="left"/>
          <w:tab w:leader="none" w:pos="880" w:val="left"/>
          <w:tab w:leader="none" w:pos="1300" w:val="left"/>
        </w:tabs>
        <w:rPr>
          <w:sz w:val="20"/>
          <w:szCs w:val="20"/>
          <w:color w:val="auto"/>
        </w:rPr>
      </w:pPr>
      <w:r>
        <w:rPr>
          <w:rFonts w:ascii="Arial" w:cs="Arial" w:eastAsia="Arial" w:hAnsi="Arial"/>
          <w:sz w:val="18"/>
          <w:szCs w:val="18"/>
          <w:color w:val="auto"/>
        </w:rPr>
        <w:t>(a)</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(b)</w:t>
      </w:r>
      <w:r>
        <w:rPr>
          <w:sz w:val="20"/>
          <w:szCs w:val="20"/>
          <w:color w:val="auto"/>
        </w:rPr>
        <w:tab/>
      </w:r>
      <w:r>
        <w:rPr>
          <w:rFonts w:ascii="MS PGothic" w:cs="MS PGothic" w:eastAsia="MS PGothic" w:hAnsi="MS PGothic"/>
          <w:sz w:val="16"/>
          <w:szCs w:val="16"/>
          <w:color w:val="auto"/>
        </w:rPr>
        <w:t>☒</w:t>
      </w:r>
    </w:p>
    <w:p>
      <w:pPr>
        <w:spacing w:after="0" w:line="1055" w:lineRule="exact"/>
        <w:rPr>
          <w:sz w:val="20"/>
          <w:szCs w:val="20"/>
          <w:color w:val="auto"/>
        </w:rPr>
      </w:pPr>
    </w:p>
    <w:p>
      <w:pPr>
        <w:sectPr>
          <w:pgSz w:w="11900" w:h="16838" w:orient="portrait"/>
          <w:cols w:equalWidth="0" w:num="2">
            <w:col w:w="9000" w:space="720"/>
            <w:col w:w="1520"/>
          </w:cols>
          <w:pgMar w:left="320" w:top="903"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440" w:type="dxa"/>
            <w:vAlign w:val="bottom"/>
            <w:tcBorders>
              <w:top w:val="single" w:sz="8" w:color="auto"/>
            </w:tcBorders>
          </w:tcPr>
          <w:p>
            <w:pPr>
              <w:spacing w:after="0"/>
              <w:rPr>
                <w:sz w:val="19"/>
                <w:szCs w:val="19"/>
                <w:color w:val="auto"/>
              </w:rPr>
            </w:pPr>
          </w:p>
        </w:tc>
        <w:tc>
          <w:tcPr>
            <w:tcW w:w="2400" w:type="dxa"/>
            <w:vAlign w:val="bottom"/>
            <w:tcBorders>
              <w:top w:val="single" w:sz="8" w:color="auto"/>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Borders>
              <w:top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5</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2700" w:type="dxa"/>
            <w:vAlign w:val="bottom"/>
            <w:tcBorders>
              <w:top w:val="single" w:sz="8" w:color="auto"/>
            </w:tcBorders>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5"/>
              </w:rPr>
              <w:t>52,044,986 shares, of which 12,862,748 shares are owned by Bullfrog Capital, L.P. (“Bullfrog”) for</w:t>
            </w:r>
          </w:p>
        </w:tc>
      </w:tr>
      <w:tr>
        <w:trPr>
          <w:trHeight w:val="216"/>
        </w:trPr>
        <w:tc>
          <w:tcPr>
            <w:tcW w:w="440" w:type="dxa"/>
            <w:vAlign w:val="bottom"/>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2"/>
              </w:rPr>
              <w:t>itself and as nominee for Bullfrog Founder Fund, L.P. (“Bullfrog FF”), 6,083 shares are owned by RH-</w:t>
            </w:r>
          </w:p>
        </w:tc>
      </w:tr>
      <w:tr>
        <w:trPr>
          <w:trHeight w:val="216"/>
        </w:trPr>
        <w:tc>
          <w:tcPr>
            <w:tcW w:w="440" w:type="dxa"/>
            <w:vAlign w:val="bottom"/>
          </w:tcPr>
          <w:p>
            <w:pPr>
              <w:spacing w:after="0"/>
              <w:rPr>
                <w:sz w:val="18"/>
                <w:szCs w:val="18"/>
                <w:color w:val="auto"/>
              </w:rPr>
            </w:pPr>
          </w:p>
        </w:tc>
        <w:tc>
          <w:tcPr>
            <w:tcW w:w="24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7"/>
              </w:rPr>
              <w:t>N Bullfrog Opportunity I, LLC ("RH-N"), 3,220,080 shares are owned by RH Ribbit Opportunity II,</w:t>
            </w:r>
          </w:p>
        </w:tc>
      </w:tr>
      <w:tr>
        <w:trPr>
          <w:trHeight w:val="216"/>
        </w:trPr>
        <w:tc>
          <w:tcPr>
            <w:tcW w:w="440" w:type="dxa"/>
            <w:vAlign w:val="bottom"/>
          </w:tcPr>
          <w:p>
            <w:pPr>
              <w:spacing w:after="0"/>
              <w:rPr>
                <w:sz w:val="18"/>
                <w:szCs w:val="18"/>
                <w:color w:val="auto"/>
              </w:rPr>
            </w:pPr>
          </w:p>
        </w:tc>
        <w:tc>
          <w:tcPr>
            <w:tcW w:w="24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4"/>
              </w:rPr>
              <w:t>LLC (“RH II”), 2,556,431 shares are owned by RH-D Ribbit Opportunity II, LLC (“RH-D”), 2,363,270</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7"/>
              </w:rPr>
              <w:t>shares are owned by RH-E Ribbit Opportunity II, LLC (“RH-E”), 26,481,814 shares are owned by</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9"/>
              </w:rPr>
              <w:t>WITH</w:t>
            </w: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7"/>
              </w:rPr>
              <w:t>Ribbit Capital II, L.P. (“Fund II”) for itself and as nominee for Ribbit Founder Fund II, L.P. (“FF II”)</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5"/>
              </w:rPr>
              <w:t>and 4,554,560 shares are owned by Ribbit Capital III, L.P. (“Fund III”) for itself and as nominee for</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6"/>
              </w:rPr>
              <w:t>Ribbit Founder Fund III, L.P. (“FF III”). Meyer Malka (“Malka”) is the sole director of Ribbit Capital</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5"/>
              </w:rPr>
              <w:t>GP III, Ltd. (“UGP III”), which is the general partner of Ribbit Capital GP III, L.P. (“GP III”), which is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9"/>
              </w:rPr>
              <w:t>the general partner of Fund III and FF III, Malka is the sole director of Ribbit Capital GP II, Ltd.</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7"/>
              </w:rPr>
              <w:t>(“UGP II”), which is the general partner of Ribbit Capital GP II, L.P. (“GP II”), which is the general</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3"/>
              </w:rPr>
              <w:t>partner of Fund II and FF II and the managing member of RH-E and RH II, Malka is the sole director</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8"/>
              </w:rPr>
              <w:t>of Bullfrog Capital GP, Ltd. (“BF UGP”), which is the general partner of Bullfrog Capital GP, L.P.</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3"/>
              </w:rPr>
              <w:t>(“BF GP”), which is the general partner of Bullfrog and Bullfrog FF and the managing member of RH-</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6"/>
              </w:rPr>
              <w:t>N, and Malka is the sole managing member of Ribbit Opportunity Manager II, LLC (“Manager II”),</w:t>
            </w:r>
          </w:p>
        </w:tc>
      </w:t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1"/>
              </w:rPr>
              <w:t>which is the managing member of RH II and may be deemed to have sole power to vote these shares.</w:t>
            </w:r>
          </w:p>
        </w:tc>
      </w:tr>
      <w:tr>
        <w:trPr>
          <w:trHeight w:val="27"/>
        </w:trPr>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6</w:t>
            </w:r>
          </w:p>
        </w:tc>
        <w:tc>
          <w:tcPr>
            <w:tcW w:w="4780" w:type="dxa"/>
            <w:vAlign w:val="bottom"/>
          </w:tcPr>
          <w:p>
            <w:pPr>
              <w:spacing w:after="0"/>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See response to row 5.</w:t>
            </w:r>
          </w:p>
        </w:tc>
        <w:tc>
          <w:tcPr>
            <w:tcW w:w="27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7</w:t>
            </w:r>
          </w:p>
        </w:tc>
        <w:tc>
          <w:tcPr>
            <w:tcW w:w="47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70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4"/>
              </w:rPr>
              <w:t>52,044,986 shares, of which 12,862,748 shares are owned by Bullfrog for itself and as nominee for</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0"/>
              </w:rPr>
              <w:t>Bullfrog FF, 6,083 shares are owned by RH-N , 3,220,080 shares are owned by RH II, 2,556,431 shares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2"/>
              </w:rPr>
              <w:t>are owned by RH-D, 2,363,270 shares are owned by RH-E, 26,481,814 shares are owned by Fund II</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9"/>
              </w:rPr>
              <w:t>for itself and as nominee for FF II and 4,554,560 shares are owned by Fund III for itself and as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4"/>
              </w:rPr>
              <w:t>nominee for FF III. Malka is the sole director of UGP III, which is the general partner of GP III, which</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3"/>
              </w:rPr>
              <w:t>is the general partner of Fund III and FF III, Malka is the sole director of UGP II, which is the general</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3"/>
              </w:rPr>
              <w:t>partner of GP II, which is the general partner of Fund II and FF II and the managing member of RH-E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4"/>
              </w:rPr>
              <w:t>and RH II, Malka is the sole director of BF UGP, which is the general partner of BF GP, which is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2"/>
              </w:rPr>
              <w:t>general partner of Bullfrog and Bullfrog FF and the managing member of RH-N, and Malka is the sole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1"/>
              </w:rPr>
              <w:t>managing member of Manager II, which is the managing member of RH II and may be deemed to have</w:t>
            </w:r>
          </w:p>
        </w:tc>
      </w:t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sole power to dispose of these shares.</w:t>
            </w:r>
          </w:p>
        </w:tc>
        <w:tc>
          <w:tcPr>
            <w:tcW w:w="27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w w:val="99"/>
              </w:rPr>
              <w:t>8</w:t>
            </w:r>
          </w:p>
        </w:tc>
        <w:tc>
          <w:tcPr>
            <w:tcW w:w="47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See response to row 7.</w:t>
            </w:r>
          </w:p>
        </w:tc>
        <w:tc>
          <w:tcPr>
            <w:tcW w:w="2700" w:type="dxa"/>
            <w:vAlign w:val="bottom"/>
          </w:tcPr>
          <w:p>
            <w:pPr>
              <w:spacing w:after="0"/>
              <w:rPr>
                <w:sz w:val="20"/>
                <w:szCs w:val="20"/>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ind w:left="6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Pr>
          <w:p>
            <w:pPr>
              <w:ind w:left="560"/>
              <w:spacing w:after="0"/>
              <w:rPr>
                <w:sz w:val="20"/>
                <w:szCs w:val="20"/>
                <w:color w:val="auto"/>
              </w:rPr>
            </w:pPr>
            <w:r>
              <w:rPr>
                <w:rFonts w:ascii="Arial" w:cs="Arial" w:eastAsia="Arial" w:hAnsi="Arial"/>
                <w:sz w:val="18"/>
                <w:szCs w:val="18"/>
                <w:color w:val="auto"/>
              </w:rPr>
              <w:t>52,044,986</w:t>
            </w: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63"/>
        </w:trPr>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bottom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r>
      <w:tr>
        <w:trPr>
          <w:trHeight w:val="236"/>
        </w:trPr>
        <w:tc>
          <w:tcPr>
            <w:tcW w:w="440" w:type="dxa"/>
            <w:vAlign w:val="bottom"/>
          </w:tcPr>
          <w:p>
            <w:pPr>
              <w:ind w:left="6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Pr>
          <w:p>
            <w:pPr>
              <w:ind w:left="560"/>
              <w:spacing w:after="0"/>
              <w:rPr>
                <w:sz w:val="20"/>
                <w:szCs w:val="20"/>
                <w:color w:val="auto"/>
              </w:rPr>
            </w:pPr>
            <w:r>
              <w:rPr>
                <w:rFonts w:ascii="Arial" w:cs="Arial" w:eastAsia="Arial" w:hAnsi="Arial"/>
                <w:sz w:val="18"/>
                <w:szCs w:val="18"/>
                <w:color w:val="auto"/>
              </w:rPr>
              <w:t>0.1%</w:t>
            </w: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6"/>
        </w:trPr>
        <w:tc>
          <w:tcPr>
            <w:tcW w:w="440" w:type="dxa"/>
            <w:vAlign w:val="bottom"/>
          </w:tcPr>
          <w:p>
            <w:pPr>
              <w:ind w:left="6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780" w:type="dxa"/>
            <w:vAlign w:val="bottom"/>
          </w:tcPr>
          <w:p>
            <w:pPr>
              <w:spacing w:after="0"/>
              <w:rPr>
                <w:sz w:val="20"/>
                <w:szCs w:val="20"/>
                <w:color w:val="auto"/>
              </w:rPr>
            </w:pPr>
          </w:p>
        </w:tc>
        <w:tc>
          <w:tcPr>
            <w:tcW w:w="2700" w:type="dxa"/>
            <w:vAlign w:val="bottom"/>
          </w:tcPr>
          <w:p>
            <w:pPr>
              <w:ind w:left="560"/>
              <w:spacing w:after="0"/>
              <w:rPr>
                <w:sz w:val="20"/>
                <w:szCs w:val="20"/>
                <w:color w:val="auto"/>
              </w:rPr>
            </w:pPr>
            <w:r>
              <w:rPr>
                <w:rFonts w:ascii="Arial" w:cs="Arial" w:eastAsia="Arial" w:hAnsi="Arial"/>
                <w:sz w:val="18"/>
                <w:szCs w:val="18"/>
                <w:color w:val="auto"/>
              </w:rPr>
              <w:t>IN</w:t>
            </w:r>
          </w:p>
        </w:tc>
      </w:tr>
      <w:tr>
        <w:trPr>
          <w:trHeight w:val="27"/>
        </w:trPr>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884"/>
        </w:trPr>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20 of 32</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Robinhood Markets,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u w:val="single" w:color="auto"/>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85 Willow Rd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Menlo Park, CA 94025</w:t>
      </w:r>
    </w:p>
    <w:p>
      <w:pPr>
        <w:spacing w:after="0" w:line="200" w:lineRule="exact"/>
        <w:rPr>
          <w:sz w:val="20"/>
          <w:szCs w:val="20"/>
          <w:color w:val="auto"/>
        </w:rPr>
      </w:pP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7"/>
          <w:szCs w:val="17"/>
          <w:u w:val="single" w:color="auto"/>
          <w:color w:val="auto"/>
        </w:rPr>
        <w:t>NAME OF PERSONS FILING</w:t>
      </w:r>
    </w:p>
    <w:p>
      <w:pPr>
        <w:spacing w:after="0" w:line="225" w:lineRule="exact"/>
        <w:rPr>
          <w:sz w:val="20"/>
          <w:szCs w:val="20"/>
          <w:color w:val="auto"/>
        </w:rPr>
      </w:pPr>
    </w:p>
    <w:p>
      <w:pPr>
        <w:ind w:left="1300" w:right="120"/>
        <w:spacing w:after="0" w:line="269" w:lineRule="auto"/>
        <w:rPr>
          <w:sz w:val="20"/>
          <w:szCs w:val="20"/>
          <w:color w:val="auto"/>
        </w:rPr>
      </w:pPr>
      <w:r>
        <w:rPr>
          <w:rFonts w:ascii="Arial" w:cs="Arial" w:eastAsia="Arial" w:hAnsi="Arial"/>
          <w:sz w:val="17"/>
          <w:szCs w:val="17"/>
          <w:color w:val="auto"/>
        </w:rPr>
        <w:t>This Schedule 13G is filed by Bullfrog Capital, L.P., a Cayman Islands exempted limited partnership (“Bullfrog”), Bullfrog Founder Fund, L.P., a Cayman Islands exempted limited partnership (“Bullfrog FF”), RH-N Bullfrog Opportunity I, LLC, a Delaware limited liability company (“RH-N”), Bullfrog Capital GP, L.P., a Cayman Islands exempted limited partnership (“BF GP”), Bullfrog Capital GP, Ltd., a Cayman Islands limited company (“BF UGP”), RH Opportunity II, LLC, a Delaware limited liability company (“RH II”), RH-E Ribbit Opportunity II, LLC, a Delaware limited liability company (“RH-E”), Ribbit Capital II, L.P., a Cayman Islands exempted limited partnership (“Fund II”), Ribbit Founder Fund II, L.P., a Cayman Islands exempted limited partnership (“FF II”), Ribbit Capital GP II, L.P., a Cayman Islands exempted limited partnership (“GP II”), Ribbit Capital GP II, Ltd., a Cayman Islands limited company (“UGP II”), Ribbit Capital III, L.P., a Cayman Islands exempted limited partnership (“Fund III”), Ribbit Founder Fund III, L.P., a Cayman Islands exempted limited partnership (“FF III”), Ribbit Capital GP III, L.P., a Cayman Islands exempted limited partnership (“GP III”), Ribbit Capital GP III, Ltd., a Cayman Islands limited company (“UGP III”) and Meyer Malka (“Malka”). The foregoing entities and individuals are collectively referred to as the “Reporting Persons.”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OFFICE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 for each of the Reporting Persons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Ribbit Capital Management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364 University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94301</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u w:val="single" w:color="auto"/>
          <w:color w:val="auto"/>
        </w:rPr>
        <w:t>CITIZENSHIP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citizenship or place of organization of each of the Reporting Persons is set forth on such Reporting Person’s cover page.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7"/>
          <w:szCs w:val="17"/>
          <w:u w:val="single" w:color="auto"/>
          <w:color w:val="auto"/>
        </w:rPr>
        <w:t>TITLE OF CLASS OF SECURITIES AND 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A Common Stock, par value $0.0001 per share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7"/>
          <w:szCs w:val="17"/>
          <w:u w:val="single" w:color="auto"/>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770700102</w:t>
      </w:r>
    </w:p>
    <w:p>
      <w:pPr>
        <w:spacing w:after="0" w:line="225" w:lineRule="exact"/>
        <w:rPr>
          <w:sz w:val="20"/>
          <w:szCs w:val="20"/>
          <w:color w:val="auto"/>
        </w:rPr>
      </w:pPr>
    </w:p>
    <w:p>
      <w:pPr>
        <w:ind w:left="1300" w:right="540" w:hanging="1295"/>
        <w:spacing w:after="0" w:line="277" w:lineRule="auto"/>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u w:val="single" w:color="auto"/>
          <w:color w:val="auto"/>
        </w:rPr>
        <w:t>IF THIS STATEMENT IS FILED PURSUANT TO RULE 13D-1(B), OR 13D-2(B) OR (C), CHECK WHETHER THE PERSON FILING IS 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21 of 32</w:t>
            </w:r>
          </w:p>
        </w:tc>
      </w:tr>
      <w:tr>
        <w:trPr>
          <w:trHeight w:val="385"/>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OWNERSHIP</w:t>
            </w: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line="229"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560" w:hanging="652"/>
        <w:spacing w:after="0" w:line="563" w:lineRule="auto"/>
        <w:tabs>
          <w:tab w:leader="none" w:pos="390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ind w:left="3900" w:right="3400" w:hanging="652"/>
        <w:spacing w:after="0" w:line="563" w:lineRule="auto"/>
        <w:tabs>
          <w:tab w:leader="none" w:pos="390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right="100"/>
        <w:spacing w:after="0" w:line="275" w:lineRule="auto"/>
        <w:rPr>
          <w:sz w:val="20"/>
          <w:szCs w:val="20"/>
          <w:color w:val="auto"/>
        </w:rPr>
      </w:pPr>
      <w:r>
        <w:rPr>
          <w:rFonts w:ascii="Arial" w:cs="Arial" w:eastAsia="Arial" w:hAnsi="Arial"/>
          <w:sz w:val="17"/>
          <w:szCs w:val="17"/>
          <w:color w:val="auto"/>
        </w:rPr>
        <w:t>Under certain circumstances, set forth in the limited partnership agreements of Fund II, FF II, Fund III, FF III, Bullfrog, Bullfrog FF, GP II, GP III, and BF GP, the limited liability company agreements of RH-N, RH II, RH-D, RH-E and the memorandum and articles of association of UGP II, UGP III and BF UGP, the general and limited partners, members or directors, as the case may be, of each of such entities may be deemed to have the right to receive dividends from, or the proceeds from, the sale of shares of the Issuer directly or indirectly owned by each such entity of which they are a general partner, limited partner, member or director.</w:t>
      </w:r>
    </w:p>
    <w:p>
      <w:pPr>
        <w:spacing w:after="0" w:line="176"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22 of 32</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23 of 32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7"/>
          <w:szCs w:val="17"/>
          <w:color w:val="auto"/>
        </w:rPr>
        <w:t>RIBBIT CAPITAL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FOUNDER FUND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CAPITAL III,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FOUNDER FUND III,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-130810</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24 of 32</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BULLFROG CAPITAL,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BULLFROG FOUNDER FUND,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RH-N BULLFROG OPPORTUNITY ,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RH OPPORTUNITY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OPPORTUNITY MANAGER II,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25 of 32</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RH-D RIBBIT OPPORTUNITY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RH-E RIBBIT OPPORTUNITY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CAPITAL GP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CAPITAL GP II,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30"/>
        </w:trPr>
        <w:tc>
          <w:tcPr>
            <w:tcW w:w="4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770700102</w:t>
            </w:r>
          </w:p>
        </w:tc>
        <w:tc>
          <w:tcPr>
            <w:tcW w:w="2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bottom w:val="single" w:sz="8" w:color="auto"/>
              <w:right w:val="single" w:sz="8" w:color="auto"/>
            </w:tcBorders>
          </w:tcPr>
          <w:p>
            <w:pPr>
              <w:ind w:left="3460"/>
              <w:spacing w:after="0"/>
              <w:rPr>
                <w:sz w:val="20"/>
                <w:szCs w:val="20"/>
                <w:color w:val="auto"/>
              </w:rPr>
            </w:pPr>
            <w:r>
              <w:rPr>
                <w:rFonts w:ascii="Arial" w:cs="Arial" w:eastAsia="Arial" w:hAnsi="Arial"/>
                <w:sz w:val="18"/>
                <w:szCs w:val="18"/>
                <w:color w:val="auto"/>
                <w:w w:val="87"/>
              </w:rPr>
              <w:t>Page 26 of 32</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CAPITAL GP III,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CAPITAL GP III,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BULLFROG CAPITAL GP,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BULLFROG CAPITAL GP,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MEYER MALKA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400" w:type="dxa"/>
            <w:vAlign w:val="bottom"/>
            <w:gridSpan w:val="5"/>
          </w:tcPr>
          <w:p>
            <w:pPr>
              <w:ind w:left="1120"/>
              <w:spacing w:after="0"/>
              <w:rPr>
                <w:sz w:val="20"/>
                <w:szCs w:val="20"/>
                <w:color w:val="auto"/>
              </w:rPr>
            </w:pPr>
            <w:r>
              <w:rPr>
                <w:rFonts w:ascii="Arial" w:cs="Arial" w:eastAsia="Arial" w:hAnsi="Arial"/>
                <w:sz w:val="18"/>
                <w:szCs w:val="18"/>
                <w:color w:val="auto"/>
              </w:rPr>
              <w:t>EXHIBIT INDEX</w:t>
            </w:r>
          </w:p>
        </w:tc>
      </w:tr>
      <w:tr>
        <w:trPr>
          <w:trHeight w:val="453"/>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96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Found on Sequentially</w:t>
            </w:r>
          </w:p>
        </w:tc>
      </w:tr>
      <w:tr>
        <w:trPr>
          <w:trHeight w:val="39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Numbered Page</w:t>
            </w:r>
          </w:p>
        </w:tc>
        <w:tc>
          <w:tcPr>
            <w:tcW w:w="480" w:type="dxa"/>
            <w:vAlign w:val="bottom"/>
          </w:tcPr>
          <w:p>
            <w:pPr>
              <w:spacing w:after="0"/>
              <w:rPr>
                <w:sz w:val="24"/>
                <w:szCs w:val="24"/>
                <w:color w:val="auto"/>
              </w:rPr>
            </w:pPr>
          </w:p>
        </w:tc>
      </w:tr>
      <w:tr>
        <w:trPr>
          <w:trHeight w:val="237"/>
        </w:trPr>
        <w:tc>
          <w:tcPr>
            <w:tcW w:w="3840" w:type="dxa"/>
            <w:vAlign w:val="bottom"/>
            <w:gridSpan w:val="2"/>
          </w:tcPr>
          <w:p>
            <w:pPr>
              <w:spacing w:after="0"/>
              <w:rPr>
                <w:sz w:val="20"/>
                <w:szCs w:val="20"/>
                <w:color w:val="auto"/>
              </w:rPr>
            </w:pPr>
            <w:r>
              <w:rPr>
                <w:rFonts w:ascii="Arial" w:cs="Arial" w:eastAsia="Arial" w:hAnsi="Arial"/>
                <w:sz w:val="18"/>
                <w:szCs w:val="18"/>
                <w:color w:val="auto"/>
              </w:rPr>
              <w:t>Exhibit A: Agreement of Joint Filing</w:t>
            </w:r>
          </w:p>
        </w:tc>
        <w:tc>
          <w:tcPr>
            <w:tcW w:w="6920" w:type="dxa"/>
            <w:vAlign w:val="bottom"/>
            <w:gridSpan w:val="4"/>
          </w:tcPr>
          <w:p>
            <w:pPr>
              <w:jc w:val="center"/>
              <w:ind w:left="5650"/>
              <w:spacing w:after="0"/>
              <w:rPr>
                <w:sz w:val="20"/>
                <w:szCs w:val="20"/>
                <w:color w:val="auto"/>
              </w:rPr>
            </w:pPr>
            <w:r>
              <w:rPr>
                <w:rFonts w:ascii="Arial" w:cs="Arial" w:eastAsia="Arial" w:hAnsi="Arial"/>
                <w:sz w:val="18"/>
                <w:szCs w:val="18"/>
                <w:color w:val="auto"/>
                <w:w w:val="89"/>
              </w:rPr>
              <w:t>29</w:t>
            </w:r>
          </w:p>
        </w:tc>
        <w:tc>
          <w:tcPr>
            <w:tcW w:w="480" w:type="dxa"/>
            <w:vAlign w:val="bottom"/>
          </w:tcPr>
          <w:p>
            <w:pPr>
              <w:spacing w:after="0"/>
              <w:rPr>
                <w:sz w:val="20"/>
                <w:szCs w:val="20"/>
                <w:color w:val="auto"/>
              </w:rPr>
            </w:pPr>
          </w:p>
        </w:tc>
      </w:tr>
      <w:tr>
        <w:trPr>
          <w:trHeight w:val="891"/>
        </w:trPr>
        <w:tc>
          <w:tcPr>
            <w:tcW w:w="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undersigned hereby agree that a single Schedule 13G (or any amendment thereto) relating to the Class A common stock, par value $0.0001 per share, of Root, Inc. shall be filed on behalf of each of the undersigned and that this Agreement shall be filed as an exhibit to such Schedule 13G.</w:t>
      </w:r>
    </w:p>
    <w:p>
      <w:pPr>
        <w:spacing w:after="0" w:line="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7"/>
          <w:szCs w:val="17"/>
          <w:color w:val="auto"/>
        </w:rPr>
        <w:t>RIBBIT CAPITAL II,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FOUNDER FUND 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CAPITAL III,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RIBBIT FOUNDER FUND III,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RIBBIT CAPITAL GP 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color w:val="auto"/>
        </w:rPr>
        <w:t>BULLFROG CAPITAL,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BULLFROG CAPITAL GP,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BULLFROG FOUNDER FUND,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BULLFROG CAPITAL GP,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RH-N BULLFROG OPPORTUNITY ,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BULLFROG CAPITAL GP,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BULLFROG CAPITAL GP,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RH OPPORTUNITY II,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RIBBIT OPPORTUNITY MANAGER II,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7"/>
          <w:szCs w:val="17"/>
          <w:color w:val="auto"/>
        </w:rPr>
        <w:t>RH-D RIBBIT OPPORTUNITY II, LLC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RH-E RIBBIT OPPORTUNITY II, LLC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RIBBIT CAPITAL GP II,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RIBBIT CAPITAL GP II,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RIBBIT CAPITAL GP II,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RIBBIT CAPITAL GP II,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color w:val="auto"/>
        </w:rPr>
        <w:t>RIBBIT CAPITAL GP III,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RIBBIT CAPITAL GP III,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RIBBIT CAPITAL GP III,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BULLFROG CAPITAL GP,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BULLFROG CAPITAL GP, LTD.</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BULLFROG CAPITAL GP,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MEYER MALKA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2022-02-14T16:52:48Z</dcterms:created>
  <dcterms:modified xsi:type="dcterms:W3CDTF">2022-02-14T16:52:48Z</dcterms:modified>
</cp:coreProperties>
</file>