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Robinhood Markets,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WILLOW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Robinhood Ventures Fund I</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RVI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 of Beneficial Interest</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10/27/2026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189</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p>
        </w:tc>
        <w:tc>
          <w:tcPr>
            <w:tcW w:w="138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7"/>
                <w:szCs w:val="17"/>
                <w:color w:val="0000FF"/>
              </w:rPr>
              <w:t>12,921,815</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 shares held reflects the stock split that was effective immediately before the completion of the initial public offering, which resulted in each share outstanding as of March 5, 2026 being classified into 1.0239 shares of beneficial interest.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Robinhood Markets, Inc.,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Manan Shah, Name:</w:t>
      </w:r>
      <w:r>
        <w:rPr>
          <w:sz w:val="20"/>
          <w:szCs w:val="20"/>
          <w:color w:val="auto"/>
        </w:rPr>
        <w:tab/>
      </w:r>
      <w:r>
        <w:rPr>
          <w:rFonts w:ascii="Times New Roman" w:cs="Times New Roman" w:eastAsia="Times New Roman" w:hAnsi="Times New Roman"/>
          <w:sz w:val="17"/>
          <w:szCs w:val="17"/>
          <w:color w:val="0000FF"/>
        </w:rPr>
        <w:t>10/29/2026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Manan Shah, Title: Treasurer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7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83879" TargetMode="External"/><Relationship Id="rId14" Type="http://schemas.openxmlformats.org/officeDocument/2006/relationships/hyperlink" Target="http://www.sec.gov/cgi-bin/browse-edgar?action=getcompany&amp;CIK=0002085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2026-10-29T16:18:24Z</dcterms:created>
  <dcterms:modified xsi:type="dcterms:W3CDTF">2026-10-29T16:18:24Z</dcterms:modified>
</cp:coreProperties>
</file>