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 2021.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49530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49530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74930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55" w:lineRule="exact"/>
        <w:rPr>
          <w:sz w:val="24"/>
          <w:szCs w:val="24"/>
          <w:color w:val="auto"/>
        </w:rPr>
      </w:pPr>
    </w:p>
    <w:tbl>
      <w:tblPr>
        <w:tblLayout w:type="fixed"/>
        <w:tblInd w:w="840" w:type="dxa"/>
        <w:tblCellMar>
          <w:top w:w="0" w:type="dxa"/>
          <w:left w:w="0" w:type="dxa"/>
          <w:bottom w:w="0" w:type="dxa"/>
          <w:right w:w="0" w:type="dxa"/>
        </w:tblCellMar>
      </w:tblPr>
      <w:tr>
        <w:trPr>
          <w:trHeight w:val="215"/>
        </w:trPr>
        <w:tc>
          <w:tcPr>
            <w:tcW w:w="2560" w:type="dxa"/>
            <w:vAlign w:val="bottom"/>
          </w:tcPr>
          <w:p>
            <w:pPr>
              <w:jc w:val="center"/>
              <w:ind w:right="425"/>
              <w:spacing w:after="0"/>
              <w:rPr>
                <w:sz w:val="20"/>
                <w:szCs w:val="20"/>
                <w:color w:val="auto"/>
              </w:rPr>
            </w:pPr>
            <w:r>
              <w:rPr>
                <w:rFonts w:ascii="Arial" w:cs="Arial" w:eastAsia="Arial" w:hAnsi="Arial"/>
                <w:sz w:val="16"/>
                <w:szCs w:val="16"/>
                <w:b w:val="1"/>
                <w:bCs w:val="1"/>
                <w:color w:val="auto"/>
                <w:w w:val="99"/>
              </w:rPr>
              <w:t>Delaware</w:t>
            </w:r>
          </w:p>
        </w:tc>
        <w:tc>
          <w:tcPr>
            <w:tcW w:w="4660" w:type="dxa"/>
            <w:vAlign w:val="bottom"/>
          </w:tcPr>
          <w:p>
            <w:pPr>
              <w:jc w:val="center"/>
              <w:ind w:right="143"/>
              <w:spacing w:after="0"/>
              <w:rPr>
                <w:sz w:val="20"/>
                <w:szCs w:val="20"/>
                <w:color w:val="auto"/>
              </w:rPr>
            </w:pPr>
            <w:r>
              <w:rPr>
                <w:rFonts w:ascii="Arial" w:cs="Arial" w:eastAsia="Arial" w:hAnsi="Arial"/>
                <w:sz w:val="16"/>
                <w:szCs w:val="16"/>
                <w:b w:val="1"/>
                <w:bCs w:val="1"/>
                <w:color w:val="auto"/>
              </w:rPr>
              <w:t>7372</w:t>
            </w:r>
          </w:p>
        </w:tc>
        <w:tc>
          <w:tcPr>
            <w:tcW w:w="1920" w:type="dxa"/>
            <w:vAlign w:val="bottom"/>
          </w:tcPr>
          <w:p>
            <w:pPr>
              <w:jc w:val="center"/>
              <w:ind w:left="625"/>
              <w:spacing w:after="0"/>
              <w:rPr>
                <w:sz w:val="20"/>
                <w:szCs w:val="20"/>
                <w:color w:val="auto"/>
              </w:rPr>
            </w:pPr>
            <w:r>
              <w:rPr>
                <w:rFonts w:ascii="Arial" w:cs="Arial" w:eastAsia="Arial" w:hAnsi="Arial"/>
                <w:sz w:val="16"/>
                <w:szCs w:val="16"/>
                <w:b w:val="1"/>
                <w:bCs w:val="1"/>
                <w:color w:val="auto"/>
              </w:rPr>
              <w:t>46-4364776</w:t>
            </w:r>
          </w:p>
        </w:tc>
      </w:tr>
      <w:tr>
        <w:trPr>
          <w:trHeight w:val="195"/>
        </w:trPr>
        <w:tc>
          <w:tcPr>
            <w:tcW w:w="2560" w:type="dxa"/>
            <w:vAlign w:val="bottom"/>
          </w:tcPr>
          <w:p>
            <w:pPr>
              <w:jc w:val="center"/>
              <w:ind w:right="425"/>
              <w:spacing w:after="0"/>
              <w:rPr>
                <w:sz w:val="20"/>
                <w:szCs w:val="20"/>
                <w:color w:val="auto"/>
              </w:rPr>
            </w:pPr>
            <w:r>
              <w:rPr>
                <w:rFonts w:ascii="Arial" w:cs="Arial" w:eastAsia="Arial" w:hAnsi="Arial"/>
                <w:sz w:val="14"/>
                <w:szCs w:val="14"/>
                <w:b w:val="1"/>
                <w:bCs w:val="1"/>
                <w:color w:val="auto"/>
              </w:rPr>
              <w:t>(State or other jurisdiction of</w:t>
            </w:r>
          </w:p>
        </w:tc>
        <w:tc>
          <w:tcPr>
            <w:tcW w:w="466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(Primary Standard Industrial</w:t>
            </w:r>
          </w:p>
        </w:tc>
        <w:tc>
          <w:tcPr>
            <w:tcW w:w="1920" w:type="dxa"/>
            <w:vAlign w:val="bottom"/>
          </w:tcPr>
          <w:p>
            <w:pPr>
              <w:jc w:val="center"/>
              <w:ind w:left="625"/>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60" w:type="dxa"/>
            <w:vAlign w:val="bottom"/>
          </w:tcPr>
          <w:p>
            <w:pPr>
              <w:jc w:val="center"/>
              <w:ind w:right="425"/>
              <w:spacing w:after="0"/>
              <w:rPr>
                <w:sz w:val="20"/>
                <w:szCs w:val="20"/>
                <w:color w:val="auto"/>
              </w:rPr>
            </w:pPr>
            <w:r>
              <w:rPr>
                <w:rFonts w:ascii="Arial" w:cs="Arial" w:eastAsia="Arial" w:hAnsi="Arial"/>
                <w:sz w:val="14"/>
                <w:szCs w:val="14"/>
                <w:b w:val="1"/>
                <w:bCs w:val="1"/>
                <w:color w:val="auto"/>
              </w:rPr>
              <w:t>incorporation or organization)</w:t>
            </w:r>
          </w:p>
        </w:tc>
        <w:tc>
          <w:tcPr>
            <w:tcW w:w="4660" w:type="dxa"/>
            <w:vAlign w:val="bottom"/>
          </w:tcPr>
          <w:p>
            <w:pPr>
              <w:jc w:val="center"/>
              <w:ind w:right="163"/>
              <w:spacing w:after="0"/>
              <w:rPr>
                <w:sz w:val="20"/>
                <w:szCs w:val="20"/>
                <w:color w:val="auto"/>
              </w:rPr>
            </w:pPr>
            <w:r>
              <w:rPr>
                <w:rFonts w:ascii="Arial" w:cs="Arial" w:eastAsia="Arial" w:hAnsi="Arial"/>
                <w:sz w:val="14"/>
                <w:szCs w:val="14"/>
                <w:b w:val="1"/>
                <w:bCs w:val="1"/>
                <w:color w:val="auto"/>
              </w:rPr>
              <w:t>Classification Code Number)</w:t>
            </w:r>
          </w:p>
        </w:tc>
        <w:tc>
          <w:tcPr>
            <w:tcW w:w="1920" w:type="dxa"/>
            <w:vAlign w:val="bottom"/>
          </w:tcPr>
          <w:p>
            <w:pPr>
              <w:jc w:val="center"/>
              <w:ind w:left="625"/>
              <w:spacing w:after="0"/>
              <w:rPr>
                <w:sz w:val="20"/>
                <w:szCs w:val="20"/>
                <w:color w:val="auto"/>
              </w:rPr>
            </w:pPr>
            <w:r>
              <w:rPr>
                <w:rFonts w:ascii="Arial" w:cs="Arial" w:eastAsia="Arial" w:hAnsi="Arial"/>
                <w:sz w:val="14"/>
                <w:szCs w:val="14"/>
                <w:b w:val="1"/>
                <w:bCs w:val="1"/>
                <w:color w:val="auto"/>
              </w:rPr>
              <w:t>Identification No.)</w:t>
            </w:r>
          </w:p>
        </w:tc>
      </w:tr>
      <w:tr>
        <w:trPr>
          <w:trHeight w:val="519"/>
        </w:trPr>
        <w:tc>
          <w:tcPr>
            <w:tcW w:w="2560" w:type="dxa"/>
            <w:vAlign w:val="bottom"/>
          </w:tcPr>
          <w:p>
            <w:pPr>
              <w:spacing w:after="0"/>
              <w:rPr>
                <w:sz w:val="24"/>
                <w:szCs w:val="24"/>
                <w:color w:val="auto"/>
              </w:rPr>
            </w:pPr>
          </w:p>
        </w:tc>
        <w:tc>
          <w:tcPr>
            <w:tcW w:w="4660" w:type="dxa"/>
            <w:vAlign w:val="bottom"/>
          </w:tcPr>
          <w:p>
            <w:pPr>
              <w:jc w:val="center"/>
              <w:ind w:right="143"/>
              <w:spacing w:after="0"/>
              <w:rPr>
                <w:sz w:val="20"/>
                <w:szCs w:val="20"/>
                <w:color w:val="auto"/>
              </w:rPr>
            </w:pPr>
            <w:r>
              <w:rPr>
                <w:rFonts w:ascii="Arial" w:cs="Arial" w:eastAsia="Arial" w:hAnsi="Arial"/>
                <w:sz w:val="16"/>
                <w:szCs w:val="16"/>
                <w:b w:val="1"/>
                <w:bCs w:val="1"/>
                <w:color w:val="auto"/>
              </w:rPr>
              <w:t>85 Willow Road, Menlo Park, California 94025</w:t>
            </w:r>
          </w:p>
        </w:tc>
        <w:tc>
          <w:tcPr>
            <w:tcW w:w="1920" w:type="dxa"/>
            <w:vAlign w:val="bottom"/>
          </w:tcPr>
          <w:p>
            <w:pPr>
              <w:spacing w:after="0"/>
              <w:rPr>
                <w:sz w:val="24"/>
                <w:szCs w:val="24"/>
                <w:color w:val="auto"/>
              </w:rPr>
            </w:pPr>
          </w:p>
        </w:tc>
      </w:tr>
      <w:tr>
        <w:trPr>
          <w:trHeight w:val="243"/>
        </w:trPr>
        <w:tc>
          <w:tcPr>
            <w:tcW w:w="2560" w:type="dxa"/>
            <w:vAlign w:val="bottom"/>
          </w:tcPr>
          <w:p>
            <w:pPr>
              <w:spacing w:after="0"/>
              <w:rPr>
                <w:sz w:val="21"/>
                <w:szCs w:val="21"/>
                <w:color w:val="auto"/>
              </w:rPr>
            </w:pPr>
          </w:p>
        </w:tc>
        <w:tc>
          <w:tcPr>
            <w:tcW w:w="4660" w:type="dxa"/>
            <w:vAlign w:val="bottom"/>
          </w:tcPr>
          <w:p>
            <w:pPr>
              <w:jc w:val="center"/>
              <w:ind w:right="123"/>
              <w:spacing w:after="0"/>
              <w:rPr>
                <w:sz w:val="20"/>
                <w:szCs w:val="20"/>
                <w:color w:val="auto"/>
              </w:rPr>
            </w:pPr>
            <w:r>
              <w:rPr>
                <w:rFonts w:ascii="Arial" w:cs="Arial" w:eastAsia="Arial" w:hAnsi="Arial"/>
                <w:sz w:val="16"/>
                <w:szCs w:val="16"/>
                <w:b w:val="1"/>
                <w:bCs w:val="1"/>
                <w:color w:val="auto"/>
              </w:rPr>
              <w:t>(844) 428-5411</w:t>
            </w:r>
          </w:p>
        </w:tc>
        <w:tc>
          <w:tcPr>
            <w:tcW w:w="1920" w:type="dxa"/>
            <w:vAlign w:val="bottom"/>
          </w:tcPr>
          <w:p>
            <w:pPr>
              <w:spacing w:after="0"/>
              <w:rPr>
                <w:sz w:val="21"/>
                <w:szCs w:val="2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86360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Vladimir Tenev</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Co-Founder, Chief Executive Officer and President</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 Willow Road, Menlo Park, California 94025</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(844) 428-5411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92075</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5"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tcPr>
          <w:p>
            <w:pPr>
              <w:spacing w:after="0"/>
              <w:rPr>
                <w:sz w:val="16"/>
                <w:szCs w:val="16"/>
                <w:color w:val="auto"/>
              </w:rPr>
            </w:pPr>
          </w:p>
        </w:tc>
      </w:tr>
      <w:tr>
        <w:trPr>
          <w:trHeight w:val="242"/>
        </w:trPr>
        <w:tc>
          <w:tcPr>
            <w:tcW w:w="2900" w:type="dxa"/>
            <w:vAlign w:val="bottom"/>
          </w:tcPr>
          <w:p>
            <w:pPr>
              <w:jc w:val="center"/>
              <w:ind w:right="808"/>
              <w:spacing w:after="0"/>
              <w:rPr>
                <w:sz w:val="20"/>
                <w:szCs w:val="20"/>
                <w:color w:val="auto"/>
              </w:rPr>
            </w:pPr>
            <w:r>
              <w:rPr>
                <w:rFonts w:ascii="Arial" w:cs="Arial" w:eastAsia="Arial" w:hAnsi="Arial"/>
                <w:sz w:val="14"/>
                <w:szCs w:val="14"/>
                <w:b w:val="1"/>
                <w:bCs w:val="1"/>
                <w:color w:val="auto"/>
              </w:rPr>
              <w:t>John W. White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Daniel Gallagher</w:t>
            </w:r>
          </w:p>
        </w:tc>
        <w:tc>
          <w:tcPr>
            <w:tcW w:w="2760" w:type="dxa"/>
            <w:vAlign w:val="bottom"/>
          </w:tcPr>
          <w:p>
            <w:pPr>
              <w:jc w:val="center"/>
              <w:ind w:left="848"/>
              <w:spacing w:after="0"/>
              <w:rPr>
                <w:sz w:val="20"/>
                <w:szCs w:val="20"/>
                <w:color w:val="auto"/>
              </w:rPr>
            </w:pPr>
            <w:r>
              <w:rPr>
                <w:rFonts w:ascii="Arial" w:cs="Arial" w:eastAsia="Arial" w:hAnsi="Arial"/>
                <w:sz w:val="14"/>
                <w:szCs w:val="14"/>
                <w:b w:val="1"/>
                <w:bCs w:val="1"/>
                <w:color w:val="auto"/>
              </w:rPr>
              <w:t>Byron B. Rooney</w:t>
            </w:r>
          </w:p>
        </w:tc>
      </w:tr>
      <w:tr>
        <w:trPr>
          <w:trHeight w:val="162"/>
        </w:trPr>
        <w:tc>
          <w:tcPr>
            <w:tcW w:w="2900" w:type="dxa"/>
            <w:vAlign w:val="bottom"/>
          </w:tcPr>
          <w:p>
            <w:pPr>
              <w:jc w:val="center"/>
              <w:ind w:right="788"/>
              <w:spacing w:after="0"/>
              <w:rPr>
                <w:sz w:val="20"/>
                <w:szCs w:val="20"/>
                <w:color w:val="auto"/>
              </w:rPr>
            </w:pPr>
            <w:r>
              <w:rPr>
                <w:rFonts w:ascii="Arial" w:cs="Arial" w:eastAsia="Arial" w:hAnsi="Arial"/>
                <w:sz w:val="14"/>
                <w:szCs w:val="14"/>
                <w:b w:val="1"/>
                <w:bCs w:val="1"/>
                <w:color w:val="auto"/>
              </w:rPr>
              <w:t>Andrew J. Pitts</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Christina Y. Lai</w:t>
            </w:r>
          </w:p>
        </w:tc>
        <w:tc>
          <w:tcPr>
            <w:tcW w:w="2760" w:type="dxa"/>
            <w:vAlign w:val="bottom"/>
          </w:tcPr>
          <w:p>
            <w:pPr>
              <w:jc w:val="center"/>
              <w:ind w:left="848"/>
              <w:spacing w:after="0"/>
              <w:rPr>
                <w:sz w:val="20"/>
                <w:szCs w:val="20"/>
                <w:color w:val="auto"/>
              </w:rPr>
            </w:pPr>
            <w:r>
              <w:rPr>
                <w:rFonts w:ascii="Arial" w:cs="Arial" w:eastAsia="Arial" w:hAnsi="Arial"/>
                <w:sz w:val="14"/>
                <w:szCs w:val="14"/>
                <w:b w:val="1"/>
                <w:bCs w:val="1"/>
                <w:color w:val="auto"/>
              </w:rPr>
              <w:t>Emily Roberts</w:t>
            </w:r>
          </w:p>
        </w:tc>
      </w:tr>
      <w:tr>
        <w:trPr>
          <w:trHeight w:val="162"/>
        </w:trPr>
        <w:tc>
          <w:tcPr>
            <w:tcW w:w="2900" w:type="dxa"/>
            <w:vAlign w:val="bottom"/>
          </w:tcPr>
          <w:p>
            <w:pPr>
              <w:jc w:val="center"/>
              <w:ind w:right="788"/>
              <w:spacing w:after="0"/>
              <w:rPr>
                <w:sz w:val="20"/>
                <w:szCs w:val="20"/>
                <w:color w:val="auto"/>
              </w:rPr>
            </w:pPr>
            <w:r>
              <w:rPr>
                <w:rFonts w:ascii="Arial" w:cs="Arial" w:eastAsia="Arial" w:hAnsi="Arial"/>
                <w:sz w:val="14"/>
                <w:szCs w:val="14"/>
                <w:b w:val="1"/>
                <w:bCs w:val="1"/>
                <w:color w:val="auto"/>
              </w:rPr>
              <w:t>D. Scott Bennett</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Weilyn Wood</w:t>
            </w:r>
          </w:p>
        </w:tc>
        <w:tc>
          <w:tcPr>
            <w:tcW w:w="2760" w:type="dxa"/>
            <w:vAlign w:val="bottom"/>
          </w:tcPr>
          <w:p>
            <w:pPr>
              <w:jc w:val="center"/>
              <w:ind w:left="868"/>
              <w:spacing w:after="0"/>
              <w:rPr>
                <w:sz w:val="20"/>
                <w:szCs w:val="20"/>
                <w:color w:val="auto"/>
              </w:rPr>
            </w:pPr>
            <w:r>
              <w:rPr>
                <w:rFonts w:ascii="Arial" w:cs="Arial" w:eastAsia="Arial" w:hAnsi="Arial"/>
                <w:sz w:val="14"/>
                <w:szCs w:val="14"/>
                <w:b w:val="1"/>
                <w:bCs w:val="1"/>
                <w:color w:val="auto"/>
              </w:rPr>
              <w:t>Dan Gibbons</w:t>
            </w:r>
          </w:p>
        </w:tc>
      </w:tr>
      <w:tr>
        <w:trPr>
          <w:trHeight w:val="162"/>
        </w:trPr>
        <w:tc>
          <w:tcPr>
            <w:tcW w:w="2900" w:type="dxa"/>
            <w:vAlign w:val="bottom"/>
          </w:tcPr>
          <w:p>
            <w:pPr>
              <w:jc w:val="center"/>
              <w:ind w:right="808"/>
              <w:spacing w:after="0"/>
              <w:rPr>
                <w:sz w:val="20"/>
                <w:szCs w:val="20"/>
                <w:color w:val="auto"/>
              </w:rPr>
            </w:pPr>
            <w:r>
              <w:rPr>
                <w:rFonts w:ascii="Arial" w:cs="Arial" w:eastAsia="Arial" w:hAnsi="Arial"/>
                <w:sz w:val="14"/>
                <w:szCs w:val="14"/>
                <w:b w:val="1"/>
                <w:bCs w:val="1"/>
                <w:color w:val="auto"/>
              </w:rPr>
              <w:t>Claudia J. Ricciardi</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Robinhood Markets, Inc.</w:t>
            </w:r>
          </w:p>
        </w:tc>
        <w:tc>
          <w:tcPr>
            <w:tcW w:w="2760" w:type="dxa"/>
            <w:vAlign w:val="bottom"/>
          </w:tcPr>
          <w:p>
            <w:pPr>
              <w:jc w:val="center"/>
              <w:ind w:left="848"/>
              <w:spacing w:after="0"/>
              <w:rPr>
                <w:sz w:val="20"/>
                <w:szCs w:val="20"/>
                <w:color w:val="auto"/>
              </w:rPr>
            </w:pPr>
            <w:r>
              <w:rPr>
                <w:rFonts w:ascii="Arial" w:cs="Arial" w:eastAsia="Arial" w:hAnsi="Arial"/>
                <w:sz w:val="14"/>
                <w:szCs w:val="14"/>
                <w:b w:val="1"/>
                <w:bCs w:val="1"/>
                <w:color w:val="auto"/>
              </w:rPr>
              <w:t>Davis Polk &amp; Wardwell LLP</w:t>
            </w:r>
          </w:p>
        </w:tc>
      </w:tr>
      <w:tr>
        <w:trPr>
          <w:trHeight w:val="162"/>
        </w:trPr>
        <w:tc>
          <w:tcPr>
            <w:tcW w:w="2900" w:type="dxa"/>
            <w:vAlign w:val="bottom"/>
          </w:tcPr>
          <w:p>
            <w:pPr>
              <w:jc w:val="center"/>
              <w:ind w:right="788"/>
              <w:spacing w:after="0"/>
              <w:rPr>
                <w:sz w:val="20"/>
                <w:szCs w:val="20"/>
                <w:color w:val="auto"/>
              </w:rPr>
            </w:pPr>
            <w:r>
              <w:rPr>
                <w:rFonts w:ascii="Arial" w:cs="Arial" w:eastAsia="Arial" w:hAnsi="Arial"/>
                <w:sz w:val="14"/>
                <w:szCs w:val="14"/>
                <w:b w:val="1"/>
                <w:bCs w:val="1"/>
                <w:color w:val="auto"/>
              </w:rPr>
              <w:t>Cravath, Swaine &amp; Moore LLP</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85 Willow Road</w:t>
            </w:r>
          </w:p>
        </w:tc>
        <w:tc>
          <w:tcPr>
            <w:tcW w:w="2760" w:type="dxa"/>
            <w:vAlign w:val="bottom"/>
          </w:tcPr>
          <w:p>
            <w:pPr>
              <w:jc w:val="center"/>
              <w:ind w:left="848"/>
              <w:spacing w:after="0"/>
              <w:rPr>
                <w:sz w:val="20"/>
                <w:szCs w:val="20"/>
                <w:color w:val="auto"/>
              </w:rPr>
            </w:pPr>
            <w:r>
              <w:rPr>
                <w:rFonts w:ascii="Arial" w:cs="Arial" w:eastAsia="Arial" w:hAnsi="Arial"/>
                <w:sz w:val="14"/>
                <w:szCs w:val="14"/>
                <w:b w:val="1"/>
                <w:bCs w:val="1"/>
                <w:color w:val="auto"/>
              </w:rPr>
              <w:t>450 Lexington Avenue</w:t>
            </w:r>
          </w:p>
        </w:tc>
      </w:tr>
      <w:tr>
        <w:trPr>
          <w:trHeight w:val="162"/>
        </w:trPr>
        <w:tc>
          <w:tcPr>
            <w:tcW w:w="2900" w:type="dxa"/>
            <w:vAlign w:val="bottom"/>
          </w:tcPr>
          <w:p>
            <w:pPr>
              <w:jc w:val="center"/>
              <w:ind w:right="788"/>
              <w:spacing w:after="0"/>
              <w:rPr>
                <w:sz w:val="20"/>
                <w:szCs w:val="20"/>
                <w:color w:val="auto"/>
              </w:rPr>
            </w:pPr>
            <w:r>
              <w:rPr>
                <w:rFonts w:ascii="Arial" w:cs="Arial" w:eastAsia="Arial" w:hAnsi="Arial"/>
                <w:sz w:val="14"/>
                <w:szCs w:val="14"/>
                <w:b w:val="1"/>
                <w:bCs w:val="1"/>
                <w:color w:val="auto"/>
              </w:rPr>
              <w:t>825 Eighth Avenue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Menlo Park, California 94025</w:t>
            </w:r>
          </w:p>
        </w:tc>
        <w:tc>
          <w:tcPr>
            <w:tcW w:w="2760" w:type="dxa"/>
            <w:vAlign w:val="bottom"/>
          </w:tcPr>
          <w:p>
            <w:pPr>
              <w:jc w:val="center"/>
              <w:ind w:left="848"/>
              <w:spacing w:after="0"/>
              <w:rPr>
                <w:sz w:val="20"/>
                <w:szCs w:val="20"/>
                <w:color w:val="auto"/>
              </w:rPr>
            </w:pPr>
            <w:r>
              <w:rPr>
                <w:rFonts w:ascii="Arial" w:cs="Arial" w:eastAsia="Arial" w:hAnsi="Arial"/>
                <w:sz w:val="14"/>
                <w:szCs w:val="14"/>
                <w:b w:val="1"/>
                <w:bCs w:val="1"/>
                <w:color w:val="auto"/>
              </w:rPr>
              <w:t>New York, New York 10017</w:t>
            </w:r>
          </w:p>
        </w:tc>
      </w:tr>
      <w:tr>
        <w:trPr>
          <w:trHeight w:val="162"/>
        </w:trPr>
        <w:tc>
          <w:tcPr>
            <w:tcW w:w="2900" w:type="dxa"/>
            <w:vAlign w:val="bottom"/>
          </w:tcPr>
          <w:p>
            <w:pPr>
              <w:jc w:val="center"/>
              <w:ind w:right="808"/>
              <w:spacing w:after="0"/>
              <w:rPr>
                <w:sz w:val="20"/>
                <w:szCs w:val="20"/>
                <w:color w:val="auto"/>
              </w:rPr>
            </w:pPr>
            <w:r>
              <w:rPr>
                <w:rFonts w:ascii="Arial" w:cs="Arial" w:eastAsia="Arial" w:hAnsi="Arial"/>
                <w:sz w:val="14"/>
                <w:szCs w:val="14"/>
                <w:b w:val="1"/>
                <w:bCs w:val="1"/>
                <w:color w:val="auto"/>
              </w:rPr>
              <w:t>New York, New York 10019</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(844) 428-5411</w:t>
            </w:r>
          </w:p>
        </w:tc>
        <w:tc>
          <w:tcPr>
            <w:tcW w:w="2760" w:type="dxa"/>
            <w:vAlign w:val="bottom"/>
          </w:tcPr>
          <w:p>
            <w:pPr>
              <w:jc w:val="center"/>
              <w:ind w:left="868"/>
              <w:spacing w:after="0"/>
              <w:rPr>
                <w:sz w:val="20"/>
                <w:szCs w:val="20"/>
                <w:color w:val="auto"/>
              </w:rPr>
            </w:pPr>
            <w:r>
              <w:rPr>
                <w:rFonts w:ascii="Arial" w:cs="Arial" w:eastAsia="Arial" w:hAnsi="Arial"/>
                <w:sz w:val="14"/>
                <w:szCs w:val="14"/>
                <w:b w:val="1"/>
                <w:bCs w:val="1"/>
                <w:color w:val="auto"/>
              </w:rPr>
              <w:t>(212) 450-4000</w:t>
            </w:r>
          </w:p>
        </w:tc>
      </w:tr>
      <w:tr>
        <w:trPr>
          <w:trHeight w:val="190"/>
        </w:trPr>
        <w:tc>
          <w:tcPr>
            <w:tcW w:w="2900" w:type="dxa"/>
            <w:vAlign w:val="bottom"/>
          </w:tcPr>
          <w:p>
            <w:pPr>
              <w:jc w:val="center"/>
              <w:ind w:right="808"/>
              <w:spacing w:after="0"/>
              <w:rPr>
                <w:sz w:val="20"/>
                <w:szCs w:val="20"/>
                <w:color w:val="auto"/>
              </w:rPr>
            </w:pPr>
            <w:r>
              <w:rPr>
                <w:rFonts w:ascii="Arial" w:cs="Arial" w:eastAsia="Arial" w:hAnsi="Arial"/>
                <w:sz w:val="14"/>
                <w:szCs w:val="14"/>
                <w:b w:val="1"/>
                <w:bCs w:val="1"/>
                <w:color w:val="auto"/>
              </w:rPr>
              <w:t>(212) 474-1000</w:t>
            </w:r>
          </w:p>
        </w:tc>
        <w:tc>
          <w:tcPr>
            <w:tcW w:w="376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110490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57"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 effective.</w:t>
      </w:r>
    </w:p>
    <w:p>
      <w:pPr>
        <w:spacing w:after="0" w:line="120" w:lineRule="exact"/>
        <w:rPr>
          <w:sz w:val="24"/>
          <w:szCs w:val="24"/>
          <w:color w:val="auto"/>
        </w:rPr>
      </w:pPr>
    </w:p>
    <w:p>
      <w:pPr>
        <w:ind w:right="100" w:firstLine="324"/>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2" w:lineRule="exact"/>
        <w:rPr>
          <w:sz w:val="24"/>
          <w:szCs w:val="24"/>
          <w:color w:val="auto"/>
        </w:rPr>
      </w:pPr>
    </w:p>
    <w:p>
      <w:pPr>
        <w:ind w:right="260" w:firstLine="324"/>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9" w:lineRule="exact"/>
        <w:rPr>
          <w:sz w:val="24"/>
          <w:szCs w:val="24"/>
          <w:color w:val="auto"/>
        </w:rPr>
      </w:pPr>
    </w:p>
    <w:p>
      <w:pPr>
        <w:ind w:right="480" w:firstLine="324"/>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2" w:lineRule="exact"/>
        <w:rPr>
          <w:sz w:val="24"/>
          <w:szCs w:val="24"/>
          <w:color w:val="auto"/>
        </w:rPr>
      </w:pPr>
    </w:p>
    <w:p>
      <w:pPr>
        <w:ind w:right="460" w:firstLine="324"/>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2" w:lineRule="exact"/>
        <w:rPr>
          <w:sz w:val="24"/>
          <w:szCs w:val="24"/>
          <w:color w:val="auto"/>
        </w:rPr>
      </w:pPr>
    </w:p>
    <w:p>
      <w:pPr>
        <w:ind w:right="60"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1600"/>
              <w:spacing w:after="0"/>
              <w:rPr>
                <w:sz w:val="20"/>
                <w:szCs w:val="20"/>
                <w:color w:val="auto"/>
              </w:rPr>
            </w:pPr>
            <w:r>
              <w:rPr>
                <w:rFonts w:ascii="Arial" w:cs="Arial" w:eastAsia="Arial" w:hAnsi="Arial"/>
                <w:sz w:val="16"/>
                <w:szCs w:val="16"/>
                <w:color w:val="auto"/>
              </w:rPr>
              <w:t>Accelerated filer</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9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1600"/>
              <w:spacing w:after="0"/>
              <w:rPr>
                <w:sz w:val="20"/>
                <w:szCs w:val="20"/>
                <w:color w:val="auto"/>
              </w:rPr>
            </w:pPr>
            <w:r>
              <w:rPr>
                <w:rFonts w:ascii="Arial" w:cs="Arial" w:eastAsia="Arial" w:hAnsi="Arial"/>
                <w:sz w:val="16"/>
                <w:szCs w:val="16"/>
                <w:color w:val="auto"/>
              </w:rPr>
              <w:t>Smaller reporting company</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060" w:type="dxa"/>
            <w:vAlign w:val="bottom"/>
          </w:tcPr>
          <w:p>
            <w:pPr>
              <w:ind w:left="1600"/>
              <w:spacing w:after="0"/>
              <w:rPr>
                <w:sz w:val="20"/>
                <w:szCs w:val="20"/>
                <w:color w:val="auto"/>
              </w:rPr>
            </w:pPr>
            <w:r>
              <w:rPr>
                <w:rFonts w:ascii="Arial" w:cs="Arial" w:eastAsia="Arial" w:hAnsi="Arial"/>
                <w:sz w:val="16"/>
                <w:szCs w:val="16"/>
                <w:color w:val="auto"/>
              </w:rPr>
              <w:t>Emerging growth company</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340" w:firstLine="324"/>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ectPr>
          <w:pgSz w:w="11900" w:h="16838" w:orient="portrait"/>
          <w:cols w:equalWidth="0" w:num="1">
            <w:col w:w="11240"/>
          </w:cols>
          <w:pgMar w:left="320" w:top="65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3122930</wp:posOffset>
            </wp:positionH>
            <wp:positionV relativeFrom="page">
              <wp:posOffset>406400</wp:posOffset>
            </wp:positionV>
            <wp:extent cx="1311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8255"/>
                    </a:xfrm>
                    <a:prstGeom prst="rect">
                      <a:avLst/>
                    </a:prstGeom>
                    <a:noFill/>
                  </pic:spPr>
                </pic:pic>
              </a:graphicData>
            </a:graphic>
          </wp:anchor>
        </w:drawing>
        <w:t>CALCULATION OF REGISTRATION FEE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7"/>
              </w:rPr>
              <w:t>Proposed Maximum</w:t>
            </w: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48"/>
        </w:trPr>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60" w:type="dxa"/>
            <w:vAlign w:val="bottom"/>
          </w:tcPr>
          <w:p>
            <w:pPr>
              <w:spacing w:after="0"/>
              <w:rPr>
                <w:sz w:val="12"/>
                <w:szCs w:val="12"/>
                <w:color w:val="auto"/>
              </w:rPr>
            </w:pPr>
          </w:p>
        </w:tc>
        <w:tc>
          <w:tcPr>
            <w:tcW w:w="1540" w:type="dxa"/>
            <w:vAlign w:val="bottom"/>
            <w:tcBorders>
              <w:right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Aggregate Offering</w:t>
            </w:r>
          </w:p>
        </w:tc>
        <w:tc>
          <w:tcPr>
            <w:tcW w:w="200" w:type="dxa"/>
            <w:vAlign w:val="bottom"/>
          </w:tcPr>
          <w:p>
            <w:pPr>
              <w:spacing w:after="0"/>
              <w:rPr>
                <w:sz w:val="12"/>
                <w:szCs w:val="12"/>
                <w:color w:val="auto"/>
              </w:rPr>
            </w:pPr>
          </w:p>
        </w:tc>
        <w:tc>
          <w:tcPr>
            <w:tcW w:w="1460" w:type="dxa"/>
            <w:vAlign w:val="bottom"/>
          </w:tcPr>
          <w:p>
            <w:pPr>
              <w:jc w:val="center"/>
              <w:ind w:right="154"/>
              <w:spacing w:after="0"/>
              <w:rPr>
                <w:sz w:val="20"/>
                <w:szCs w:val="20"/>
                <w:color w:val="auto"/>
              </w:rPr>
            </w:pPr>
            <w:r>
              <w:rPr>
                <w:rFonts w:ascii="Arial" w:cs="Arial" w:eastAsia="Arial" w:hAnsi="Arial"/>
                <w:sz w:val="13"/>
                <w:szCs w:val="13"/>
                <w:b w:val="1"/>
                <w:bCs w:val="1"/>
                <w:color w:val="auto"/>
                <w:w w:val="98"/>
              </w:rPr>
              <w:t>Amount of</w:t>
            </w:r>
          </w:p>
        </w:tc>
      </w:tr>
      <w:tr>
        <w:trPr>
          <w:trHeight w:val="197"/>
        </w:trPr>
        <w:tc>
          <w:tcPr>
            <w:tcW w:w="7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jc w:val="center"/>
              <w:ind w:right="141"/>
              <w:spacing w:after="0" w:line="198" w:lineRule="exact"/>
              <w:rPr>
                <w:sz w:val="20"/>
                <w:szCs w:val="20"/>
                <w:color w:val="auto"/>
              </w:rPr>
            </w:pPr>
            <w:r>
              <w:rPr>
                <w:rFonts w:ascii="Arial" w:cs="Arial" w:eastAsia="Arial" w:hAnsi="Arial"/>
                <w:sz w:val="22"/>
                <w:szCs w:val="22"/>
                <w:b w:val="1"/>
                <w:bCs w:val="1"/>
                <w:color w:val="auto"/>
                <w:w w:val="93"/>
                <w:vertAlign w:val="subscript"/>
              </w:rPr>
              <w:t>Price</w:t>
            </w:r>
            <w:r>
              <w:rPr>
                <w:rFonts w:ascii="Arial" w:cs="Arial" w:eastAsia="Arial" w:hAnsi="Arial"/>
                <w:sz w:val="8"/>
                <w:szCs w:val="8"/>
                <w:b w:val="1"/>
                <w:bCs w:val="1"/>
                <w:color w:val="auto"/>
                <w:w w:val="93"/>
              </w:rPr>
              <w:t xml:space="preserve"> (1)(2)</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8"/>
              </w:rPr>
              <w:t>Registration Fee</w:t>
            </w:r>
          </w:p>
        </w:tc>
      </w:tr>
      <w:tr>
        <w:trPr>
          <w:trHeight w:val="204"/>
        </w:trPr>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Common Stock, $0.0001 par value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4"/>
                <w:szCs w:val="14"/>
                <w:color w:val="auto"/>
              </w:rPr>
              <w:t>100,000,000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10,910</w:t>
            </w:r>
          </w:p>
        </w:tc>
      </w:tr>
      <w:tr>
        <w:trPr>
          <w:trHeight w:val="261"/>
        </w:trPr>
        <w:tc>
          <w:tcPr>
            <w:tcW w:w="7880" w:type="dxa"/>
            <w:vAlign w:val="bottom"/>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that the underwriters have the option to purchase.</w:t>
      </w:r>
    </w:p>
    <w:p>
      <w:pPr>
        <w:spacing w:after="0" w:line="86"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34" w:lineRule="auto"/>
        <w:rPr>
          <w:sz w:val="20"/>
          <w:szCs w:val="20"/>
          <w:color w:val="auto"/>
        </w:rPr>
      </w:pPr>
      <w:r>
        <w:rPr>
          <w:rFonts w:ascii="Arial" w:cs="Arial" w:eastAsia="Arial" w:hAnsi="Arial"/>
          <w:sz w:val="13"/>
          <w:szCs w:val="13"/>
          <w:b w:val="1"/>
          <w:bCs w:val="1"/>
          <w:color w:val="FF0000"/>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state where the offer or sale is not permitted.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July 1,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23"/>
          <w:szCs w:val="2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52705</wp:posOffset>
            </wp:positionV>
            <wp:extent cx="257175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69850</wp:posOffset>
            </wp:positionV>
            <wp:extent cx="1311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71" w:lineRule="exact"/>
        <w:rPr>
          <w:sz w:val="20"/>
          <w:szCs w:val="20"/>
          <w:color w:val="auto"/>
        </w:rPr>
      </w:pPr>
    </w:p>
    <w:p>
      <w:pPr>
        <w:ind w:left="340"/>
        <w:spacing w:after="0"/>
        <w:tabs>
          <w:tab w:leader="none" w:pos="7220" w:val="left"/>
        </w:tabs>
        <w:rPr>
          <w:sz w:val="20"/>
          <w:szCs w:val="20"/>
          <w:color w:val="auto"/>
        </w:rPr>
      </w:pPr>
      <w:r>
        <w:rPr>
          <w:rFonts w:ascii="Arial" w:cs="Arial" w:eastAsia="Arial" w:hAnsi="Arial"/>
          <w:sz w:val="14"/>
          <w:szCs w:val="14"/>
          <w:color w:val="auto"/>
        </w:rPr>
        <w:t>This is an initial public offering of Class A common stock by Robinhood Markets, Inc. We are offering</w:t>
      </w:r>
      <w:r>
        <w:rPr>
          <w:sz w:val="20"/>
          <w:szCs w:val="20"/>
          <w:color w:val="auto"/>
        </w:rPr>
        <w:tab/>
      </w:r>
      <w:r>
        <w:rPr>
          <w:rFonts w:ascii="Arial" w:cs="Arial" w:eastAsia="Arial" w:hAnsi="Arial"/>
          <w:sz w:val="14"/>
          <w:szCs w:val="14"/>
          <w:color w:val="auto"/>
        </w:rPr>
        <w:t>shares of our Class A common stock to be sold in the offering.</w:t>
      </w:r>
    </w:p>
    <w:p>
      <w:pPr>
        <w:spacing w:after="0" w:line="1" w:lineRule="exact"/>
        <w:rPr>
          <w:sz w:val="20"/>
          <w:szCs w:val="20"/>
          <w:color w:val="auto"/>
        </w:rPr>
      </w:pPr>
    </w:p>
    <w:p>
      <w:pPr>
        <w:spacing w:after="0"/>
        <w:tabs>
          <w:tab w:leader="none" w:pos="8900" w:val="left"/>
        </w:tabs>
        <w:rPr>
          <w:sz w:val="20"/>
          <w:szCs w:val="20"/>
          <w:color w:val="auto"/>
        </w:rPr>
      </w:pPr>
      <w:r>
        <w:rPr>
          <w:rFonts w:ascii="Arial" w:cs="Arial" w:eastAsia="Arial" w:hAnsi="Arial"/>
          <w:sz w:val="14"/>
          <w:szCs w:val="14"/>
          <w:color w:val="auto"/>
        </w:rPr>
        <w:t>The selling stockholders identified in this prospectus, who are our founders and our Chief Financial Officer, are offering an additional</w:t>
      </w:r>
      <w:r>
        <w:rPr>
          <w:sz w:val="20"/>
          <w:szCs w:val="20"/>
          <w:color w:val="auto"/>
        </w:rPr>
        <w:tab/>
      </w:r>
      <w:r>
        <w:rPr>
          <w:rFonts w:ascii="Arial" w:cs="Arial" w:eastAsia="Arial" w:hAnsi="Arial"/>
          <w:sz w:val="14"/>
          <w:szCs w:val="14"/>
          <w:color w:val="auto"/>
        </w:rPr>
        <w:t>shares of our Class A common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stock. We will not receive any of the proceeds from the sale of the shares being sold by the selling stockholders.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Prior to this offering, there has been no public market for our Class A common stock. We currently anticipate that the initial public offering price per share of our Class A</w:t>
      </w:r>
    </w:p>
    <w:p>
      <w:pPr>
        <w:spacing w:after="0" w:line="1" w:lineRule="exact"/>
        <w:rPr>
          <w:sz w:val="20"/>
          <w:szCs w:val="20"/>
          <w:color w:val="auto"/>
        </w:rPr>
      </w:pPr>
    </w:p>
    <w:p>
      <w:pPr>
        <w:spacing w:after="0"/>
        <w:tabs>
          <w:tab w:leader="none" w:pos="2580" w:val="left"/>
          <w:tab w:leader="none" w:pos="3460" w:val="left"/>
        </w:tabs>
        <w:rPr>
          <w:sz w:val="20"/>
          <w:szCs w:val="20"/>
          <w:color w:val="auto"/>
        </w:rPr>
      </w:pPr>
      <w:r>
        <w:rPr>
          <w:rFonts w:ascii="Arial" w:cs="Arial" w:eastAsia="Arial" w:hAnsi="Arial"/>
          <w:sz w:val="14"/>
          <w:szCs w:val="14"/>
          <w:color w:val="auto"/>
        </w:rPr>
        <w:t>common stock will be between $</w:t>
      </w:r>
      <w:r>
        <w:rPr>
          <w:sz w:val="20"/>
          <w:szCs w:val="20"/>
          <w:color w:val="auto"/>
        </w:rPr>
        <w:tab/>
      </w: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have applied to list our Class A common stock on the Nasdaq Stock Market (the “Nasdaq”) under the symbol “HOOD”.</w:t>
      </w:r>
    </w:p>
    <w:p>
      <w:pPr>
        <w:spacing w:after="0" w:line="55" w:lineRule="exact"/>
        <w:rPr>
          <w:sz w:val="20"/>
          <w:szCs w:val="20"/>
          <w:color w:val="auto"/>
        </w:rPr>
      </w:pPr>
    </w:p>
    <w:p>
      <w:pPr>
        <w:ind w:right="80" w:firstLine="324"/>
        <w:spacing w:after="0" w:line="244" w:lineRule="auto"/>
        <w:rPr>
          <w:sz w:val="20"/>
          <w:szCs w:val="20"/>
          <w:color w:val="auto"/>
        </w:rPr>
      </w:pPr>
      <w:r>
        <w:rPr>
          <w:rFonts w:ascii="Arial" w:cs="Arial" w:eastAsia="Arial" w:hAnsi="Arial"/>
          <w:sz w:val="14"/>
          <w:szCs w:val="14"/>
          <w:color w:val="auto"/>
        </w:rPr>
        <w:t>We have three classes of authorized common stock, Class A common stock, Class B common stock and Class C common stock (collectively, our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Shares of Class C common stock have no voting rights, except as otherwise required by law, and will convert into shares of our Class A common stock, on a share-for-share basis, on the date or time determined by our board of directors following the conversion or exchange of all outstanding shares of our Class B common stock into shares of our Class A common stock. Upon the completion of this offering, no shares of Class C common stock will be issued and outstanding. For more information about our capital stock, see the section titled “Description of Capital Stock.”</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Upon completion of this offering, all outstanding shares of our Class B common stock will be held by our founders, Baiju Bhatt and Vladimir Tenev, and their related entities.</w:t>
      </w:r>
    </w:p>
    <w:p>
      <w:pPr>
        <w:spacing w:after="0" w:line="1" w:lineRule="exact"/>
        <w:rPr>
          <w:sz w:val="20"/>
          <w:szCs w:val="20"/>
          <w:color w:val="auto"/>
        </w:rPr>
      </w:pPr>
    </w:p>
    <w:p>
      <w:pPr>
        <w:spacing w:after="0"/>
        <w:tabs>
          <w:tab w:leader="none" w:pos="11060" w:val="left"/>
        </w:tabs>
        <w:rPr>
          <w:sz w:val="20"/>
          <w:szCs w:val="20"/>
          <w:color w:val="auto"/>
        </w:rPr>
      </w:pPr>
      <w:r>
        <w:rPr>
          <w:rFonts w:ascii="Arial" w:cs="Arial" w:eastAsia="Arial" w:hAnsi="Arial"/>
          <w:sz w:val="14"/>
          <w:szCs w:val="14"/>
          <w:color w:val="auto"/>
        </w:rPr>
        <w:t>Upon the completion of this offering, (i) Mr. Tenev, who is also our CEO, President and a director, and his related entities will hold an economic interest in approximately</w:t>
      </w:r>
      <w:r>
        <w:rPr>
          <w:sz w:val="20"/>
          <w:szCs w:val="20"/>
          <w:color w:val="auto"/>
        </w:rPr>
        <w:tab/>
      </w:r>
      <w:r>
        <w:rPr>
          <w:rFonts w:ascii="Arial" w:cs="Arial" w:eastAsia="Arial" w:hAnsi="Arial"/>
          <w:sz w:val="14"/>
          <w:szCs w:val="14"/>
          <w:color w:val="auto"/>
        </w:rPr>
        <w:t>%</w:t>
      </w:r>
    </w:p>
    <w:p>
      <w:pPr>
        <w:spacing w:after="0" w:line="1" w:lineRule="exact"/>
        <w:rPr>
          <w:sz w:val="20"/>
          <w:szCs w:val="20"/>
          <w:color w:val="auto"/>
        </w:rPr>
      </w:pPr>
    </w:p>
    <w:p>
      <w:pPr>
        <w:spacing w:after="0"/>
        <w:tabs>
          <w:tab w:leader="none" w:pos="4800" w:val="left"/>
        </w:tabs>
        <w:rPr>
          <w:sz w:val="20"/>
          <w:szCs w:val="20"/>
          <w:color w:val="auto"/>
        </w:rPr>
      </w:pPr>
      <w:r>
        <w:rPr>
          <w:rFonts w:ascii="Arial" w:cs="Arial" w:eastAsia="Arial" w:hAnsi="Arial"/>
          <w:sz w:val="14"/>
          <w:szCs w:val="14"/>
          <w:color w:val="auto"/>
        </w:rPr>
        <w:t>of our outstanding capital stock and Mr. Tenev will hold approximately</w:t>
      </w:r>
      <w:r>
        <w:rPr>
          <w:sz w:val="20"/>
          <w:szCs w:val="20"/>
          <w:color w:val="auto"/>
        </w:rPr>
        <w:tab/>
      </w:r>
      <w:r>
        <w:rPr>
          <w:rFonts w:ascii="Arial" w:cs="Arial" w:eastAsia="Arial" w:hAnsi="Arial"/>
          <w:sz w:val="14"/>
          <w:szCs w:val="14"/>
          <w:color w:val="auto"/>
        </w:rPr>
        <w:t>% of the voting power of our outstanding capital stock and (ii) Mr. Bhatt, who is also our Chief</w:t>
      </w:r>
    </w:p>
    <w:p>
      <w:pPr>
        <w:spacing w:after="0" w:line="1" w:lineRule="exact"/>
        <w:rPr>
          <w:sz w:val="20"/>
          <w:szCs w:val="20"/>
          <w:color w:val="auto"/>
        </w:rPr>
      </w:pPr>
    </w:p>
    <w:p>
      <w:pPr>
        <w:spacing w:after="0"/>
        <w:tabs>
          <w:tab w:leader="none" w:pos="6860" w:val="left"/>
        </w:tabs>
        <w:rPr>
          <w:sz w:val="20"/>
          <w:szCs w:val="20"/>
          <w:color w:val="auto"/>
        </w:rPr>
      </w:pPr>
      <w:r>
        <w:rPr>
          <w:rFonts w:ascii="Arial" w:cs="Arial" w:eastAsia="Arial" w:hAnsi="Arial"/>
          <w:sz w:val="14"/>
          <w:szCs w:val="14"/>
          <w:color w:val="auto"/>
        </w:rPr>
        <w:t>Creative Officer and a director, and his related entities will hold an economic interest in approximately</w:t>
      </w:r>
      <w:r>
        <w:rPr>
          <w:sz w:val="20"/>
          <w:szCs w:val="20"/>
          <w:color w:val="auto"/>
        </w:rPr>
        <w:tab/>
      </w:r>
      <w:r>
        <w:rPr>
          <w:rFonts w:ascii="Arial" w:cs="Arial" w:eastAsia="Arial" w:hAnsi="Arial"/>
          <w:sz w:val="14"/>
          <w:szCs w:val="14"/>
          <w:color w:val="auto"/>
        </w:rPr>
        <w:t>% of our outstanding capital stock and Mr. Bhatt will hold</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approximately</w:t>
      </w:r>
      <w:r>
        <w:rPr>
          <w:sz w:val="20"/>
          <w:szCs w:val="20"/>
          <w:color w:val="auto"/>
        </w:rPr>
        <w:tab/>
      </w:r>
      <w:r>
        <w:rPr>
          <w:rFonts w:ascii="Arial" w:cs="Arial" w:eastAsia="Arial" w:hAnsi="Arial"/>
          <w:sz w:val="14"/>
          <w:szCs w:val="14"/>
          <w:color w:val="auto"/>
        </w:rPr>
        <w:t>% of the voting power of our outstanding capital stock, in each case, which voting power may increase over time upon the vesting and settlement of equity</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awards held by such founder that are outstanding immediately prior to the effectiveness of this offering if such founder exercises his Equity Exchange Rights (as defined herein) to exchange the Class A common stock received in settlement of such awards for Class B common stock.</w:t>
      </w:r>
    </w:p>
    <w:p>
      <w:pPr>
        <w:spacing w:after="0" w:line="32" w:lineRule="exact"/>
        <w:rPr>
          <w:sz w:val="20"/>
          <w:szCs w:val="20"/>
          <w:color w:val="auto"/>
        </w:rPr>
      </w:pPr>
    </w:p>
    <w:p>
      <w:pPr>
        <w:ind w:right="320" w:firstLine="324"/>
        <w:spacing w:after="0" w:line="258" w:lineRule="auto"/>
        <w:rPr>
          <w:sz w:val="20"/>
          <w:szCs w:val="20"/>
          <w:color w:val="auto"/>
        </w:rPr>
      </w:pPr>
      <w:r>
        <w:rPr>
          <w:rFonts w:ascii="Arial" w:cs="Arial" w:eastAsia="Arial" w:hAnsi="Arial"/>
          <w:sz w:val="14"/>
          <w:szCs w:val="14"/>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131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Investing in our Class A common stock involves risks. See “Risk Factors” beginning on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60325</wp:posOffset>
            </wp:positionV>
            <wp:extent cx="1311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84" w:lineRule="exact"/>
        <w:rPr>
          <w:sz w:val="20"/>
          <w:szCs w:val="20"/>
          <w:color w:val="auto"/>
        </w:rPr>
      </w:pPr>
    </w:p>
    <w:p>
      <w:pPr>
        <w:ind w:right="800" w:firstLine="324"/>
        <w:spacing w:after="0" w:line="285" w:lineRule="auto"/>
        <w:rPr>
          <w:sz w:val="20"/>
          <w:szCs w:val="20"/>
          <w:color w:val="auto"/>
        </w:rPr>
      </w:pPr>
      <w:r>
        <w:rPr>
          <w:rFonts w:ascii="Arial" w:cs="Arial" w:eastAsia="Arial" w:hAnsi="Arial"/>
          <w:sz w:val="14"/>
          <w:szCs w:val="14"/>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22860</wp:posOffset>
            </wp:positionV>
            <wp:extent cx="1311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03"/>
        </w:trPr>
        <w:tc>
          <w:tcPr>
            <w:tcW w:w="842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1360" w:type="dxa"/>
            <w:vAlign w:val="bottom"/>
            <w:tcBorders>
              <w:top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r>
      <w:tr>
        <w:trPr>
          <w:trHeight w:val="237"/>
        </w:trPr>
        <w:tc>
          <w:tcPr>
            <w:tcW w:w="8420" w:type="dxa"/>
            <w:vAlign w:val="bottom"/>
          </w:tcPr>
          <w:p>
            <w:pPr>
              <w:spacing w:after="0" w:line="237"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0"/>
                <w:szCs w:val="20"/>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r>
      <w:tr>
        <w:trPr>
          <w:trHeight w:val="195"/>
        </w:trPr>
        <w:tc>
          <w:tcPr>
            <w:tcW w:w="842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6"/>
                <w:szCs w:val="16"/>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r>
      <w:tr>
        <w:trPr>
          <w:trHeight w:val="216"/>
        </w:trPr>
        <w:tc>
          <w:tcPr>
            <w:tcW w:w="8420" w:type="dxa"/>
            <w:vAlign w:val="bottom"/>
          </w:tcPr>
          <w:p>
            <w:pPr>
              <w:spacing w:after="0"/>
              <w:rPr>
                <w:sz w:val="20"/>
                <w:szCs w:val="20"/>
                <w:color w:val="auto"/>
              </w:rPr>
            </w:pPr>
            <w:r>
              <w:rPr>
                <w:rFonts w:ascii="Arial" w:cs="Arial" w:eastAsia="Arial" w:hAnsi="Arial"/>
                <w:sz w:val="16"/>
                <w:szCs w:val="16"/>
                <w:color w:val="auto"/>
              </w:rPr>
              <w:t>Proceeds to selling stockholders, before expenses</w:t>
            </w: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(Conflicts of Interest)” for a description of the compensation payable to the underwriters.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80" w:type="dxa"/>
            <w:vAlign w:val="bottom"/>
            <w:gridSpan w:val="7"/>
          </w:tcPr>
          <w:p>
            <w:pPr>
              <w:ind w:left="340"/>
              <w:spacing w:after="0"/>
              <w:rPr>
                <w:sz w:val="20"/>
                <w:szCs w:val="20"/>
                <w:color w:val="auto"/>
              </w:rPr>
            </w:pPr>
            <w:r>
              <w:rPr>
                <w:rFonts w:ascii="Arial" w:cs="Arial" w:eastAsia="Arial" w:hAnsi="Arial"/>
                <w:sz w:val="14"/>
                <w:szCs w:val="14"/>
                <w:color w:val="auto"/>
              </w:rPr>
              <w:t>We have granted the underwriters an option for a period of 30 days from the date of this prospectus to purchase up to an additional</w:t>
            </w:r>
          </w:p>
        </w:tc>
        <w:tc>
          <w:tcPr>
            <w:tcW w:w="2340" w:type="dxa"/>
            <w:vAlign w:val="bottom"/>
          </w:tcPr>
          <w:p>
            <w:pPr>
              <w:jc w:val="right"/>
              <w:spacing w:after="0"/>
              <w:rPr>
                <w:sz w:val="20"/>
                <w:szCs w:val="20"/>
                <w:color w:val="auto"/>
              </w:rPr>
            </w:pPr>
            <w:r>
              <w:rPr>
                <w:rFonts w:ascii="Arial" w:cs="Arial" w:eastAsia="Arial" w:hAnsi="Arial"/>
                <w:sz w:val="14"/>
                <w:szCs w:val="14"/>
                <w:color w:val="auto"/>
              </w:rPr>
              <w:t>shares of our Class A common</w:t>
            </w:r>
          </w:p>
        </w:tc>
      </w:tr>
      <w:tr>
        <w:trPr>
          <w:trHeight w:val="172"/>
        </w:trPr>
        <w:tc>
          <w:tcPr>
            <w:tcW w:w="2720" w:type="dxa"/>
            <w:vAlign w:val="bottom"/>
          </w:tcPr>
          <w:p>
            <w:pPr>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06"/>
        </w:trPr>
        <w:tc>
          <w:tcPr>
            <w:tcW w:w="2720" w:type="dxa"/>
            <w:vAlign w:val="bottom"/>
          </w:tcPr>
          <w:p>
            <w:pPr>
              <w:ind w:left="340"/>
              <w:spacing w:after="0"/>
              <w:rPr>
                <w:sz w:val="20"/>
                <w:szCs w:val="20"/>
                <w:color w:val="auto"/>
              </w:rPr>
            </w:pPr>
            <w:r>
              <w:rPr>
                <w:rFonts w:ascii="Arial" w:cs="Arial" w:eastAsia="Arial" w:hAnsi="Arial"/>
                <w:sz w:val="14"/>
                <w:szCs w:val="14"/>
                <w:color w:val="auto"/>
              </w:rPr>
              <w:t>We expect to offer approximately $</w:t>
            </w:r>
          </w:p>
        </w:tc>
        <w:tc>
          <w:tcPr>
            <w:tcW w:w="620" w:type="dxa"/>
            <w:vAlign w:val="bottom"/>
          </w:tcPr>
          <w:p>
            <w:pPr>
              <w:ind w:left="180"/>
              <w:spacing w:after="0"/>
              <w:rPr>
                <w:sz w:val="20"/>
                <w:szCs w:val="20"/>
                <w:color w:val="auto"/>
              </w:rPr>
            </w:pPr>
            <w:r>
              <w:rPr>
                <w:rFonts w:ascii="Arial" w:cs="Arial" w:eastAsia="Arial" w:hAnsi="Arial"/>
                <w:sz w:val="14"/>
                <w:szCs w:val="14"/>
                <w:color w:val="auto"/>
              </w:rPr>
              <w:t>to $</w:t>
            </w:r>
          </w:p>
        </w:tc>
        <w:tc>
          <w:tcPr>
            <w:tcW w:w="7880" w:type="dxa"/>
            <w:vAlign w:val="bottom"/>
            <w:gridSpan w:val="6"/>
          </w:tcPr>
          <w:p>
            <w:pPr>
              <w:jc w:val="right"/>
              <w:ind w:right="107"/>
              <w:spacing w:after="0"/>
              <w:rPr>
                <w:sz w:val="20"/>
                <w:szCs w:val="20"/>
                <w:color w:val="auto"/>
              </w:rPr>
            </w:pPr>
            <w:r>
              <w:rPr>
                <w:rFonts w:ascii="Arial" w:cs="Arial" w:eastAsia="Arial" w:hAnsi="Arial"/>
                <w:sz w:val="14"/>
                <w:szCs w:val="14"/>
                <w:color w:val="auto"/>
              </w:rPr>
              <w:t>worth of shares of our Class A common stock offered by this prospectus for sale to Robinhood customers through our</w:t>
            </w:r>
          </w:p>
        </w:tc>
      </w:tr>
      <w:tr>
        <w:trPr>
          <w:trHeight w:val="162"/>
        </w:trPr>
        <w:tc>
          <w:tcPr>
            <w:tcW w:w="5140" w:type="dxa"/>
            <w:vAlign w:val="bottom"/>
            <w:gridSpan w:val="4"/>
          </w:tcPr>
          <w:p>
            <w:pPr>
              <w:spacing w:after="0"/>
              <w:rPr>
                <w:sz w:val="20"/>
                <w:szCs w:val="20"/>
                <w:color w:val="auto"/>
              </w:rPr>
            </w:pPr>
            <w:r>
              <w:rPr>
                <w:rFonts w:ascii="Arial" w:cs="Arial" w:eastAsia="Arial" w:hAnsi="Arial"/>
                <w:sz w:val="14"/>
                <w:szCs w:val="14"/>
                <w:color w:val="auto"/>
              </w:rPr>
              <w:t>IPO Access feature on our platform (assuming an initial public offering price of $</w:t>
            </w:r>
          </w:p>
        </w:tc>
        <w:tc>
          <w:tcPr>
            <w:tcW w:w="6080" w:type="dxa"/>
            <w:vAlign w:val="bottom"/>
            <w:gridSpan w:val="4"/>
          </w:tcPr>
          <w:p>
            <w:pPr>
              <w:jc w:val="right"/>
              <w:ind w:right="147"/>
              <w:spacing w:after="0"/>
              <w:rPr>
                <w:sz w:val="20"/>
                <w:szCs w:val="20"/>
                <w:color w:val="auto"/>
              </w:rPr>
            </w:pPr>
            <w:r>
              <w:rPr>
                <w:rFonts w:ascii="Arial" w:cs="Arial" w:eastAsia="Arial" w:hAnsi="Arial"/>
                <w:sz w:val="14"/>
                <w:szCs w:val="14"/>
                <w:color w:val="auto"/>
              </w:rPr>
              <w:t>per share, which is the midpoint of the estimated offering price range set forth above).</w:t>
            </w:r>
          </w:p>
        </w:tc>
      </w:tr>
      <w:tr>
        <w:trPr>
          <w:trHeight w:val="172"/>
        </w:trPr>
        <w:tc>
          <w:tcPr>
            <w:tcW w:w="6160" w:type="dxa"/>
            <w:vAlign w:val="bottom"/>
            <w:gridSpan w:val="5"/>
          </w:tcPr>
          <w:p>
            <w:pPr>
              <w:spacing w:after="0"/>
              <w:rPr>
                <w:sz w:val="20"/>
                <w:szCs w:val="20"/>
                <w:color w:val="auto"/>
              </w:rPr>
            </w:pPr>
            <w:r>
              <w:rPr>
                <w:rFonts w:ascii="Arial" w:cs="Arial" w:eastAsia="Arial" w:hAnsi="Arial"/>
                <w:sz w:val="14"/>
                <w:szCs w:val="14"/>
                <w:color w:val="auto"/>
              </w:rPr>
              <w:t>See “Underwriting (Conflicts of Interest)—Participation by Robinhood Customers in the Offering.”</w:t>
            </w: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66"/>
        </w:trPr>
        <w:tc>
          <w:tcPr>
            <w:tcW w:w="4600" w:type="dxa"/>
            <w:vAlign w:val="bottom"/>
            <w:gridSpan w:val="3"/>
          </w:tcPr>
          <w:p>
            <w:pPr>
              <w:spacing w:after="0"/>
              <w:rPr>
                <w:sz w:val="5"/>
                <w:szCs w:val="5"/>
                <w:color w:val="auto"/>
              </w:rPr>
            </w:pPr>
          </w:p>
        </w:tc>
        <w:tc>
          <w:tcPr>
            <w:tcW w:w="15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20" w:type="dxa"/>
            <w:vAlign w:val="bottom"/>
          </w:tcPr>
          <w:p>
            <w:pPr>
              <w:spacing w:after="0"/>
              <w:rPr>
                <w:sz w:val="5"/>
                <w:szCs w:val="5"/>
                <w:color w:val="auto"/>
              </w:rPr>
            </w:pPr>
          </w:p>
        </w:tc>
        <w:tc>
          <w:tcPr>
            <w:tcW w:w="2340" w:type="dxa"/>
            <w:vAlign w:val="bottom"/>
          </w:tcPr>
          <w:p>
            <w:pPr>
              <w:spacing w:after="0"/>
              <w:rPr>
                <w:sz w:val="5"/>
                <w:szCs w:val="5"/>
                <w:color w:val="auto"/>
              </w:rPr>
            </w:pPr>
          </w:p>
        </w:tc>
      </w:tr>
      <w:tr>
        <w:trPr>
          <w:trHeight w:val="279"/>
        </w:trPr>
        <w:tc>
          <w:tcPr>
            <w:tcW w:w="6160" w:type="dxa"/>
            <w:vAlign w:val="bottom"/>
            <w:gridSpan w:val="5"/>
          </w:tcPr>
          <w:p>
            <w:pPr>
              <w:ind w:left="340"/>
              <w:spacing w:after="0"/>
              <w:rPr>
                <w:sz w:val="20"/>
                <w:szCs w:val="20"/>
                <w:color w:val="auto"/>
              </w:rPr>
            </w:pPr>
            <w:r>
              <w:rPr>
                <w:rFonts w:ascii="Arial" w:cs="Arial" w:eastAsia="Arial" w:hAnsi="Arial"/>
                <w:sz w:val="14"/>
                <w:szCs w:val="14"/>
                <w:color w:val="auto"/>
              </w:rPr>
              <w:t>The underwriters expect to deliver the shares against payment in New York, New York on</w:t>
            </w:r>
          </w:p>
        </w:tc>
        <w:tc>
          <w:tcPr>
            <w:tcW w:w="2720" w:type="dxa"/>
            <w:vAlign w:val="bottom"/>
            <w:gridSpan w:val="2"/>
          </w:tcPr>
          <w:p>
            <w:pPr>
              <w:jc w:val="right"/>
              <w:ind w:right="1920"/>
              <w:spacing w:after="0"/>
              <w:rPr>
                <w:sz w:val="20"/>
                <w:szCs w:val="20"/>
                <w:color w:val="auto"/>
              </w:rPr>
            </w:pPr>
            <w:r>
              <w:rPr>
                <w:rFonts w:ascii="Arial" w:cs="Arial" w:eastAsia="Arial" w:hAnsi="Arial"/>
                <w:sz w:val="14"/>
                <w:szCs w:val="14"/>
                <w:color w:val="auto"/>
              </w:rPr>
              <w:t>, 2021.</w:t>
            </w:r>
          </w:p>
        </w:tc>
        <w:tc>
          <w:tcPr>
            <w:tcW w:w="2340" w:type="dxa"/>
            <w:vAlign w:val="bottom"/>
          </w:tcPr>
          <w:p>
            <w:pPr>
              <w:spacing w:after="0"/>
              <w:rPr>
                <w:sz w:val="24"/>
                <w:szCs w:val="24"/>
                <w:color w:val="auto"/>
              </w:rPr>
            </w:pPr>
          </w:p>
        </w:tc>
      </w:tr>
      <w:tr>
        <w:trPr>
          <w:trHeight w:val="433"/>
        </w:trPr>
        <w:tc>
          <w:tcPr>
            <w:tcW w:w="3340" w:type="dxa"/>
            <w:vAlign w:val="bottom"/>
            <w:gridSpan w:val="2"/>
          </w:tcPr>
          <w:p>
            <w:pPr>
              <w:ind w:left="20"/>
              <w:spacing w:after="0"/>
              <w:rPr>
                <w:sz w:val="20"/>
                <w:szCs w:val="20"/>
                <w:color w:val="auto"/>
              </w:rPr>
            </w:pPr>
            <w:r>
              <w:rPr>
                <w:rFonts w:ascii="Arial" w:cs="Arial" w:eastAsia="Arial" w:hAnsi="Arial"/>
                <w:sz w:val="23"/>
                <w:szCs w:val="23"/>
                <w:b w:val="1"/>
                <w:bCs w:val="1"/>
                <w:color w:val="auto"/>
              </w:rPr>
              <w:t>Goldman Sachs &amp; Co. LLC</w:t>
            </w: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3"/>
                <w:szCs w:val="23"/>
                <w:b w:val="1"/>
                <w:bCs w:val="1"/>
                <w:color w:val="auto"/>
              </w:rPr>
              <w:t>J.P. Morgan</w:t>
            </w:r>
          </w:p>
        </w:tc>
      </w:tr>
      <w:tr>
        <w:trPr>
          <w:trHeight w:val="298"/>
        </w:trPr>
        <w:tc>
          <w:tcPr>
            <w:tcW w:w="2720" w:type="dxa"/>
            <w:vAlign w:val="bottom"/>
          </w:tcPr>
          <w:p>
            <w:pPr>
              <w:ind w:left="20"/>
              <w:spacing w:after="0"/>
              <w:rPr>
                <w:sz w:val="20"/>
                <w:szCs w:val="20"/>
                <w:color w:val="auto"/>
              </w:rPr>
            </w:pPr>
            <w:r>
              <w:rPr>
                <w:rFonts w:ascii="Arial" w:cs="Arial" w:eastAsia="Arial" w:hAnsi="Arial"/>
                <w:sz w:val="20"/>
                <w:szCs w:val="20"/>
                <w:b w:val="1"/>
                <w:bCs w:val="1"/>
                <w:color w:val="auto"/>
              </w:rPr>
              <w:t>Barclays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8"/>
              </w:rPr>
              <w:t>Citigroup</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b w:val="1"/>
                <w:bCs w:val="1"/>
                <w:color w:val="auto"/>
              </w:rPr>
              <w:t>Wells Fargo Securities</w:t>
            </w:r>
          </w:p>
        </w:tc>
      </w:tr>
      <w:tr>
        <w:trPr>
          <w:trHeight w:val="284"/>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gridSpan w:val="4"/>
          </w:tcPr>
          <w:p>
            <w:pPr>
              <w:jc w:val="center"/>
              <w:ind w:right="2240"/>
              <w:spacing w:after="0"/>
              <w:rPr>
                <w:sz w:val="20"/>
                <w:szCs w:val="20"/>
                <w:color w:val="auto"/>
              </w:rPr>
            </w:pPr>
            <w:r>
              <w:rPr>
                <w:rFonts w:ascii="Arial" w:cs="Arial" w:eastAsia="Arial" w:hAnsi="Arial"/>
                <w:sz w:val="20"/>
                <w:szCs w:val="20"/>
                <w:b w:val="1"/>
                <w:bCs w:val="1"/>
                <w:color w:val="auto"/>
                <w:w w:val="98"/>
              </w:rPr>
              <w:t>Mizuho Securities</w:t>
            </w:r>
          </w:p>
        </w:tc>
        <w:tc>
          <w:tcPr>
            <w:tcW w:w="2340" w:type="dxa"/>
            <w:vAlign w:val="bottom"/>
          </w:tcPr>
          <w:p>
            <w:pPr>
              <w:spacing w:after="0"/>
              <w:rPr>
                <w:sz w:val="24"/>
                <w:szCs w:val="24"/>
                <w:color w:val="auto"/>
              </w:rPr>
            </w:pPr>
          </w:p>
        </w:tc>
      </w:tr>
      <w:tr>
        <w:trPr>
          <w:trHeight w:val="293"/>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JMP Securities</w:t>
            </w:r>
          </w:p>
        </w:tc>
        <w:tc>
          <w:tcPr>
            <w:tcW w:w="2420" w:type="dxa"/>
            <w:vAlign w:val="bottom"/>
            <w:gridSpan w:val="3"/>
          </w:tcPr>
          <w:p>
            <w:pPr>
              <w:ind w:left="220"/>
              <w:spacing w:after="0"/>
              <w:rPr>
                <w:sz w:val="20"/>
                <w:szCs w:val="20"/>
                <w:color w:val="auto"/>
              </w:rPr>
            </w:pPr>
            <w:r>
              <w:rPr>
                <w:rFonts w:ascii="Arial" w:cs="Arial" w:eastAsia="Arial" w:hAnsi="Arial"/>
                <w:sz w:val="18"/>
                <w:szCs w:val="18"/>
                <w:b w:val="1"/>
                <w:bCs w:val="1"/>
                <w:color w:val="auto"/>
              </w:rPr>
              <w:t>KeyBanc Capital Markets</w:t>
            </w:r>
          </w:p>
        </w:tc>
        <w:tc>
          <w:tcPr>
            <w:tcW w:w="1020" w:type="dxa"/>
            <w:vAlign w:val="bottom"/>
          </w:tcPr>
          <w:p>
            <w:pPr>
              <w:spacing w:after="0"/>
              <w:rPr>
                <w:sz w:val="24"/>
                <w:szCs w:val="24"/>
                <w:color w:val="auto"/>
              </w:rPr>
            </w:pPr>
          </w:p>
        </w:tc>
        <w:tc>
          <w:tcPr>
            <w:tcW w:w="272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Piper Sandler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Rosenblatt Securities</w:t>
            </w:r>
          </w:p>
        </w:tc>
      </w:tr>
      <w:tr>
        <w:trPr>
          <w:trHeight w:val="297"/>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BMO Capital Markets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ind w:right="13"/>
              <w:spacing w:after="0"/>
              <w:rPr>
                <w:sz w:val="20"/>
                <w:szCs w:val="20"/>
                <w:color w:val="auto"/>
              </w:rPr>
            </w:pPr>
            <w:r>
              <w:rPr>
                <w:rFonts w:ascii="Arial" w:cs="Arial" w:eastAsia="Arial" w:hAnsi="Arial"/>
                <w:sz w:val="18"/>
                <w:szCs w:val="18"/>
                <w:b w:val="1"/>
                <w:bCs w:val="1"/>
                <w:color w:val="auto"/>
              </w:rPr>
              <w:t>BTIG</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Santander</w:t>
            </w:r>
          </w:p>
        </w:tc>
      </w:tr>
      <w:tr>
        <w:trPr>
          <w:trHeight w:val="297"/>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Academy Securities</w:t>
            </w:r>
          </w:p>
        </w:tc>
        <w:tc>
          <w:tcPr>
            <w:tcW w:w="2420" w:type="dxa"/>
            <w:vAlign w:val="bottom"/>
            <w:gridSpan w:val="3"/>
          </w:tcPr>
          <w:p>
            <w:pPr>
              <w:ind w:left="400"/>
              <w:spacing w:after="0"/>
              <w:rPr>
                <w:sz w:val="20"/>
                <w:szCs w:val="20"/>
                <w:color w:val="auto"/>
              </w:rPr>
            </w:pPr>
            <w:r>
              <w:rPr>
                <w:rFonts w:ascii="Arial" w:cs="Arial" w:eastAsia="Arial" w:hAnsi="Arial"/>
                <w:sz w:val="18"/>
                <w:szCs w:val="18"/>
                <w:b w:val="1"/>
                <w:bCs w:val="1"/>
                <w:color w:val="auto"/>
              </w:rPr>
              <w:t>Loop Capital Markets</w:t>
            </w:r>
          </w:p>
        </w:tc>
        <w:tc>
          <w:tcPr>
            <w:tcW w:w="1020" w:type="dxa"/>
            <w:vAlign w:val="bottom"/>
          </w:tcPr>
          <w:p>
            <w:pPr>
              <w:spacing w:after="0"/>
              <w:rPr>
                <w:sz w:val="24"/>
                <w:szCs w:val="24"/>
                <w:color w:val="auto"/>
              </w:rPr>
            </w:pPr>
          </w:p>
        </w:tc>
        <w:tc>
          <w:tcPr>
            <w:tcW w:w="272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w w:val="99"/>
              </w:rPr>
              <w:t>Ramirez &amp; Co., Inc.</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Siebert Williams Shank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102870</wp:posOffset>
            </wp:positionV>
            <wp:extent cx="131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p>
      <w:pPr>
        <w:spacing w:after="0" w:line="279" w:lineRule="exact"/>
        <w:rPr>
          <w:sz w:val="20"/>
          <w:szCs w:val="20"/>
          <w:color w:val="auto"/>
        </w:rPr>
      </w:pPr>
    </w:p>
    <w:p>
      <w:pPr>
        <w:ind w:left="4360"/>
        <w:spacing w:after="0"/>
        <w:tabs>
          <w:tab w:leader="none" w:pos="642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5"/>
          <w:szCs w:val="15"/>
          <w:b w:val="1"/>
          <w:bCs w:val="1"/>
          <w:color w:val="auto"/>
        </w:rPr>
        <w:t>, 2021</w:t>
      </w:r>
    </w:p>
    <w:p>
      <w:pPr>
        <w:sectPr>
          <w:pgSz w:w="11900" w:h="16838" w:orient="portrait"/>
          <w:cols w:equalWidth="0" w:num="1">
            <w:col w:w="11240"/>
          </w:cols>
          <w:pgMar w:left="320" w:top="536" w:right="339" w:bottom="1440" w:gutter="0" w:footer="0" w:header="0"/>
          <w:type w:val="continuous"/>
        </w:sectPr>
      </w:pPr>
    </w:p>
    <w:bookmarkStart w:id="3" w:name="page4"/>
    <w:bookmarkEnd w:id="3"/>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6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0" w:type="dxa"/>
            <w:vAlign w:val="bottom"/>
            <w:gridSpan w:val="2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MARKET, INDUSTRY AND OTHER DATA</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5"/>
          </w:tcPr>
          <w:p>
            <w:pPr>
              <w:jc w:val="center"/>
              <w:ind w:right="80"/>
              <w:spacing w:after="0"/>
              <w:rPr>
                <w:rFonts w:ascii="Arial" w:cs="Arial" w:eastAsia="Arial" w:hAnsi="Arial"/>
                <w:sz w:val="18"/>
                <w:szCs w:val="18"/>
                <w:color w:val="0000FF"/>
                <w:w w:val="91"/>
              </w:rPr>
            </w:pPr>
            <w:hyperlink w:anchor="page19">
              <w:r>
                <w:rPr>
                  <w:rFonts w:ascii="Arial" w:cs="Arial" w:eastAsia="Arial" w:hAnsi="Arial"/>
                  <w:sz w:val="18"/>
                  <w:szCs w:val="18"/>
                  <w:color w:val="0000FF"/>
                  <w:w w:val="91"/>
                </w:rPr>
                <w:t>vi</w:t>
              </w:r>
            </w:hyperlink>
          </w:p>
        </w:tc>
      </w:tr>
      <w:tr>
        <w:trPr>
          <w:trHeight w:val="210"/>
        </w:trPr>
        <w:tc>
          <w:tcPr>
            <w:tcW w:w="2220" w:type="dxa"/>
            <w:vAlign w:val="bottom"/>
            <w:tcBorders>
              <w:top w:val="single" w:sz="8" w:color="0000FF"/>
            </w:tcBorders>
            <w:gridSpan w:val="9"/>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PROSPECTUS SUMMARY</w:t>
              </w:r>
            </w:hyperlink>
          </w:p>
        </w:tc>
        <w:tc>
          <w:tcPr>
            <w:tcW w:w="1140" w:type="dxa"/>
            <w:vAlign w:val="bottom"/>
            <w:tcBorders>
              <w:top w:val="single" w:sz="8" w:color="0000FF"/>
            </w:tcBorders>
            <w:gridSpan w:val="5"/>
          </w:tcPr>
          <w:p>
            <w:pPr>
              <w:spacing w:after="0"/>
              <w:rPr>
                <w:sz w:val="18"/>
                <w:szCs w:val="18"/>
                <w:color w:val="auto"/>
              </w:rPr>
            </w:pPr>
          </w:p>
        </w:tc>
        <w:tc>
          <w:tcPr>
            <w:tcW w:w="7440" w:type="dxa"/>
            <w:vAlign w:val="bottom"/>
            <w:gridSpan w:val="9"/>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top w:val="single" w:sz="8" w:color="0000FF"/>
            </w:tcBorders>
            <w:gridSpan w:val="3"/>
          </w:tcPr>
          <w:p>
            <w:pPr>
              <w:jc w:val="center"/>
              <w:ind w:right="2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20" w:type="dxa"/>
            <w:vAlign w:val="bottom"/>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RISK FACTORS</w:t>
              </w:r>
            </w:hyperlink>
          </w:p>
        </w:tc>
        <w:tc>
          <w:tcPr>
            <w:tcW w:w="8580" w:type="dxa"/>
            <w:vAlign w:val="bottom"/>
            <w:gridSpan w:val="14"/>
          </w:tcPr>
          <w:p>
            <w:pPr>
              <w:spacing w:after="0"/>
              <w:rPr>
                <w:sz w:val="18"/>
                <w:szCs w:val="18"/>
                <w:color w:val="auto"/>
              </w:rPr>
            </w:pPr>
          </w:p>
        </w:tc>
        <w:tc>
          <w:tcPr>
            <w:tcW w:w="280" w:type="dxa"/>
            <w:vAlign w:val="bottom"/>
            <w:gridSpan w:val="7"/>
          </w:tcPr>
          <w:p>
            <w:pPr>
              <w:jc w:val="cente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30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4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27">
              <w:r>
                <w:rPr>
                  <w:rFonts w:ascii="Arial" w:cs="Arial" w:eastAsia="Arial" w:hAnsi="Arial"/>
                  <w:sz w:val="18"/>
                  <w:szCs w:val="18"/>
                  <w:color w:val="0000FF"/>
                  <w:w w:val="99"/>
                </w:rPr>
                <w:t>SPECIAL NOTE REGARDING FORWARD-LOOKING STATEMENTS</w:t>
              </w:r>
            </w:hyperlink>
          </w:p>
        </w:tc>
        <w:tc>
          <w:tcPr>
            <w:tcW w:w="5260" w:type="dxa"/>
            <w:vAlign w:val="bottom"/>
            <w:gridSpan w:val="4"/>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27">
              <w:r>
                <w:rPr>
                  <w:rFonts w:ascii="Arial" w:cs="Arial" w:eastAsia="Arial" w:hAnsi="Arial"/>
                  <w:sz w:val="18"/>
                  <w:szCs w:val="18"/>
                  <w:color w:val="0000FF"/>
                  <w:w w:val="93"/>
                </w:rPr>
                <w:t>105</w:t>
              </w:r>
            </w:hyperlink>
          </w:p>
        </w:tc>
      </w:tr>
      <w:tr>
        <w:trPr>
          <w:trHeight w:val="209"/>
        </w:trPr>
        <w:tc>
          <w:tcPr>
            <w:tcW w:w="17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30">
              <w:r>
                <w:rPr>
                  <w:rFonts w:ascii="Arial" w:cs="Arial" w:eastAsia="Arial" w:hAnsi="Arial"/>
                  <w:sz w:val="18"/>
                  <w:szCs w:val="18"/>
                  <w:color w:val="0000FF"/>
                  <w:w w:val="99"/>
                </w:rPr>
                <w:t>USE OF PROCEEDS</w:t>
              </w:r>
            </w:hyperlink>
          </w:p>
        </w:tc>
        <w:tc>
          <w:tcPr>
            <w:tcW w:w="9060" w:type="dxa"/>
            <w:vAlign w:val="bottom"/>
            <w:gridSpan w:val="15"/>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0">
              <w:r>
                <w:rPr>
                  <w:rFonts w:ascii="Arial" w:cs="Arial" w:eastAsia="Arial" w:hAnsi="Arial"/>
                  <w:sz w:val="18"/>
                  <w:szCs w:val="18"/>
                  <w:color w:val="0000FF"/>
                  <w:w w:val="93"/>
                </w:rPr>
                <w:t>108</w:t>
              </w:r>
            </w:hyperlink>
          </w:p>
        </w:tc>
      </w:tr>
      <w:tr>
        <w:trPr>
          <w:trHeight w:val="210"/>
        </w:trPr>
        <w:tc>
          <w:tcPr>
            <w:tcW w:w="15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31">
              <w:r>
                <w:rPr>
                  <w:rFonts w:ascii="Arial" w:cs="Arial" w:eastAsia="Arial" w:hAnsi="Arial"/>
                  <w:sz w:val="18"/>
                  <w:szCs w:val="18"/>
                  <w:color w:val="0000FF"/>
                  <w:w w:val="99"/>
                </w:rPr>
                <w:t>DIVIDEND POLICY</w:t>
              </w:r>
            </w:hyperlink>
          </w:p>
        </w:tc>
        <w:tc>
          <w:tcPr>
            <w:tcW w:w="9220" w:type="dxa"/>
            <w:vAlign w:val="bottom"/>
            <w:gridSpan w:val="16"/>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1">
              <w:r>
                <w:rPr>
                  <w:rFonts w:ascii="Arial" w:cs="Arial" w:eastAsia="Arial" w:hAnsi="Arial"/>
                  <w:sz w:val="18"/>
                  <w:szCs w:val="18"/>
                  <w:color w:val="0000FF"/>
                  <w:w w:val="93"/>
                </w:rPr>
                <w:t>109</w:t>
              </w:r>
            </w:hyperlink>
          </w:p>
        </w:tc>
      </w:tr>
      <w:tr>
        <w:trPr>
          <w:trHeight w:val="209"/>
        </w:trPr>
        <w:tc>
          <w:tcPr>
            <w:tcW w:w="1440" w:type="dxa"/>
            <w:vAlign w:val="bottom"/>
            <w:tcBorders>
              <w:bottom w:val="single" w:sz="8" w:color="0000FF"/>
            </w:tcBorders>
            <w:gridSpan w:val="5"/>
          </w:tcPr>
          <w:p>
            <w:pPr>
              <w:spacing w:after="0"/>
              <w:rPr>
                <w:rFonts w:ascii="Arial" w:cs="Arial" w:eastAsia="Arial" w:hAnsi="Arial"/>
                <w:sz w:val="18"/>
                <w:szCs w:val="18"/>
                <w:color w:val="0000FF"/>
                <w:w w:val="97"/>
              </w:rPr>
            </w:pPr>
            <w:hyperlink w:anchor="page132">
              <w:r>
                <w:rPr>
                  <w:rFonts w:ascii="Arial" w:cs="Arial" w:eastAsia="Arial" w:hAnsi="Arial"/>
                  <w:sz w:val="18"/>
                  <w:szCs w:val="18"/>
                  <w:color w:val="0000FF"/>
                  <w:w w:val="97"/>
                </w:rPr>
                <w:t>CAPITALIZATION</w:t>
              </w:r>
            </w:hyperlink>
          </w:p>
        </w:tc>
        <w:tc>
          <w:tcPr>
            <w:tcW w:w="9360" w:type="dxa"/>
            <w:vAlign w:val="bottom"/>
            <w:gridSpan w:val="18"/>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2">
              <w:r>
                <w:rPr>
                  <w:rFonts w:ascii="Arial" w:cs="Arial" w:eastAsia="Arial" w:hAnsi="Arial"/>
                  <w:sz w:val="18"/>
                  <w:szCs w:val="18"/>
                  <w:color w:val="0000FF"/>
                  <w:w w:val="93"/>
                </w:rPr>
                <w:t>110</w:t>
              </w:r>
            </w:hyperlink>
          </w:p>
        </w:tc>
      </w:tr>
      <w:tr>
        <w:trPr>
          <w:trHeight w:val="209"/>
        </w:trPr>
        <w:tc>
          <w:tcPr>
            <w:tcW w:w="8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36">
              <w:r>
                <w:rPr>
                  <w:rFonts w:ascii="Arial" w:cs="Arial" w:eastAsia="Arial" w:hAnsi="Arial"/>
                  <w:sz w:val="18"/>
                  <w:szCs w:val="18"/>
                  <w:color w:val="0000FF"/>
                  <w:w w:val="99"/>
                </w:rPr>
                <w:t>DILUTION</w:t>
              </w:r>
            </w:hyperlink>
          </w:p>
        </w:tc>
        <w:tc>
          <w:tcPr>
            <w:tcW w:w="9940" w:type="dxa"/>
            <w:vAlign w:val="bottom"/>
            <w:gridSpan w:val="21"/>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36">
              <w:r>
                <w:rPr>
                  <w:rFonts w:ascii="Arial" w:cs="Arial" w:eastAsia="Arial" w:hAnsi="Arial"/>
                  <w:sz w:val="18"/>
                  <w:szCs w:val="18"/>
                  <w:color w:val="0000FF"/>
                  <w:w w:val="93"/>
                </w:rPr>
                <w:t>114</w:t>
              </w:r>
            </w:hyperlink>
          </w:p>
        </w:tc>
      </w:tr>
      <w:tr>
        <w:trPr>
          <w:trHeight w:val="210"/>
        </w:trPr>
        <w:tc>
          <w:tcPr>
            <w:tcW w:w="914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141">
              <w:r>
                <w:rPr>
                  <w:rFonts w:ascii="Arial" w:cs="Arial" w:eastAsia="Arial" w:hAnsi="Arial"/>
                  <w:sz w:val="18"/>
                  <w:szCs w:val="18"/>
                  <w:color w:val="0000FF"/>
                  <w:w w:val="99"/>
                </w:rPr>
                <w:t>MANAGEMENT’S DISCUSSION AND ANALYSIS OF FINANCIAL CONDITION AND RESULTS OF OPERATIONS</w:t>
              </w:r>
            </w:hyperlink>
          </w:p>
        </w:tc>
        <w:tc>
          <w:tcPr>
            <w:tcW w:w="1660" w:type="dxa"/>
            <w:vAlign w:val="bottom"/>
            <w:gridSpan w:val="2"/>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41">
              <w:r>
                <w:rPr>
                  <w:rFonts w:ascii="Arial" w:cs="Arial" w:eastAsia="Arial" w:hAnsi="Arial"/>
                  <w:sz w:val="18"/>
                  <w:szCs w:val="18"/>
                  <w:color w:val="0000FF"/>
                  <w:w w:val="93"/>
                </w:rPr>
                <w:t>119</w:t>
              </w:r>
            </w:hyperlink>
          </w:p>
        </w:tc>
      </w:tr>
      <w:tr>
        <w:trPr>
          <w:trHeight w:val="209"/>
        </w:trPr>
        <w:tc>
          <w:tcPr>
            <w:tcW w:w="92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183">
              <w:r>
                <w:rPr>
                  <w:rFonts w:ascii="Arial" w:cs="Arial" w:eastAsia="Arial" w:hAnsi="Arial"/>
                  <w:sz w:val="18"/>
                  <w:szCs w:val="18"/>
                  <w:color w:val="0000FF"/>
                  <w:w w:val="98"/>
                </w:rPr>
                <w:t>BUSINESS</w:t>
              </w:r>
            </w:hyperlink>
          </w:p>
        </w:tc>
        <w:tc>
          <w:tcPr>
            <w:tcW w:w="9880" w:type="dxa"/>
            <w:vAlign w:val="bottom"/>
            <w:gridSpan w:val="20"/>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183">
              <w:r>
                <w:rPr>
                  <w:rFonts w:ascii="Arial" w:cs="Arial" w:eastAsia="Arial" w:hAnsi="Arial"/>
                  <w:sz w:val="18"/>
                  <w:szCs w:val="18"/>
                  <w:color w:val="0000FF"/>
                  <w:w w:val="93"/>
                </w:rPr>
                <w:t>161</w:t>
              </w:r>
            </w:hyperlink>
          </w:p>
        </w:tc>
      </w:tr>
      <w:tr>
        <w:trPr>
          <w:trHeight w:val="209"/>
        </w:trPr>
        <w:tc>
          <w:tcPr>
            <w:tcW w:w="13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225">
              <w:r>
                <w:rPr>
                  <w:rFonts w:ascii="Arial" w:cs="Arial" w:eastAsia="Arial" w:hAnsi="Arial"/>
                  <w:sz w:val="18"/>
                  <w:szCs w:val="18"/>
                  <w:color w:val="0000FF"/>
                  <w:w w:val="99"/>
                </w:rPr>
                <w:t>MANAGEMENT</w:t>
              </w:r>
            </w:hyperlink>
          </w:p>
        </w:tc>
        <w:tc>
          <w:tcPr>
            <w:tcW w:w="9480" w:type="dxa"/>
            <w:vAlign w:val="bottom"/>
            <w:gridSpan w:val="19"/>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25">
              <w:r>
                <w:rPr>
                  <w:rFonts w:ascii="Arial" w:cs="Arial" w:eastAsia="Arial" w:hAnsi="Arial"/>
                  <w:sz w:val="18"/>
                  <w:szCs w:val="18"/>
                  <w:color w:val="0000FF"/>
                  <w:w w:val="93"/>
                </w:rPr>
                <w:t>203</w:t>
              </w:r>
            </w:hyperlink>
          </w:p>
        </w:tc>
      </w:tr>
      <w:tr>
        <w:trPr>
          <w:trHeight w:val="210"/>
        </w:trPr>
        <w:tc>
          <w:tcPr>
            <w:tcW w:w="10800" w:type="dxa"/>
            <w:vAlign w:val="bottom"/>
            <w:gridSpan w:val="23"/>
          </w:tcPr>
          <w:p>
            <w:pPr>
              <w:spacing w:after="0"/>
              <w:rPr>
                <w:rFonts w:ascii="Arial" w:cs="Arial" w:eastAsia="Arial" w:hAnsi="Arial"/>
                <w:sz w:val="18"/>
                <w:szCs w:val="18"/>
                <w:color w:val="0000FF"/>
              </w:rPr>
            </w:pPr>
            <w:hyperlink w:anchor="page234">
              <w:r>
                <w:rPr>
                  <w:rFonts w:ascii="Arial" w:cs="Arial" w:eastAsia="Arial" w:hAnsi="Arial"/>
                  <w:sz w:val="18"/>
                  <w:szCs w:val="18"/>
                  <w:color w:val="0000FF"/>
                </w:rPr>
                <w:t>EXECUTIVE COMPENSATION</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234">
              <w:r>
                <w:rPr>
                  <w:rFonts w:ascii="Arial" w:cs="Arial" w:eastAsia="Arial" w:hAnsi="Arial"/>
                  <w:sz w:val="18"/>
                  <w:szCs w:val="18"/>
                  <w:color w:val="0000FF"/>
                  <w:w w:val="93"/>
                </w:rPr>
                <w:t>212</w:t>
              </w:r>
            </w:hyperlink>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253">
              <w:r>
                <w:rPr>
                  <w:rFonts w:ascii="Arial" w:cs="Arial" w:eastAsia="Arial" w:hAnsi="Arial"/>
                  <w:sz w:val="18"/>
                  <w:szCs w:val="18"/>
                  <w:color w:val="0000FF"/>
                  <w:w w:val="98"/>
                </w:rPr>
                <w:t>DIRECTOR COMPENSATION</w:t>
              </w:r>
            </w:hyperlink>
          </w:p>
        </w:tc>
        <w:tc>
          <w:tcPr>
            <w:tcW w:w="80" w:type="dxa"/>
            <w:vAlign w:val="bottom"/>
            <w:tcBorders>
              <w:top w:val="single" w:sz="8" w:color="0000FF"/>
            </w:tcBorders>
          </w:tcPr>
          <w:p>
            <w:pPr>
              <w:spacing w:after="0"/>
              <w:rPr>
                <w:sz w:val="18"/>
                <w:szCs w:val="18"/>
                <w:color w:val="auto"/>
              </w:rPr>
            </w:pPr>
          </w:p>
        </w:tc>
        <w:tc>
          <w:tcPr>
            <w:tcW w:w="8280" w:type="dxa"/>
            <w:vAlign w:val="bottom"/>
            <w:gridSpan w:val="12"/>
          </w:tcPr>
          <w:p>
            <w:pPr>
              <w:spacing w:after="0"/>
              <w:rPr>
                <w:sz w:val="18"/>
                <w:szCs w:val="18"/>
                <w:color w:val="auto"/>
              </w:rPr>
            </w:pPr>
          </w:p>
        </w:tc>
        <w:tc>
          <w:tcPr>
            <w:tcW w:w="280" w:type="dxa"/>
            <w:vAlign w:val="bottom"/>
            <w:tcBorders>
              <w:top w:val="single" w:sz="8" w:color="0000FF"/>
              <w:bottom w:val="single" w:sz="8" w:color="0000FF"/>
            </w:tcBorders>
            <w:gridSpan w:val="7"/>
          </w:tcPr>
          <w:p>
            <w:pPr>
              <w:jc w:val="center"/>
              <w:spacing w:after="0"/>
              <w:rPr>
                <w:rFonts w:ascii="Arial" w:cs="Arial" w:eastAsia="Arial" w:hAnsi="Arial"/>
                <w:sz w:val="18"/>
                <w:szCs w:val="18"/>
                <w:color w:val="0000FF"/>
                <w:w w:val="93"/>
              </w:rPr>
            </w:pPr>
            <w:hyperlink w:anchor="page253">
              <w:r>
                <w:rPr>
                  <w:rFonts w:ascii="Arial" w:cs="Arial" w:eastAsia="Arial" w:hAnsi="Arial"/>
                  <w:sz w:val="18"/>
                  <w:szCs w:val="18"/>
                  <w:color w:val="0000FF"/>
                  <w:w w:val="93"/>
                </w:rPr>
                <w:t>231</w:t>
              </w:r>
            </w:hyperlink>
          </w:p>
        </w:tc>
      </w:tr>
      <w:tr>
        <w:trPr>
          <w:trHeight w:val="210"/>
        </w:trPr>
        <w:tc>
          <w:tcPr>
            <w:tcW w:w="37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255">
              <w:r>
                <w:rPr>
                  <w:rFonts w:ascii="Arial" w:cs="Arial" w:eastAsia="Arial" w:hAnsi="Arial"/>
                  <w:sz w:val="18"/>
                  <w:szCs w:val="18"/>
                  <w:color w:val="0000FF"/>
                  <w:w w:val="99"/>
                </w:rPr>
                <w:t>PRINCIPAL AND SELLING STOCKHOLDERS</w:t>
              </w:r>
            </w:hyperlink>
          </w:p>
        </w:tc>
        <w:tc>
          <w:tcPr>
            <w:tcW w:w="7080" w:type="dxa"/>
            <w:vAlign w:val="bottom"/>
            <w:gridSpan w:val="8"/>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55">
              <w:r>
                <w:rPr>
                  <w:rFonts w:ascii="Arial" w:cs="Arial" w:eastAsia="Arial" w:hAnsi="Arial"/>
                  <w:sz w:val="18"/>
                  <w:szCs w:val="18"/>
                  <w:color w:val="0000FF"/>
                  <w:w w:val="93"/>
                </w:rPr>
                <w:t>233</w:t>
              </w:r>
            </w:hyperlink>
          </w:p>
        </w:tc>
      </w:tr>
      <w:tr>
        <w:trPr>
          <w:trHeight w:val="209"/>
        </w:trPr>
        <w:tc>
          <w:tcPr>
            <w:tcW w:w="10800" w:type="dxa"/>
            <w:vAlign w:val="bottom"/>
            <w:gridSpan w:val="23"/>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CERTAIN RELATIONSHIPS AND RELATED PERSON TRANSACTIONS</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259">
              <w:r>
                <w:rPr>
                  <w:rFonts w:ascii="Arial" w:cs="Arial" w:eastAsia="Arial" w:hAnsi="Arial"/>
                  <w:sz w:val="18"/>
                  <w:szCs w:val="18"/>
                  <w:color w:val="0000FF"/>
                  <w:w w:val="93"/>
                </w:rPr>
                <w:t>237</w:t>
              </w:r>
            </w:hyperlink>
          </w:p>
        </w:tc>
      </w:tr>
      <w:tr>
        <w:trPr>
          <w:trHeight w:val="209"/>
        </w:trPr>
        <w:tc>
          <w:tcPr>
            <w:tcW w:w="5820" w:type="dxa"/>
            <w:vAlign w:val="bottom"/>
            <w:tcBorders>
              <w:top w:val="single" w:sz="8" w:color="0000FF"/>
            </w:tcBorders>
            <w:gridSpan w:val="20"/>
          </w:tcPr>
          <w:p>
            <w:pPr>
              <w:spacing w:after="0"/>
              <w:rPr>
                <w:rFonts w:ascii="Arial" w:cs="Arial" w:eastAsia="Arial" w:hAnsi="Arial"/>
                <w:sz w:val="18"/>
                <w:szCs w:val="18"/>
                <w:color w:val="0000FF"/>
              </w:rPr>
            </w:pPr>
            <w:hyperlink w:anchor="page266">
              <w:r>
                <w:rPr>
                  <w:rFonts w:ascii="Arial" w:cs="Arial" w:eastAsia="Arial" w:hAnsi="Arial"/>
                  <w:sz w:val="18"/>
                  <w:szCs w:val="18"/>
                  <w:color w:val="0000FF"/>
                </w:rPr>
                <w:t>DESCRIPTION OF CAPITAL STOCK</w:t>
              </w:r>
            </w:hyperlink>
          </w:p>
        </w:tc>
        <w:tc>
          <w:tcPr>
            <w:tcW w:w="4980" w:type="dxa"/>
            <w:vAlign w:val="bottom"/>
            <w:gridSpan w:val="3"/>
          </w:tcPr>
          <w:p>
            <w:pPr>
              <w:spacing w:after="0"/>
              <w:rPr>
                <w:sz w:val="18"/>
                <w:szCs w:val="18"/>
                <w:color w:val="auto"/>
              </w:rPr>
            </w:pPr>
          </w:p>
        </w:tc>
        <w:tc>
          <w:tcPr>
            <w:tcW w:w="280" w:type="dxa"/>
            <w:vAlign w:val="bottom"/>
            <w:tcBorders>
              <w:top w:val="single" w:sz="8" w:color="0000FF"/>
            </w:tcBorders>
            <w:gridSpan w:val="7"/>
          </w:tcPr>
          <w:p>
            <w:pPr>
              <w:jc w:val="center"/>
              <w:spacing w:after="0"/>
              <w:rPr>
                <w:rFonts w:ascii="Arial" w:cs="Arial" w:eastAsia="Arial" w:hAnsi="Arial"/>
                <w:sz w:val="18"/>
                <w:szCs w:val="18"/>
                <w:color w:val="0000FF"/>
                <w:w w:val="93"/>
              </w:rPr>
            </w:pPr>
            <w:hyperlink w:anchor="page266">
              <w:r>
                <w:rPr>
                  <w:rFonts w:ascii="Arial" w:cs="Arial" w:eastAsia="Arial" w:hAnsi="Arial"/>
                  <w:sz w:val="18"/>
                  <w:szCs w:val="18"/>
                  <w:color w:val="0000FF"/>
                  <w:w w:val="93"/>
                </w:rPr>
                <w:t>244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10"/>
        </w:trPr>
        <w:tc>
          <w:tcPr>
            <w:tcW w:w="33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78">
              <w:r>
                <w:rPr>
                  <w:rFonts w:ascii="Arial" w:cs="Arial" w:eastAsia="Arial" w:hAnsi="Arial"/>
                  <w:sz w:val="18"/>
                  <w:szCs w:val="18"/>
                  <w:color w:val="0000FF"/>
                  <w:w w:val="99"/>
                </w:rPr>
                <w:t>SHARES ELIGIBLE FOR FUTURE SALE</w:t>
              </w:r>
            </w:hyperlink>
          </w:p>
        </w:tc>
        <w:tc>
          <w:tcPr>
            <w:tcW w:w="7480" w:type="dxa"/>
            <w:vAlign w:val="bottom"/>
            <w:gridSpan w:val="10"/>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78">
              <w:r>
                <w:rPr>
                  <w:rFonts w:ascii="Arial" w:cs="Arial" w:eastAsia="Arial" w:hAnsi="Arial"/>
                  <w:sz w:val="18"/>
                  <w:szCs w:val="18"/>
                  <w:color w:val="0000FF"/>
                  <w:w w:val="93"/>
                </w:rPr>
                <w:t>256</w:t>
              </w:r>
            </w:hyperlink>
          </w:p>
        </w:tc>
      </w:tr>
      <w:tr>
        <w:trPr>
          <w:trHeight w:val="209"/>
        </w:trPr>
        <w:tc>
          <w:tcPr>
            <w:tcW w:w="9860" w:type="dxa"/>
            <w:vAlign w:val="bottom"/>
            <w:tcBorders>
              <w:bottom w:val="single" w:sz="8" w:color="0000FF"/>
            </w:tcBorders>
            <w:gridSpan w:val="22"/>
          </w:tcPr>
          <w:p>
            <w:pPr>
              <w:spacing w:after="0"/>
              <w:rPr>
                <w:rFonts w:ascii="Arial" w:cs="Arial" w:eastAsia="Arial" w:hAnsi="Arial"/>
                <w:sz w:val="18"/>
                <w:szCs w:val="18"/>
                <w:color w:val="0000FF"/>
                <w:w w:val="99"/>
              </w:rPr>
            </w:pPr>
            <w:hyperlink w:anchor="page285">
              <w:r>
                <w:rPr>
                  <w:rFonts w:ascii="Arial" w:cs="Arial" w:eastAsia="Arial" w:hAnsi="Arial"/>
                  <w:sz w:val="18"/>
                  <w:szCs w:val="18"/>
                  <w:color w:val="0000FF"/>
                  <w:w w:val="99"/>
                </w:rPr>
                <w:t>MATERIAL U.S. FEDERAL INCOME TAX CONSIDERATIONS FOR NON-U.S. HOLDERS OF CLASS A COMMON STOCK</w:t>
              </w:r>
            </w:hyperlink>
          </w:p>
        </w:tc>
        <w:tc>
          <w:tcPr>
            <w:tcW w:w="940" w:type="dxa"/>
            <w:vAlign w:val="bottom"/>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85">
              <w:r>
                <w:rPr>
                  <w:rFonts w:ascii="Arial" w:cs="Arial" w:eastAsia="Arial" w:hAnsi="Arial"/>
                  <w:sz w:val="18"/>
                  <w:szCs w:val="18"/>
                  <w:color w:val="0000FF"/>
                  <w:w w:val="93"/>
                </w:rPr>
                <w:t>263</w:t>
              </w:r>
            </w:hyperlink>
          </w:p>
        </w:tc>
      </w:tr>
      <w:tr>
        <w:trPr>
          <w:trHeight w:val="210"/>
        </w:trPr>
        <w:tc>
          <w:tcPr>
            <w:tcW w:w="38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89">
              <w:r>
                <w:rPr>
                  <w:rFonts w:ascii="Arial" w:cs="Arial" w:eastAsia="Arial" w:hAnsi="Arial"/>
                  <w:sz w:val="18"/>
                  <w:szCs w:val="18"/>
                  <w:color w:val="0000FF"/>
                  <w:w w:val="99"/>
                </w:rPr>
                <w:t>UNDERWRITING (CONFLICTS OF INTEREST)</w:t>
              </w:r>
            </w:hyperlink>
          </w:p>
        </w:tc>
        <w:tc>
          <w:tcPr>
            <w:tcW w:w="6940" w:type="dxa"/>
            <w:vAlign w:val="bottom"/>
            <w:gridSpan w:val="7"/>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w w:val="93"/>
              </w:rPr>
            </w:pPr>
            <w:hyperlink w:anchor="page289">
              <w:r>
                <w:rPr>
                  <w:rFonts w:ascii="Arial" w:cs="Arial" w:eastAsia="Arial" w:hAnsi="Arial"/>
                  <w:sz w:val="18"/>
                  <w:szCs w:val="18"/>
                  <w:color w:val="0000FF"/>
                  <w:w w:val="93"/>
                </w:rPr>
                <w:t>267</w:t>
              </w:r>
            </w:hyperlink>
          </w:p>
        </w:tc>
      </w:tr>
      <w:tr>
        <w:trPr>
          <w:trHeight w:val="210"/>
        </w:trPr>
        <w:tc>
          <w:tcPr>
            <w:tcW w:w="10800" w:type="dxa"/>
            <w:vAlign w:val="bottom"/>
            <w:gridSpan w:val="23"/>
          </w:tcPr>
          <w:p>
            <w:pPr>
              <w:spacing w:after="0"/>
              <w:rPr>
                <w:rFonts w:ascii="Arial" w:cs="Arial" w:eastAsia="Arial" w:hAnsi="Arial"/>
                <w:sz w:val="18"/>
                <w:szCs w:val="18"/>
                <w:color w:val="0000FF"/>
              </w:rPr>
            </w:pPr>
            <w:hyperlink w:anchor="page303">
              <w:r>
                <w:rPr>
                  <w:rFonts w:ascii="Arial" w:cs="Arial" w:eastAsia="Arial" w:hAnsi="Arial"/>
                  <w:sz w:val="18"/>
                  <w:szCs w:val="18"/>
                  <w:color w:val="0000FF"/>
                </w:rPr>
                <w:t>LEGAL MATTERS</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303">
              <w:r>
                <w:rPr>
                  <w:rFonts w:ascii="Arial" w:cs="Arial" w:eastAsia="Arial" w:hAnsi="Arial"/>
                  <w:sz w:val="18"/>
                  <w:szCs w:val="18"/>
                  <w:color w:val="0000FF"/>
                  <w:w w:val="93"/>
                </w:rPr>
                <w:t>281</w:t>
              </w:r>
            </w:hyperlink>
          </w:p>
        </w:tc>
      </w:tr>
      <w:tr>
        <w:trPr>
          <w:trHeight w:val="210"/>
        </w:trPr>
        <w:tc>
          <w:tcPr>
            <w:tcW w:w="1480" w:type="dxa"/>
            <w:vAlign w:val="bottom"/>
            <w:tcBorders>
              <w:top w:val="single" w:sz="8" w:color="0000FF"/>
            </w:tcBorders>
            <w:gridSpan w:val="6"/>
          </w:tcPr>
          <w:p>
            <w:pPr>
              <w:spacing w:after="0"/>
              <w:rPr>
                <w:rFonts w:ascii="Arial" w:cs="Arial" w:eastAsia="Arial" w:hAnsi="Arial"/>
                <w:sz w:val="18"/>
                <w:szCs w:val="18"/>
                <w:color w:val="0000FF"/>
              </w:rPr>
            </w:pPr>
            <w:hyperlink w:anchor="page304">
              <w:r>
                <w:rPr>
                  <w:rFonts w:ascii="Arial" w:cs="Arial" w:eastAsia="Arial" w:hAnsi="Arial"/>
                  <w:sz w:val="18"/>
                  <w:szCs w:val="18"/>
                  <w:color w:val="0000FF"/>
                </w:rPr>
                <w:t>EXPERTS</w:t>
              </w:r>
            </w:hyperlink>
          </w:p>
        </w:tc>
        <w:tc>
          <w:tcPr>
            <w:tcW w:w="9320" w:type="dxa"/>
            <w:vAlign w:val="bottom"/>
            <w:gridSpan w:val="17"/>
          </w:tcPr>
          <w:p>
            <w:pPr>
              <w:spacing w:after="0"/>
              <w:rPr>
                <w:sz w:val="18"/>
                <w:szCs w:val="18"/>
                <w:color w:val="auto"/>
              </w:rPr>
            </w:pPr>
          </w:p>
        </w:tc>
        <w:tc>
          <w:tcPr>
            <w:tcW w:w="280" w:type="dxa"/>
            <w:vAlign w:val="bottom"/>
            <w:tcBorders>
              <w:top w:val="single" w:sz="8" w:color="0000FF"/>
            </w:tcBorders>
            <w:gridSpan w:val="7"/>
          </w:tcPr>
          <w:p>
            <w:pPr>
              <w:jc w:val="center"/>
              <w:spacing w:after="0"/>
              <w:rPr>
                <w:rFonts w:ascii="Arial" w:cs="Arial" w:eastAsia="Arial" w:hAnsi="Arial"/>
                <w:sz w:val="18"/>
                <w:szCs w:val="18"/>
                <w:color w:val="0000FF"/>
                <w:w w:val="93"/>
              </w:rPr>
            </w:pPr>
            <w:hyperlink w:anchor="page304">
              <w:r>
                <w:rPr>
                  <w:rFonts w:ascii="Arial" w:cs="Arial" w:eastAsia="Arial" w:hAnsi="Arial"/>
                  <w:sz w:val="18"/>
                  <w:szCs w:val="18"/>
                  <w:color w:val="0000FF"/>
                  <w:w w:val="93"/>
                </w:rPr>
                <w:t>281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09"/>
        </w:trPr>
        <w:tc>
          <w:tcPr>
            <w:tcW w:w="10800" w:type="dxa"/>
            <w:vAlign w:val="bottom"/>
            <w:gridSpan w:val="23"/>
          </w:tcPr>
          <w:p>
            <w:pPr>
              <w:spacing w:after="0"/>
              <w:rPr>
                <w:rFonts w:ascii="Arial" w:cs="Arial" w:eastAsia="Arial" w:hAnsi="Arial"/>
                <w:sz w:val="18"/>
                <w:szCs w:val="18"/>
                <w:color w:val="0000FF"/>
              </w:rPr>
            </w:pPr>
            <w:hyperlink w:anchor="page304">
              <w:r>
                <w:rPr>
                  <w:rFonts w:ascii="Arial" w:cs="Arial" w:eastAsia="Arial" w:hAnsi="Arial"/>
                  <w:sz w:val="18"/>
                  <w:szCs w:val="18"/>
                  <w:color w:val="0000FF"/>
                </w:rPr>
                <w:t>WHERE YOU CAN FIND MORE INFORMATION</w:t>
              </w:r>
            </w:hyperlink>
          </w:p>
        </w:tc>
        <w:tc>
          <w:tcPr>
            <w:tcW w:w="280" w:type="dxa"/>
            <w:vAlign w:val="bottom"/>
            <w:gridSpan w:val="7"/>
          </w:tcPr>
          <w:p>
            <w:pPr>
              <w:jc w:val="center"/>
              <w:spacing w:after="0"/>
              <w:rPr>
                <w:rFonts w:ascii="Arial" w:cs="Arial" w:eastAsia="Arial" w:hAnsi="Arial"/>
                <w:sz w:val="18"/>
                <w:szCs w:val="18"/>
                <w:color w:val="0000FF"/>
                <w:w w:val="93"/>
              </w:rPr>
            </w:pPr>
            <w:hyperlink w:anchor="page304">
              <w:r>
                <w:rPr>
                  <w:rFonts w:ascii="Arial" w:cs="Arial" w:eastAsia="Arial" w:hAnsi="Arial"/>
                  <w:sz w:val="18"/>
                  <w:szCs w:val="18"/>
                  <w:color w:val="0000FF"/>
                  <w:w w:val="93"/>
                </w:rPr>
                <w:t>281</w:t>
              </w:r>
            </w:hyperlink>
          </w:p>
        </w:tc>
      </w:tr>
      <w:tr>
        <w:trPr>
          <w:trHeight w:val="20"/>
        </w:trPr>
        <w:tc>
          <w:tcPr>
            <w:tcW w:w="3900" w:type="dxa"/>
            <w:vAlign w:val="bottom"/>
            <w:gridSpan w:val="1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r>
      <w:tr>
        <w:trPr>
          <w:trHeight w:val="210"/>
        </w:trPr>
        <w:tc>
          <w:tcPr>
            <w:tcW w:w="454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305">
              <w:r>
                <w:rPr>
                  <w:rFonts w:ascii="Arial" w:cs="Arial" w:eastAsia="Arial" w:hAnsi="Arial"/>
                  <w:sz w:val="18"/>
                  <w:szCs w:val="18"/>
                  <w:color w:val="0000FF"/>
                  <w:w w:val="98"/>
                </w:rPr>
                <w:t>INDEX TO CONSOLIDATED FINANCIAL STATEMENTS</w:t>
              </w:r>
            </w:hyperlink>
          </w:p>
        </w:tc>
        <w:tc>
          <w:tcPr>
            <w:tcW w:w="6260" w:type="dxa"/>
            <w:vAlign w:val="bottom"/>
            <w:gridSpan w:val="5"/>
          </w:tcPr>
          <w:p>
            <w:pPr>
              <w:spacing w:after="0"/>
              <w:rPr>
                <w:sz w:val="18"/>
                <w:szCs w:val="18"/>
                <w:color w:val="auto"/>
              </w:rPr>
            </w:pPr>
          </w:p>
        </w:tc>
        <w:tc>
          <w:tcPr>
            <w:tcW w:w="280" w:type="dxa"/>
            <w:vAlign w:val="bottom"/>
            <w:tcBorders>
              <w:bottom w:val="single" w:sz="8" w:color="0000FF"/>
            </w:tcBorders>
            <w:gridSpan w:val="7"/>
          </w:tcPr>
          <w:p>
            <w:pPr>
              <w:jc w:val="center"/>
              <w:spacing w:after="0"/>
              <w:rPr>
                <w:rFonts w:ascii="Arial" w:cs="Arial" w:eastAsia="Arial" w:hAnsi="Arial"/>
                <w:sz w:val="18"/>
                <w:szCs w:val="18"/>
                <w:color w:val="0000FF"/>
              </w:rPr>
            </w:pPr>
            <w:hyperlink w:anchor="page305">
              <w:r>
                <w:rPr>
                  <w:rFonts w:ascii="Arial" w:cs="Arial" w:eastAsia="Arial" w:hAnsi="Arial"/>
                  <w:sz w:val="18"/>
                  <w:szCs w:val="18"/>
                  <w:color w:val="0000FF"/>
                </w:rPr>
                <w:t>F-1</w:t>
              </w:r>
            </w:hyperlink>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not, and the selling stockholders and the underwriters have not, authorized anyone to provide you with any information or to make any representations other than those contained in this prospectus or in any free writing prospectus we have prepared and filed with the SEC. We, the selling stockholders and the underwriters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current only as of its date, regardless of the time of delivery of this prospectus or of any sale of our Class A common stock.</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investors outside of the United States: None of us, the selling stockholders or the underwriters has done anything that would permit our initial public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MARKET, INDUSTRY AND OTHER DATA</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Among others, we refer to information and estimates from the following third-party sources:</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PwC, </w:t>
      </w:r>
      <w:r>
        <w:rPr>
          <w:rFonts w:ascii="Arial" w:cs="Arial" w:eastAsia="Arial" w:hAnsi="Arial"/>
          <w:sz w:val="18"/>
          <w:szCs w:val="18"/>
          <w:i w:val="1"/>
          <w:iCs w:val="1"/>
          <w:color w:val="auto"/>
        </w:rPr>
        <w:t>Future of Customer Experience Survey,</w:t>
      </w:r>
      <w:r>
        <w:rPr>
          <w:rFonts w:ascii="Arial" w:cs="Arial" w:eastAsia="Arial" w:hAnsi="Arial"/>
          <w:sz w:val="18"/>
          <w:szCs w:val="18"/>
          <w:color w:val="auto"/>
        </w:rPr>
        <w:t xml:space="preserve"> 2017/2018;</w:t>
      </w:r>
    </w:p>
    <w:p>
      <w:pPr>
        <w:spacing w:after="0" w:line="198"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Pew Research Center, </w:t>
      </w:r>
      <w:r>
        <w:rPr>
          <w:rFonts w:ascii="Arial" w:cs="Arial" w:eastAsia="Arial" w:hAnsi="Arial"/>
          <w:sz w:val="18"/>
          <w:szCs w:val="18"/>
          <w:i w:val="1"/>
          <w:iCs w:val="1"/>
          <w:color w:val="auto"/>
        </w:rPr>
        <w:t>Most Americans Say the Current Economy Is Helping the Rich, Hurting the Poor and Middle Class</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Gallup, </w:t>
      </w:r>
      <w:r>
        <w:rPr>
          <w:rFonts w:ascii="Arial" w:cs="Arial" w:eastAsia="Arial" w:hAnsi="Arial"/>
          <w:sz w:val="18"/>
          <w:szCs w:val="18"/>
          <w:i w:val="1"/>
          <w:iCs w:val="1"/>
          <w:color w:val="auto"/>
        </w:rPr>
        <w:t>What Percentage of Americans Owns Stock?</w:t>
      </w:r>
      <w:r>
        <w:rPr>
          <w:rFonts w:ascii="Arial" w:cs="Arial" w:eastAsia="Arial" w:hAnsi="Arial"/>
          <w:sz w:val="18"/>
          <w:szCs w:val="18"/>
          <w:color w:val="auto"/>
        </w:rPr>
        <w:t>, September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Harris Poll, on behalf of Ondot Systems, April 2020;</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Charles Schwab Corporation, </w:t>
      </w:r>
      <w:r>
        <w:rPr>
          <w:rFonts w:ascii="Arial" w:cs="Arial" w:eastAsia="Arial" w:hAnsi="Arial"/>
          <w:sz w:val="18"/>
          <w:szCs w:val="18"/>
          <w:i w:val="1"/>
          <w:iCs w:val="1"/>
          <w:color w:val="auto"/>
        </w:rPr>
        <w:t>Winter Business Update</w:t>
      </w:r>
      <w:r>
        <w:rPr>
          <w:rFonts w:ascii="Arial" w:cs="Arial" w:eastAsia="Arial" w:hAnsi="Arial"/>
          <w:sz w:val="18"/>
          <w:szCs w:val="18"/>
          <w:color w:val="auto"/>
        </w:rPr>
        <w:t>, February 2021;</w:t>
      </w:r>
    </w:p>
    <w:p>
      <w:pPr>
        <w:spacing w:after="0" w:line="18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How America Banks: Household Use of Banking and Financial Services</w:t>
      </w:r>
      <w:r>
        <w:rPr>
          <w:rFonts w:ascii="Arial" w:cs="Arial" w:eastAsia="Arial" w:hAnsi="Arial"/>
          <w:sz w:val="18"/>
          <w:szCs w:val="18"/>
          <w:color w:val="auto"/>
        </w:rPr>
        <w:t>, 2019 FDIC Survey, October 2020;</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Unsafe and Unsound Banking Practices: Brokered Deposits and Interest Rate Restrictions</w:t>
      </w:r>
      <w:r>
        <w:rPr>
          <w:rFonts w:ascii="Arial" w:cs="Arial" w:eastAsia="Arial" w:hAnsi="Arial"/>
          <w:sz w:val="18"/>
          <w:szCs w:val="18"/>
          <w:color w:val="auto"/>
        </w:rPr>
        <w:t>, January 2021;</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Issuers of General Purpose Credit Cards in the U.S.,</w:t>
      </w:r>
      <w:r>
        <w:rPr>
          <w:rFonts w:ascii="Arial" w:cs="Arial" w:eastAsia="Arial" w:hAnsi="Arial"/>
          <w:sz w:val="18"/>
          <w:szCs w:val="18"/>
          <w:color w:val="auto"/>
        </w:rPr>
        <w:t xml:space="preserve"> February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U.S. Debit Card Issuers,</w:t>
      </w:r>
      <w:r>
        <w:rPr>
          <w:rFonts w:ascii="Arial" w:cs="Arial" w:eastAsia="Arial" w:hAnsi="Arial"/>
          <w:sz w:val="18"/>
          <w:szCs w:val="18"/>
          <w:color w:val="auto"/>
        </w:rPr>
        <w:t xml:space="preserve"> April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Square, Inc., </w:t>
      </w:r>
      <w:r>
        <w:rPr>
          <w:rFonts w:ascii="Arial" w:cs="Arial" w:eastAsia="Arial" w:hAnsi="Arial"/>
          <w:sz w:val="18"/>
          <w:szCs w:val="18"/>
          <w:i w:val="1"/>
          <w:iCs w:val="1"/>
          <w:color w:val="auto"/>
        </w:rPr>
        <w:t>Company Overview</w:t>
      </w:r>
      <w:r>
        <w:rPr>
          <w:rFonts w:ascii="Arial" w:cs="Arial" w:eastAsia="Arial" w:hAnsi="Arial"/>
          <w:sz w:val="18"/>
          <w:szCs w:val="18"/>
          <w:color w:val="auto"/>
        </w:rPr>
        <w:t>, March 2021;</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Credit Suisse Research Institute, Global Wealth Databook, October 2019;</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Hardman &amp; Co., </w:t>
      </w:r>
      <w:r>
        <w:rPr>
          <w:rFonts w:ascii="Arial" w:cs="Arial" w:eastAsia="Arial" w:hAnsi="Arial"/>
          <w:sz w:val="18"/>
          <w:szCs w:val="18"/>
          <w:i w:val="1"/>
          <w:iCs w:val="1"/>
          <w:color w:val="auto"/>
        </w:rPr>
        <w:t>How Big Is the Potential Investment Platform Market in the UK?</w:t>
      </w:r>
      <w:r>
        <w:rPr>
          <w:rFonts w:ascii="Arial" w:cs="Arial" w:eastAsia="Arial" w:hAnsi="Arial"/>
          <w:sz w:val="18"/>
          <w:szCs w:val="18"/>
          <w:color w:val="auto"/>
        </w:rPr>
        <w:t>, May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 Annie;</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Reserve, </w:t>
      </w:r>
      <w:r>
        <w:rPr>
          <w:rFonts w:ascii="Arial" w:cs="Arial" w:eastAsia="Arial" w:hAnsi="Arial"/>
          <w:sz w:val="18"/>
          <w:szCs w:val="18"/>
          <w:i w:val="1"/>
          <w:iCs w:val="1"/>
          <w:color w:val="auto"/>
        </w:rPr>
        <w:t>Distribution of Household Wealth in the U.S. since 1989</w:t>
      </w:r>
      <w:r>
        <w:rPr>
          <w:rFonts w:ascii="Arial" w:cs="Arial" w:eastAsia="Arial" w:hAnsi="Arial"/>
          <w:sz w:val="18"/>
          <w:szCs w:val="18"/>
          <w:color w:val="auto"/>
        </w:rPr>
        <w:t>, December 2020;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Deloitte, </w:t>
      </w:r>
      <w:r>
        <w:rPr>
          <w:rFonts w:ascii="Arial" w:cs="Arial" w:eastAsia="Arial" w:hAnsi="Arial"/>
          <w:sz w:val="18"/>
          <w:szCs w:val="18"/>
          <w:i w:val="1"/>
          <w:iCs w:val="1"/>
          <w:color w:val="auto"/>
        </w:rPr>
        <w:t>The Future of Wealth in the United States</w:t>
      </w:r>
      <w:r>
        <w:rPr>
          <w:rFonts w:ascii="Arial" w:cs="Arial" w:eastAsia="Arial" w:hAnsi="Arial"/>
          <w:sz w:val="18"/>
          <w:szCs w:val="18"/>
          <w:color w:val="auto"/>
        </w:rPr>
        <w:t>, November 2015;</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National Bureau of Economic Research, </w:t>
      </w:r>
      <w:r>
        <w:rPr>
          <w:rFonts w:ascii="Arial" w:cs="Arial" w:eastAsia="Arial" w:hAnsi="Arial"/>
          <w:sz w:val="18"/>
          <w:szCs w:val="18"/>
          <w:i w:val="1"/>
          <w:iCs w:val="1"/>
          <w:color w:val="auto"/>
        </w:rPr>
        <w:t>The Wisdom of the Robinhood Crowd</w:t>
      </w:r>
      <w:r>
        <w:rPr>
          <w:rFonts w:ascii="Arial" w:cs="Arial" w:eastAsia="Arial" w:hAnsi="Arial"/>
          <w:sz w:val="18"/>
          <w:szCs w:val="18"/>
          <w:color w:val="auto"/>
        </w:rPr>
        <w:t>, September 2020;</w:t>
      </w:r>
    </w:p>
    <w:p>
      <w:pPr>
        <w:spacing w:after="0" w:line="198"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Investors in the United States: A Report of the National Financial Capability Study</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New Research: Global Pandemic Brings Surge of New and Experienced Retail Investors Into</w:t>
      </w:r>
      <w:r>
        <w:rPr>
          <w:rFonts w:ascii="Arial" w:cs="Arial" w:eastAsia="Arial" w:hAnsi="Arial"/>
          <w:sz w:val="18"/>
          <w:szCs w:val="18"/>
          <w:color w:val="auto"/>
        </w:rPr>
        <w:t xml:space="preserve"> </w:t>
      </w:r>
      <w:r>
        <w:rPr>
          <w:rFonts w:ascii="Arial" w:cs="Arial" w:eastAsia="Arial" w:hAnsi="Arial"/>
          <w:sz w:val="18"/>
          <w:szCs w:val="18"/>
          <w:i w:val="1"/>
          <w:iCs w:val="1"/>
          <w:color w:val="auto"/>
        </w:rPr>
        <w:t>the Stock Market</w:t>
      </w:r>
      <w:r>
        <w:rPr>
          <w:rFonts w:ascii="Arial" w:cs="Arial" w:eastAsia="Arial" w:hAnsi="Arial"/>
          <w:sz w:val="18"/>
          <w:szCs w:val="18"/>
          <w:color w:val="auto"/>
        </w:rPr>
        <w:t>, February 2021; and</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Experian PLC.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includes information derived in part from management’s estimates and beliefs, is inherently uncertain and imprecise. Market and industry data are subject to change and may be limited by the availability of raw data, the voluntary nature of the data-gathering process and other limitations inherent in any statistical survey of such data. In addition, forecasts, assumptions and estimates of the future performance of the markets and industries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90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29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PROSPECTUS SUMMARY</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related notes appearing at the end of this prospectus, before making any investment decision. Our fiscal year ends on December 31. Unless the context otherwise requires, we use the terms “Robinhood,” the “Company,” “we,” “us” and “our” in this prospectus to refer to Robinhood Markets, Inc. and our consolidated subsidiaries, and we use the term “RHM” to refer only to Robinhood Markets, Inc. (and not its subsidiaries). 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our users, our users do not meet the definition of “customer” for purposes of the accounting rules. See “—</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Recognition” in Note 1 to our audited consolidated financial statements appearing at the end of this prospectus.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like expensive commissions, minimum balance requirements and complicated, jargon-filled paperwork, have dissuaded millions of people from feeling welcome or able to participate.</w:t>
      </w:r>
    </w:p>
    <w:p>
      <w:pPr>
        <w:spacing w:after="0" w:line="16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Robinhood has set out to change this.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w:t>
      </w:r>
    </w:p>
    <w:p>
      <w:pPr>
        <w:spacing w:after="0" w:line="1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Cultural Impact. </w:t>
      </w:r>
      <w:r>
        <w:rPr>
          <w:rFonts w:ascii="Arial" w:cs="Arial" w:eastAsia="Arial" w:hAnsi="Arial"/>
          <w:sz w:val="18"/>
          <w:szCs w:val="18"/>
          <w:color w:val="auto"/>
        </w:rPr>
        <w:t>We pioneered commission-free stock trading with no account minimums, which the rest of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emulated, and we have continued to build relationships with our customers by introducing new products that further expand access to the financial system.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Built for People</w:t>
      </w:r>
      <w:r>
        <w:rPr>
          <w:rFonts w:ascii="Arial" w:cs="Arial" w:eastAsia="Arial" w:hAnsi="Arial"/>
          <w:sz w:val="18"/>
          <w:szCs w:val="18"/>
          <w:color w:val="auto"/>
        </w:rPr>
        <w:t>. Customer feedback is at the heart of product development at Robinhood. In the early days,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Many of our customers are new to investing, and we are encouraged to see them taking their first steps toward wealth creation. We have replaced confusing jargon with simplicity and slang. Our tools are delightful and engaging.</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65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65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 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Technological Innovation. </w:t>
      </w:r>
      <w:r>
        <w:rPr>
          <w:rFonts w:ascii="Arial" w:cs="Arial" w:eastAsia="Arial" w:hAnsi="Arial"/>
          <w:sz w:val="18"/>
          <w:szCs w:val="18"/>
          <w:color w:val="auto"/>
        </w:rPr>
        <w:t>We have built a foundation for future development. With a focused team and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Engagement through Education</w:t>
      </w:r>
      <w:r>
        <w:rPr>
          <w:rFonts w:ascii="Arial" w:cs="Arial" w:eastAsia="Arial" w:hAnsi="Arial"/>
          <w:sz w:val="18"/>
          <w:szCs w:val="18"/>
          <w:color w:val="auto"/>
        </w:rPr>
        <w:t>. 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The Robinhood Platform. </w:t>
      </w:r>
      <w:r>
        <w:rPr>
          <w:rFonts w:ascii="Arial" w:cs="Arial" w:eastAsia="Arial" w:hAnsi="Arial"/>
          <w:sz w:val="18"/>
          <w:szCs w:val="18"/>
          <w:color w:val="auto"/>
        </w:rPr>
        <w:t>Our platform, which began as a U.S. stock-focused retail brokerage, currently offers:</w:t>
      </w:r>
    </w:p>
    <w:p>
      <w:pPr>
        <w:spacing w:after="0" w:line="203" w:lineRule="exact"/>
        <w:rPr>
          <w:sz w:val="20"/>
          <w:szCs w:val="20"/>
          <w:color w:val="auto"/>
        </w:rPr>
      </w:pPr>
    </w:p>
    <w:p>
      <w:pPr>
        <w:ind w:left="640" w:right="2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trading in U.S. listed stocks and Exchange Traded Funds (“ETFs”), as well as related options and American Depositary Receipts (“ADRs”);</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cryptocurrency trading through our subsidiary, Robinhood Crypto, LLC (“RHC”);</w:t>
      </w:r>
    </w:p>
    <w:p>
      <w:pPr>
        <w:spacing w:after="0" w:line="198"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84"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Federal Deposit Insurance Corporation (“FDIC”) pass-through insurance on cash swept from their brokerage account; and</w:t>
      </w:r>
    </w:p>
    <w:p>
      <w:pPr>
        <w:spacing w:after="0" w:line="174"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916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Financial Tool to Financial Network. </w:t>
      </w:r>
      <w:r>
        <w:rPr>
          <w:rFonts w:ascii="Arial" w:cs="Arial" w:eastAsia="Arial" w:hAnsi="Arial"/>
          <w:sz w:val="18"/>
          <w:szCs w:val="18"/>
          <w:color w:val="auto"/>
        </w:rPr>
        <w:t>We have seen an enthusiastic response from customers and are humbled by how</w:t>
      </w:r>
      <w:r>
        <w:rPr>
          <w:rFonts w:ascii="Arial" w:cs="Arial" w:eastAsia="Arial" w:hAnsi="Arial"/>
          <w:sz w:val="18"/>
          <w:szCs w:val="18"/>
          <w:i w:val="1"/>
          <w:iCs w:val="1"/>
          <w:color w:val="auto"/>
        </w:rPr>
        <w:t xml:space="preserve"> </w:t>
      </w:r>
      <w:r>
        <w:rPr>
          <w:rFonts w:ascii="Arial" w:cs="Arial" w:eastAsia="Arial" w:hAnsi="Arial"/>
          <w:sz w:val="18"/>
          <w:szCs w:val="18"/>
          <w:color w:val="auto"/>
        </w:rPr>
        <w:t>often they share Robinhood with their families, friends and colleagues. This powerful word-of-mouth referral network has helped to rapidly grow our customer base. In 2020, our Net Cumulative Funded Accounts grew 143% to 12.5 million, increasing to 18.0 million as of March 31, 2021, with over 80% of new Funded Accounts in 2020 and in the three months ended March 31, 2021 joining our platform organically or through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of “organically” acquired customers and a definition and description of the “Robinhood Referral Program,” see “Management’s Discussion and Analysis of Financial Condition and Results of Operations—Our Business Model—New Customer Growth.”</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98"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98"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ectPr>
          <w:pgSz w:w="11900" w:h="16838" w:orient="portrait"/>
          <w:cols w:equalWidth="0" w:num="1">
            <w:col w:w="9900"/>
          </w:cols>
          <w:pgMar w:left="1000" w:top="1440" w:right="99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116"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27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Future Vision. </w:t>
      </w:r>
      <w:r>
        <w:rPr>
          <w:rFonts w:ascii="Arial" w:cs="Arial" w:eastAsia="Arial" w:hAnsi="Arial"/>
          <w:sz w:val="18"/>
          <w:szCs w:val="18"/>
          <w:color w:val="auto"/>
        </w:rPr>
        <w:t>Our vision is for Robinhood to become the most trusted, lowest-cost, and most culturally relevant money</w:t>
      </w:r>
      <w:r>
        <w:rPr>
          <w:rFonts w:ascii="Arial" w:cs="Arial" w:eastAsia="Arial" w:hAnsi="Arial"/>
          <w:sz w:val="18"/>
          <w:szCs w:val="18"/>
          <w:i w:val="1"/>
          <w:iCs w:val="1"/>
          <w:color w:val="auto"/>
        </w:rPr>
        <w:t xml:space="preserve"> </w:t>
      </w:r>
      <w:r>
        <w:rPr>
          <w:rFonts w:ascii="Arial" w:cs="Arial" w:eastAsia="Arial" w:hAnsi="Arial"/>
          <w:sz w:val="18"/>
          <w:szCs w:val="18"/>
          <w:color w:val="auto"/>
        </w:rPr>
        <w:t>app 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81"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324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2019 Pew Research survey, approximately 60% of all Americans still do not have investments outside of their retirement accounts, and, according to a 2020 Gallup poll, an even greater percentage of young adults aged 18 to 29—68%—have no money invested in the stock market at all.</w:t>
      </w:r>
    </w:p>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9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5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57" w:lineRule="exact"/>
        <w:rPr>
          <w:sz w:val="20"/>
          <w:szCs w:val="20"/>
          <w:color w:val="auto"/>
        </w:rPr>
      </w:pPr>
    </w:p>
    <w:p>
      <w:pPr>
        <w:jc w:val="both"/>
        <w:ind w:left="640" w:hanging="322"/>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79" w:lineRule="exact"/>
        <w:rPr>
          <w:rFonts w:ascii="Arial" w:cs="Arial" w:eastAsia="Arial" w:hAnsi="Arial"/>
          <w:sz w:val="18"/>
          <w:szCs w:val="18"/>
          <w:color w:val="auto"/>
        </w:rPr>
      </w:pPr>
    </w:p>
    <w:p>
      <w:pPr>
        <w:jc w:val="both"/>
        <w:ind w:left="640" w:hanging="322"/>
        <w:spacing w:after="0" w:line="251" w:lineRule="auto"/>
        <w:tabs>
          <w:tab w:leader="none" w:pos="608"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 xml:space="preserve">Our cryptocurrency trading platform offers commission-free buying and selling of cryptocurrency through our subsidiary, RHC. From February 21, 2018, the day before we introduced cryptocurrency trading on our platform, </w:t>
      </w:r>
      <w:r>
        <w:rPr>
          <w:rFonts w:ascii="Arial" w:cs="Arial" w:eastAsia="Arial" w:hAnsi="Arial"/>
          <w:sz w:val="18"/>
          <w:szCs w:val="18"/>
          <w:color w:val="auto"/>
          <w:highlight w:val="white"/>
        </w:rPr>
        <w:t>to</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March 31, 2021, the total cryptocurrency market capitalization has grown from approximately $450 billion to approximately </w:t>
      </w:r>
      <w:r>
        <w:rPr>
          <w:rFonts w:ascii="Arial" w:cs="Arial" w:eastAsia="Arial" w:hAnsi="Arial"/>
          <w:sz w:val="18"/>
          <w:szCs w:val="18"/>
          <w:color w:val="auto"/>
        </w:rPr>
        <w:t>$1.9 trillion, driven by increased adoption of cryptocurrency trading by both retail and institutional</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investors, as well as continued growth of various non-investing use cases for crypto-assets. In addition, the worldwide daily average market volume of Bitcoin, which was the most traded cryptocurrency on our platform by </w:t>
      </w:r>
      <w:r>
        <w:rPr>
          <w:rFonts w:ascii="Arial" w:cs="Arial" w:eastAsia="Arial" w:hAnsi="Arial"/>
          <w:sz w:val="18"/>
          <w:szCs w:val="18"/>
          <w:color w:val="auto"/>
          <w:highlight w:val="white"/>
        </w:rPr>
        <w:t xml:space="preserve">notional value for the year ended December 31, 2020 and for the three months ended March 31, 2021, was over </w:t>
      </w:r>
      <w:r>
        <w:rPr>
          <w:rFonts w:ascii="Arial" w:cs="Arial" w:eastAsia="Arial" w:hAnsi="Arial"/>
          <w:sz w:val="18"/>
          <w:szCs w:val="18"/>
          <w:color w:val="auto"/>
        </w:rPr>
        <w:t>$54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 For more information about our AUC represented by cryptocurrency and the percentage of transaction revenue represented by cryptocurrency, please see “—Key Performance Metrics” and "—Key Components of our Results of Operations” under the section titled “Management’s Discussion and Analysis of Financial Condition and Results of Operations.”</w:t>
      </w:r>
    </w:p>
    <w:p>
      <w:pPr>
        <w:spacing w:after="0" w:line="168" w:lineRule="exact"/>
        <w:rPr>
          <w:rFonts w:ascii="Arial" w:cs="Arial" w:eastAsia="Arial" w:hAnsi="Arial"/>
          <w:sz w:val="18"/>
          <w:szCs w:val="18"/>
          <w:i w:val="1"/>
          <w:iCs w:val="1"/>
          <w:color w:val="auto"/>
        </w:rPr>
      </w:pPr>
    </w:p>
    <w:p>
      <w:pPr>
        <w:jc w:val="both"/>
        <w:ind w:left="640" w:hanging="322"/>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96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 attention, we plan to expand our phone-based voice support to additional use cases and are increasing the number of customer support professionals we employ.</w:t>
      </w:r>
    </w:p>
    <w:p>
      <w:pPr>
        <w:spacing w:after="0" w:line="170"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We currently only operate our business in the United States and offer services only to U.S. citizens and permanent residents with a legal address within the United States or Puerto Rico. Total global wealth outside of the United States, as of mid-2019, has been estimated at over $250 trillion, according to the Credit Suisse Research Institute.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211"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27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Ameritrade, Thinkorswim, Vanguard and Webull) according to mobile data and analytics provider App Annie.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our platform, from push notifications to widgets, to provide seamless customized updates to our customers. This engenders trust, creates enduring long-term relationships and has resonated with our customers. 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 See “Management’s Discussion and Analysis of Financial Condition and Results of Operations—Key Performance Metrics” for a definition of “MAUs.”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19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65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growth strategy include:</w:t>
      </w:r>
    </w:p>
    <w:p>
      <w:pPr>
        <w:spacing w:after="0" w:line="176" w:lineRule="exact"/>
        <w:rPr>
          <w:sz w:val="20"/>
          <w:szCs w:val="20"/>
          <w:color w:val="auto"/>
        </w:rPr>
      </w:pPr>
    </w:p>
    <w:p>
      <w:pPr>
        <w:jc w:val="both"/>
        <w:ind w:left="640" w:right="20" w:hanging="322"/>
        <w:spacing w:after="0" w:line="262" w:lineRule="auto"/>
        <w:tabs>
          <w:tab w:leader="none" w:pos="608"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Continuing to Add New Customers to Our Platform. </w:t>
      </w:r>
      <w:r>
        <w:rPr>
          <w:rFonts w:ascii="Arial" w:cs="Arial" w:eastAsia="Arial" w:hAnsi="Arial"/>
          <w:sz w:val="18"/>
          <w:szCs w:val="18"/>
          <w:color w:val="auto"/>
        </w:rPr>
        <w:t>We believe there remains a significant opportunity for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growing our customer base as we attract new investors to financial markets. Historically, the majority of our customers have joined organically or through the Robinhood Referral Program, and we expect that planned increases in marketing in the future will drive higher brand awareness that can further accelerate our growth.</w:t>
      </w:r>
    </w:p>
    <w:p>
      <w:pPr>
        <w:spacing w:after="0" w:line="135" w:lineRule="exact"/>
        <w:rPr>
          <w:rFonts w:ascii="Arial" w:cs="Arial" w:eastAsia="Arial" w:hAnsi="Arial"/>
          <w:sz w:val="18"/>
          <w:szCs w:val="18"/>
          <w:i w:val="1"/>
          <w:iCs w:val="1"/>
          <w:color w:val="auto"/>
        </w:rPr>
      </w:pPr>
    </w:p>
    <w:p>
      <w:pPr>
        <w:jc w:val="both"/>
        <w:ind w:left="640" w:hanging="322"/>
        <w:spacing w:after="0" w:line="26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Growing with Our Customers. </w:t>
      </w:r>
      <w:r>
        <w:rPr>
          <w:rFonts w:ascii="Arial" w:cs="Arial" w:eastAsia="Arial" w:hAnsi="Arial"/>
          <w:sz w:val="18"/>
          <w:szCs w:val="18"/>
          <w:color w:val="auto"/>
        </w:rPr>
        <w:t>Many of our customers are just beginning their financial journeys. As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grow their wealth, we believe they will continue to expand their relationship with our platform, providing an increased opportunity to meet their growing financial needs.</w:t>
      </w:r>
    </w:p>
    <w:p>
      <w:pPr>
        <w:spacing w:after="0" w:line="130"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Product and Technology Innovation. </w:t>
      </w:r>
      <w:r>
        <w:rPr>
          <w:rFonts w:ascii="Arial" w:cs="Arial" w:eastAsia="Arial" w:hAnsi="Arial"/>
          <w:sz w:val="18"/>
          <w:szCs w:val="18"/>
          <w:color w:val="auto"/>
        </w:rPr>
        <w:t>We intend to continue to invest in our platform through four key</w:t>
      </w:r>
      <w:r>
        <w:rPr>
          <w:rFonts w:ascii="Arial" w:cs="Arial" w:eastAsia="Arial" w:hAnsi="Arial"/>
          <w:sz w:val="18"/>
          <w:szCs w:val="18"/>
          <w:b w:val="1"/>
          <w:bCs w:val="1"/>
          <w:color w:val="auto"/>
        </w:rPr>
        <w:t xml:space="preserve"> </w:t>
      </w:r>
      <w:r>
        <w:rPr>
          <w:rFonts w:ascii="Arial" w:cs="Arial" w:eastAsia="Arial" w:hAnsi="Arial"/>
          <w:sz w:val="18"/>
          <w:szCs w:val="18"/>
          <w:color w:val="auto"/>
        </w:rPr>
        <w:t>areas: product innovation, educational content, technology and infrastructure improvements and customer support.</w:t>
      </w:r>
    </w:p>
    <w:p>
      <w:pPr>
        <w:spacing w:after="0" w:line="125"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Internationally. </w:t>
      </w:r>
      <w:r>
        <w:rPr>
          <w:rFonts w:ascii="Arial" w:cs="Arial" w:eastAsia="Arial" w:hAnsi="Arial"/>
          <w:sz w:val="18"/>
          <w:szCs w:val="18"/>
          <w:color w:val="auto"/>
        </w:rPr>
        <w:t>We believe there is a significant opportunity for Robinhood to grow internationally. Over</w:t>
      </w:r>
      <w:r>
        <w:rPr>
          <w:rFonts w:ascii="Arial" w:cs="Arial" w:eastAsia="Arial" w:hAnsi="Arial"/>
          <w:sz w:val="18"/>
          <w:szCs w:val="18"/>
          <w:b w:val="1"/>
          <w:bCs w:val="1"/>
          <w:color w:val="auto"/>
        </w:rPr>
        <w:t xml:space="preserve"> </w:t>
      </w:r>
      <w:r>
        <w:rPr>
          <w:rFonts w:ascii="Arial" w:cs="Arial" w:eastAsia="Arial" w:hAnsi="Arial"/>
          <w:sz w:val="18"/>
          <w:szCs w:val="18"/>
          <w:color w:val="auto"/>
        </w:rPr>
        <w:t>time, we intend to pursue a disciplined approach to international expansion, including into Europe and Asia.</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19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“Business—Legal Proceedings” for more information about these challenges, including the March 2020 Outages, the April-May 2021 Outages, and the Early 2021 Trading Restrictions.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53"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w:t>
      </w:r>
    </w:p>
    <w:p>
      <w:pPr>
        <w:spacing w:after="0" w:line="198"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w:t>
      </w:r>
    </w:p>
    <w:p>
      <w:pPr>
        <w:spacing w:after="0" w:line="20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commitments to our customers include:</w:t>
      </w:r>
    </w:p>
    <w:p>
      <w:pPr>
        <w:spacing w:after="0" w:line="176" w:lineRule="exact"/>
        <w:rPr>
          <w:sz w:val="20"/>
          <w:szCs w:val="20"/>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Commission Fees</w:t>
      </w:r>
      <w:r>
        <w:rPr>
          <w:rFonts w:ascii="Arial" w:cs="Arial" w:eastAsia="Arial" w:hAnsi="Arial"/>
          <w:sz w:val="18"/>
          <w:szCs w:val="18"/>
          <w:color w:val="auto"/>
        </w:rPr>
        <w:t>. We believe that everyone should have equal access to financial markets. We pioneered</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commission-free stock trading with no account minimums.</w:t>
      </w:r>
    </w:p>
    <w:p>
      <w:pPr>
        <w:spacing w:after="0" w:line="112"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Quality Execution</w:t>
      </w:r>
      <w:r>
        <w:rPr>
          <w:rFonts w:ascii="Arial" w:cs="Arial" w:eastAsia="Arial" w:hAnsi="Arial"/>
          <w:sz w:val="18"/>
          <w:szCs w:val="18"/>
          <w:color w:val="auto"/>
        </w:rPr>
        <w:t>. We perform regular and rigorous reviews of the execution quality our customers receive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securities market makers, including the execution price, speed and price improvement.</w:t>
      </w:r>
    </w:p>
    <w:p>
      <w:pPr>
        <w:spacing w:after="0" w:line="11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 Security Standards</w:t>
      </w:r>
      <w:r>
        <w:rPr>
          <w:rFonts w:ascii="Arial" w:cs="Arial" w:eastAsia="Arial" w:hAnsi="Arial"/>
          <w:sz w:val="18"/>
          <w:szCs w:val="18"/>
          <w:color w:val="auto"/>
        </w:rPr>
        <w:t>. We are committed to keeping our customers’ accounts safe. We offer security tools and</w:t>
      </w:r>
      <w:r>
        <w:rPr>
          <w:rFonts w:ascii="Arial" w:cs="Arial" w:eastAsia="Arial" w:hAnsi="Arial"/>
          <w:sz w:val="18"/>
          <w:szCs w:val="18"/>
          <w:b w:val="1"/>
          <w:bCs w:val="1"/>
          <w:color w:val="auto"/>
        </w:rPr>
        <w:t xml:space="preserve"> </w:t>
      </w:r>
      <w:r>
        <w:rPr>
          <w:rFonts w:ascii="Arial" w:cs="Arial" w:eastAsia="Arial" w:hAnsi="Arial"/>
          <w:sz w:val="18"/>
          <w:szCs w:val="18"/>
          <w:color w:val="auto"/>
        </w:rPr>
        <w:t>a promise to reimburse direct losses that happen due to unauthorized activity that is not the fault of our customer.</w:t>
      </w:r>
    </w:p>
    <w:p>
      <w:pPr>
        <w:spacing w:after="0" w:line="125"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Extra Protection</w:t>
      </w:r>
      <w:r>
        <w:rPr>
          <w:rFonts w:ascii="Arial" w:cs="Arial" w:eastAsia="Arial" w:hAnsi="Arial"/>
          <w:sz w:val="18"/>
          <w:szCs w:val="18"/>
          <w:color w:val="auto"/>
        </w:rPr>
        <w:t>. RHF and RHS are members of Securities Investor Protection Corporation (“SIPC”) and we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our brokerage customers with additional “excess of SIPC” coverage. In addition, our Cash Management product places customer cash with FDIC-insured banks.</w:t>
      </w:r>
    </w:p>
    <w:p>
      <w:pPr>
        <w:spacing w:after="0" w:line="130"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Dedicated Support</w:t>
      </w:r>
      <w:r>
        <w:rPr>
          <w:rFonts w:ascii="Arial" w:cs="Arial" w:eastAsia="Arial" w:hAnsi="Arial"/>
          <w:sz w:val="18"/>
          <w:szCs w:val="18"/>
          <w:color w:val="auto"/>
        </w:rPr>
        <w:t>. We aim to respond to our customers as quickly as possible to resolve issues swiftly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invest in expanding our customer support functions.</w:t>
      </w:r>
    </w:p>
    <w:p>
      <w:pPr>
        <w:spacing w:after="0" w:line="112"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Transparency</w:t>
      </w:r>
      <w:r>
        <w:rPr>
          <w:rFonts w:ascii="Arial" w:cs="Arial" w:eastAsia="Arial" w:hAnsi="Arial"/>
          <w:sz w:val="18"/>
          <w:szCs w:val="18"/>
          <w:color w:val="auto"/>
        </w:rPr>
        <w:t>. We aim to operate a transparent business model. We currently dedicate a portion of our website to</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how we make money and we will continue to keep our customers informed about how we generate revenue.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81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18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You should consider carefully the risks described under the “Risk Factors” section beginning on page 30 and elsewhere in this prospectus. These risks could materially and adversely affect our business, financial condition, results of operations and prospects, which could cause the trading price of our Class A common stock to decline and could result in a partial or total loss of your investment. These risks include, but are not limited to, that:</w:t>
      </w:r>
    </w:p>
    <w:p>
      <w:pPr>
        <w:spacing w:after="0" w:line="163" w:lineRule="exact"/>
        <w:rPr>
          <w:sz w:val="20"/>
          <w:szCs w:val="20"/>
          <w:color w:val="auto"/>
        </w:rPr>
      </w:pPr>
    </w:p>
    <w:p>
      <w:pPr>
        <w:ind w:left="640" w:right="2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business and prospects and increases the risks associated with an investment in our Class A common stock.</w:t>
      </w:r>
    </w:p>
    <w:p>
      <w:pPr>
        <w:spacing w:after="0" w:line="170"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6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continue to grow on pace with historical rates.</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may not maintain profitability in the future.</w:t>
      </w:r>
    </w:p>
    <w:p>
      <w:pPr>
        <w:spacing w:after="0" w:line="198"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63"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1" w:lineRule="exact"/>
        <w:rPr>
          <w:rFonts w:ascii="Arial" w:cs="Arial" w:eastAsia="Arial" w:hAnsi="Arial"/>
          <w:sz w:val="18"/>
          <w:szCs w:val="18"/>
          <w:color w:val="auto"/>
        </w:rPr>
      </w:pPr>
    </w:p>
    <w:p>
      <w:pPr>
        <w:jc w:val="both"/>
        <w:ind w:left="640" w:hanging="322"/>
        <w:spacing w:after="0" w:line="25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maintain the capital levels required by regulators and self-regulatory organizations (“SROs”), including the SEC and the Financial Industry Regulatory Authority (“FINRA”), or do not satisfy the cash deposit and collateral requirements imposed by certain other SROs such as the Depository Trust Company (the “DTC”), National Securities Clearing Corporation (the “NSCC”) and the Options Clearing Corporation (the “OCC”), our broker-dealer business may be restricted and we may be fined or exposed to significant losses or subject to other disciplinary or corrective actions. In a worst-case scenario, failure to maintain these requirements could lead to our broker-dealer business being liquidated or wound down.</w:t>
      </w:r>
    </w:p>
    <w:p>
      <w:pPr>
        <w:spacing w:after="0" w:line="179"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to our brand and reputation could adversely affect our business.</w:t>
      </w:r>
    </w:p>
    <w:p>
      <w:pPr>
        <w:spacing w:after="0" w:line="184"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reputation may be harmed by changes in business, economic or political conditions that impact global financial markets, or by a systemic market event.</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success depends on the continuing efforts of our key employees and our ability to attract and retain highly skilled personnel and senior management.</w:t>
      </w:r>
    </w:p>
    <w:p>
      <w:pPr>
        <w:spacing w:after="0" w:line="170"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61"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30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753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involved in numerous litigation matters that are expensive and time-consuming, and, if resolved adversely, could harm our reputation, business, financial condition or results of operations.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highly competitive markets, and many of our competitors have greater resources than we do and may have products and services that may be more appealing than ours to our current or potential customers.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retain existing customers or attract new customers, or if our customers decrease their use of our products and services, our growth could be slower than we expect and our business may be harmed.</w:t>
      </w:r>
    </w:p>
    <w:p>
      <w:pPr>
        <w:spacing w:after="0" w:line="170"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introduction of new products and services, or changes to existing products and services, could fail to attract or retain customers or generate growth and revenue.</w:t>
      </w:r>
    </w:p>
    <w:p>
      <w:pPr>
        <w:spacing w:after="0" w:line="157"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keep pace with industry and technological changes and continue to provide new and innovative products and services, our business may become less competitive and our business may be adversely impacted.</w:t>
      </w:r>
    </w:p>
    <w:p>
      <w:pPr>
        <w:spacing w:after="0" w:line="157"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platform has been, and may in the future be, subject to interruption and instability due to operational and technological failures, whether internal or external.</w:t>
      </w:r>
    </w:p>
    <w:p>
      <w:pPr>
        <w:spacing w:after="0" w:line="170"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third parties to perform certain key functions, and their failure to perform those functions could adversely affect our business, financial condition and results of operations.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by a cybersecurity breach or other attack involving our computer systems or data or those of our customers or third-party service providers.</w:t>
      </w:r>
    </w:p>
    <w:p>
      <w:pPr>
        <w:spacing w:after="0" w:line="157" w:lineRule="exact"/>
        <w:rPr>
          <w:rFonts w:ascii="Arial" w:cs="Arial" w:eastAsia="Arial" w:hAnsi="Arial"/>
          <w:sz w:val="18"/>
          <w:szCs w:val="18"/>
          <w:color w:val="auto"/>
        </w:rPr>
      </w:pPr>
    </w:p>
    <w:p>
      <w:pPr>
        <w:jc w:val="both"/>
        <w:ind w:left="322" w:right="20" w:hanging="322"/>
        <w:spacing w:after="0" w:line="25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76"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61"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to obtain, maintain, protect and enforce our intellectual property rights could adversely affect our business, financial condition and results of operations.</w:t>
      </w:r>
    </w:p>
    <w:p>
      <w:pPr>
        <w:spacing w:after="0" w:line="157"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properly handle cash, securities and cryptocurrencies held on behalf of customers could harm our business and reputation.</w:t>
      </w:r>
    </w:p>
    <w:p>
      <w:pPr>
        <w:spacing w:after="0" w:line="170" w:lineRule="exact"/>
        <w:rPr>
          <w:rFonts w:ascii="Arial" w:cs="Arial" w:eastAsia="Arial" w:hAnsi="Arial"/>
          <w:sz w:val="18"/>
          <w:szCs w:val="18"/>
          <w:color w:val="auto"/>
        </w:rPr>
      </w:pPr>
    </w:p>
    <w:p>
      <w:pPr>
        <w:jc w:val="both"/>
        <w:ind w:left="322" w:hanging="322"/>
        <w:spacing w:after="0" w:line="253"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may be able to purchase shares of our Class A common stock offered by this prospectus from our subsidiary, RHF, acting in its capacity as a selling group member in this offering. Any negative experiences our customers have in connection with their participation or attempted participation in this offering may harm our brand and reputation, as well as our business, financial condition and results of operations. In addition, our customers’ participation in this offering could result in increased volatility in the trading price of our Class A common stock.</w:t>
      </w:r>
    </w:p>
    <w:p>
      <w:pPr>
        <w:spacing w:after="0" w:line="164" w:lineRule="exact"/>
        <w:rPr>
          <w:rFonts w:ascii="Arial" w:cs="Arial" w:eastAsia="Arial" w:hAnsi="Arial"/>
          <w:sz w:val="18"/>
          <w:szCs w:val="18"/>
          <w:color w:val="auto"/>
        </w:rPr>
      </w:pPr>
    </w:p>
    <w:p>
      <w:pPr>
        <w:jc w:val="both"/>
        <w:ind w:left="322" w:right="20" w:hanging="322"/>
        <w:spacing w:after="0" w:line="253"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multi-class structure of our common stock will have the effect, prior to the Final Conversion Date (as defined in “Description of Capital Stock”), of concentrating voting power with our founders and certain of their related entities, which will limit your ability to influence the outcome of matters submitted to our stockholders for approval, including the election of our board of directors, the adoption of amendments to our Charter and our Bylaws (each, as defined in “—The</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582"/>
          </w:cols>
          <w:pgMar w:left="1318" w:top="1440" w:right="99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98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Offering”) and the approval of any merger, consolidation, sale of all or substantially all of our assets, or other major corporate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Corporate Information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were incorporated in the State of Delaware on November 22, 2013. Our principal executive offices are located at 85 Willow Road in Menlo Park, California 94025, and our telephone number at that address is (844) 428-5411. Our website address is www.robinhood.com. Information contained on our website is not incorporated by reference into this prospectus, and you should not consider it to be part of this prospectus.</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“Robinhood Markets, Inc.,” our logo, and other trademarks or trade names of Robinhood appearing in this prospectus are our property. This prospectus also contains trademarks and trade names of other companies, which are the property of their respective owners. Solely for convenience, trademarks and trade names referred to in this prospectus may appear without the ® or ™ symbols, but such references are not intended to indicate, in any way, that we will not assert, to the fullest extent under applicable law, our rights or the right of the applicable licensor to these trademarks and trade names.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Organizational Structure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organizational chart depicts our principal operating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Implications of Being an Emerging Growth Company</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61" w:lineRule="exact"/>
        <w:rPr>
          <w:sz w:val="20"/>
          <w:szCs w:val="20"/>
          <w:color w:val="auto"/>
        </w:rPr>
      </w:pPr>
    </w:p>
    <w:p>
      <w:pPr>
        <w:jc w:val="both"/>
        <w:ind w:left="64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ectPr>
          <w:pgSz w:w="11900" w:h="16838" w:orient="portrait"/>
          <w:cols w:equalWidth="0" w:num="1">
            <w:col w:w="9900"/>
          </w:cols>
          <w:pgMar w:left="1000" w:top="1440" w:right="999" w:bottom="10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008"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389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389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 and golden parachute payments;</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70"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this offering or such earlier time that we are no longer an emerging growth company. We would cease to be an emerging growth company earlier if we have more than $1.07 billion in annual gross revenue, we have more than $700.0 million in market value of our common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 For more information, see “Risk Factors— General Risk Factors—</w:t>
      </w:r>
      <w:r>
        <w:rPr>
          <w:rFonts w:ascii="Arial" w:cs="Arial" w:eastAsia="Arial" w:hAnsi="Arial"/>
          <w:sz w:val="18"/>
          <w:szCs w:val="18"/>
          <w:i w:val="1"/>
          <w:iCs w:val="1"/>
          <w:color w:val="auto"/>
        </w:rPr>
        <w:t>We are an “emerging growth company,” and the reduced disclosure requirements applicable to</w:t>
      </w:r>
      <w:r>
        <w:rPr>
          <w:rFonts w:ascii="Arial" w:cs="Arial" w:eastAsia="Arial" w:hAnsi="Arial"/>
          <w:sz w:val="18"/>
          <w:szCs w:val="18"/>
          <w:color w:val="auto"/>
        </w:rPr>
        <w:t xml:space="preserve"> </w:t>
      </w:r>
      <w:r>
        <w:rPr>
          <w:rFonts w:ascii="Arial" w:cs="Arial" w:eastAsia="Arial" w:hAnsi="Arial"/>
          <w:sz w:val="18"/>
          <w:szCs w:val="18"/>
          <w:i w:val="1"/>
          <w:iCs w:val="1"/>
          <w:color w:val="auto"/>
        </w:rPr>
        <w:t>emerging growth companies may make our Class A common stock less attractive to investors.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1000" w:top="1440" w:right="99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3741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374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35"/>
          <w:szCs w:val="35"/>
          <w:color w:val="auto"/>
        </w:rPr>
        <w:t>THE OFFERING</w:t>
      </w:r>
    </w:p>
    <w:p>
      <w:pPr>
        <w:sectPr>
          <w:pgSz w:w="11900" w:h="16838" w:orient="portrait"/>
          <w:cols w:equalWidth="0" w:num="1">
            <w:col w:w="9840"/>
          </w:cols>
          <w:pgMar w:left="1020" w:top="1440" w:right="10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160" w:right="680" w:hanging="161"/>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67" w:lineRule="exact"/>
        <w:rPr>
          <w:sz w:val="20"/>
          <w:szCs w:val="20"/>
          <w:color w:val="auto"/>
        </w:rPr>
      </w:pPr>
    </w:p>
    <w:p>
      <w:pPr>
        <w:ind w:left="160" w:hanging="161"/>
        <w:spacing w:after="0" w:line="227"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67" w:lineRule="exact"/>
        <w:rPr>
          <w:sz w:val="20"/>
          <w:szCs w:val="20"/>
          <w:color w:val="auto"/>
        </w:rPr>
      </w:pPr>
    </w:p>
    <w:p>
      <w:pPr>
        <w:ind w:left="160" w:right="200" w:hanging="161"/>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w:t>
      </w:r>
    </w:p>
    <w:p>
      <w:pPr>
        <w:spacing w:after="0" w:line="4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shares if the underwriters exercise in full</w:t>
      </w:r>
    </w:p>
    <w:p>
      <w:pPr>
        <w:spacing w:after="0" w:line="215" w:lineRule="auto"/>
        <w:tabs>
          <w:tab w:leader="none" w:pos="3600" w:val="left"/>
        </w:tabs>
        <w:rPr>
          <w:sz w:val="20"/>
          <w:szCs w:val="20"/>
          <w:color w:val="auto"/>
        </w:rPr>
      </w:pPr>
      <w:r>
        <w:rPr>
          <w:rFonts w:ascii="Arial" w:cs="Arial" w:eastAsia="Arial" w:hAnsi="Arial"/>
          <w:sz w:val="18"/>
          <w:szCs w:val="18"/>
          <w:color w:val="auto"/>
        </w:rPr>
        <w:t>their option to purchase an additional</w:t>
      </w:r>
      <w:r>
        <w:rPr>
          <w:sz w:val="20"/>
          <w:szCs w:val="20"/>
          <w:color w:val="auto"/>
        </w:rPr>
        <w:tab/>
      </w:r>
      <w:r>
        <w:rPr>
          <w:rFonts w:ascii="Arial" w:cs="Arial" w:eastAsia="Arial" w:hAnsi="Arial"/>
          <w:sz w:val="17"/>
          <w:szCs w:val="17"/>
          <w:color w:val="auto"/>
        </w:rPr>
        <w:t>shares of our Class A</w:t>
      </w:r>
    </w:p>
    <w:p>
      <w:pPr>
        <w:spacing w:after="0"/>
        <w:rPr>
          <w:sz w:val="20"/>
          <w:szCs w:val="20"/>
          <w:color w:val="auto"/>
        </w:rPr>
      </w:pPr>
      <w:r>
        <w:rPr>
          <w:rFonts w:ascii="Arial" w:cs="Arial" w:eastAsia="Arial" w:hAnsi="Arial"/>
          <w:sz w:val="18"/>
          <w:szCs w:val="18"/>
          <w:color w:val="auto"/>
        </w:rPr>
        <w:t>common stock from us).</w:t>
      </w:r>
    </w:p>
    <w:p>
      <w:pPr>
        <w:spacing w:after="0" w:line="77" w:lineRule="exact"/>
        <w:rPr>
          <w:sz w:val="20"/>
          <w:szCs w:val="20"/>
          <w:color w:val="auto"/>
        </w:rPr>
      </w:pPr>
    </w:p>
    <w:p>
      <w:pPr>
        <w:sectPr>
          <w:pgSz w:w="11900" w:h="16838" w:orient="portrait"/>
          <w:cols w:equalWidth="0" w:num="2">
            <w:col w:w="4200" w:space="300"/>
            <w:col w:w="5340"/>
          </w:cols>
          <w:pgMar w:left="1020" w:top="1440" w:right="1039" w:bottom="1440" w:gutter="0" w:footer="0" w:header="0"/>
          <w:type w:val="continuous"/>
        </w:sectPr>
      </w:pPr>
    </w:p>
    <w:p>
      <w:pPr>
        <w:ind w:left="160" w:right="400" w:hanging="161"/>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67" w:lineRule="exact"/>
        <w:rPr>
          <w:sz w:val="20"/>
          <w:szCs w:val="20"/>
          <w:color w:val="auto"/>
        </w:rPr>
      </w:pPr>
    </w:p>
    <w:p>
      <w:pPr>
        <w:ind w:left="160" w:right="400" w:hanging="161"/>
        <w:spacing w:after="0" w:line="227" w:lineRule="auto"/>
        <w:rPr>
          <w:sz w:val="20"/>
          <w:szCs w:val="20"/>
          <w:color w:val="auto"/>
        </w:rPr>
      </w:pPr>
      <w:r>
        <w:rPr>
          <w:rFonts w:ascii="Arial" w:cs="Arial" w:eastAsia="Arial" w:hAnsi="Arial"/>
          <w:sz w:val="18"/>
          <w:szCs w:val="18"/>
          <w:color w:val="auto"/>
        </w:rPr>
        <w:t>Class C common stock to be outstanding after this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Total common stock to be outstanding after this offering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of our Class A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jc w:val="right"/>
        <w:spacing w:after="0" w:line="229" w:lineRule="auto"/>
        <w:tabs>
          <w:tab w:leader="none" w:pos="29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 underwriters exercise in</w:t>
      </w:r>
    </w:p>
    <w:p>
      <w:pPr>
        <w:spacing w:after="0" w:line="204" w:lineRule="auto"/>
        <w:tabs>
          <w:tab w:leader="none" w:pos="4240" w:val="left"/>
        </w:tabs>
        <w:rPr>
          <w:sz w:val="20"/>
          <w:szCs w:val="20"/>
          <w:color w:val="auto"/>
        </w:rPr>
      </w:pPr>
      <w:r>
        <w:rPr>
          <w:rFonts w:ascii="Arial" w:cs="Arial" w:eastAsia="Arial" w:hAnsi="Arial"/>
          <w:sz w:val="18"/>
          <w:szCs w:val="18"/>
          <w:color w:val="auto"/>
        </w:rPr>
        <w:t>full their option to purchase an additional</w:t>
      </w:r>
      <w:r>
        <w:rPr>
          <w:sz w:val="20"/>
          <w:szCs w:val="20"/>
          <w:color w:val="auto"/>
        </w:rPr>
        <w:tab/>
      </w:r>
      <w:r>
        <w:rPr>
          <w:rFonts w:ascii="Arial" w:cs="Arial" w:eastAsia="Arial" w:hAnsi="Arial"/>
          <w:sz w:val="18"/>
          <w:szCs w:val="18"/>
          <w:color w:val="auto"/>
        </w:rPr>
        <w:t>shares of our</w:t>
      </w:r>
    </w:p>
    <w:p>
      <w:pPr>
        <w:spacing w:after="0"/>
        <w:rPr>
          <w:sz w:val="20"/>
          <w:szCs w:val="20"/>
          <w:color w:val="auto"/>
        </w:rPr>
      </w:pPr>
      <w:r>
        <w:rPr>
          <w:rFonts w:ascii="Arial" w:cs="Arial" w:eastAsia="Arial" w:hAnsi="Arial"/>
          <w:sz w:val="18"/>
          <w:szCs w:val="18"/>
          <w:color w:val="auto"/>
        </w:rPr>
        <w:t>Class A common stock from us).</w:t>
      </w:r>
    </w:p>
    <w:p>
      <w:pPr>
        <w:spacing w:after="0" w:line="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per share.</w:t>
      </w:r>
    </w:p>
    <w:p>
      <w:pPr>
        <w:spacing w:after="0" w:line="200" w:lineRule="exact"/>
        <w:rPr>
          <w:sz w:val="20"/>
          <w:szCs w:val="20"/>
          <w:color w:val="auto"/>
        </w:rPr>
      </w:pPr>
    </w:p>
    <w:p>
      <w:pPr>
        <w:sectPr>
          <w:pgSz w:w="11900" w:h="16838" w:orient="portrait"/>
          <w:cols w:equalWidth="0" w:num="2">
            <w:col w:w="4400" w:space="100"/>
            <w:col w:w="53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840"/>
          </w:cols>
          <w:pgMar w:left="1020" w:top="1440" w:right="103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30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color w:val="auto"/>
              </w:rPr>
              <w:t>Voting Rights</w:t>
            </w:r>
          </w:p>
        </w:tc>
        <w:tc>
          <w:tcPr>
            <w:tcW w:w="7080" w:type="dxa"/>
            <w:vAlign w:val="bottom"/>
            <w:gridSpan w:val="6"/>
          </w:tcPr>
          <w:p>
            <w:pPr>
              <w:ind w:left="1720"/>
              <w:spacing w:after="0"/>
              <w:rPr>
                <w:sz w:val="20"/>
                <w:szCs w:val="20"/>
                <w:color w:val="auto"/>
              </w:rPr>
            </w:pPr>
            <w:r>
              <w:rPr>
                <w:rFonts w:ascii="Arial" w:cs="Arial" w:eastAsia="Arial" w:hAnsi="Arial"/>
                <w:sz w:val="18"/>
                <w:szCs w:val="18"/>
                <w:color w:val="auto"/>
              </w:rPr>
              <w:t>Shares of our Class A common stock are entitled to one vote per</w:t>
            </w:r>
          </w:p>
        </w:tc>
      </w:tr>
      <w:tr>
        <w:trPr>
          <w:trHeight w:val="217"/>
        </w:trPr>
        <w:tc>
          <w:tcPr>
            <w:tcW w:w="2780" w:type="dxa"/>
            <w:vAlign w:val="bottom"/>
          </w:tcPr>
          <w:p>
            <w:pPr>
              <w:spacing w:after="0"/>
              <w:rPr>
                <w:sz w:val="18"/>
                <w:szCs w:val="18"/>
                <w:color w:val="auto"/>
              </w:rPr>
            </w:pPr>
          </w:p>
        </w:tc>
        <w:tc>
          <w:tcPr>
            <w:tcW w:w="3000" w:type="dxa"/>
            <w:vAlign w:val="bottom"/>
          </w:tcPr>
          <w:p>
            <w:pPr>
              <w:ind w:left="1720"/>
              <w:spacing w:after="0"/>
              <w:rPr>
                <w:sz w:val="20"/>
                <w:szCs w:val="20"/>
                <w:color w:val="auto"/>
              </w:rPr>
            </w:pPr>
            <w:r>
              <w:rPr>
                <w:rFonts w:ascii="Arial" w:cs="Arial" w:eastAsia="Arial" w:hAnsi="Arial"/>
                <w:sz w:val="18"/>
                <w:szCs w:val="18"/>
                <w:color w:val="auto"/>
              </w:rPr>
              <w:t>share.</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2"/>
        </w:trPr>
        <w:tc>
          <w:tcPr>
            <w:tcW w:w="2780" w:type="dxa"/>
            <w:vAlign w:val="bottom"/>
          </w:tcPr>
          <w:p>
            <w:pPr>
              <w:spacing w:after="0"/>
              <w:rPr>
                <w:sz w:val="21"/>
                <w:szCs w:val="21"/>
                <w:color w:val="auto"/>
              </w:rPr>
            </w:pPr>
          </w:p>
        </w:tc>
        <w:tc>
          <w:tcPr>
            <w:tcW w:w="7080" w:type="dxa"/>
            <w:vAlign w:val="bottom"/>
            <w:gridSpan w:val="6"/>
          </w:tcPr>
          <w:p>
            <w:pPr>
              <w:ind w:left="1720"/>
              <w:spacing w:after="0"/>
              <w:rPr>
                <w:sz w:val="20"/>
                <w:szCs w:val="20"/>
                <w:color w:val="auto"/>
              </w:rPr>
            </w:pPr>
            <w:r>
              <w:rPr>
                <w:rFonts w:ascii="Arial" w:cs="Arial" w:eastAsia="Arial" w:hAnsi="Arial"/>
                <w:sz w:val="18"/>
                <w:szCs w:val="18"/>
                <w:color w:val="auto"/>
              </w:rPr>
              <w:t>Shares of our Class B common stock are entitled to 10 votes per</w:t>
            </w:r>
          </w:p>
        </w:tc>
      </w:tr>
      <w:tr>
        <w:trPr>
          <w:trHeight w:val="217"/>
        </w:trPr>
        <w:tc>
          <w:tcPr>
            <w:tcW w:w="2780" w:type="dxa"/>
            <w:vAlign w:val="bottom"/>
          </w:tcPr>
          <w:p>
            <w:pPr>
              <w:spacing w:after="0"/>
              <w:rPr>
                <w:sz w:val="18"/>
                <w:szCs w:val="18"/>
                <w:color w:val="auto"/>
              </w:rPr>
            </w:pPr>
          </w:p>
        </w:tc>
        <w:tc>
          <w:tcPr>
            <w:tcW w:w="3000" w:type="dxa"/>
            <w:vAlign w:val="bottom"/>
          </w:tcPr>
          <w:p>
            <w:pPr>
              <w:ind w:left="1720"/>
              <w:spacing w:after="0"/>
              <w:rPr>
                <w:sz w:val="20"/>
                <w:szCs w:val="20"/>
                <w:color w:val="auto"/>
              </w:rPr>
            </w:pPr>
            <w:r>
              <w:rPr>
                <w:rFonts w:ascii="Arial" w:cs="Arial" w:eastAsia="Arial" w:hAnsi="Arial"/>
                <w:sz w:val="18"/>
                <w:szCs w:val="18"/>
                <w:color w:val="auto"/>
              </w:rPr>
              <w:t>share.</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2"/>
        </w:trPr>
        <w:tc>
          <w:tcPr>
            <w:tcW w:w="2780" w:type="dxa"/>
            <w:vAlign w:val="bottom"/>
          </w:tcPr>
          <w:p>
            <w:pPr>
              <w:spacing w:after="0"/>
              <w:rPr>
                <w:sz w:val="21"/>
                <w:szCs w:val="21"/>
                <w:color w:val="auto"/>
              </w:rPr>
            </w:pPr>
          </w:p>
        </w:tc>
        <w:tc>
          <w:tcPr>
            <w:tcW w:w="7080" w:type="dxa"/>
            <w:vAlign w:val="bottom"/>
            <w:gridSpan w:val="6"/>
          </w:tcPr>
          <w:p>
            <w:pPr>
              <w:ind w:left="1720"/>
              <w:spacing w:after="0"/>
              <w:rPr>
                <w:sz w:val="20"/>
                <w:szCs w:val="20"/>
                <w:color w:val="auto"/>
              </w:rPr>
            </w:pPr>
            <w:r>
              <w:rPr>
                <w:rFonts w:ascii="Arial" w:cs="Arial" w:eastAsia="Arial" w:hAnsi="Arial"/>
                <w:sz w:val="18"/>
                <w:szCs w:val="18"/>
                <w:color w:val="auto"/>
              </w:rPr>
              <w:t>Shares of our Class C common stock have no voting rights, except</w:t>
            </w:r>
          </w:p>
        </w:tc>
      </w:tr>
      <w:tr>
        <w:trPr>
          <w:trHeight w:val="217"/>
        </w:trPr>
        <w:tc>
          <w:tcPr>
            <w:tcW w:w="2780" w:type="dxa"/>
            <w:vAlign w:val="bottom"/>
          </w:tcPr>
          <w:p>
            <w:pPr>
              <w:spacing w:after="0"/>
              <w:rPr>
                <w:sz w:val="18"/>
                <w:szCs w:val="18"/>
                <w:color w:val="auto"/>
              </w:rPr>
            </w:pPr>
          </w:p>
        </w:tc>
        <w:tc>
          <w:tcPr>
            <w:tcW w:w="4760" w:type="dxa"/>
            <w:vAlign w:val="bottom"/>
            <w:gridSpan w:val="3"/>
          </w:tcPr>
          <w:p>
            <w:pPr>
              <w:ind w:left="1720"/>
              <w:spacing w:after="0"/>
              <w:rPr>
                <w:sz w:val="20"/>
                <w:szCs w:val="20"/>
                <w:color w:val="auto"/>
              </w:rPr>
            </w:pPr>
            <w:r>
              <w:rPr>
                <w:rFonts w:ascii="Arial" w:cs="Arial" w:eastAsia="Arial" w:hAnsi="Arial"/>
                <w:sz w:val="18"/>
                <w:szCs w:val="18"/>
                <w:color w:val="auto"/>
              </w:rPr>
              <w:t>as otherwise required by law.</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2"/>
        </w:trPr>
        <w:tc>
          <w:tcPr>
            <w:tcW w:w="2780" w:type="dxa"/>
            <w:vAlign w:val="bottom"/>
          </w:tcPr>
          <w:p>
            <w:pPr>
              <w:spacing w:after="0"/>
              <w:rPr>
                <w:sz w:val="21"/>
                <w:szCs w:val="21"/>
                <w:color w:val="auto"/>
              </w:rPr>
            </w:pPr>
          </w:p>
        </w:tc>
        <w:tc>
          <w:tcPr>
            <w:tcW w:w="7080" w:type="dxa"/>
            <w:vAlign w:val="bottom"/>
            <w:gridSpan w:val="6"/>
          </w:tcPr>
          <w:p>
            <w:pPr>
              <w:ind w:left="1720"/>
              <w:spacing w:after="0"/>
              <w:rPr>
                <w:sz w:val="20"/>
                <w:szCs w:val="20"/>
                <w:color w:val="auto"/>
              </w:rPr>
            </w:pPr>
            <w:r>
              <w:rPr>
                <w:rFonts w:ascii="Arial" w:cs="Arial" w:eastAsia="Arial" w:hAnsi="Arial"/>
                <w:sz w:val="18"/>
                <w:szCs w:val="18"/>
                <w:color w:val="auto"/>
              </w:rPr>
              <w:t>Holders of our Class A common stock and Class B common stock</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will vote together as a single class, unless otherwise required by</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law or our amended and restated certificate of incorporation (the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“Charter”), which will become effective immediately prior to the</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completion of this offering. Upon the completion of this offering, (i)</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Mr. Tenev, who is also our CEO, President and a director, and his</w:t>
            </w:r>
          </w:p>
        </w:tc>
      </w:tr>
      <w:tr>
        <w:trPr>
          <w:trHeight w:val="176"/>
        </w:trPr>
        <w:tc>
          <w:tcPr>
            <w:tcW w:w="2780" w:type="dxa"/>
            <w:vAlign w:val="bottom"/>
          </w:tcPr>
          <w:p>
            <w:pPr>
              <w:spacing w:after="0"/>
              <w:rPr>
                <w:sz w:val="15"/>
                <w:szCs w:val="15"/>
                <w:color w:val="auto"/>
              </w:rPr>
            </w:pPr>
          </w:p>
        </w:tc>
        <w:tc>
          <w:tcPr>
            <w:tcW w:w="3000" w:type="dxa"/>
            <w:vAlign w:val="bottom"/>
          </w:tcPr>
          <w:p>
            <w:pPr>
              <w:ind w:left="1720"/>
              <w:spacing w:after="0" w:line="176" w:lineRule="exact"/>
              <w:rPr>
                <w:sz w:val="20"/>
                <w:szCs w:val="20"/>
                <w:color w:val="auto"/>
              </w:rPr>
            </w:pPr>
            <w:r>
              <w:rPr>
                <w:rFonts w:ascii="Arial" w:cs="Arial" w:eastAsia="Arial" w:hAnsi="Arial"/>
                <w:sz w:val="18"/>
                <w:szCs w:val="18"/>
                <w:color w:val="auto"/>
              </w:rPr>
              <w:t>related entities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rPr>
              <w:t>will hold</w:t>
            </w:r>
          </w:p>
        </w:tc>
        <w:tc>
          <w:tcPr>
            <w:tcW w:w="330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an economic interest in approximately</w:t>
            </w:r>
          </w:p>
        </w:tc>
      </w:tr>
      <w:tr>
        <w:trPr>
          <w:trHeight w:val="176"/>
        </w:trPr>
        <w:tc>
          <w:tcPr>
            <w:tcW w:w="2780" w:type="dxa"/>
            <w:vAlign w:val="bottom"/>
          </w:tcPr>
          <w:p>
            <w:pPr>
              <w:spacing w:after="0"/>
              <w:rPr>
                <w:sz w:val="15"/>
                <w:szCs w:val="15"/>
                <w:color w:val="auto"/>
              </w:rPr>
            </w:pPr>
          </w:p>
        </w:tc>
        <w:tc>
          <w:tcPr>
            <w:tcW w:w="7080" w:type="dxa"/>
            <w:vAlign w:val="bottom"/>
            <w:gridSpan w:val="6"/>
          </w:tcPr>
          <w:p>
            <w:pPr>
              <w:jc w:val="right"/>
              <w:spacing w:after="0" w:line="176" w:lineRule="exact"/>
              <w:rPr>
                <w:sz w:val="20"/>
                <w:szCs w:val="20"/>
                <w:color w:val="auto"/>
              </w:rPr>
            </w:pPr>
            <w:r>
              <w:rPr>
                <w:rFonts w:ascii="Arial" w:cs="Arial" w:eastAsia="Arial" w:hAnsi="Arial"/>
                <w:sz w:val="18"/>
                <w:szCs w:val="18"/>
                <w:color w:val="auto"/>
              </w:rPr>
              <w:t>% of our outstanding capital stock and Mr. Tenev will hold</w:t>
            </w:r>
          </w:p>
        </w:tc>
      </w:tr>
      <w:tr>
        <w:trPr>
          <w:trHeight w:val="175"/>
        </w:trPr>
        <w:tc>
          <w:tcPr>
            <w:tcW w:w="2780" w:type="dxa"/>
            <w:vAlign w:val="bottom"/>
          </w:tcPr>
          <w:p>
            <w:pPr>
              <w:spacing w:after="0"/>
              <w:rPr>
                <w:sz w:val="15"/>
                <w:szCs w:val="15"/>
                <w:color w:val="auto"/>
              </w:rPr>
            </w:pPr>
          </w:p>
        </w:tc>
        <w:tc>
          <w:tcPr>
            <w:tcW w:w="3000" w:type="dxa"/>
            <w:vAlign w:val="bottom"/>
          </w:tcPr>
          <w:p>
            <w:pPr>
              <w:ind w:left="1720"/>
              <w:spacing w:after="0" w:line="176" w:lineRule="exact"/>
              <w:rPr>
                <w:sz w:val="20"/>
                <w:szCs w:val="20"/>
                <w:color w:val="auto"/>
              </w:rPr>
            </w:pPr>
            <w:r>
              <w:rPr>
                <w:rFonts w:ascii="Arial" w:cs="Arial" w:eastAsia="Arial" w:hAnsi="Arial"/>
                <w:sz w:val="18"/>
                <w:szCs w:val="18"/>
                <w:color w:val="auto"/>
              </w:rPr>
              <w:t>approximately</w:t>
            </w:r>
          </w:p>
        </w:tc>
        <w:tc>
          <w:tcPr>
            <w:tcW w:w="4080" w:type="dxa"/>
            <w:vAlign w:val="bottom"/>
            <w:gridSpan w:val="5"/>
          </w:tcPr>
          <w:p>
            <w:pPr>
              <w:jc w:val="right"/>
              <w:spacing w:after="0" w:line="176" w:lineRule="exact"/>
              <w:rPr>
                <w:sz w:val="20"/>
                <w:szCs w:val="20"/>
                <w:color w:val="auto"/>
              </w:rPr>
            </w:pPr>
            <w:r>
              <w:rPr>
                <w:rFonts w:ascii="Arial" w:cs="Arial" w:eastAsia="Arial" w:hAnsi="Arial"/>
                <w:sz w:val="18"/>
                <w:szCs w:val="18"/>
                <w:color w:val="auto"/>
              </w:rPr>
              <w:t>% of the voting power of our outstanding</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capital stock and (ii) Mr. Bhatt, who is also our Chief Creative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w w:val="99"/>
              </w:rPr>
              <w:t>Officer and a director, and his related entities will hold an economic</w:t>
            </w:r>
          </w:p>
        </w:tc>
      </w:tr>
      <w:tr>
        <w:trPr>
          <w:trHeight w:val="176"/>
        </w:trPr>
        <w:tc>
          <w:tcPr>
            <w:tcW w:w="2780" w:type="dxa"/>
            <w:vAlign w:val="bottom"/>
          </w:tcPr>
          <w:p>
            <w:pPr>
              <w:spacing w:after="0"/>
              <w:rPr>
                <w:sz w:val="15"/>
                <w:szCs w:val="15"/>
                <w:color w:val="auto"/>
              </w:rPr>
            </w:pPr>
          </w:p>
        </w:tc>
        <w:tc>
          <w:tcPr>
            <w:tcW w:w="3780" w:type="dxa"/>
            <w:vAlign w:val="bottom"/>
            <w:gridSpan w:val="2"/>
          </w:tcPr>
          <w:p>
            <w:pPr>
              <w:ind w:left="1720"/>
              <w:spacing w:after="0" w:line="176" w:lineRule="exact"/>
              <w:rPr>
                <w:sz w:val="20"/>
                <w:szCs w:val="20"/>
                <w:color w:val="auto"/>
              </w:rPr>
            </w:pPr>
            <w:r>
              <w:rPr>
                <w:rFonts w:ascii="Arial" w:cs="Arial" w:eastAsia="Arial" w:hAnsi="Arial"/>
                <w:sz w:val="18"/>
                <w:szCs w:val="18"/>
                <w:color w:val="auto"/>
              </w:rPr>
              <w:t>interest in approximately</w:t>
            </w:r>
          </w:p>
        </w:tc>
        <w:tc>
          <w:tcPr>
            <w:tcW w:w="330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 of our outstanding capital stock</w:t>
            </w:r>
          </w:p>
        </w:tc>
      </w:tr>
      <w:tr>
        <w:trPr>
          <w:trHeight w:val="175"/>
        </w:trPr>
        <w:tc>
          <w:tcPr>
            <w:tcW w:w="2780" w:type="dxa"/>
            <w:vAlign w:val="bottom"/>
          </w:tcPr>
          <w:p>
            <w:pPr>
              <w:spacing w:after="0"/>
              <w:rPr>
                <w:sz w:val="15"/>
                <w:szCs w:val="15"/>
                <w:color w:val="auto"/>
              </w:rPr>
            </w:pPr>
          </w:p>
        </w:tc>
        <w:tc>
          <w:tcPr>
            <w:tcW w:w="4760" w:type="dxa"/>
            <w:vAlign w:val="bottom"/>
            <w:gridSpan w:val="3"/>
          </w:tcPr>
          <w:p>
            <w:pPr>
              <w:ind w:left="1720"/>
              <w:spacing w:after="0" w:line="176" w:lineRule="exact"/>
              <w:rPr>
                <w:sz w:val="20"/>
                <w:szCs w:val="20"/>
                <w:color w:val="auto"/>
              </w:rPr>
            </w:pPr>
            <w:r>
              <w:rPr>
                <w:rFonts w:ascii="Arial" w:cs="Arial" w:eastAsia="Arial" w:hAnsi="Arial"/>
                <w:sz w:val="18"/>
                <w:szCs w:val="18"/>
                <w:color w:val="auto"/>
              </w:rPr>
              <w:t>and Mr. Bhatt will hold approximately</w:t>
            </w:r>
          </w:p>
        </w:tc>
        <w:tc>
          <w:tcPr>
            <w:tcW w:w="23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 of the voting power</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of our outstanding capital stock, in each case, which voting power</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may increase over time upon the vesting and settlement of equity</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awards held by such founder that are outstanding immediately</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prior to the effectiveness of this offering if such founder exercises</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his Equity Exchange Rights (as defined below) with respect to the</w:t>
            </w:r>
          </w:p>
        </w:tc>
      </w:tr>
      <w:tr>
        <w:trPr>
          <w:trHeight w:val="217"/>
        </w:trPr>
        <w:tc>
          <w:tcPr>
            <w:tcW w:w="2780" w:type="dxa"/>
            <w:vAlign w:val="bottom"/>
          </w:tcPr>
          <w:p>
            <w:pPr>
              <w:spacing w:after="0"/>
              <w:rPr>
                <w:sz w:val="18"/>
                <w:szCs w:val="18"/>
                <w:color w:val="auto"/>
              </w:rPr>
            </w:pPr>
          </w:p>
        </w:tc>
        <w:tc>
          <w:tcPr>
            <w:tcW w:w="6680" w:type="dxa"/>
            <w:vAlign w:val="bottom"/>
            <w:gridSpan w:val="5"/>
          </w:tcPr>
          <w:p>
            <w:pPr>
              <w:ind w:left="1720"/>
              <w:spacing w:after="0"/>
              <w:rPr>
                <w:sz w:val="20"/>
                <w:szCs w:val="20"/>
                <w:color w:val="auto"/>
              </w:rPr>
            </w:pPr>
            <w:r>
              <w:rPr>
                <w:rFonts w:ascii="Arial" w:cs="Arial" w:eastAsia="Arial" w:hAnsi="Arial"/>
                <w:sz w:val="18"/>
                <w:szCs w:val="18"/>
                <w:color w:val="auto"/>
              </w:rPr>
              <w:t>shares received upon settlement of such equity awards.</w:t>
            </w:r>
          </w:p>
        </w:tc>
        <w:tc>
          <w:tcPr>
            <w:tcW w:w="400" w:type="dxa"/>
            <w:vAlign w:val="bottom"/>
          </w:tcPr>
          <w:p>
            <w:pPr>
              <w:spacing w:after="0"/>
              <w:rPr>
                <w:sz w:val="18"/>
                <w:szCs w:val="18"/>
                <w:color w:val="auto"/>
              </w:rPr>
            </w:pPr>
          </w:p>
        </w:tc>
      </w:tr>
      <w:tr>
        <w:trPr>
          <w:trHeight w:val="377"/>
        </w:trPr>
        <w:tc>
          <w:tcPr>
            <w:tcW w:w="2780" w:type="dxa"/>
            <w:vAlign w:val="bottom"/>
          </w:tcPr>
          <w:p>
            <w:pPr>
              <w:spacing w:after="0"/>
              <w:rPr>
                <w:sz w:val="24"/>
                <w:szCs w:val="24"/>
                <w:color w:val="auto"/>
              </w:rPr>
            </w:pPr>
          </w:p>
        </w:tc>
        <w:tc>
          <w:tcPr>
            <w:tcW w:w="7080" w:type="dxa"/>
            <w:vAlign w:val="bottom"/>
            <w:gridSpan w:val="6"/>
          </w:tcPr>
          <w:p>
            <w:pPr>
              <w:ind w:left="1720"/>
              <w:spacing w:after="0"/>
              <w:rPr>
                <w:sz w:val="20"/>
                <w:szCs w:val="20"/>
                <w:color w:val="auto"/>
              </w:rPr>
            </w:pPr>
            <w:r>
              <w:rPr>
                <w:rFonts w:ascii="Arial" w:cs="Arial" w:eastAsia="Arial" w:hAnsi="Arial"/>
                <w:sz w:val="18"/>
                <w:szCs w:val="18"/>
                <w:color w:val="auto"/>
                <w:w w:val="99"/>
              </w:rPr>
              <w:t>If all such equity awards held by Mr. Tenev and Mr. Bhatt (including</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the IPO-Vesting Market-Based RSUs, but excluding the Market-</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Based RSUs subject to market-based vesting conditions that can</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only be satisfied following this offering) were vested (assuming an</w:t>
            </w:r>
          </w:p>
        </w:tc>
      </w:tr>
      <w:tr>
        <w:trPr>
          <w:trHeight w:val="175"/>
        </w:trPr>
        <w:tc>
          <w:tcPr>
            <w:tcW w:w="2780" w:type="dxa"/>
            <w:vAlign w:val="bottom"/>
          </w:tcPr>
          <w:p>
            <w:pPr>
              <w:spacing w:after="0"/>
              <w:rPr>
                <w:sz w:val="15"/>
                <w:szCs w:val="15"/>
                <w:color w:val="auto"/>
              </w:rPr>
            </w:pPr>
          </w:p>
        </w:tc>
        <w:tc>
          <w:tcPr>
            <w:tcW w:w="6680" w:type="dxa"/>
            <w:vAlign w:val="bottom"/>
            <w:gridSpan w:val="5"/>
          </w:tcPr>
          <w:p>
            <w:pPr>
              <w:ind w:left="1720"/>
              <w:spacing w:after="0" w:line="176" w:lineRule="exact"/>
              <w:rPr>
                <w:sz w:val="20"/>
                <w:szCs w:val="20"/>
                <w:color w:val="auto"/>
              </w:rPr>
            </w:pPr>
            <w:r>
              <w:rPr>
                <w:rFonts w:ascii="Arial" w:cs="Arial" w:eastAsia="Arial" w:hAnsi="Arial"/>
                <w:sz w:val="18"/>
                <w:szCs w:val="18"/>
                <w:color w:val="auto"/>
              </w:rPr>
              <w:t>initial public offering price of our Class A common stock of $</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per</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share, which is the midpoint of the estimated offering price range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set forth on the cover of this prospectus) and the Class A common</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stock received in settlement of such awards was exchanged for</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shares of Class B common stock pursuant to the Equity Exchange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Rights, immediately following the completion of this offering, Mr.</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Tenev and Mr. Bhatt and their respective related entities would</w:t>
            </w:r>
          </w:p>
        </w:tc>
      </w:tr>
      <w:tr>
        <w:trPr>
          <w:trHeight w:val="175"/>
        </w:trPr>
        <w:tc>
          <w:tcPr>
            <w:tcW w:w="2780" w:type="dxa"/>
            <w:vAlign w:val="bottom"/>
          </w:tcPr>
          <w:p>
            <w:pPr>
              <w:spacing w:after="0"/>
              <w:rPr>
                <w:sz w:val="15"/>
                <w:szCs w:val="15"/>
                <w:color w:val="auto"/>
              </w:rPr>
            </w:pPr>
          </w:p>
        </w:tc>
        <w:tc>
          <w:tcPr>
            <w:tcW w:w="5500" w:type="dxa"/>
            <w:vAlign w:val="bottom"/>
            <w:gridSpan w:val="4"/>
          </w:tcPr>
          <w:p>
            <w:pPr>
              <w:ind w:left="1720"/>
              <w:spacing w:after="0" w:line="176" w:lineRule="exact"/>
              <w:rPr>
                <w:sz w:val="20"/>
                <w:szCs w:val="20"/>
                <w:color w:val="auto"/>
              </w:rPr>
            </w:pPr>
            <w:r>
              <w:rPr>
                <w:rFonts w:ascii="Arial" w:cs="Arial" w:eastAsia="Arial" w:hAnsi="Arial"/>
                <w:sz w:val="18"/>
                <w:szCs w:val="18"/>
                <w:color w:val="auto"/>
              </w:rPr>
              <w:t>hold an economic interest in approximately</w:t>
            </w:r>
          </w:p>
        </w:tc>
        <w:tc>
          <w:tcPr>
            <w:tcW w:w="1180" w:type="dxa"/>
            <w:vAlign w:val="bottom"/>
          </w:tcPr>
          <w:p>
            <w:pPr>
              <w:ind w:left="360"/>
              <w:spacing w:after="0" w:line="176" w:lineRule="exact"/>
              <w:rPr>
                <w:sz w:val="20"/>
                <w:szCs w:val="20"/>
                <w:color w:val="auto"/>
              </w:rPr>
            </w:pPr>
            <w:r>
              <w:rPr>
                <w:rFonts w:ascii="Arial" w:cs="Arial" w:eastAsia="Arial" w:hAnsi="Arial"/>
                <w:sz w:val="18"/>
                <w:szCs w:val="18"/>
                <w:color w:val="auto"/>
              </w:rPr>
              <w:t>% and</w:t>
            </w: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respectively, of our outstanding capital stock, and Mr. Tenev and</w:t>
            </w:r>
          </w:p>
        </w:tc>
      </w:tr>
      <w:tr>
        <w:trPr>
          <w:trHeight w:val="175"/>
        </w:trPr>
        <w:tc>
          <w:tcPr>
            <w:tcW w:w="2780" w:type="dxa"/>
            <w:vAlign w:val="bottom"/>
          </w:tcPr>
          <w:p>
            <w:pPr>
              <w:spacing w:after="0"/>
              <w:rPr>
                <w:sz w:val="15"/>
                <w:szCs w:val="15"/>
                <w:color w:val="auto"/>
              </w:rPr>
            </w:pPr>
          </w:p>
        </w:tc>
        <w:tc>
          <w:tcPr>
            <w:tcW w:w="4760" w:type="dxa"/>
            <w:vAlign w:val="bottom"/>
            <w:gridSpan w:val="3"/>
          </w:tcPr>
          <w:p>
            <w:pPr>
              <w:ind w:left="1720"/>
              <w:spacing w:after="0" w:line="176" w:lineRule="exact"/>
              <w:rPr>
                <w:sz w:val="20"/>
                <w:szCs w:val="20"/>
                <w:color w:val="auto"/>
              </w:rPr>
            </w:pPr>
            <w:r>
              <w:rPr>
                <w:rFonts w:ascii="Arial" w:cs="Arial" w:eastAsia="Arial" w:hAnsi="Arial"/>
                <w:sz w:val="18"/>
                <w:szCs w:val="18"/>
                <w:color w:val="auto"/>
              </w:rPr>
              <w:t>Mr. Bhatt would hold approximately</w:t>
            </w:r>
          </w:p>
        </w:tc>
        <w:tc>
          <w:tcPr>
            <w:tcW w:w="740" w:type="dxa"/>
            <w:vAlign w:val="bottom"/>
          </w:tcPr>
          <w:p>
            <w:pPr>
              <w:ind w:left="60"/>
              <w:spacing w:after="0" w:line="176" w:lineRule="exact"/>
              <w:rPr>
                <w:sz w:val="20"/>
                <w:szCs w:val="20"/>
                <w:color w:val="auto"/>
              </w:rPr>
            </w:pPr>
            <w:r>
              <w:rPr>
                <w:rFonts w:ascii="Arial" w:cs="Arial" w:eastAsia="Arial" w:hAnsi="Arial"/>
                <w:sz w:val="18"/>
                <w:szCs w:val="18"/>
                <w:color w:val="auto"/>
              </w:rPr>
              <w:t>% and</w:t>
            </w:r>
          </w:p>
        </w:tc>
        <w:tc>
          <w:tcPr>
            <w:tcW w:w="1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respectively, of</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the voting power of our outstanding capital stock. If all such equity</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awards held by Mr. Tenev and Mr. Bhatt (including all of the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w w:val="99"/>
              </w:rPr>
              <w:t>Market-Based RSUs) were vested (assuming all applicable market-</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based vesting conditions were satisfied, including those that can</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only be satisfied following this offering) and the Class A common</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stock received in settlement of such awards was exchanged for</w:t>
            </w:r>
          </w:p>
        </w:tc>
      </w:tr>
      <w:tr>
        <w:trPr>
          <w:trHeight w:val="176"/>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shares of Class B common stock pursuant to the Equity Exchange</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Rights, immediately following the completion of this offering, Mr.</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Tenev and Mr. Bhatt and their respective related entities would</w:t>
            </w:r>
          </w:p>
        </w:tc>
      </w:tr>
      <w:tr>
        <w:trPr>
          <w:trHeight w:val="175"/>
        </w:trPr>
        <w:tc>
          <w:tcPr>
            <w:tcW w:w="2780" w:type="dxa"/>
            <w:vAlign w:val="bottom"/>
          </w:tcPr>
          <w:p>
            <w:pPr>
              <w:spacing w:after="0"/>
              <w:rPr>
                <w:sz w:val="15"/>
                <w:szCs w:val="15"/>
                <w:color w:val="auto"/>
              </w:rPr>
            </w:pPr>
          </w:p>
        </w:tc>
        <w:tc>
          <w:tcPr>
            <w:tcW w:w="3780" w:type="dxa"/>
            <w:vAlign w:val="bottom"/>
            <w:gridSpan w:val="2"/>
          </w:tcPr>
          <w:p>
            <w:pPr>
              <w:ind w:left="1720"/>
              <w:spacing w:after="0" w:line="176" w:lineRule="exact"/>
              <w:rPr>
                <w:sz w:val="20"/>
                <w:szCs w:val="20"/>
                <w:color w:val="auto"/>
              </w:rPr>
            </w:pPr>
            <w:r>
              <w:rPr>
                <w:rFonts w:ascii="Arial" w:cs="Arial" w:eastAsia="Arial" w:hAnsi="Arial"/>
                <w:sz w:val="18"/>
                <w:szCs w:val="18"/>
                <w:color w:val="auto"/>
              </w:rPr>
              <w:t>hold approximately</w:t>
            </w:r>
          </w:p>
        </w:tc>
        <w:tc>
          <w:tcPr>
            <w:tcW w:w="980" w:type="dxa"/>
            <w:vAlign w:val="bottom"/>
          </w:tcPr>
          <w:p>
            <w:pPr>
              <w:ind w:left="200"/>
              <w:spacing w:after="0" w:line="176" w:lineRule="exact"/>
              <w:rPr>
                <w:sz w:val="20"/>
                <w:szCs w:val="20"/>
                <w:color w:val="auto"/>
              </w:rPr>
            </w:pPr>
            <w:r>
              <w:rPr>
                <w:rFonts w:ascii="Arial" w:cs="Arial" w:eastAsia="Arial" w:hAnsi="Arial"/>
                <w:sz w:val="18"/>
                <w:szCs w:val="18"/>
                <w:color w:val="auto"/>
              </w:rPr>
              <w:t>% and</w:t>
            </w:r>
          </w:p>
        </w:tc>
        <w:tc>
          <w:tcPr>
            <w:tcW w:w="23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 respectively, of our</w:t>
            </w:r>
          </w:p>
        </w:tc>
      </w:tr>
      <w:tr>
        <w:trPr>
          <w:trHeight w:val="175"/>
        </w:trPr>
        <w:tc>
          <w:tcPr>
            <w:tcW w:w="2780" w:type="dxa"/>
            <w:vAlign w:val="bottom"/>
          </w:tcPr>
          <w:p>
            <w:pPr>
              <w:spacing w:after="0"/>
              <w:rPr>
                <w:sz w:val="15"/>
                <w:szCs w:val="15"/>
                <w:color w:val="auto"/>
              </w:rPr>
            </w:pPr>
          </w:p>
        </w:tc>
        <w:tc>
          <w:tcPr>
            <w:tcW w:w="7080" w:type="dxa"/>
            <w:vAlign w:val="bottom"/>
            <w:gridSpan w:val="6"/>
          </w:tcPr>
          <w:p>
            <w:pPr>
              <w:ind w:left="1720"/>
              <w:spacing w:after="0" w:line="176" w:lineRule="exact"/>
              <w:rPr>
                <w:sz w:val="20"/>
                <w:szCs w:val="20"/>
                <w:color w:val="auto"/>
              </w:rPr>
            </w:pPr>
            <w:r>
              <w:rPr>
                <w:rFonts w:ascii="Arial" w:cs="Arial" w:eastAsia="Arial" w:hAnsi="Arial"/>
                <w:sz w:val="18"/>
                <w:szCs w:val="18"/>
                <w:color w:val="auto"/>
              </w:rPr>
              <w:t>outstanding capital stock, and Mr. Tenev and Mr. Bhatt would hold</w:t>
            </w:r>
          </w:p>
        </w:tc>
      </w:tr>
      <w:tr>
        <w:trPr>
          <w:trHeight w:val="176"/>
        </w:trPr>
        <w:tc>
          <w:tcPr>
            <w:tcW w:w="2780" w:type="dxa"/>
            <w:vAlign w:val="bottom"/>
          </w:tcPr>
          <w:p>
            <w:pPr>
              <w:spacing w:after="0"/>
              <w:rPr>
                <w:sz w:val="15"/>
                <w:szCs w:val="15"/>
                <w:color w:val="auto"/>
              </w:rPr>
            </w:pPr>
          </w:p>
        </w:tc>
        <w:tc>
          <w:tcPr>
            <w:tcW w:w="3000" w:type="dxa"/>
            <w:vAlign w:val="bottom"/>
          </w:tcPr>
          <w:p>
            <w:pPr>
              <w:ind w:left="1720"/>
              <w:spacing w:after="0" w:line="176" w:lineRule="exact"/>
              <w:rPr>
                <w:sz w:val="20"/>
                <w:szCs w:val="20"/>
                <w:color w:val="auto"/>
              </w:rPr>
            </w:pPr>
            <w:r>
              <w:rPr>
                <w:rFonts w:ascii="Arial" w:cs="Arial" w:eastAsia="Arial" w:hAnsi="Arial"/>
                <w:sz w:val="18"/>
                <w:szCs w:val="18"/>
                <w:color w:val="auto"/>
              </w:rPr>
              <w:t>approximately</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rPr>
              <w:t>% and</w:t>
            </w:r>
          </w:p>
        </w:tc>
        <w:tc>
          <w:tcPr>
            <w:tcW w:w="330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 respectively, of the voting power of</w:t>
            </w:r>
          </w:p>
        </w:tc>
      </w:tr>
      <w:tr>
        <w:trPr>
          <w:trHeight w:val="217"/>
        </w:trPr>
        <w:tc>
          <w:tcPr>
            <w:tcW w:w="2780" w:type="dxa"/>
            <w:vAlign w:val="bottom"/>
          </w:tcPr>
          <w:p>
            <w:pPr>
              <w:spacing w:after="0"/>
              <w:rPr>
                <w:sz w:val="18"/>
                <w:szCs w:val="18"/>
                <w:color w:val="auto"/>
              </w:rPr>
            </w:pPr>
          </w:p>
        </w:tc>
        <w:tc>
          <w:tcPr>
            <w:tcW w:w="4760" w:type="dxa"/>
            <w:vAlign w:val="bottom"/>
            <w:gridSpan w:val="3"/>
          </w:tcPr>
          <w:p>
            <w:pPr>
              <w:ind w:left="1720"/>
              <w:spacing w:after="0"/>
              <w:rPr>
                <w:sz w:val="20"/>
                <w:szCs w:val="20"/>
                <w:color w:val="auto"/>
              </w:rPr>
            </w:pPr>
            <w:r>
              <w:rPr>
                <w:rFonts w:ascii="Arial" w:cs="Arial" w:eastAsia="Arial" w:hAnsi="Arial"/>
                <w:sz w:val="18"/>
                <w:szCs w:val="18"/>
                <w:color w:val="auto"/>
              </w:rPr>
              <w:t>our outstanding capital stock.</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8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860"/>
          </w:cols>
          <w:pgMar w:left="1020" w:top="1440" w:right="101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682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500"/>
        <w:spacing w:after="0" w:line="207" w:lineRule="auto"/>
        <w:rPr>
          <w:sz w:val="20"/>
          <w:szCs w:val="20"/>
          <w:color w:val="auto"/>
        </w:rPr>
      </w:pPr>
      <w:r>
        <w:rPr>
          <w:rFonts w:ascii="Arial" w:cs="Arial" w:eastAsia="Arial" w:hAnsi="Arial"/>
          <w:sz w:val="18"/>
          <w:szCs w:val="18"/>
          <w:color w:val="auto"/>
        </w:rPr>
        <w:t>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amended and restated bylaws (the “Bylaws”), which will be adopted immediately prior to the completion of this offering, and the approval of any merger, consolidation, sale of all or substantially all of our assets or other major corporate transaction. See the sections titled “Principal and Selling Stockholders” and “Description of Capital Stock” for additional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8"/>
                <w:szCs w:val="18"/>
                <w:color w:val="auto"/>
              </w:rPr>
              <w:t>Use of proceeds</w:t>
            </w:r>
          </w:p>
        </w:tc>
        <w:tc>
          <w:tcPr>
            <w:tcW w:w="6940" w:type="dxa"/>
            <w:vAlign w:val="bottom"/>
            <w:gridSpan w:val="5"/>
          </w:tcPr>
          <w:p>
            <w:pPr>
              <w:ind w:left="1600"/>
              <w:spacing w:after="0"/>
              <w:rPr>
                <w:sz w:val="20"/>
                <w:szCs w:val="20"/>
                <w:color w:val="auto"/>
              </w:rPr>
            </w:pPr>
            <w:r>
              <w:rPr>
                <w:rFonts w:ascii="Arial" w:cs="Arial" w:eastAsia="Arial" w:hAnsi="Arial"/>
                <w:sz w:val="18"/>
                <w:szCs w:val="18"/>
                <w:color w:val="auto"/>
              </w:rPr>
              <w:t>We estimate that our net proceeds from the sale of our Class A</w:t>
            </w:r>
          </w:p>
        </w:tc>
      </w:tr>
      <w:tr>
        <w:trPr>
          <w:trHeight w:val="176"/>
        </w:trPr>
        <w:tc>
          <w:tcPr>
            <w:tcW w:w="2900" w:type="dxa"/>
            <w:vAlign w:val="bottom"/>
          </w:tcPr>
          <w:p>
            <w:pPr>
              <w:spacing w:after="0"/>
              <w:rPr>
                <w:sz w:val="15"/>
                <w:szCs w:val="15"/>
                <w:color w:val="auto"/>
              </w:rPr>
            </w:pPr>
          </w:p>
        </w:tc>
        <w:tc>
          <w:tcPr>
            <w:tcW w:w="6440" w:type="dxa"/>
            <w:vAlign w:val="bottom"/>
            <w:gridSpan w:val="4"/>
          </w:tcPr>
          <w:p>
            <w:pPr>
              <w:ind w:left="1600"/>
              <w:spacing w:after="0" w:line="176" w:lineRule="exact"/>
              <w:rPr>
                <w:sz w:val="20"/>
                <w:szCs w:val="20"/>
                <w:color w:val="auto"/>
              </w:rPr>
            </w:pPr>
            <w:r>
              <w:rPr>
                <w:rFonts w:ascii="Arial" w:cs="Arial" w:eastAsia="Arial" w:hAnsi="Arial"/>
                <w:sz w:val="18"/>
                <w:szCs w:val="18"/>
                <w:color w:val="auto"/>
              </w:rPr>
              <w:t>common stock in this offering will be approximately $</w:t>
            </w: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assuming an initial public offering price of our Class A common</w:t>
            </w:r>
          </w:p>
        </w:tc>
      </w:tr>
      <w:tr>
        <w:trPr>
          <w:trHeight w:val="176"/>
        </w:trPr>
        <w:tc>
          <w:tcPr>
            <w:tcW w:w="2900" w:type="dxa"/>
            <w:vAlign w:val="bottom"/>
          </w:tcPr>
          <w:p>
            <w:pPr>
              <w:spacing w:after="0"/>
              <w:rPr>
                <w:sz w:val="15"/>
                <w:szCs w:val="15"/>
                <w:color w:val="auto"/>
              </w:rPr>
            </w:pPr>
          </w:p>
        </w:tc>
        <w:tc>
          <w:tcPr>
            <w:tcW w:w="2720" w:type="dxa"/>
            <w:vAlign w:val="bottom"/>
          </w:tcPr>
          <w:p>
            <w:pPr>
              <w:ind w:left="1600"/>
              <w:spacing w:after="0" w:line="176" w:lineRule="exact"/>
              <w:rPr>
                <w:sz w:val="20"/>
                <w:szCs w:val="20"/>
                <w:color w:val="auto"/>
              </w:rPr>
            </w:pPr>
            <w:r>
              <w:rPr>
                <w:rFonts w:ascii="Arial" w:cs="Arial" w:eastAsia="Arial" w:hAnsi="Arial"/>
                <w:sz w:val="18"/>
                <w:szCs w:val="18"/>
                <w:color w:val="auto"/>
              </w:rPr>
              <w:t>stock of $</w:t>
            </w:r>
          </w:p>
        </w:tc>
        <w:tc>
          <w:tcPr>
            <w:tcW w:w="422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per share, which is the midpoint of the estimated</w:t>
            </w:r>
          </w:p>
        </w:tc>
      </w:tr>
      <w:tr>
        <w:trPr>
          <w:trHeight w:val="176"/>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price range set forth on the cover page of this prospectus, and</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after deducting estimated underwriting discounts and commissions</w:t>
            </w:r>
          </w:p>
        </w:tc>
      </w:tr>
      <w:tr>
        <w:trPr>
          <w:trHeight w:val="176"/>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and estimated offering expenses payable by us. We will not</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receive any proceeds from the sale of our Class A common stock</w:t>
            </w:r>
          </w:p>
        </w:tc>
      </w:tr>
      <w:tr>
        <w:trPr>
          <w:trHeight w:val="217"/>
        </w:trPr>
        <w:tc>
          <w:tcPr>
            <w:tcW w:w="2900" w:type="dxa"/>
            <w:vAlign w:val="bottom"/>
          </w:tcPr>
          <w:p>
            <w:pPr>
              <w:spacing w:after="0"/>
              <w:rPr>
                <w:sz w:val="18"/>
                <w:szCs w:val="18"/>
                <w:color w:val="auto"/>
              </w:rPr>
            </w:pPr>
          </w:p>
        </w:tc>
        <w:tc>
          <w:tcPr>
            <w:tcW w:w="4620" w:type="dxa"/>
            <w:vAlign w:val="bottom"/>
            <w:gridSpan w:val="2"/>
          </w:tcPr>
          <w:p>
            <w:pPr>
              <w:ind w:left="1600"/>
              <w:spacing w:after="0"/>
              <w:rPr>
                <w:sz w:val="20"/>
                <w:szCs w:val="20"/>
                <w:color w:val="auto"/>
              </w:rPr>
            </w:pPr>
            <w:r>
              <w:rPr>
                <w:rFonts w:ascii="Arial" w:cs="Arial" w:eastAsia="Arial" w:hAnsi="Arial"/>
                <w:sz w:val="18"/>
                <w:szCs w:val="18"/>
                <w:color w:val="auto"/>
              </w:rPr>
              <w:t>by the selling stockholders.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7"/>
        </w:trPr>
        <w:tc>
          <w:tcPr>
            <w:tcW w:w="2900" w:type="dxa"/>
            <w:vAlign w:val="bottom"/>
          </w:tcPr>
          <w:p>
            <w:pPr>
              <w:spacing w:after="0"/>
              <w:rPr>
                <w:sz w:val="24"/>
                <w:szCs w:val="24"/>
                <w:color w:val="auto"/>
              </w:rPr>
            </w:pPr>
          </w:p>
        </w:tc>
        <w:tc>
          <w:tcPr>
            <w:tcW w:w="6940" w:type="dxa"/>
            <w:vAlign w:val="bottom"/>
            <w:gridSpan w:val="5"/>
          </w:tcPr>
          <w:p>
            <w:pPr>
              <w:ind w:left="1600"/>
              <w:spacing w:after="0"/>
              <w:rPr>
                <w:sz w:val="20"/>
                <w:szCs w:val="20"/>
                <w:color w:val="auto"/>
              </w:rPr>
            </w:pPr>
            <w:r>
              <w:rPr>
                <w:rFonts w:ascii="Arial" w:cs="Arial" w:eastAsia="Arial" w:hAnsi="Arial"/>
                <w:sz w:val="18"/>
                <w:szCs w:val="18"/>
                <w:color w:val="auto"/>
              </w:rPr>
              <w:t>We intend to use a portion of the net proceeds we receive in this</w:t>
            </w:r>
          </w:p>
        </w:tc>
      </w:tr>
      <w:tr>
        <w:trPr>
          <w:trHeight w:val="176"/>
        </w:trPr>
        <w:tc>
          <w:tcPr>
            <w:tcW w:w="2900" w:type="dxa"/>
            <w:vAlign w:val="bottom"/>
          </w:tcPr>
          <w:p>
            <w:pPr>
              <w:spacing w:after="0"/>
              <w:rPr>
                <w:sz w:val="15"/>
                <w:szCs w:val="15"/>
                <w:color w:val="auto"/>
              </w:rPr>
            </w:pPr>
          </w:p>
        </w:tc>
        <w:tc>
          <w:tcPr>
            <w:tcW w:w="4620" w:type="dxa"/>
            <w:vAlign w:val="bottom"/>
            <w:gridSpan w:val="2"/>
          </w:tcPr>
          <w:p>
            <w:pPr>
              <w:ind w:left="1600"/>
              <w:spacing w:after="0" w:line="176" w:lineRule="exact"/>
              <w:rPr>
                <w:sz w:val="20"/>
                <w:szCs w:val="20"/>
                <w:color w:val="auto"/>
              </w:rPr>
            </w:pPr>
            <w:r>
              <w:rPr>
                <w:rFonts w:ascii="Arial" w:cs="Arial" w:eastAsia="Arial" w:hAnsi="Arial"/>
                <w:sz w:val="18"/>
                <w:szCs w:val="18"/>
                <w:color w:val="auto"/>
              </w:rPr>
              <w:t>offering to repay approximately $</w:t>
            </w:r>
          </w:p>
        </w:tc>
        <w:tc>
          <w:tcPr>
            <w:tcW w:w="23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million that we expect to</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borrow, shortly prior to the completion of this offering, under our</w:t>
            </w:r>
          </w:p>
        </w:tc>
      </w:tr>
      <w:tr>
        <w:trPr>
          <w:trHeight w:val="176"/>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w w:val="99"/>
              </w:rPr>
              <w:t>revolving credit facilities to fund our anticipated tax withholding and</w:t>
            </w:r>
          </w:p>
        </w:tc>
      </w:tr>
      <w:tr>
        <w:trPr>
          <w:trHeight w:val="175"/>
        </w:trPr>
        <w:tc>
          <w:tcPr>
            <w:tcW w:w="2900" w:type="dxa"/>
            <w:vAlign w:val="bottom"/>
          </w:tcPr>
          <w:p>
            <w:pPr>
              <w:spacing w:after="0"/>
              <w:rPr>
                <w:sz w:val="15"/>
                <w:szCs w:val="15"/>
                <w:color w:val="auto"/>
              </w:rPr>
            </w:pPr>
          </w:p>
        </w:tc>
        <w:tc>
          <w:tcPr>
            <w:tcW w:w="4980" w:type="dxa"/>
            <w:vAlign w:val="bottom"/>
            <w:gridSpan w:val="3"/>
          </w:tcPr>
          <w:p>
            <w:pPr>
              <w:ind w:left="1600"/>
              <w:spacing w:after="0" w:line="176" w:lineRule="exact"/>
              <w:rPr>
                <w:sz w:val="20"/>
                <w:szCs w:val="20"/>
                <w:color w:val="auto"/>
              </w:rPr>
            </w:pPr>
            <w:r>
              <w:rPr>
                <w:rFonts w:ascii="Arial" w:cs="Arial" w:eastAsia="Arial" w:hAnsi="Arial"/>
                <w:sz w:val="18"/>
                <w:szCs w:val="18"/>
                <w:color w:val="auto"/>
              </w:rPr>
              <w:t>remittance obligations of approximately $</w:t>
            </w:r>
          </w:p>
        </w:tc>
        <w:tc>
          <w:tcPr>
            <w:tcW w:w="1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million related to</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the IPO-Vesting Time-Based RSU Settlement and IPO-Vesting</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Market-Based RSU Settlement (assuming the effectiveness of this</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rPr>
              <w:t>offering on March 31, 2021 for purposes of any applicable time-</w:t>
            </w:r>
          </w:p>
        </w:tc>
      </w:tr>
      <w:tr>
        <w:trPr>
          <w:trHeight w:val="175"/>
        </w:trPr>
        <w:tc>
          <w:tcPr>
            <w:tcW w:w="2900" w:type="dxa"/>
            <w:vAlign w:val="bottom"/>
          </w:tcPr>
          <w:p>
            <w:pPr>
              <w:spacing w:after="0"/>
              <w:rPr>
                <w:sz w:val="15"/>
                <w:szCs w:val="15"/>
                <w:color w:val="auto"/>
              </w:rPr>
            </w:pPr>
          </w:p>
        </w:tc>
        <w:tc>
          <w:tcPr>
            <w:tcW w:w="6940" w:type="dxa"/>
            <w:vAlign w:val="bottom"/>
            <w:gridSpan w:val="5"/>
          </w:tcPr>
          <w:p>
            <w:pPr>
              <w:ind w:left="1600"/>
              <w:spacing w:after="0" w:line="176" w:lineRule="exact"/>
              <w:rPr>
                <w:sz w:val="20"/>
                <w:szCs w:val="20"/>
                <w:color w:val="auto"/>
              </w:rPr>
            </w:pPr>
            <w:r>
              <w:rPr>
                <w:rFonts w:ascii="Arial" w:cs="Arial" w:eastAsia="Arial" w:hAnsi="Arial"/>
                <w:sz w:val="18"/>
                <w:szCs w:val="18"/>
                <w:color w:val="auto"/>
                <w:w w:val="99"/>
              </w:rPr>
              <w:t>based vesting conditions; an assumed initial public offering price of</w:t>
            </w:r>
          </w:p>
        </w:tc>
      </w:tr>
      <w:tr>
        <w:trPr>
          <w:trHeight w:val="176"/>
        </w:trPr>
        <w:tc>
          <w:tcPr>
            <w:tcW w:w="2900" w:type="dxa"/>
            <w:vAlign w:val="bottom"/>
          </w:tcPr>
          <w:p>
            <w:pPr>
              <w:spacing w:after="0"/>
              <w:rPr>
                <w:sz w:val="15"/>
                <w:szCs w:val="15"/>
                <w:color w:val="auto"/>
              </w:rPr>
            </w:pPr>
          </w:p>
        </w:tc>
        <w:tc>
          <w:tcPr>
            <w:tcW w:w="4620" w:type="dxa"/>
            <w:vAlign w:val="bottom"/>
            <w:gridSpan w:val="2"/>
          </w:tcPr>
          <w:p>
            <w:pPr>
              <w:ind w:left="1600"/>
              <w:spacing w:after="0" w:line="176" w:lineRule="exact"/>
              <w:rPr>
                <w:sz w:val="20"/>
                <w:szCs w:val="20"/>
                <w:color w:val="auto"/>
              </w:rPr>
            </w:pPr>
            <w:r>
              <w:rPr>
                <w:rFonts w:ascii="Arial" w:cs="Arial" w:eastAsia="Arial" w:hAnsi="Arial"/>
                <w:sz w:val="18"/>
                <w:szCs w:val="18"/>
                <w:color w:val="auto"/>
              </w:rPr>
              <w:t>our Class A common stock of $</w:t>
            </w:r>
          </w:p>
        </w:tc>
        <w:tc>
          <w:tcPr>
            <w:tcW w:w="360" w:type="dxa"/>
            <w:vAlign w:val="bottom"/>
          </w:tcPr>
          <w:p>
            <w:pPr>
              <w:spacing w:after="0"/>
              <w:rPr>
                <w:sz w:val="15"/>
                <w:szCs w:val="15"/>
                <w:color w:val="auto"/>
              </w:rPr>
            </w:pPr>
          </w:p>
        </w:tc>
        <w:tc>
          <w:tcPr>
            <w:tcW w:w="1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per share, which is the</w:t>
            </w:r>
          </w:p>
        </w:tc>
      </w:tr>
    </w:tbl>
    <w:p>
      <w:pPr>
        <w:jc w:val="both"/>
        <w:ind w:left="4500"/>
        <w:spacing w:after="0" w:line="219" w:lineRule="auto"/>
        <w:rPr>
          <w:sz w:val="20"/>
          <w:szCs w:val="20"/>
          <w:color w:val="auto"/>
        </w:rPr>
      </w:pPr>
      <w:r>
        <w:rPr>
          <w:rFonts w:ascii="Arial" w:cs="Arial" w:eastAsia="Arial" w:hAnsi="Arial"/>
          <w:sz w:val="18"/>
          <w:szCs w:val="18"/>
          <w:color w:val="auto"/>
        </w:rPr>
        <w:t>midpoint of the range listed on the cover page of this prospectus, for purposes of determining the satisfaction of any market-based vesting conditions; and an assumed 45% tax withholding rate).</w:t>
      </w:r>
    </w:p>
    <w:p>
      <w:pPr>
        <w:spacing w:after="0" w:line="203" w:lineRule="exact"/>
        <w:rPr>
          <w:sz w:val="20"/>
          <w:szCs w:val="20"/>
          <w:color w:val="auto"/>
        </w:rPr>
      </w:pPr>
    </w:p>
    <w:p>
      <w:pPr>
        <w:jc w:val="both"/>
        <w:ind w:left="4500"/>
        <w:spacing w:after="0" w:line="209" w:lineRule="auto"/>
        <w:rPr>
          <w:sz w:val="20"/>
          <w:szCs w:val="20"/>
          <w:color w:val="auto"/>
        </w:rPr>
      </w:pPr>
      <w:r>
        <w:rPr>
          <w:rFonts w:ascii="Arial" w:cs="Arial" w:eastAsia="Arial" w:hAnsi="Arial"/>
          <w:sz w:val="18"/>
          <w:szCs w:val="18"/>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 See “Use of Proceeds.”</w:t>
      </w:r>
    </w:p>
    <w:p>
      <w:pPr>
        <w:sectPr>
          <w:pgSz w:w="11900" w:h="16838" w:orient="portrait"/>
          <w:cols w:equalWidth="0" w:num="1">
            <w:col w:w="9860"/>
          </w:cols>
          <w:pgMar w:left="1020" w:top="1440" w:right="101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future earnings, if any, to fund the development and expansion of our business, and we do not anticipate declaring or paying any cash dividends in the foreseeable future. See “Dividend Policy.”</w:t>
      </w:r>
    </w:p>
    <w:p>
      <w:pPr>
        <w:spacing w:after="0" w:line="200"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860"/>
          </w:cols>
          <w:pgMar w:left="1020" w:top="1440" w:right="101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21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1920" w:type="dxa"/>
            <w:vAlign w:val="bottom"/>
          </w:tcPr>
          <w:p>
            <w:pPr>
              <w:spacing w:after="0"/>
              <w:rPr>
                <w:sz w:val="17"/>
                <w:szCs w:val="17"/>
                <w:color w:val="auto"/>
              </w:rPr>
            </w:pPr>
          </w:p>
        </w:tc>
        <w:tc>
          <w:tcPr>
            <w:tcW w:w="5540" w:type="dxa"/>
            <w:vAlign w:val="bottom"/>
            <w:gridSpan w:val="2"/>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You should read the “Risk Factors” section beginning on page </w:t>
            </w:r>
            <w:hyperlink w:anchor="page52">
              <w:r>
                <w:rPr>
                  <w:rFonts w:ascii="Arial" w:cs="Arial" w:eastAsia="Arial" w:hAnsi="Arial"/>
                  <w:sz w:val="18"/>
                  <w:szCs w:val="18"/>
                  <w:color w:val="auto"/>
                </w:rPr>
                <w:t>30</w:t>
              </w:r>
            </w:hyperlink>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and  the  other  information  included  in  this  prospectus  for  a</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discussion of factors to consider before deciding to invest in shares</w:t>
            </w:r>
          </w:p>
        </w:tc>
      </w:tr>
      <w:tr>
        <w:trPr>
          <w:trHeight w:val="217"/>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of our Class A common stock.</w:t>
            </w:r>
          </w:p>
        </w:tc>
        <w:tc>
          <w:tcPr>
            <w:tcW w:w="1120" w:type="dxa"/>
            <w:vAlign w:val="bottom"/>
          </w:tcPr>
          <w:p>
            <w:pPr>
              <w:spacing w:after="0"/>
              <w:rPr>
                <w:sz w:val="18"/>
                <w:szCs w:val="18"/>
                <w:color w:val="auto"/>
              </w:rPr>
            </w:pP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rPr>
              <w:t>Listing</w:t>
            </w:r>
          </w:p>
        </w:tc>
        <w:tc>
          <w:tcPr>
            <w:tcW w:w="1920" w:type="dxa"/>
            <w:vAlign w:val="bottom"/>
          </w:tcPr>
          <w:p>
            <w:pPr>
              <w:spacing w:after="0"/>
              <w:rPr>
                <w:sz w:val="21"/>
                <w:szCs w:val="21"/>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We have applied to list our Class A common stock on the Nasdaq</w:t>
            </w:r>
          </w:p>
        </w:tc>
      </w:tr>
      <w:tr>
        <w:trPr>
          <w:trHeight w:val="217"/>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under the symbol “HOOD”.</w:t>
            </w:r>
          </w:p>
        </w:tc>
        <w:tc>
          <w:tcPr>
            <w:tcW w:w="1120" w:type="dxa"/>
            <w:vAlign w:val="bottom"/>
          </w:tcPr>
          <w:p>
            <w:pPr>
              <w:spacing w:after="0"/>
              <w:rPr>
                <w:sz w:val="18"/>
                <w:szCs w:val="18"/>
                <w:color w:val="auto"/>
              </w:rPr>
            </w:pPr>
          </w:p>
        </w:tc>
      </w:tr>
      <w:tr>
        <w:trPr>
          <w:trHeight w:val="242"/>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Participation by Robinhood customers in the offering</w:t>
            </w: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RHF, one of our broker-dealer subsidiaries, is a member of the</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selling group for this offering. We expect the underwriters to</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reserve approximately 20 to 35% of the shares of our Class A</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common stock offered by this prospectus for RHF, acting as a</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selling group member, to allocate for sale to Robinhood customers</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through our IPO Access feature on our platform. Any such sales</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will be made at the same initial public offering price, and at the</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same time, as any other purchases in this offering, including</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purchases  by  institutions  and  other  large  investors,  and  in</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accordance   with   customary   broker-dealer   practices   and</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procedures. The final number of shares of our Class A common</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stock  in  this  offering  that  will  be  reserved  for  allocation  to</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Robinhood customers will be determined at the pricing of this</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offering and will be based on the level of demand from Robinhood</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customers and all other purchasers in this offering in accordance</w:t>
            </w:r>
          </w:p>
        </w:tc>
      </w:tr>
      <w:tr>
        <w:trPr>
          <w:trHeight w:val="217"/>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with the broker-dealer book building process.</w:t>
            </w:r>
          </w:p>
        </w:tc>
        <w:tc>
          <w:tcPr>
            <w:tcW w:w="1120" w:type="dxa"/>
            <w:vAlign w:val="bottom"/>
          </w:tcPr>
          <w:p>
            <w:pPr>
              <w:spacing w:after="0"/>
              <w:rPr>
                <w:sz w:val="18"/>
                <w:szCs w:val="18"/>
                <w:color w:val="auto"/>
              </w:rPr>
            </w:pPr>
          </w:p>
        </w:tc>
      </w:tr>
      <w:tr>
        <w:trPr>
          <w:trHeight w:val="377"/>
        </w:trPr>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Any such reserved shares of our Class A common stock that are</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not so purchased will be offered by the underwriters to other</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members of the general public on the same basis as the other</w:t>
            </w:r>
          </w:p>
        </w:tc>
      </w:tr>
      <w:tr>
        <w:trPr>
          <w:trHeight w:val="217"/>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shares of our Class A common stock offered by this prospectus.</w:t>
            </w:r>
          </w:p>
        </w:tc>
      </w:tr>
      <w:tr>
        <w:trPr>
          <w:trHeight w:val="377"/>
        </w:trPr>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RHF, one of our affiliates, is a member of FINRA and a selling</w:t>
            </w:r>
          </w:p>
        </w:tc>
      </w:tr>
      <w:tr>
        <w:trPr>
          <w:trHeight w:val="176"/>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group member in this offering and has a “conflict of interest” within</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the meaning of FINRA Rule 5121. Accordingly, this offering will be</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made in compliance with the applicable provisions of FINRA Rule</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5121. See “Underwriting (Conflicts of Interest)—Participation by</w:t>
            </w:r>
          </w:p>
        </w:tc>
      </w:tr>
      <w:tr>
        <w:trPr>
          <w:trHeight w:val="217"/>
        </w:trPr>
        <w:tc>
          <w:tcPr>
            <w:tcW w:w="2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Robinhood Customers in the Offering.”</w:t>
            </w:r>
          </w:p>
        </w:tc>
        <w:tc>
          <w:tcPr>
            <w:tcW w:w="1120" w:type="dxa"/>
            <w:vAlign w:val="bottom"/>
          </w:tcPr>
          <w:p>
            <w:pPr>
              <w:spacing w:after="0"/>
              <w:rPr>
                <w:sz w:val="18"/>
                <w:szCs w:val="18"/>
                <w:color w:val="auto"/>
              </w:rPr>
            </w:pPr>
          </w:p>
        </w:tc>
      </w:tr>
      <w:tr>
        <w:trPr>
          <w:trHeight w:val="539"/>
        </w:trPr>
        <w:tc>
          <w:tcPr>
            <w:tcW w:w="8780" w:type="dxa"/>
            <w:vAlign w:val="bottom"/>
            <w:gridSpan w:val="3"/>
          </w:tcPr>
          <w:p>
            <w:pPr>
              <w:ind w:left="320"/>
              <w:spacing w:after="0"/>
              <w:rPr>
                <w:sz w:val="20"/>
                <w:szCs w:val="20"/>
                <w:color w:val="auto"/>
              </w:rPr>
            </w:pPr>
            <w:r>
              <w:rPr>
                <w:rFonts w:ascii="Arial" w:cs="Arial" w:eastAsia="Arial" w:hAnsi="Arial"/>
                <w:sz w:val="18"/>
                <w:szCs w:val="18"/>
                <w:color w:val="auto"/>
              </w:rPr>
              <w:t>The number of shares of our Class A common stock to be outstanding after this offering is based on</w:t>
            </w:r>
          </w:p>
        </w:tc>
        <w:tc>
          <w:tcPr>
            <w:tcW w:w="1120" w:type="dxa"/>
            <w:vAlign w:val="bottom"/>
          </w:tcPr>
          <w:p>
            <w:pPr>
              <w:ind w:left="360"/>
              <w:spacing w:after="0"/>
              <w:rPr>
                <w:sz w:val="20"/>
                <w:szCs w:val="20"/>
                <w:color w:val="auto"/>
              </w:rPr>
            </w:pPr>
            <w:r>
              <w:rPr>
                <w:rFonts w:ascii="Arial" w:cs="Arial" w:eastAsia="Arial" w:hAnsi="Arial"/>
                <w:sz w:val="18"/>
                <w:szCs w:val="18"/>
                <w:color w:val="auto"/>
                <w:w w:val="99"/>
              </w:rPr>
              <w:t>shares of</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our Class A common stock,</w:t>
            </w:r>
          </w:p>
        </w:tc>
        <w:tc>
          <w:tcPr>
            <w:tcW w:w="7460" w:type="dxa"/>
            <w:vAlign w:val="bottom"/>
            <w:gridSpan w:val="3"/>
          </w:tcPr>
          <w:p>
            <w:pPr>
              <w:ind w:left="240"/>
              <w:spacing w:after="0"/>
              <w:rPr>
                <w:sz w:val="20"/>
                <w:szCs w:val="20"/>
                <w:color w:val="auto"/>
              </w:rPr>
            </w:pPr>
            <w:r>
              <w:rPr>
                <w:rFonts w:ascii="Arial" w:cs="Arial" w:eastAsia="Arial" w:hAnsi="Arial"/>
                <w:sz w:val="18"/>
                <w:szCs w:val="18"/>
                <w:color w:val="auto"/>
                <w:w w:val="99"/>
              </w:rPr>
              <w:t>shares of our Class B common stock and no shares of our Class C common stock, in each</w:t>
            </w:r>
          </w:p>
        </w:tc>
      </w:tr>
    </w:tbl>
    <w:p>
      <w:pPr>
        <w:spacing w:after="0"/>
        <w:rPr>
          <w:sz w:val="20"/>
          <w:szCs w:val="20"/>
          <w:color w:val="auto"/>
        </w:rPr>
      </w:pPr>
      <w:r>
        <w:rPr>
          <w:rFonts w:ascii="Arial" w:cs="Arial" w:eastAsia="Arial" w:hAnsi="Arial"/>
          <w:sz w:val="18"/>
          <w:szCs w:val="18"/>
          <w:color w:val="auto"/>
        </w:rPr>
        <w:t>case outstanding as of March 31, 2021, which gives effect to the Assumed Share Events (as defined below) and excludes:</w:t>
      </w:r>
    </w:p>
    <w:p>
      <w:pPr>
        <w:spacing w:after="0" w:line="185" w:lineRule="exact"/>
        <w:rPr>
          <w:sz w:val="20"/>
          <w:szCs w:val="20"/>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18,096,127 shares of our Class A common stock issuable upon exercise of options to purchase shares of our common stock outstanding as of March 31, 2021, with a weighted-average exercise price of $2.23 per share;</w:t>
      </w:r>
    </w:p>
    <w:p>
      <w:pPr>
        <w:spacing w:after="0" w:line="157" w:lineRule="exact"/>
        <w:rPr>
          <w:rFonts w:ascii="Arial" w:cs="Arial" w:eastAsia="Arial" w:hAnsi="Arial"/>
          <w:sz w:val="18"/>
          <w:szCs w:val="18"/>
          <w:color w:val="auto"/>
          <w:highlight w:val="white"/>
        </w:rPr>
      </w:pPr>
    </w:p>
    <w:p>
      <w:pPr>
        <w:jc w:val="both"/>
        <w:ind w:left="640" w:hanging="322"/>
        <w:spacing w:after="0" w:line="250" w:lineRule="auto"/>
        <w:tabs>
          <w:tab w:leader="none" w:pos="1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shares of our Class A common stock issuable upon exercise of warrants to purchase shares of our equity </w:t>
      </w:r>
      <w:r>
        <w:rPr>
          <w:rFonts w:ascii="Arial" w:cs="Arial" w:eastAsia="Arial" w:hAnsi="Arial"/>
          <w:sz w:val="18"/>
          <w:szCs w:val="18"/>
          <w:color w:val="auto"/>
          <w:highlight w:val="white"/>
        </w:rPr>
        <w:t>securities, $379.8 million aggregate maximum purchase amount of which was outstanding as of March 31, 2021,</w:t>
      </w:r>
    </w:p>
    <w:p>
      <w:pPr>
        <w:jc w:val="both"/>
        <w:ind w:left="6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assuming an exercise price of $ (which is the lower of (i) 70% of the assumed initial public offering price of our </w:t>
      </w:r>
      <w:r>
        <w:rPr>
          <w:rFonts w:ascii="Arial" w:cs="Arial" w:eastAsia="Arial" w:hAnsi="Arial"/>
          <w:sz w:val="18"/>
          <w:szCs w:val="18"/>
          <w:color w:val="auto"/>
          <w:highlight w:val="white"/>
        </w:rPr>
        <w:t>Class A common stock of $ per share, which is the midpoint of the estimated offering price range set forth on the cover page of this prospectus, and (ii) $38.29);</w:t>
      </w:r>
    </w:p>
    <w:p>
      <w:pPr>
        <w:spacing w:after="0" w:line="174"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39,069,091 shares of our Class A common stock subject to outstanding restricted stock units (“RSUs”) that are issuable upon satisfaction of time-based and liquidity-based vesting conditions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900"/>
          </w:cols>
          <w:pgMar w:left="1000" w:top="1440" w:right="9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025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2" w:right="20"/>
        <w:spacing w:after="0" w:line="261" w:lineRule="auto"/>
        <w:rPr>
          <w:sz w:val="20"/>
          <w:szCs w:val="20"/>
          <w:color w:val="auto"/>
        </w:rPr>
      </w:pPr>
      <w:r>
        <w:rPr>
          <w:rFonts w:ascii="Arial" w:cs="Arial" w:eastAsia="Arial" w:hAnsi="Arial"/>
          <w:sz w:val="18"/>
          <w:szCs w:val="18"/>
          <w:color w:val="auto"/>
          <w:highlight w:val="white"/>
        </w:rPr>
        <w:t>(which liquidity-based conditions will be satisfied in connection with this offering) (“Time-Based RSUs”) as of March 31, 2021, but for which the time-based vesting condition was not satisfied as of March 31, 2021;</w:t>
      </w:r>
    </w:p>
    <w:p>
      <w:pPr>
        <w:spacing w:after="0" w:line="157" w:lineRule="exact"/>
        <w:rPr>
          <w:sz w:val="20"/>
          <w:szCs w:val="20"/>
          <w:color w:val="auto"/>
        </w:rPr>
      </w:pPr>
    </w:p>
    <w:p>
      <w:pPr>
        <w:jc w:val="both"/>
        <w:ind w:left="322" w:hanging="322"/>
        <w:spacing w:after="0" w:line="251" w:lineRule="auto"/>
        <w:tabs>
          <w:tab w:leader="none" w:pos="10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subject to outstanding 2019 Market-Based RSUs (as defined below under “Executive Compensation—Narrative Description of Executive Compensation Arrangements—Market-Based RSUs”) that are issuable upon satisfaction of market-based vesting conditions and quarterly time-based vesting conditions, but for which such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applicable quarterly time-based vesting condition was not satisfied as of March 31, 2021, assuming an initial public offering price of our Class A common stock of $ per share, which is the midpoint of the estimated offering price range set forth on the cover page of this prospectus;</w:t>
      </w:r>
    </w:p>
    <w:p>
      <w:pPr>
        <w:spacing w:after="0" w:line="171" w:lineRule="exact"/>
        <w:rPr>
          <w:rFonts w:ascii="Arial" w:cs="Arial" w:eastAsia="Arial" w:hAnsi="Arial"/>
          <w:sz w:val="18"/>
          <w:szCs w:val="18"/>
          <w:color w:val="auto"/>
        </w:rPr>
      </w:pPr>
    </w:p>
    <w:p>
      <w:pPr>
        <w:jc w:val="both"/>
        <w:ind w:left="322" w:right="20" w:hanging="322"/>
        <w:spacing w:after="0" w:line="253"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outstanding 2021 Market-Based RSUs (as defined below under “Executive Compensation—Narrative Description of Executive Compensation Arrangements—Market-Based RSUs”) that are issuable upon satisfaction of market-based vesting conditions (which market-based vesting conditions are based on the achievement of stock price goals following this offering), which were granted to our founders in May 2021, assuming achievement of all market-based vesting conditions; and</w:t>
      </w:r>
    </w:p>
    <w:p>
      <w:pPr>
        <w:spacing w:after="0" w:line="178"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57" w:lineRule="exact"/>
        <w:rPr>
          <w:rFonts w:ascii="Arial" w:cs="Arial" w:eastAsia="Arial" w:hAnsi="Arial"/>
          <w:sz w:val="18"/>
          <w:szCs w:val="18"/>
          <w:color w:val="auto"/>
        </w:rPr>
      </w:pPr>
    </w:p>
    <w:p>
      <w:pPr>
        <w:jc w:val="both"/>
        <w:ind w:left="982" w:hanging="334"/>
        <w:spacing w:after="0" w:line="252" w:lineRule="auto"/>
        <w:tabs>
          <w:tab w:leader="none" w:pos="1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27,799,737 shares of our Class A common stock reserved for future issuance under our 2020 Equity Incentive Plan (our “2020 Plan”) as </w:t>
      </w:r>
      <w:r>
        <w:rPr>
          <w:rFonts w:ascii="Arial" w:cs="Arial" w:eastAsia="Arial" w:hAnsi="Arial"/>
          <w:sz w:val="18"/>
          <w:szCs w:val="18"/>
          <w:color w:val="auto"/>
          <w:highlight w:val="white"/>
        </w:rPr>
        <w:t>of March 31,</w:t>
      </w:r>
      <w:r>
        <w:rPr>
          <w:rFonts w:ascii="Arial" w:cs="Arial" w:eastAsia="Arial" w:hAnsi="Arial"/>
          <w:sz w:val="18"/>
          <w:szCs w:val="18"/>
          <w:color w:val="auto"/>
        </w:rPr>
        <w:t xml:space="preserve"> 2021. The number of shares reserved but unissued (and not subject to any awards) under our 2020 Plan at the time our 2021 Plan (as defined below) becomes effective will be added to the shares of our Class A common stock to be reserved for future issuance under our 2021 Plan upon its effectiveness (as described below), at which time we will cease granting awards under our 2020 Plan;</w:t>
      </w:r>
    </w:p>
    <w:p>
      <w:pPr>
        <w:spacing w:after="0" w:line="167" w:lineRule="exact"/>
        <w:rPr>
          <w:rFonts w:ascii="Arial" w:cs="Arial" w:eastAsia="Arial" w:hAnsi="Arial"/>
          <w:sz w:val="18"/>
          <w:szCs w:val="18"/>
          <w:color w:val="auto"/>
        </w:rPr>
      </w:pPr>
    </w:p>
    <w:p>
      <w:pPr>
        <w:jc w:val="both"/>
        <w:ind w:left="982" w:hanging="334"/>
        <w:spacing w:after="0" w:line="251"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Omnibus Incentive Plan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582"/>
          </w:cols>
          <w:pgMar w:left="1318" w:top="1440" w:right="99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64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300" w:hanging="334"/>
        <w:spacing w:after="0" w:line="254" w:lineRule="auto"/>
        <w:tabs>
          <w:tab w:leader="none" w:pos="1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Employee Share Purchase Plan (our “ESPP”), which will become effective immediately prior to the completion of this offering, as described under “Executive Compensation—Employee Benefits and Stock Plans—2021 Employee Share Purchase Plan.”</w:t>
      </w:r>
    </w:p>
    <w:p>
      <w:pPr>
        <w:spacing w:after="0" w:line="16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Except as otherwise noted, all information in this prospectus assumes and reflects the following (the “Assumed Share Events”):</w:t>
      </w:r>
    </w:p>
    <w:p>
      <w:pPr>
        <w:spacing w:after="0" w:line="157" w:lineRule="exact"/>
        <w:rPr>
          <w:sz w:val="20"/>
          <w:szCs w:val="20"/>
          <w:color w:val="auto"/>
        </w:rPr>
      </w:pPr>
    </w:p>
    <w:p>
      <w:pPr>
        <w:jc w:val="both"/>
        <w:ind w:left="640" w:hanging="322"/>
        <w:spacing w:after="0" w:line="25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filing and effectiveness of our newly amended and restated certificate of incorporation (the “Charter”), which will effect the reclassification </w:t>
      </w:r>
      <w:r>
        <w:rPr>
          <w:rFonts w:ascii="Arial" w:cs="Arial" w:eastAsia="Arial" w:hAnsi="Arial"/>
          <w:sz w:val="18"/>
          <w:szCs w:val="18"/>
          <w:color w:val="auto"/>
          <w:highlight w:val="white"/>
        </w:rPr>
        <w:t>of our common stock into Class A common stock (the “Reclassification”), and the adoption</w:t>
      </w:r>
      <w:r>
        <w:rPr>
          <w:rFonts w:ascii="Arial" w:cs="Arial" w:eastAsia="Arial" w:hAnsi="Arial"/>
          <w:sz w:val="18"/>
          <w:szCs w:val="18"/>
          <w:color w:val="auto"/>
        </w:rPr>
        <w:t xml:space="preserve"> </w:t>
      </w:r>
      <w:r>
        <w:rPr>
          <w:rFonts w:ascii="Arial" w:cs="Arial" w:eastAsia="Arial" w:hAnsi="Arial"/>
          <w:sz w:val="18"/>
          <w:szCs w:val="18"/>
          <w:color w:val="auto"/>
          <w:highlight w:val="white"/>
        </w:rPr>
        <w:t>of our amended and restated bylaws (the “Bylaws”), each of which will occur immediately prior to the completion of this offering;</w:t>
      </w:r>
    </w:p>
    <w:p>
      <w:pPr>
        <w:spacing w:after="0" w:line="176"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8"/>
        </w:numPr>
        <w:rPr>
          <w:rFonts w:ascii="Arial" w:cs="Arial" w:eastAsia="Arial" w:hAnsi="Arial"/>
          <w:sz w:val="18"/>
          <w:szCs w:val="18"/>
          <w:color w:val="auto"/>
          <w:highlight w:val="white"/>
        </w:rPr>
      </w:pPr>
      <w:r>
        <w:rPr>
          <w:rFonts w:ascii="Arial" w:cs="Arial" w:eastAsia="Arial" w:hAnsi="Arial"/>
          <w:sz w:val="18"/>
          <w:szCs w:val="18"/>
          <w:color w:val="auto"/>
          <w:highlight w:val="white"/>
        </w:rPr>
        <w:t>514,845,025 shares of our Class A common stock outstanding as of March 31, 2021 (giving effect to the Reclassification and the Preferred Share Conversion (as defined below), but not the other Assumed Share Events described herein), which number of shares excludes the shares being exchanged in the Class B Exchange (as defined below);</w:t>
      </w:r>
    </w:p>
    <w:p>
      <w:pPr>
        <w:spacing w:after="0" w:line="163" w:lineRule="exact"/>
        <w:rPr>
          <w:rFonts w:ascii="Arial" w:cs="Arial" w:eastAsia="Arial" w:hAnsi="Arial"/>
          <w:sz w:val="18"/>
          <w:szCs w:val="18"/>
          <w:color w:val="auto"/>
          <w:highlight w:val="white"/>
        </w:rPr>
      </w:pPr>
    </w:p>
    <w:p>
      <w:pPr>
        <w:jc w:val="both"/>
        <w:ind w:left="640" w:hanging="322"/>
        <w:spacing w:after="0" w:line="252" w:lineRule="auto"/>
        <w:tabs>
          <w:tab w:leader="none" w:pos="635" w:val="left"/>
        </w:tabs>
        <w:numPr>
          <w:ilvl w:val="0"/>
          <w:numId w:val="18"/>
        </w:numPr>
        <w:rPr>
          <w:rFonts w:ascii="Arial" w:cs="Arial" w:eastAsia="Arial" w:hAnsi="Arial"/>
          <w:sz w:val="18"/>
          <w:szCs w:val="18"/>
          <w:color w:val="auto"/>
          <w:highlight w:val="white"/>
        </w:rPr>
      </w:pPr>
      <w:r>
        <w:rPr>
          <w:rFonts w:ascii="Arial" w:cs="Arial" w:eastAsia="Arial" w:hAnsi="Arial"/>
          <w:sz w:val="18"/>
          <w:szCs w:val="18"/>
          <w:color w:val="auto"/>
          <w:highlight w:val="white"/>
        </w:rPr>
        <w:t>130,155,246 shares of our Class B common stock (giving effect to the Reclassification, but not the other Assumed Share Events described herein), which reflects shares of our Class A common stock outstanding beneficially owned by our founders as of March 31, 2021 (giving effect to the Reclassification) that will be exchanged for an equivalent number of shares of our Class B common stock immediately prior to the completion of this offering pursuant to the terms of the certain exchange agreements to be entered into between us and our founders (the “Class B Exchange”);</w:t>
      </w:r>
    </w:p>
    <w:p>
      <w:pPr>
        <w:spacing w:after="0" w:line="167" w:lineRule="exact"/>
        <w:rPr>
          <w:rFonts w:ascii="Arial" w:cs="Arial" w:eastAsia="Arial" w:hAnsi="Arial"/>
          <w:sz w:val="18"/>
          <w:szCs w:val="18"/>
          <w:color w:val="auto"/>
          <w:highlight w:val="white"/>
        </w:rPr>
      </w:pPr>
    </w:p>
    <w:p>
      <w:pPr>
        <w:jc w:val="both"/>
        <w:ind w:left="640" w:right="20" w:hanging="322"/>
        <w:spacing w:after="0" w:line="254" w:lineRule="auto"/>
        <w:tabs>
          <w:tab w:leader="none" w:pos="635" w:val="left"/>
        </w:tabs>
        <w:numPr>
          <w:ilvl w:val="0"/>
          <w:numId w:val="18"/>
        </w:numPr>
        <w:rPr>
          <w:rFonts w:ascii="Arial" w:cs="Arial" w:eastAsia="Arial" w:hAnsi="Arial"/>
          <w:sz w:val="18"/>
          <w:szCs w:val="18"/>
          <w:color w:val="auto"/>
          <w:highlight w:val="white"/>
        </w:rPr>
      </w:pPr>
      <w:r>
        <w:rPr>
          <w:rFonts w:ascii="Arial" w:cs="Arial" w:eastAsia="Arial" w:hAnsi="Arial"/>
          <w:sz w:val="18"/>
          <w:szCs w:val="18"/>
          <w:color w:val="auto"/>
          <w:highlight w:val="white"/>
        </w:rPr>
        <w:t>the automatic conversion, on a one-to-one basis, of all of our outstanding redeemable convertible preferred stock, of which 412,742,897 shares were outstanding as of March 31, 2021, into 412,742,897 shares of our Class A common stock immediately prior to the completion of this offering, as if such conversion had occurred on March 31, 2021 (the “Preferred Share Conversion”);</w:t>
      </w:r>
    </w:p>
    <w:p>
      <w:pPr>
        <w:spacing w:after="0" w:line="176" w:lineRule="exact"/>
        <w:rPr>
          <w:rFonts w:ascii="Arial" w:cs="Arial" w:eastAsia="Arial" w:hAnsi="Arial"/>
          <w:sz w:val="18"/>
          <w:szCs w:val="18"/>
          <w:color w:val="auto"/>
          <w:highlight w:val="white"/>
        </w:rPr>
      </w:pPr>
    </w:p>
    <w:p>
      <w:pPr>
        <w:ind w:left="640" w:hanging="322"/>
        <w:spacing w:after="0"/>
        <w:tabs>
          <w:tab w:leader="none" w:pos="640" w:val="left"/>
        </w:tabs>
        <w:numPr>
          <w:ilvl w:val="0"/>
          <w:numId w:val="18"/>
        </w:numPr>
        <w:rPr>
          <w:rFonts w:ascii="Arial" w:cs="Arial" w:eastAsia="Arial" w:hAnsi="Arial"/>
          <w:sz w:val="18"/>
          <w:szCs w:val="18"/>
          <w:color w:val="auto"/>
          <w:highlight w:val="white"/>
        </w:rPr>
      </w:pPr>
      <w:r>
        <w:rPr>
          <w:rFonts w:ascii="Arial" w:cs="Arial" w:eastAsia="Arial" w:hAnsi="Arial"/>
          <w:sz w:val="18"/>
          <w:szCs w:val="18"/>
          <w:color w:val="auto"/>
          <w:highlight w:val="white"/>
        </w:rPr>
        <w:t>the automatic conversion of all of our outstanding Tranche I convertible notes, of whic</w:t>
      </w:r>
      <w:r>
        <w:rPr>
          <w:rFonts w:ascii="Arial" w:cs="Arial" w:eastAsia="Arial" w:hAnsi="Arial"/>
          <w:sz w:val="18"/>
          <w:szCs w:val="18"/>
          <w:color w:val="auto"/>
        </w:rPr>
        <w:t>h we had $2,551.7 million in</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aggregate amount as of March 31, 2021, including accrued interest, into</w:t>
            </w:r>
          </w:p>
        </w:tc>
        <w:tc>
          <w:tcPr>
            <w:tcW w:w="3260" w:type="dxa"/>
            <w:vAlign w:val="bottom"/>
          </w:tcPr>
          <w:p>
            <w:pPr>
              <w:jc w:val="right"/>
              <w:spacing w:after="0"/>
              <w:rPr>
                <w:sz w:val="20"/>
                <w:szCs w:val="20"/>
                <w:color w:val="auto"/>
              </w:rPr>
            </w:pPr>
            <w:r>
              <w:rPr>
                <w:rFonts w:ascii="Arial" w:cs="Arial" w:eastAsia="Arial" w:hAnsi="Arial"/>
                <w:sz w:val="18"/>
                <w:szCs w:val="18"/>
                <w:color w:val="auto"/>
              </w:rPr>
              <w:t>shares of our Class A common stock</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upon the completion of this offering, assuming a conversion price of $</w:t>
            </w:r>
          </w:p>
        </w:tc>
        <w:tc>
          <w:tcPr>
            <w:tcW w:w="3260" w:type="dxa"/>
            <w:vAlign w:val="bottom"/>
          </w:tcPr>
          <w:p>
            <w:pPr>
              <w:jc w:val="right"/>
              <w:spacing w:after="0"/>
              <w:rPr>
                <w:sz w:val="20"/>
                <w:szCs w:val="20"/>
                <w:color w:val="auto"/>
              </w:rPr>
            </w:pPr>
            <w:r>
              <w:rPr>
                <w:rFonts w:ascii="Arial" w:cs="Arial" w:eastAsia="Arial" w:hAnsi="Arial"/>
                <w:sz w:val="18"/>
                <w:szCs w:val="18"/>
                <w:color w:val="auto"/>
              </w:rPr>
              <w:t>(which is the lower of (i) 70% of the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assumed initial public offering price of our Class A common stock of $</w:t>
            </w:r>
          </w:p>
        </w:tc>
        <w:tc>
          <w:tcPr>
            <w:tcW w:w="3260" w:type="dxa"/>
            <w:vAlign w:val="bottom"/>
          </w:tcPr>
          <w:p>
            <w:pPr>
              <w:jc w:val="right"/>
              <w:spacing w:after="0"/>
              <w:rPr>
                <w:sz w:val="20"/>
                <w:szCs w:val="20"/>
                <w:color w:val="auto"/>
              </w:rPr>
            </w:pPr>
            <w:r>
              <w:rPr>
                <w:rFonts w:ascii="Arial" w:cs="Arial" w:eastAsia="Arial" w:hAnsi="Arial"/>
                <w:sz w:val="18"/>
                <w:szCs w:val="18"/>
                <w:color w:val="auto"/>
              </w:rPr>
              <w:t>per share, which is the midpoint of the</w:t>
            </w:r>
          </w:p>
        </w:tc>
      </w:tr>
    </w:tbl>
    <w:p>
      <w:pPr>
        <w:jc w:val="both"/>
        <w:ind w:left="640" w:right="20"/>
        <w:spacing w:after="0" w:line="261" w:lineRule="auto"/>
        <w:rPr>
          <w:sz w:val="20"/>
          <w:szCs w:val="20"/>
          <w:color w:val="auto"/>
        </w:rPr>
      </w:pPr>
      <w:r>
        <w:rPr>
          <w:rFonts w:ascii="Arial" w:cs="Arial" w:eastAsia="Arial" w:hAnsi="Arial"/>
          <w:sz w:val="18"/>
          <w:szCs w:val="18"/>
          <w:color w:val="auto"/>
        </w:rPr>
        <w:t>estimated offering price range set forth on the cover page of this prospectus, and (ii) $38.29), as if such conversion had occurred on March 31, 2021 (the “Tranche I Note Conversion”);</w:t>
      </w:r>
    </w:p>
    <w:p>
      <w:pPr>
        <w:spacing w:after="0" w:line="157" w:lineRule="exact"/>
        <w:rPr>
          <w:sz w:val="20"/>
          <w:szCs w:val="20"/>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Tranche II convertible notes, of which we had $1,028.0 million in</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aggregate amount as of March 31, 2021, including accrued interest, into</w:t>
            </w:r>
          </w:p>
        </w:tc>
        <w:tc>
          <w:tcPr>
            <w:tcW w:w="3260" w:type="dxa"/>
            <w:vAlign w:val="bottom"/>
          </w:tcPr>
          <w:p>
            <w:pPr>
              <w:jc w:val="right"/>
              <w:spacing w:after="0"/>
              <w:rPr>
                <w:sz w:val="20"/>
                <w:szCs w:val="20"/>
                <w:color w:val="auto"/>
              </w:rPr>
            </w:pPr>
            <w:r>
              <w:rPr>
                <w:rFonts w:ascii="Arial" w:cs="Arial" w:eastAsia="Arial" w:hAnsi="Arial"/>
                <w:sz w:val="18"/>
                <w:szCs w:val="18"/>
                <w:color w:val="auto"/>
              </w:rPr>
              <w:t>shares of our Class A common stock</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upon the completion of this offering, assuming a conversion price of $</w:t>
            </w:r>
          </w:p>
        </w:tc>
        <w:tc>
          <w:tcPr>
            <w:tcW w:w="3260" w:type="dxa"/>
            <w:vAlign w:val="bottom"/>
          </w:tcPr>
          <w:p>
            <w:pPr>
              <w:jc w:val="right"/>
              <w:spacing w:after="0"/>
              <w:rPr>
                <w:sz w:val="20"/>
                <w:szCs w:val="20"/>
                <w:color w:val="auto"/>
              </w:rPr>
            </w:pPr>
            <w:r>
              <w:rPr>
                <w:rFonts w:ascii="Arial" w:cs="Arial" w:eastAsia="Arial" w:hAnsi="Arial"/>
                <w:sz w:val="18"/>
                <w:szCs w:val="18"/>
                <w:color w:val="auto"/>
              </w:rPr>
              <w:t>(which is the lower of (i) 70% of the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assumed initial public offering price of our Class A common stock of $</w:t>
            </w:r>
          </w:p>
        </w:tc>
        <w:tc>
          <w:tcPr>
            <w:tcW w:w="3260" w:type="dxa"/>
            <w:vAlign w:val="bottom"/>
          </w:tcPr>
          <w:p>
            <w:pPr>
              <w:jc w:val="right"/>
              <w:spacing w:after="0"/>
              <w:rPr>
                <w:sz w:val="20"/>
                <w:szCs w:val="20"/>
                <w:color w:val="auto"/>
              </w:rPr>
            </w:pPr>
            <w:r>
              <w:rPr>
                <w:rFonts w:ascii="Arial" w:cs="Arial" w:eastAsia="Arial" w:hAnsi="Arial"/>
                <w:sz w:val="18"/>
                <w:szCs w:val="18"/>
                <w:color w:val="auto"/>
              </w:rPr>
              <w:t>per share, which is the midpoint of the</w:t>
            </w:r>
          </w:p>
        </w:tc>
      </w:tr>
    </w:tbl>
    <w:p>
      <w:pPr>
        <w:jc w:val="both"/>
        <w:ind w:left="640" w:right="20"/>
        <w:spacing w:after="0" w:line="256" w:lineRule="auto"/>
        <w:rPr>
          <w:sz w:val="20"/>
          <w:szCs w:val="20"/>
          <w:color w:val="auto"/>
        </w:rPr>
      </w:pPr>
      <w:r>
        <w:rPr>
          <w:rFonts w:ascii="Arial" w:cs="Arial" w:eastAsia="Arial" w:hAnsi="Arial"/>
          <w:sz w:val="18"/>
          <w:szCs w:val="18"/>
          <w:color w:val="auto"/>
        </w:rPr>
        <w:t>estimated offering price range set forth on the cover page of this prospectus, and (ii) $42.12), as if such conversion had occurred on March 31, 2021 (the “Tranche II Note Conversion” and, together with the Tranche I Note Conversion, the “Convertible Note Conversion”);</w:t>
      </w:r>
    </w:p>
    <w:p>
      <w:pPr>
        <w:spacing w:after="0" w:line="161" w:lineRule="exact"/>
        <w:rPr>
          <w:sz w:val="20"/>
          <w:szCs w:val="20"/>
          <w:color w:val="auto"/>
        </w:rPr>
      </w:pPr>
    </w:p>
    <w:p>
      <w:pPr>
        <w:jc w:val="both"/>
        <w:ind w:left="640" w:hanging="323"/>
        <w:spacing w:after="0" w:line="253" w:lineRule="auto"/>
        <w:tabs>
          <w:tab w:leader="none" w:pos="620" w:val="left"/>
        </w:tabs>
        <w:rPr>
          <w:sz w:val="20"/>
          <w:szCs w:val="20"/>
          <w:color w:val="auto"/>
        </w:rPr>
      </w:pPr>
      <w:r>
        <w:rPr>
          <w:rFonts w:ascii="Arial" w:cs="Arial" w:eastAsia="Arial" w:hAnsi="Arial"/>
          <w:sz w:val="18"/>
          <w:szCs w:val="18"/>
          <w:color w:val="auto"/>
        </w:rPr>
        <w:t>•</w:t>
        <w:tab/>
        <w:t>the issuance of shares of our Class A common stock and shares of our Class B common stock upon the vesting and settlement of outstanding Time-Based RSUs for which both the time-based and the liquidity-based vesting conditions will be met in connection with this offering (“IPO-Vesting Time-Based RSUs”) (assuming that our founders elect, pursuant to Equity Exchange Rights described below, to exchange all shares of Class A common stock initially received by them upon such vesting and settlement for an equivalent number of shares of Class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900"/>
          </w:cols>
          <w:pgMar w:left="1000" w:top="1440" w:right="99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47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common stock), based on the number of IPO-Vesting Time-Based RSUs for which the time-based vesting</w:t>
      </w:r>
    </w:p>
    <w:p>
      <w:pPr>
        <w:spacing w:after="0" w:line="9" w:lineRule="exact"/>
        <w:rPr>
          <w:sz w:val="20"/>
          <w:szCs w:val="20"/>
          <w:color w:val="auto"/>
        </w:rPr>
      </w:pPr>
    </w:p>
    <w:p>
      <w:pPr>
        <w:jc w:val="both"/>
        <w:ind w:left="640" w:right="20"/>
        <w:spacing w:after="0" w:line="250" w:lineRule="auto"/>
        <w:rPr>
          <w:sz w:val="20"/>
          <w:szCs w:val="20"/>
          <w:color w:val="auto"/>
        </w:rPr>
      </w:pPr>
      <w:r>
        <w:rPr>
          <w:rFonts w:ascii="Arial" w:cs="Arial" w:eastAsia="Arial" w:hAnsi="Arial"/>
          <w:sz w:val="18"/>
          <w:szCs w:val="18"/>
          <w:color w:val="auto"/>
        </w:rPr>
        <w:t>condition was satisfied as of March 31, 2021, after withholding an aggregate of approximately shares to satisfy the associated estimated income tax obligations (based on an assumed initial public offering price of our</w:t>
      </w:r>
    </w:p>
    <w:p>
      <w:pPr>
        <w:spacing w:after="0" w:line="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Class A common stock of $ per share, which is the midpoint of the estimated offering price range set forth on the cover page of this prospectus, and an assumed 45% tax withholding rate) (the “IPO-Vesting Time-Based RSU Settlement”);</w:t>
      </w:r>
    </w:p>
    <w:p>
      <w:pPr>
        <w:spacing w:after="0" w:line="161" w:lineRule="exact"/>
        <w:rPr>
          <w:sz w:val="20"/>
          <w:szCs w:val="20"/>
          <w:color w:val="auto"/>
        </w:rPr>
      </w:pPr>
    </w:p>
    <w:p>
      <w:pPr>
        <w:jc w:val="both"/>
        <w:ind w:left="640" w:hanging="323"/>
        <w:spacing w:after="0" w:line="250" w:lineRule="auto"/>
        <w:tabs>
          <w:tab w:leader="none" w:pos="620" w:val="left"/>
        </w:tabs>
        <w:rPr>
          <w:sz w:val="20"/>
          <w:szCs w:val="20"/>
          <w:color w:val="auto"/>
        </w:rPr>
      </w:pPr>
      <w:r>
        <w:rPr>
          <w:rFonts w:ascii="Arial" w:cs="Arial" w:eastAsia="Arial" w:hAnsi="Arial"/>
          <w:sz w:val="18"/>
          <w:szCs w:val="18"/>
          <w:color w:val="auto"/>
        </w:rPr>
        <w:t>•</w:t>
        <w:tab/>
        <w:t>the issuance of shares of our Class B common stock upon the vesting and settlement of outstanding 2019 Market-Based RSUs for which the market-based vesting conditions will be satisfied in connection with this offering (“IPO-Vesting Market-Based RSUs”) (assuming that our founders elect, pursuant to Equity Exchange Rights described below, to exchange all shares of Class A common stock initially received by them upon such vesting and settlement for an equivalent number of shares of Class B common stock), assuming the effectiveness of this offering on March 31, 2021 for purposes of any applicable time-based vesting conditions and, for purposes of determining the satisfaction of the market-based vesting condition, an initial public offering price of our Class A common stock of</w:t>
      </w:r>
    </w:p>
    <w:p>
      <w:pPr>
        <w:ind w:left="1920" w:hanging="1278"/>
        <w:spacing w:after="0" w:line="57" w:lineRule="auto"/>
        <w:tabs>
          <w:tab w:leader="none" w:pos="1920" w:val="left"/>
        </w:tabs>
        <w:numPr>
          <w:ilvl w:val="0"/>
          <w:numId w:val="20"/>
        </w:numPr>
        <w:rPr>
          <w:rFonts w:ascii="Arial" w:cs="Arial" w:eastAsia="Arial" w:hAnsi="Arial"/>
          <w:sz w:val="1"/>
          <w:szCs w:val="1"/>
          <w:color w:val="auto"/>
        </w:rPr>
      </w:pPr>
      <w:r>
        <w:rPr>
          <w:rFonts w:ascii="Arial" w:cs="Arial" w:eastAsia="Arial" w:hAnsi="Arial"/>
          <w:sz w:val="1"/>
          <w:szCs w:val="1"/>
          <w:color w:val="auto"/>
        </w:rPr>
        <w:t>per share, which is the midpoint of the estimated offering price range set forth on the cover page of</w:t>
      </w:r>
    </w:p>
    <w:p>
      <w:pPr>
        <w:spacing w:after="0" w:line="216" w:lineRule="exact"/>
        <w:rPr>
          <w:sz w:val="20"/>
          <w:szCs w:val="20"/>
          <w:color w:val="auto"/>
        </w:rPr>
      </w:pPr>
    </w:p>
    <w:p>
      <w:pPr>
        <w:jc w:val="both"/>
        <w:ind w:left="640" w:right="20"/>
        <w:spacing w:after="0" w:line="261" w:lineRule="auto"/>
        <w:rPr>
          <w:sz w:val="20"/>
          <w:szCs w:val="20"/>
          <w:color w:val="auto"/>
        </w:rPr>
      </w:pPr>
      <w:r>
        <w:rPr>
          <w:rFonts w:ascii="Arial" w:cs="Arial" w:eastAsia="Arial" w:hAnsi="Arial"/>
          <w:sz w:val="18"/>
          <w:szCs w:val="18"/>
          <w:color w:val="auto"/>
        </w:rPr>
        <w:t>this prospectus, after withholding an aggregate of approximately shares to satisfy the associated estimated income tax obligations (based on an assumed 45% tax withholding rate) (the “IPO-Vesting Market-Based RSU Settlement”);</w:t>
      </w:r>
    </w:p>
    <w:p>
      <w:pPr>
        <w:spacing w:after="0" w:line="373" w:lineRule="exact"/>
        <w:rPr>
          <w:sz w:val="20"/>
          <w:szCs w:val="20"/>
          <w:color w:val="auto"/>
        </w:rPr>
      </w:pPr>
    </w:p>
    <w:p>
      <w:pPr>
        <w:ind w:left="640" w:right="2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exercise of outstanding options or warrants, settlement of outstanding RSUs or conversion of our convertible notes except as described above; and</w:t>
      </w:r>
    </w:p>
    <w:p>
      <w:pPr>
        <w:spacing w:after="0" w:line="171" w:lineRule="exact"/>
        <w:rPr>
          <w:sz w:val="20"/>
          <w:szCs w:val="20"/>
          <w:color w:val="auto"/>
        </w:rPr>
      </w:pPr>
    </w:p>
    <w:p>
      <w:pPr>
        <w:ind w:left="320"/>
        <w:spacing w:after="0"/>
        <w:tabs>
          <w:tab w:leader="none" w:pos="620" w:val="left"/>
          <w:tab w:leader="none" w:pos="6360" w:val="left"/>
        </w:tabs>
        <w:rPr>
          <w:sz w:val="20"/>
          <w:szCs w:val="20"/>
          <w:color w:val="auto"/>
        </w:rPr>
      </w:pPr>
      <w:r>
        <w:rPr>
          <w:rFonts w:ascii="Arial" w:cs="Arial" w:eastAsia="Arial" w:hAnsi="Arial"/>
          <w:sz w:val="18"/>
          <w:szCs w:val="18"/>
          <w:color w:val="auto"/>
        </w:rPr>
        <w:t>•</w:t>
        <w:tab/>
        <w:t>no exercise of the underwriters’ option to purchase an additional</w:t>
      </w:r>
      <w:r>
        <w:rPr>
          <w:sz w:val="20"/>
          <w:szCs w:val="20"/>
          <w:color w:val="auto"/>
        </w:rPr>
        <w:tab/>
      </w:r>
      <w:r>
        <w:rPr>
          <w:rFonts w:ascii="Arial" w:cs="Arial" w:eastAsia="Arial" w:hAnsi="Arial"/>
          <w:sz w:val="17"/>
          <w:szCs w:val="17"/>
          <w:color w:val="auto"/>
        </w:rPr>
        <w:t>shares of Class A common stock from us.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more information about our convertible notes and warrants, see “Certain Relationships and Related Person Transactions—Convertible Note and Warrant Financings.” For more information about our 2019 Market-Based RSUs and 2021 Market-Based RSUs (together, the “Market-Based RSUs”), see “Executive Compensation—Narrative Description of Executive Compensation Arrangements—Market-Based RSUs.”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Following the completion of this offering, and pursuant to certain equity exchange agreements to be entered into between us and each of our founders, each of our founders will have a right (but not an obligation) to require us to exchange, for shares of Class B common stock, any shares of Class A common stock received by him upon the vesting and settlement of RSUs related to shares of Class A common stock (the “Equity Exchange Rights”). The Equity Exchange Rights apply only to equity awards granted to our founders prior to the effectiveness of our Charter, which will occur immediately prior to the completion of this offering. As of March 31, 2021, there were </w:t>
      </w:r>
      <w:r>
        <w:rPr>
          <w:rFonts w:ascii="Arial" w:cs="Arial" w:eastAsia="Arial" w:hAnsi="Arial"/>
          <w:sz w:val="18"/>
          <w:szCs w:val="18"/>
          <w:color w:val="auto"/>
          <w:highlight w:val="white"/>
        </w:rPr>
        <w:t>5,808,048 shares of our Class A common stock</w:t>
      </w:r>
      <w:r>
        <w:rPr>
          <w:rFonts w:ascii="Arial" w:cs="Arial" w:eastAsia="Arial" w:hAnsi="Arial"/>
          <w:sz w:val="18"/>
          <w:szCs w:val="18"/>
          <w:color w:val="auto"/>
        </w:rPr>
        <w:t xml:space="preserve"> </w:t>
      </w:r>
      <w:r>
        <w:rPr>
          <w:rFonts w:ascii="Arial" w:cs="Arial" w:eastAsia="Arial" w:hAnsi="Arial"/>
          <w:sz w:val="18"/>
          <w:szCs w:val="18"/>
          <w:color w:val="auto"/>
          <w:highlight w:val="white"/>
        </w:rPr>
        <w:t>subject to outstanding Time-Based RSUs and 27,663,658 shar</w:t>
      </w:r>
      <w:r>
        <w:rPr>
          <w:rFonts w:ascii="Arial" w:cs="Arial" w:eastAsia="Arial" w:hAnsi="Arial"/>
          <w:sz w:val="18"/>
          <w:szCs w:val="18"/>
          <w:color w:val="auto"/>
        </w:rPr>
        <w:t>es of our Class A common stock subject to outstanding 2019</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Market-Based RSUs, in each case held by our founders and that may be exchanged, upon vesting and settlement, for an equivalent number of shares of our Class B common stock following this offering pursuant to the Equity Exchange Rights. In </w:t>
      </w:r>
      <w:r>
        <w:rPr>
          <w:rFonts w:ascii="Arial" w:cs="Arial" w:eastAsia="Arial" w:hAnsi="Arial"/>
          <w:sz w:val="18"/>
          <w:szCs w:val="18"/>
          <w:color w:val="auto"/>
          <w:highlight w:val="white"/>
        </w:rPr>
        <w:t>addition, in May 2021, o</w:t>
      </w:r>
      <w:r>
        <w:rPr>
          <w:rFonts w:ascii="Arial" w:cs="Arial" w:eastAsia="Arial" w:hAnsi="Arial"/>
          <w:sz w:val="18"/>
          <w:szCs w:val="18"/>
          <w:color w:val="auto"/>
        </w:rPr>
        <w:t>ur founders were granted 2021 Market-Based RSUs in respect of 35,520,000 shares of our Class A</w:t>
      </w:r>
      <w:r>
        <w:rPr>
          <w:rFonts w:ascii="Arial" w:cs="Arial" w:eastAsia="Arial" w:hAnsi="Arial"/>
          <w:sz w:val="18"/>
          <w:szCs w:val="18"/>
          <w:color w:val="auto"/>
          <w:highlight w:val="white"/>
        </w:rPr>
        <w:t xml:space="preserve"> </w:t>
      </w:r>
      <w:r>
        <w:rPr>
          <w:rFonts w:ascii="Arial" w:cs="Arial" w:eastAsia="Arial" w:hAnsi="Arial"/>
          <w:sz w:val="18"/>
          <w:szCs w:val="18"/>
          <w:color w:val="auto"/>
        </w:rPr>
        <w:t>common stock that may be exchanged, upon vesting and settlement, for an equivalent number of shares of our Class B common stock following this offering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00"/>
          </w:cols>
          <w:pgMar w:left="1000" w:top="1440" w:right="9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3535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353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61" w:lineRule="auto"/>
        <w:rPr>
          <w:sz w:val="20"/>
          <w:szCs w:val="20"/>
          <w:color w:val="auto"/>
        </w:rPr>
      </w:pPr>
      <w:r>
        <w:rPr>
          <w:rFonts w:ascii="Arial" w:cs="Arial" w:eastAsia="Arial" w:hAnsi="Arial"/>
          <w:sz w:val="36"/>
          <w:szCs w:val="36"/>
          <w:color w:val="auto"/>
        </w:rPr>
        <w:t>SUMMARY HISTORICAL CONSOLIDATED FINANCIAL AND OTHER DATA</w:t>
      </w:r>
    </w:p>
    <w:p>
      <w:pPr>
        <w:spacing w:after="0" w:line="14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tables present summary historical consolidated financial and operating data for our business as of the dates and for the periods indicated. The summary consolidated statements of operations data presented below for the fiscal years ended December 31, 2019 and December 31, 2020 and the summary consolidated balance sheet data as of December 31, 2020 have been derived from our audited consolidated financial statements appearing at the end of this prospectus. The summary consolidated statements of operations data presented below for the three months ended March 31, 2020 and March 31, 2021 and the summary consolidated balance sheet data as of March 31, 2021 have been derived from our unaudited condensed consolidated financial statements appearing at the end of this prospectus. Results for any interim period are not necessarily indicative of the results that may be expected for the full fiscal year or any future period.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summary consolidated historical financial and operating data is not necessarily indicative of the results to be expected in any future period. You should read the following summary historical financial and operating data in conjunction with the section of this prospectus titled “Management’s Discussion and Analysis of Financial Condition and Results of Operations” and our audited consolidated financial statements and related notes appearing at the end of this prospectus. The summary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00"/>
          </w:cols>
          <w:pgMar w:left="1000" w:top="1440" w:right="9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1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financial and other data in this section are not intended to replace, and are qualified in their entirety by, our consolidated financial statements and related notes thereto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6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Transaction-based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Net interest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4000" w:type="dxa"/>
            <w:vAlign w:val="bottom"/>
          </w:tcPr>
          <w:p>
            <w:pPr>
              <w:ind w:left="580"/>
              <w:spacing w:after="0"/>
              <w:rPr>
                <w:sz w:val="20"/>
                <w:szCs w:val="20"/>
                <w:color w:val="auto"/>
              </w:rPr>
            </w:pPr>
            <w:r>
              <w:rPr>
                <w:rFonts w:ascii="Arial" w:cs="Arial" w:eastAsia="Arial" w:hAnsi="Arial"/>
                <w:sz w:val="18"/>
                <w:szCs w:val="18"/>
                <w:color w:val="auto"/>
              </w:rPr>
              <w:t>Total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Change in fair value of convertible notes and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warrant liability</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Net income (loss) per share attributable to</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b w:val="1"/>
                <w:bCs w:val="1"/>
                <w:color w:val="auto"/>
              </w:rPr>
              <w:t>Weighted-average shares used to compute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net income (loss) per share attributable to</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244,997,388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bl>
    <w:p>
      <w:pPr>
        <w:ind w:left="40"/>
        <w:spacing w:after="0" w:line="233" w:lineRule="auto"/>
        <w:rPr>
          <w:sz w:val="20"/>
          <w:szCs w:val="20"/>
          <w:color w:val="auto"/>
        </w:rPr>
      </w:pPr>
      <w:r>
        <w:rPr>
          <w:rFonts w:ascii="Arial" w:cs="Arial" w:eastAsia="Arial" w:hAnsi="Arial"/>
          <w:sz w:val="18"/>
          <w:szCs w:val="18"/>
          <w:b w:val="1"/>
          <w:bCs w:val="1"/>
          <w:color w:val="auto"/>
        </w:rPr>
        <w:t>Unaudited pro forma net loss per share</w:t>
      </w:r>
    </w:p>
    <w:p>
      <w:pPr>
        <w:ind w:left="40"/>
        <w:spacing w:after="0" w:line="208" w:lineRule="auto"/>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and diluted</w:t>
      </w:r>
    </w:p>
    <w:p>
      <w:pPr>
        <w:ind w:left="40"/>
        <w:spacing w:after="0" w:line="229" w:lineRule="auto"/>
        <w:rPr>
          <w:sz w:val="20"/>
          <w:szCs w:val="20"/>
          <w:color w:val="auto"/>
        </w:rPr>
      </w:pPr>
      <w:r>
        <w:rPr>
          <w:rFonts w:ascii="Arial" w:cs="Arial" w:eastAsia="Arial" w:hAnsi="Arial"/>
          <w:sz w:val="18"/>
          <w:szCs w:val="18"/>
          <w:b w:val="1"/>
          <w:bCs w:val="1"/>
          <w:color w:val="auto"/>
        </w:rPr>
        <w:t>Unaudited pro forma weighted-average</w:t>
      </w:r>
    </w:p>
    <w:p>
      <w:pPr>
        <w:ind w:left="40"/>
        <w:spacing w:after="0" w:line="204" w:lineRule="auto"/>
        <w:rPr>
          <w:sz w:val="20"/>
          <w:szCs w:val="20"/>
          <w:color w:val="auto"/>
        </w:rPr>
      </w:pPr>
      <w:r>
        <w:rPr>
          <w:rFonts w:ascii="Arial" w:cs="Arial" w:eastAsia="Arial" w:hAnsi="Arial"/>
          <w:sz w:val="18"/>
          <w:szCs w:val="18"/>
          <w:b w:val="1"/>
          <w:bCs w:val="1"/>
          <w:color w:val="auto"/>
        </w:rPr>
        <w:t>shares used to compute net loss per share</w:t>
      </w:r>
    </w:p>
    <w:p>
      <w:pPr>
        <w:ind w:left="40"/>
        <w:spacing w:after="0" w:line="208" w:lineRule="auto"/>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p>
      <w:pPr>
        <w:ind w:left="240"/>
        <w:spacing w:after="0"/>
        <w:rPr>
          <w:sz w:val="20"/>
          <w:szCs w:val="20"/>
          <w:color w:val="auto"/>
        </w:rPr>
      </w:pPr>
      <w:r>
        <w:rPr>
          <w:rFonts w:ascii="Arial" w:cs="Arial" w:eastAsia="Arial" w:hAnsi="Arial"/>
          <w:sz w:val="18"/>
          <w:szCs w:val="18"/>
          <w:color w:val="auto"/>
        </w:rPr>
        <w:t>Basic and diluted</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5"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loss in computing unaudited pro forma basic net loss per share has been adjusted (i) to remove losses resulting from the remeasurement of our convertible notes and warrant liability of nil for the year ended December 31, 2020 and $1,492.3 million for the three months ended March 31, 2021 and (ii) for share-based compensation expense related to IPO-Vesting Time-Based RSUs for which the time-based vesting condition was satisfied or partially satisfied as of December 31, 2020 or March 31, 2021, as applicable, and IPO-Vesting Market-Based RSUs, assuming, for purposes of determining the satisfaction of the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920"/>
          </w:cols>
          <w:pgMar w:left="980" w:top="1440" w:right="99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887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market-based vesting condition, an initial public offering price of our Class A common stock of $ per share, which is the midpoint of the estimated offering price range set forth on the cover page of this prospectus; if a qualifying liquidity condition had occurred on January 1, 2020, we would have recognized share-based compensation of approximately $ million for the year ended December 31, 2020 and share-based compensation of approximately $ million for the three months ended March 31, 2021, and (iii) for an adjustment to income taxes, net of valuation allowance of $</w:t>
      </w:r>
    </w:p>
    <w:p>
      <w:pPr>
        <w:spacing w:after="0" w:line="1" w:lineRule="exact"/>
        <w:rPr>
          <w:sz w:val="20"/>
          <w:szCs w:val="20"/>
          <w:color w:val="auto"/>
        </w:rPr>
      </w:pPr>
    </w:p>
    <w:p>
      <w:pPr>
        <w:ind w:left="340"/>
        <w:spacing w:after="0"/>
        <w:tabs>
          <w:tab w:leader="none" w:pos="3680" w:val="left"/>
        </w:tabs>
        <w:rPr>
          <w:sz w:val="20"/>
          <w:szCs w:val="20"/>
          <w:color w:val="auto"/>
        </w:rPr>
      </w:pPr>
      <w:r>
        <w:rPr>
          <w:rFonts w:ascii="Arial" w:cs="Arial" w:eastAsia="Arial" w:hAnsi="Arial"/>
          <w:sz w:val="14"/>
          <w:szCs w:val="14"/>
          <w:color w:val="auto"/>
        </w:rPr>
        <w:t>for the year ended December 31, 2020 and $</w:t>
      </w:r>
      <w:r>
        <w:rPr>
          <w:sz w:val="20"/>
          <w:szCs w:val="20"/>
          <w:color w:val="auto"/>
        </w:rPr>
        <w:tab/>
      </w:r>
      <w:r>
        <w:rPr>
          <w:rFonts w:ascii="Arial" w:cs="Arial" w:eastAsia="Arial" w:hAnsi="Arial"/>
          <w:sz w:val="14"/>
          <w:szCs w:val="14"/>
          <w:color w:val="auto"/>
        </w:rPr>
        <w:t>for the three months ended March 31, 2021. Share-based compensation that will be recognized</w:t>
      </w:r>
    </w:p>
    <w:p>
      <w:pPr>
        <w:spacing w:after="0" w:line="1" w:lineRule="exact"/>
        <w:rPr>
          <w:sz w:val="20"/>
          <w:szCs w:val="20"/>
          <w:color w:val="auto"/>
        </w:rPr>
      </w:pPr>
    </w:p>
    <w:p>
      <w:pPr>
        <w:ind w:left="340"/>
        <w:spacing w:after="0"/>
        <w:tabs>
          <w:tab w:leader="none" w:pos="5820" w:val="left"/>
        </w:tabs>
        <w:rPr>
          <w:sz w:val="20"/>
          <w:szCs w:val="20"/>
          <w:color w:val="auto"/>
        </w:rPr>
      </w:pPr>
      <w:r>
        <w:rPr>
          <w:rFonts w:ascii="Arial" w:cs="Arial" w:eastAsia="Arial" w:hAnsi="Arial"/>
          <w:sz w:val="14"/>
          <w:szCs w:val="14"/>
          <w:color w:val="auto"/>
        </w:rPr>
        <w:t>after March 31, 2021 through the date of this prospectus is estimated to be $</w:t>
      </w:r>
      <w:r>
        <w:rPr>
          <w:sz w:val="20"/>
          <w:szCs w:val="20"/>
          <w:color w:val="auto"/>
        </w:rPr>
        <w:tab/>
      </w:r>
      <w:r>
        <w:rPr>
          <w:rFonts w:ascii="Arial" w:cs="Arial" w:eastAsia="Arial" w:hAnsi="Arial"/>
          <w:sz w:val="14"/>
          <w:szCs w:val="14"/>
          <w:color w:val="auto"/>
        </w:rPr>
        <w:t>(assuming, for purposes of determining the satisfaction of any</w:t>
      </w:r>
    </w:p>
    <w:p>
      <w:pPr>
        <w:spacing w:after="0" w:line="1" w:lineRule="exact"/>
        <w:rPr>
          <w:sz w:val="20"/>
          <w:szCs w:val="20"/>
          <w:color w:val="auto"/>
        </w:rPr>
      </w:pPr>
    </w:p>
    <w:p>
      <w:pPr>
        <w:ind w:left="340"/>
        <w:spacing w:after="0"/>
        <w:tabs>
          <w:tab w:leader="none" w:pos="7440" w:val="left"/>
        </w:tabs>
        <w:rPr>
          <w:sz w:val="20"/>
          <w:szCs w:val="20"/>
          <w:color w:val="auto"/>
        </w:rPr>
      </w:pPr>
      <w:r>
        <w:rPr>
          <w:rFonts w:ascii="Arial" w:cs="Arial" w:eastAsia="Arial" w:hAnsi="Arial"/>
          <w:sz w:val="14"/>
          <w:szCs w:val="14"/>
          <w:color w:val="auto"/>
        </w:rPr>
        <w:t>applicable market-based vesting condition, an initial public offering price of our Class A common stock of $</w:t>
      </w:r>
      <w:r>
        <w:rPr>
          <w:sz w:val="20"/>
          <w:szCs w:val="20"/>
          <w:color w:val="auto"/>
        </w:rPr>
        <w:tab/>
      </w:r>
      <w:r>
        <w:rPr>
          <w:rFonts w:ascii="Arial" w:cs="Arial" w:eastAsia="Arial" w:hAnsi="Arial"/>
          <w:sz w:val="14"/>
          <w:szCs w:val="14"/>
          <w:color w:val="auto"/>
        </w:rPr>
        <w:t>per share, which is the midpoint of the</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estimated offering price range set forth on the cover page of this prospectus), which is excluded from the unaudited pro forma net loss computation described above.</w:t>
      </w:r>
    </w:p>
    <w:p>
      <w:pPr>
        <w:spacing w:after="0" w:line="1" w:lineRule="exact"/>
        <w:rPr>
          <w:sz w:val="20"/>
          <w:szCs w:val="20"/>
          <w:color w:val="auto"/>
        </w:rPr>
      </w:pPr>
    </w:p>
    <w:p>
      <w:pPr>
        <w:ind w:left="320" w:hanging="306"/>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Weighted-average shares used to compute net loss per share attributable to common stockholders give effect to (i) the Preferred Share Conversion,</w:t>
      </w:r>
    </w:p>
    <w:p>
      <w:pPr>
        <w:spacing w:after="0" w:line="1" w:lineRule="exact"/>
        <w:rPr>
          <w:rFonts w:ascii="Arial" w:cs="Arial" w:eastAsia="Arial" w:hAnsi="Arial"/>
          <w:sz w:val="14"/>
          <w:szCs w:val="14"/>
          <w:color w:val="auto"/>
        </w:rPr>
      </w:pPr>
    </w:p>
    <w:p>
      <w:pPr>
        <w:jc w:val="both"/>
        <w:ind w:left="340" w:right="20" w:hanging="2"/>
        <w:spacing w:after="0" w:line="241" w:lineRule="auto"/>
        <w:tabs>
          <w:tab w:leader="none" w:pos="567"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Convertible Note Conversion, (iii) the IPO-Vesting Time-Based RSU Settlement and (iv) the IPO-Vesting Market-Based RSU Settlement. Unaudited pro forma diluted net loss per share is the same as the unaudited pro forma basic net loss per share for each period because the impact of</w:t>
      </w:r>
    </w:p>
    <w:p>
      <w:pPr>
        <w:spacing w:after="0" w:line="1" w:lineRule="exact"/>
        <w:rPr>
          <w:sz w:val="20"/>
          <w:szCs w:val="20"/>
          <w:color w:val="auto"/>
        </w:rPr>
      </w:pPr>
    </w:p>
    <w:p>
      <w:pPr>
        <w:jc w:val="both"/>
        <w:ind w:left="340"/>
        <w:spacing w:after="0" w:line="245" w:lineRule="auto"/>
        <w:rPr>
          <w:sz w:val="20"/>
          <w:szCs w:val="20"/>
          <w:color w:val="auto"/>
        </w:rPr>
      </w:pPr>
      <w:r>
        <w:rPr>
          <w:rFonts w:ascii="Arial" w:cs="Arial" w:eastAsia="Arial" w:hAnsi="Arial"/>
          <w:sz w:val="14"/>
          <w:szCs w:val="14"/>
          <w:color w:val="auto"/>
        </w:rPr>
        <w:t>any potentially dilutive securities was anti-dilutive. Shares underlying approximately IPO-Vesting Time-Based RSUs and approximately IPO-Vesting Market-Based RSUs that would have vested after March 31, 2021 through the date of this prospectus (assuming, for purposes of determining the satisfaction of any applicable market-based vesting condition, an initial public offering price of our Class A common stock of $ per share, which is the midpoint of the estimated offering price range set forth on the cover page of this prospectus) have been excluded from the unaudited pro forma weighted-average shares calculated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18"/>
                <w:szCs w:val="18"/>
                <w:b w:val="1"/>
                <w:bCs w:val="1"/>
                <w:color w:val="auto"/>
                <w:w w:val="99"/>
                <w:vertAlign w:val="superscript"/>
              </w:rPr>
              <w:t>(1)</w:t>
            </w:r>
          </w:p>
        </w:tc>
        <w:tc>
          <w:tcPr>
            <w:tcW w:w="1380" w:type="dxa"/>
            <w:vAlign w:val="bottom"/>
          </w:tcPr>
          <w:p>
            <w:pPr>
              <w:jc w:val="right"/>
              <w:ind w:right="147"/>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tcPr>
          <w:p>
            <w:pPr>
              <w:jc w:val="right"/>
              <w:ind w:right="127"/>
              <w:spacing w:after="0" w:line="176" w:lineRule="exact"/>
              <w:rPr>
                <w:sz w:val="20"/>
                <w:szCs w:val="20"/>
                <w:color w:val="auto"/>
              </w:rPr>
            </w:pPr>
            <w:r>
              <w:rPr>
                <w:rFonts w:ascii="Arial" w:cs="Arial" w:eastAsia="Arial" w:hAnsi="Arial"/>
                <w:sz w:val="20"/>
                <w:szCs w:val="20"/>
                <w:b w:val="1"/>
                <w:bCs w:val="1"/>
                <w:color w:val="auto"/>
                <w:vertAlign w:val="subscript"/>
              </w:rPr>
              <w:t>Adjusted</w:t>
            </w:r>
            <w:r>
              <w:rPr>
                <w:rFonts w:ascii="Arial" w:cs="Arial" w:eastAsia="Arial" w:hAnsi="Arial"/>
                <w:sz w:val="8"/>
                <w:szCs w:val="8"/>
                <w:b w:val="1"/>
                <w:bCs w:val="1"/>
                <w:color w:val="auto"/>
              </w:rPr>
              <w:t>(2)(3)(4)</w:t>
            </w:r>
          </w:p>
        </w:tc>
        <w:tc>
          <w:tcPr>
            <w:tcW w:w="0" w:type="dxa"/>
            <w:vAlign w:val="bottom"/>
          </w:tcPr>
          <w:p>
            <w:pPr>
              <w:spacing w:after="0"/>
              <w:rPr>
                <w:sz w:val="1"/>
                <w:szCs w:val="1"/>
                <w:color w:val="auto"/>
              </w:rPr>
            </w:pPr>
          </w:p>
        </w:tc>
      </w:tr>
      <w:tr>
        <w:trPr>
          <w:trHeight w:val="169"/>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Consolidated Balance Sheet Data (at period end):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4,794,546</w:t>
            </w:r>
          </w:p>
        </w:tc>
        <w:tc>
          <w:tcPr>
            <w:tcW w:w="148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118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Receivables from users,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5,367,042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5,658,312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15,104,493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 to users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Convertible notes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line="230"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369,162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8,864,057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2,179,739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(1,485,186)</w:t>
            </w:r>
          </w:p>
        </w:tc>
        <w:tc>
          <w:tcPr>
            <w:tcW w:w="148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8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right"/>
        <w:ind w:left="20"/>
        <w:spacing w:after="0" w:line="241" w:lineRule="auto"/>
        <w:rPr>
          <w:sz w:val="20"/>
          <w:szCs w:val="20"/>
          <w:color w:val="auto"/>
        </w:rPr>
      </w:pPr>
      <w:r>
        <w:rPr>
          <w:rFonts w:ascii="Arial" w:cs="Arial" w:eastAsia="Arial" w:hAnsi="Arial"/>
          <w:sz w:val="14"/>
          <w:szCs w:val="14"/>
          <w:color w:val="auto"/>
        </w:rPr>
        <w:t>(1)  The pro forma consolidated balance sheet data gives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w:t>
      </w:r>
    </w:p>
    <w:p>
      <w:pPr>
        <w:spacing w:after="0" w:line="1" w:lineRule="exact"/>
        <w:rPr>
          <w:sz w:val="20"/>
          <w:szCs w:val="20"/>
          <w:color w:val="auto"/>
        </w:rPr>
      </w:pPr>
    </w:p>
    <w:p>
      <w:pPr>
        <w:ind w:left="340"/>
        <w:spacing w:after="0"/>
        <w:tabs>
          <w:tab w:leader="none" w:pos="6420" w:val="left"/>
        </w:tabs>
        <w:rPr>
          <w:sz w:val="20"/>
          <w:szCs w:val="20"/>
          <w:color w:val="auto"/>
        </w:rPr>
      </w:pPr>
      <w:r>
        <w:rPr>
          <w:rFonts w:ascii="Arial" w:cs="Arial" w:eastAsia="Arial" w:hAnsi="Arial"/>
          <w:sz w:val="14"/>
          <w:szCs w:val="14"/>
          <w:color w:val="auto"/>
        </w:rPr>
        <w:t>Settlement and the IPO-Vesting Market-Based RSU Settlement, (vi) the borrowing of $</w:t>
      </w:r>
      <w:r>
        <w:rPr>
          <w:sz w:val="20"/>
          <w:szCs w:val="20"/>
          <w:color w:val="auto"/>
        </w:rPr>
        <w:tab/>
      </w:r>
      <w:r>
        <w:rPr>
          <w:rFonts w:ascii="Arial" w:cs="Arial" w:eastAsia="Arial" w:hAnsi="Arial"/>
          <w:sz w:val="14"/>
          <w:szCs w:val="14"/>
          <w:color w:val="auto"/>
        </w:rPr>
        <w:t>under our revolving credit facilities to satisfy our tax</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withholding and remittance obligations related to the IPO-Vesting Time-Based RSU Settlement and the IPO-Vesting Market-Based RSU Settlement,</w:t>
      </w:r>
    </w:p>
    <w:p>
      <w:pPr>
        <w:spacing w:after="0" w:line="1" w:lineRule="exact"/>
        <w:rPr>
          <w:sz w:val="20"/>
          <w:szCs w:val="20"/>
          <w:color w:val="auto"/>
        </w:rPr>
      </w:pPr>
    </w:p>
    <w:p>
      <w:pPr>
        <w:jc w:val="both"/>
        <w:ind w:left="340" w:hanging="2"/>
        <w:spacing w:after="0" w:line="241" w:lineRule="auto"/>
        <w:tabs>
          <w:tab w:leader="none" w:pos="62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cash payment of $ to satisfy our tax withholding and remittance liabilities described in clause (v) above (assuming the effectiveness of this offering on March 31, 2021 for purposes of any applicable time-based vesting conditions; an initial public offering price of our Class A common stock of</w:t>
      </w:r>
    </w:p>
    <w:p>
      <w:pPr>
        <w:jc w:val="both"/>
        <w:ind w:left="340"/>
        <w:spacing w:after="0" w:line="241" w:lineRule="auto"/>
        <w:rPr>
          <w:rFonts w:ascii="Arial" w:cs="Arial" w:eastAsia="Arial" w:hAnsi="Arial"/>
          <w:sz w:val="14"/>
          <w:szCs w:val="14"/>
          <w:color w:val="auto"/>
        </w:rPr>
      </w:pPr>
      <w:r>
        <w:rPr>
          <w:rFonts w:ascii="Arial" w:cs="Arial" w:eastAsia="Arial" w:hAnsi="Arial"/>
          <w:sz w:val="14"/>
          <w:szCs w:val="14"/>
          <w:color w:val="auto"/>
        </w:rPr>
        <w:t>$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w:t>
      </w:r>
    </w:p>
    <w:p>
      <w:pPr>
        <w:spacing w:after="0" w:line="1" w:lineRule="exact"/>
        <w:rPr>
          <w:rFonts w:ascii="Arial" w:cs="Arial" w:eastAsia="Arial" w:hAnsi="Arial"/>
          <w:sz w:val="14"/>
          <w:szCs w:val="14"/>
          <w:color w:val="auto"/>
        </w:rPr>
      </w:pPr>
    </w:p>
    <w:p>
      <w:pPr>
        <w:jc w:val="both"/>
        <w:ind w:left="340"/>
        <w:spacing w:after="0" w:line="241" w:lineRule="auto"/>
        <w:rPr>
          <w:rFonts w:ascii="Arial" w:cs="Arial" w:eastAsia="Arial" w:hAnsi="Arial"/>
          <w:sz w:val="14"/>
          <w:szCs w:val="14"/>
          <w:color w:val="auto"/>
        </w:rPr>
      </w:pPr>
      <w:r>
        <w:rPr>
          <w:rFonts w:ascii="Arial" w:cs="Arial" w:eastAsia="Arial" w:hAnsi="Arial"/>
          <w:sz w:val="14"/>
          <w:szCs w:val="14"/>
          <w:color w:val="auto"/>
        </w:rPr>
        <w:t>class A common stock, (ix) share-based compensation expense of $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w:t>
      </w:r>
    </w:p>
    <w:p>
      <w:pPr>
        <w:spacing w:after="0" w:line="1"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4"/>
          <w:szCs w:val="14"/>
          <w:color w:val="auto"/>
        </w:rPr>
        <w:t>vesting condition, an initial public offering price of our Class A common stock of $ per share, which is the midpoint of the estimated offering price range set forth on the cover page of this prospectus, reflected as an increase to additional paid-in capital and accumulated deficit, (x) income tax benefit of</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920"/>
          </w:cols>
          <w:pgMar w:left="980" w:top="1440" w:right="99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27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0" w:hanging="2"/>
        <w:spacing w:after="0" w:line="241" w:lineRule="auto"/>
        <w:tabs>
          <w:tab w:leader="none" w:pos="627" w:val="left"/>
        </w:tabs>
        <w:numPr>
          <w:ilvl w:val="1"/>
          <w:numId w:val="25"/>
        </w:numPr>
        <w:rPr>
          <w:rFonts w:ascii="Arial" w:cs="Arial" w:eastAsia="Arial" w:hAnsi="Arial"/>
          <w:sz w:val="14"/>
          <w:szCs w:val="14"/>
          <w:color w:val="auto"/>
        </w:rPr>
      </w:pPr>
      <w:r>
        <w:rPr>
          <w:rFonts w:ascii="Arial" w:cs="Arial" w:eastAsia="Arial" w:hAnsi="Arial"/>
          <w:sz w:val="14"/>
          <w:szCs w:val="14"/>
          <w:color w:val="auto"/>
        </w:rPr>
        <w:t>, net of valuation allowance, (xi) the filing and effectiveness of our Charter in Delaware, which will occur immediately prior to the completion of this offering and will effect the Reclassification, and (xii) the Class B Exchange.</w:t>
      </w:r>
    </w:p>
    <w:p>
      <w:pPr>
        <w:ind w:left="320" w:hanging="306"/>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 forma as adjusted column in the consolidated balance sheet data table above gives effect to (i) the pro forma adjustments set out above, (ii)</w:t>
      </w:r>
    </w:p>
    <w:p>
      <w:pPr>
        <w:spacing w:after="0" w:line="1" w:lineRule="exact"/>
        <w:rPr>
          <w:sz w:val="20"/>
          <w:szCs w:val="20"/>
          <w:color w:val="auto"/>
        </w:rPr>
      </w:pPr>
    </w:p>
    <w:p>
      <w:pPr>
        <w:ind w:left="340"/>
        <w:spacing w:after="0"/>
        <w:tabs>
          <w:tab w:leader="none" w:pos="2400" w:val="left"/>
        </w:tabs>
        <w:rPr>
          <w:sz w:val="20"/>
          <w:szCs w:val="20"/>
          <w:color w:val="auto"/>
        </w:rPr>
      </w:pPr>
      <w:r>
        <w:rPr>
          <w:rFonts w:ascii="Arial" w:cs="Arial" w:eastAsia="Arial" w:hAnsi="Arial"/>
          <w:sz w:val="14"/>
          <w:szCs w:val="14"/>
          <w:color w:val="auto"/>
        </w:rPr>
        <w:t>our issuance and sale of</w:t>
      </w:r>
      <w:r>
        <w:rPr>
          <w:sz w:val="20"/>
          <w:szCs w:val="20"/>
          <w:color w:val="auto"/>
        </w:rPr>
        <w:tab/>
      </w:r>
      <w:r>
        <w:rPr>
          <w:rFonts w:ascii="Arial" w:cs="Arial" w:eastAsia="Arial" w:hAnsi="Arial"/>
          <w:sz w:val="14"/>
          <w:szCs w:val="14"/>
          <w:color w:val="auto"/>
        </w:rPr>
        <w:t>shares of Class A common stock in this offering, assuming an initial public offering price of our Class A common stock</w:t>
      </w:r>
    </w:p>
    <w:p>
      <w:pPr>
        <w:spacing w:after="0" w:line="1"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4"/>
          <w:szCs w:val="14"/>
          <w:color w:val="auto"/>
        </w:rPr>
        <w:t>of $</w:t>
      </w:r>
      <w:r>
        <w:rPr>
          <w:sz w:val="20"/>
          <w:szCs w:val="20"/>
          <w:color w:val="auto"/>
        </w:rPr>
        <w:tab/>
      </w:r>
      <w:r>
        <w:rPr>
          <w:rFonts w:ascii="Arial" w:cs="Arial" w:eastAsia="Arial" w:hAnsi="Arial"/>
          <w:sz w:val="14"/>
          <w:szCs w:val="14"/>
          <w:color w:val="auto"/>
        </w:rPr>
        <w:t>per share, which is the midpoint of the estimated price range set forth on the cover page of this prospectus, after deducting the estimated</w:t>
      </w:r>
    </w:p>
    <w:p>
      <w:pPr>
        <w:spacing w:after="0" w:line="1" w:lineRule="exact"/>
        <w:rPr>
          <w:sz w:val="20"/>
          <w:szCs w:val="20"/>
          <w:color w:val="auto"/>
        </w:rPr>
      </w:pPr>
    </w:p>
    <w:p>
      <w:pPr>
        <w:jc w:val="both"/>
        <w:ind w:left="340" w:right="20"/>
        <w:spacing w:after="0" w:line="241" w:lineRule="auto"/>
        <w:rPr>
          <w:sz w:val="20"/>
          <w:szCs w:val="20"/>
          <w:color w:val="auto"/>
        </w:rPr>
      </w:pPr>
      <w:r>
        <w:rPr>
          <w:rFonts w:ascii="Arial" w:cs="Arial" w:eastAsia="Arial" w:hAnsi="Arial"/>
          <w:sz w:val="14"/>
          <w:szCs w:val="14"/>
          <w:color w:val="auto"/>
        </w:rPr>
        <w:t>underwriting discounts and commissions, estimated offering expenses payable by us, of which $0.2 million had been paid, and $5.0 million had been accrued, at March 31, 2021 and (iii) the use of a portion of the proceeds from the offering to repay $ of borrowings drawn under our revolving credit facilities to satisfy our tax withholding and remittance obligations related to the IPO-Vesting Time-Based RSU Settlement and the IPO-Vesting Market-Based RSU Settlement, as described under “Use of Proceeds.”</w:t>
      </w:r>
    </w:p>
    <w:p>
      <w:pPr>
        <w:spacing w:after="0" w:line="1" w:lineRule="exact"/>
        <w:rPr>
          <w:sz w:val="20"/>
          <w:szCs w:val="20"/>
          <w:color w:val="auto"/>
        </w:rPr>
      </w:pPr>
    </w:p>
    <w:p>
      <w:pPr>
        <w:jc w:val="both"/>
        <w:ind w:left="340" w:right="20" w:hanging="326"/>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and will depend on the actual initial public offering price, the number of shares of Class A common stock sold by us in this offering and other terms of this offering determined at pricing. Each $1.00 increase or decrease in</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the assumed initial public offering price of our Class A common stock of $ per share, which is the midpoint of the estimated price range set forth on the cover page of this prospectus, would increase or decrease, as applicable, (i) each of cash and cash equivalents, cash and securities segregated under federal and other regulations, working capital, total assets and total stockholders’ (deficit) equity on a pro forma as adjusted basis by</w:t>
      </w:r>
    </w:p>
    <w:p>
      <w:pPr>
        <w:spacing w:after="0" w:line="1"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4"/>
          <w:szCs w:val="14"/>
          <w:color w:val="auto"/>
        </w:rPr>
        <w:t>approximately $</w:t>
      </w:r>
      <w:r>
        <w:rPr>
          <w:sz w:val="20"/>
          <w:szCs w:val="20"/>
          <w:color w:val="auto"/>
        </w:rPr>
        <w:tab/>
      </w:r>
      <w:r>
        <w:rPr>
          <w:rFonts w:ascii="Arial" w:cs="Arial" w:eastAsia="Arial" w:hAnsi="Arial"/>
          <w:sz w:val="14"/>
          <w:szCs w:val="14"/>
          <w:color w:val="auto"/>
        </w:rPr>
        <w:t>, and (ii) the amount we would borrow under our revolving credit facilities and be required to pay to satisfy our tax withholding</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and remittance obligations by approximately $ , in each case assuming that the number of shares of Class A common stock offered by us, as set forth on the cover page of this prospectus, remains the same and after deducting estimated underwriting discounts and commissions and estimated offering expenses payable by us. Similarly, each 1,000,000-share increase or decrease in the number of shares of Class A common stock offered by us in this offering would increase or decrease, as applicable, each of cash and cash equivalents, cash and securities segregated under federal and</w:t>
      </w:r>
    </w:p>
    <w:p>
      <w:pPr>
        <w:spacing w:after="0" w:line="1" w:lineRule="exact"/>
        <w:rPr>
          <w:sz w:val="20"/>
          <w:szCs w:val="20"/>
          <w:color w:val="auto"/>
        </w:rPr>
      </w:pPr>
    </w:p>
    <w:p>
      <w:pPr>
        <w:ind w:left="340"/>
        <w:spacing w:after="0"/>
        <w:tabs>
          <w:tab w:leader="none" w:pos="9840" w:val="left"/>
        </w:tabs>
        <w:rPr>
          <w:sz w:val="20"/>
          <w:szCs w:val="20"/>
          <w:color w:val="auto"/>
        </w:rPr>
      </w:pPr>
      <w:r>
        <w:rPr>
          <w:rFonts w:ascii="Arial" w:cs="Arial" w:eastAsia="Arial" w:hAnsi="Arial"/>
          <w:sz w:val="14"/>
          <w:szCs w:val="14"/>
          <w:color w:val="auto"/>
        </w:rPr>
        <w:t>other regulations, working capital, total assets and total stockholders’ (deficit) equity on a pro forma as adjusted basis by approximately $</w:t>
      </w:r>
      <w:r>
        <w:rPr>
          <w:sz w:val="20"/>
          <w:szCs w:val="20"/>
          <w:color w:val="auto"/>
        </w:rPr>
        <w:tab/>
      </w:r>
      <w:r>
        <w:rPr>
          <w:rFonts w:ascii="Arial" w:cs="Arial" w:eastAsia="Arial" w:hAnsi="Arial"/>
          <w:sz w:val="14"/>
          <w:szCs w:val="14"/>
          <w:color w:val="auto"/>
        </w:rPr>
        <w:t>,</w:t>
      </w:r>
    </w:p>
    <w:p>
      <w:pPr>
        <w:spacing w:after="0" w:line="1" w:lineRule="exact"/>
        <w:rPr>
          <w:sz w:val="20"/>
          <w:szCs w:val="20"/>
          <w:color w:val="auto"/>
        </w:rPr>
      </w:pPr>
    </w:p>
    <w:p>
      <w:pPr>
        <w:ind w:left="340"/>
        <w:spacing w:after="0"/>
        <w:tabs>
          <w:tab w:leader="none" w:pos="7680" w:val="left"/>
        </w:tabs>
        <w:rPr>
          <w:sz w:val="20"/>
          <w:szCs w:val="20"/>
          <w:color w:val="auto"/>
        </w:rPr>
      </w:pPr>
      <w:r>
        <w:rPr>
          <w:rFonts w:ascii="Arial" w:cs="Arial" w:eastAsia="Arial" w:hAnsi="Arial"/>
          <w:sz w:val="14"/>
          <w:szCs w:val="14"/>
          <w:color w:val="auto"/>
        </w:rPr>
        <w:t>assuming no change in the assumed initial public offering price per share of our Class A common stock of $</w:t>
      </w:r>
      <w:r>
        <w:rPr>
          <w:sz w:val="20"/>
          <w:szCs w:val="20"/>
          <w:color w:val="auto"/>
        </w:rPr>
        <w:tab/>
      </w:r>
      <w:r>
        <w:rPr>
          <w:rFonts w:ascii="Arial" w:cs="Arial" w:eastAsia="Arial" w:hAnsi="Arial"/>
          <w:sz w:val="14"/>
          <w:szCs w:val="14"/>
          <w:color w:val="auto"/>
        </w:rPr>
        <w:t>per share, which is the midpoint of</w:t>
      </w:r>
    </w:p>
    <w:p>
      <w:pPr>
        <w:spacing w:after="0" w:line="1" w:lineRule="exact"/>
        <w:rPr>
          <w:sz w:val="20"/>
          <w:szCs w:val="20"/>
          <w:color w:val="auto"/>
        </w:rPr>
      </w:pPr>
    </w:p>
    <w:p>
      <w:pPr>
        <w:jc w:val="both"/>
        <w:ind w:left="340" w:right="20"/>
        <w:spacing w:after="0" w:line="251" w:lineRule="auto"/>
        <w:rPr>
          <w:sz w:val="20"/>
          <w:szCs w:val="20"/>
          <w:color w:val="auto"/>
        </w:rPr>
      </w:pPr>
      <w:r>
        <w:rPr>
          <w:rFonts w:ascii="Arial" w:cs="Arial" w:eastAsia="Arial" w:hAnsi="Arial"/>
          <w:sz w:val="14"/>
          <w:szCs w:val="14"/>
          <w:color w:val="auto"/>
        </w:rPr>
        <w:t>the estimated price range set forth on the cover page of this prospectus, and after deducting estimated underwriting discounts and commissions and estimated offering expenses payable by us.</w:t>
      </w:r>
    </w:p>
    <w:p>
      <w:pPr>
        <w:spacing w:after="0" w:line="1" w:lineRule="exact"/>
        <w:rPr>
          <w:sz w:val="20"/>
          <w:szCs w:val="20"/>
          <w:color w:val="auto"/>
        </w:rPr>
      </w:pPr>
    </w:p>
    <w:p>
      <w:pPr>
        <w:ind w:left="320" w:hanging="306"/>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1" w:lineRule="exact"/>
        <w:rPr>
          <w:rFonts w:ascii="Arial" w:cs="Arial" w:eastAsia="Arial" w:hAnsi="Arial"/>
          <w:sz w:val="14"/>
          <w:szCs w:val="14"/>
          <w:color w:val="auto"/>
        </w:rPr>
      </w:pPr>
    </w:p>
    <w:p>
      <w:pPr>
        <w:jc w:val="both"/>
        <w:ind w:left="340" w:hanging="326"/>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2" w:lineRule="exact"/>
        <w:rPr>
          <w:rFonts w:ascii="Arial" w:cs="Arial" w:eastAsia="Arial" w:hAnsi="Arial"/>
          <w:sz w:val="14"/>
          <w:szCs w:val="14"/>
          <w:color w:val="auto"/>
        </w:rPr>
      </w:pPr>
    </w:p>
    <w:p>
      <w:pPr>
        <w:jc w:val="both"/>
        <w:ind w:left="340" w:hanging="326"/>
        <w:spacing w:after="0" w:line="244"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4"/>
          <w:szCs w:val="14"/>
          <w:i w:val="1"/>
          <w:iCs w:val="1"/>
          <w:color w:val="auto"/>
        </w:rPr>
        <w:t>.</w:t>
      </w:r>
      <w:r>
        <w:rPr>
          <w:rFonts w:ascii="Arial" w:cs="Arial" w:eastAsia="Arial" w:hAnsi="Arial"/>
          <w:sz w:val="14"/>
          <w:szCs w:val="14"/>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Transactions—Convertible Note and Warrant Financings.”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5"/>
          <w:szCs w:val="25"/>
          <w:color w:val="auto"/>
        </w:rPr>
        <w:t>Key Performance Metrics</w:t>
      </w:r>
    </w:p>
    <w:p>
      <w:pPr>
        <w:spacing w:after="0" w:line="196" w:lineRule="exact"/>
        <w:rPr>
          <w:sz w:val="20"/>
          <w:szCs w:val="20"/>
          <w:color w:val="auto"/>
        </w:rPr>
      </w:pPr>
    </w:p>
    <w:p>
      <w:pPr>
        <w:jc w:val="both"/>
        <w:ind w:left="20" w:right="20" w:firstLine="324"/>
        <w:spacing w:after="0" w:line="256"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or Month Ended</w:t>
            </w:r>
          </w:p>
        </w:tc>
        <w:tc>
          <w:tcPr>
            <w:tcW w:w="28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Three Months or Month Ended March 31,</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line="230"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Assets Under Custody (AUC)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c>
          <w:tcPr>
            <w:tcW w:w="0" w:type="dxa"/>
            <w:vAlign w:val="bottom"/>
          </w:tcPr>
          <w:p>
            <w:pPr>
              <w:spacing w:after="0"/>
              <w:rPr>
                <w:sz w:val="1"/>
                <w:szCs w:val="1"/>
                <w:color w:val="auto"/>
              </w:rPr>
            </w:pPr>
          </w:p>
        </w:tc>
      </w:tr>
      <w:tr>
        <w:trPr>
          <w:trHeight w:val="301"/>
        </w:trPr>
        <w:tc>
          <w:tcPr>
            <w:tcW w:w="3780" w:type="dxa"/>
            <w:vAlign w:val="bottom"/>
          </w:tcPr>
          <w:p>
            <w:pPr>
              <w:ind w:left="40"/>
              <w:spacing w:after="0"/>
              <w:rPr>
                <w:sz w:val="20"/>
                <w:szCs w:val="20"/>
                <w:color w:val="auto"/>
              </w:rPr>
            </w:pPr>
            <w:r>
              <w:rPr>
                <w:rFonts w:ascii="Arial" w:cs="Arial" w:eastAsia="Arial" w:hAnsi="Arial"/>
                <w:sz w:val="18"/>
                <w:szCs w:val="18"/>
                <w:color w:val="auto"/>
              </w:rPr>
              <w:t>Average Revenues Per User (ARPU)</w:t>
            </w:r>
            <w:r>
              <w:rPr>
                <w:rFonts w:ascii="Arial" w:cs="Arial" w:eastAsia="Arial" w:hAnsi="Arial"/>
                <w:sz w:val="23"/>
                <w:szCs w:val="23"/>
                <w:color w:val="auto"/>
                <w:vertAlign w:val="superscript"/>
              </w:rPr>
              <w:t>(4)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7"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920"/>
          </w:cols>
          <w:pgMar w:left="980" w:top="1440" w:right="99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36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26"/>
        <w:spacing w:after="0" w:line="241" w:lineRule="auto"/>
        <w:rPr>
          <w:sz w:val="20"/>
          <w:szCs w:val="20"/>
          <w:color w:val="auto"/>
        </w:rPr>
      </w:pPr>
      <w:r>
        <w:rPr>
          <w:rFonts w:ascii="Arial" w:cs="Arial" w:eastAsia="Arial" w:hAnsi="Arial"/>
          <w:sz w:val="14"/>
          <w:szCs w:val="14"/>
          <w:color w:val="auto"/>
        </w:rPr>
        <w:t>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“Management’s Discussion and Analysis of Financial Condition and Results of Operations—Key Components of our Results of Operations—Operating Expenses—Operations.”</w:t>
      </w:r>
    </w:p>
    <w:p>
      <w:pPr>
        <w:spacing w:after="0" w:line="2" w:lineRule="exact"/>
        <w:rPr>
          <w:sz w:val="20"/>
          <w:szCs w:val="20"/>
          <w:color w:val="auto"/>
        </w:rPr>
      </w:pPr>
    </w:p>
    <w:p>
      <w:pPr>
        <w:jc w:val="both"/>
        <w:ind w:left="326" w:hanging="326"/>
        <w:spacing w:after="0" w:line="241" w:lineRule="auto"/>
        <w:tabs>
          <w:tab w:leader="none" w:pos="3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jc w:val="both"/>
        <w:ind w:left="326" w:right="20" w:hanging="326"/>
        <w:spacing w:after="0" w:line="249" w:lineRule="auto"/>
        <w:tabs>
          <w:tab w:leader="none" w:pos="3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tbl>
      <w:tblPr>
        <w:tblLayout w:type="fixed"/>
        <w:tblInd w:w="326"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2380" w:type="dxa"/>
            <w:vAlign w:val="bottom"/>
            <w:gridSpan w:val="4"/>
          </w:tcPr>
          <w:p>
            <w:pPr>
              <w:jc w:val="right"/>
              <w:ind w:right="168"/>
              <w:spacing w:after="0" w:line="156" w:lineRule="exact"/>
              <w:rPr>
                <w:sz w:val="20"/>
                <w:szCs w:val="20"/>
                <w:color w:val="auto"/>
              </w:rPr>
            </w:pPr>
            <w:r>
              <w:rPr>
                <w:rFonts w:ascii="Arial" w:cs="Arial" w:eastAsia="Arial" w:hAnsi="Arial"/>
                <w:sz w:val="14"/>
                <w:szCs w:val="14"/>
                <w:b w:val="1"/>
                <w:bCs w:val="1"/>
                <w:color w:val="auto"/>
              </w:rPr>
              <w:t>Three Months or Month Ended</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11,721.8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65,076.7</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2,041.4</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Cryptocurrencies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414.7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11,597.4</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Cash held by users</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2,413.8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7,646.3</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customer margin balances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c>
          <w:tcPr>
            <w:tcW w:w="0" w:type="dxa"/>
            <w:vAlign w:val="bottom"/>
          </w:tcPr>
          <w:p>
            <w:pPr>
              <w:spacing w:after="0"/>
              <w:rPr>
                <w:sz w:val="1"/>
                <w:szCs w:val="1"/>
                <w:color w:val="auto"/>
              </w:rPr>
            </w:pPr>
          </w:p>
        </w:tc>
      </w:tr>
      <w:tr>
        <w:trPr>
          <w:trHeight w:val="184"/>
        </w:trPr>
        <w:tc>
          <w:tcPr>
            <w:tcW w:w="4040" w:type="dxa"/>
            <w:vAlign w:val="bottom"/>
          </w:tcPr>
          <w:p>
            <w:pPr>
              <w:ind w:left="20"/>
              <w:spacing w:after="0"/>
              <w:rPr>
                <w:sz w:val="20"/>
                <w:szCs w:val="20"/>
                <w:color w:val="auto"/>
              </w:rPr>
            </w:pPr>
            <w:r>
              <w:rPr>
                <w:rFonts w:ascii="Arial" w:cs="Arial" w:eastAsia="Arial" w:hAnsi="Arial"/>
                <w:sz w:val="14"/>
                <w:szCs w:val="14"/>
                <w:color w:val="auto"/>
              </w:rPr>
              <w:t>Assets Under Custody (AUC)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14,135.6</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62,978.5</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19,220.1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80,932.4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26" w:hanging="326"/>
        <w:spacing w:after="0" w:line="245" w:lineRule="auto"/>
        <w:tabs>
          <w:tab w:leader="none" w:pos="313"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25"/>
          <w:szCs w:val="25"/>
          <w:color w:val="auto"/>
        </w:rPr>
        <w:t>Non-GAAP Financial Measures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left="6"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U.S. generally accepted accounting principles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 (v) change in fair value of convertible notes and warrant liability and (vi) certain legal and tax settlements, reserves and expenses.</w:t>
      </w:r>
    </w:p>
    <w:p>
      <w:pPr>
        <w:spacing w:after="0" w:line="166"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906"/>
          </w:cols>
          <w:pgMar w:left="994" w:top="1440" w:right="99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833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583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8"/>
          <w:szCs w:val="18"/>
          <w:color w:val="auto"/>
        </w:rPr>
        <w:t>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5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expenses related to credit facilities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EBITDA (non-GAAP)</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(1,426,404)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178"/>
        </w:trPr>
        <w:tc>
          <w:tcPr>
            <w:tcW w:w="4040" w:type="dxa"/>
            <w:vAlign w:val="bottom"/>
          </w:tcPr>
          <w:p>
            <w:pPr>
              <w:ind w:left="40"/>
              <w:spacing w:after="0" w:line="178" w:lineRule="exact"/>
              <w:rPr>
                <w:sz w:val="20"/>
                <w:szCs w:val="20"/>
                <w:color w:val="auto"/>
              </w:rPr>
            </w:pPr>
            <w:r>
              <w:rPr>
                <w:rFonts w:ascii="Arial" w:cs="Arial" w:eastAsia="Arial" w:hAnsi="Arial"/>
                <w:sz w:val="18"/>
                <w:szCs w:val="18"/>
                <w:color w:val="auto"/>
              </w:rPr>
              <w:t>Change in fair value of convertible notes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40"/>
              <w:spacing w:after="0" w:line="228"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Certain legal and tax settlements, reserves and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80"/>
              <w:spacing w:after="0" w:line="228"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114,771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right="20" w:hanging="326"/>
        <w:spacing w:after="0" w:line="241"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 Change in Fair Value of Convertible Notes and Warrant Liability” for more information.</w:t>
      </w:r>
    </w:p>
    <w:p>
      <w:pPr>
        <w:spacing w:after="0" w:line="1" w:lineRule="exact"/>
        <w:rPr>
          <w:rFonts w:ascii="Arial" w:cs="Arial" w:eastAsia="Arial" w:hAnsi="Arial"/>
          <w:sz w:val="14"/>
          <w:szCs w:val="14"/>
          <w:color w:val="auto"/>
        </w:rPr>
      </w:pPr>
    </w:p>
    <w:p>
      <w:pPr>
        <w:jc w:val="both"/>
        <w:ind w:left="340" w:hanging="326"/>
        <w:spacing w:after="0" w:line="244"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certain FINRA matters, including the March 2020 Outages and options trading and related customer communications and displays (the “FINRA Matters”), and (iii) the charge of $10 million for potential resolution of a New York State Department of Financial Services (“NYDFS”) matter focused primarily on anti-money laundering and cybersecurity-related issues (the “NYDFS Matter”).</w:t>
      </w:r>
    </w:p>
    <w:p>
      <w:pPr>
        <w:spacing w:after="0" w:line="97" w:lineRule="exact"/>
        <w:rPr>
          <w:rFonts w:ascii="Arial" w:cs="Arial" w:eastAsia="Arial" w:hAnsi="Arial"/>
          <w:sz w:val="14"/>
          <w:szCs w:val="14"/>
          <w:color w:val="auto"/>
        </w:rPr>
      </w:pPr>
    </w:p>
    <w:p>
      <w:pPr>
        <w:jc w:val="both"/>
        <w:ind w:left="340"/>
        <w:spacing w:after="0" w:line="244" w:lineRule="auto"/>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For more information about these matters, see “Business—Legal Proceedings.”</w:t>
      </w:r>
    </w:p>
    <w:p>
      <w:pPr>
        <w:spacing w:after="0" w:line="146" w:lineRule="exact"/>
        <w:rPr>
          <w:sz w:val="20"/>
          <w:szCs w:val="20"/>
          <w:color w:val="auto"/>
        </w:rPr>
      </w:pPr>
    </w:p>
    <w:p>
      <w:pPr>
        <w:ind w:left="20" w:right="20" w:firstLine="324"/>
        <w:spacing w:after="0" w:line="261" w:lineRule="auto"/>
        <w:rPr>
          <w:sz w:val="20"/>
          <w:szCs w:val="20"/>
          <w:color w:val="auto"/>
        </w:rPr>
      </w:pPr>
      <w:r>
        <w:rPr>
          <w:rFonts w:ascii="Arial" w:cs="Arial" w:eastAsia="Arial" w:hAnsi="Arial"/>
          <w:sz w:val="18"/>
          <w:szCs w:val="18"/>
          <w:color w:val="auto"/>
        </w:rPr>
        <w:t>See “—Key Performance Metrics” and “—Non-GAAP Financial Measures” under the section titled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20"/>
          </w:cols>
          <w:pgMar w:left="980" w:top="1440" w:right="99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9019"/>
          </w:cols>
          <w:pgMar w:left="1440" w:top="1440" w:right="1440" w:bottom="1440"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RISK FACTORS</w:t>
      </w:r>
    </w:p>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Please refer to “Special Note Regarding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began operations in 2013, publicly launched our first product in 2015, and have since continued to introduce new products and services to our platform, such as buying and selling of select cryptocurrencies in 2018, our cash management services (which we refer to as our “Cash Management” product) in 2019 and our fractional shares program in 2019.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our operating history has coincided with an eight-year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downturn in U.S. equity markets and cannot assure that we will be able to respond effectively to any such downturn or slowdown in the future. We have also encountered, and will continue to encounter, risks and difficulties frequently experienced by growing companies in rapidly changing and heavily regulated industries, including achieving market acceptance of our products and services, attracting and retaining customers, complying with laws and regulations that are subject to evolving interpretations and application and increasing competition and expenses as we expand our business. We cannot be sure that we will be successful in addressing these and other challenges we may face, and our business may be adversely affected if we do not manage these risks successfully. In addition, we may not achieve sufficient revenue to maintain positive cash flows from operations or profitability in any given period, or at all.</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expanded our operations rapidly and have limited operating experience at our current size and scale. Between December 31, 2018 and March 31, 2021, our employee headcount increased from 289 to approximately 2,100, and we expect rapid headcount growth to continue for the foreseeable future. Further, our continued growth could strain our existing resources, and we could experience ongoing operating difficulties in managing our business across numerous jurisdictions, including difficulties in hiring, training and managing a dispersed and growing employee base. Competition for skilled personnel in our industry is intense, especially in the San Francisco Bay Area, where our headquarters is located and where we have a substantial presence and need for highly skilled personnel, and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recruit and retain enough suitable personnel to support our growth as we seek to expand our operations, we may be unable to successfully expand or maintain our operations or achieve our corporate objectives.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a critical component of our success has been our corporate culture. We have invested substantial time and resources in building our team. As we continue to grow, including geographically expanding our presence, expanding through acquisitions of other businesses or talent and through developing our infrastructure, we will need to maintain our corporate culture among a larger number of employees dispersed in various geographic regions. Failure to scale and preserve our company culture as we grow could also harm our future success, including our ability to retain and recruit personnel and to effectively focus on and pursue our corporate objectives. The ongoing effects of the COVID-19 pandemic, including our transition to having a more dispersed, remote-working employee base, may exacerbate these challenges. Any failure to preserve our culture could negatively affect our future success, including our ability to retain, integrate and recruit personnel and to effectively focus on and pursue our corporate objectives.</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growth strategy contemplates significant expenditures for marketing, investing in customer support, expansion into new countries and markets, enhancements to our current offerings and development of new products and services, and we cannot guarantee that we will be successful in these efforts. In addition, our business is highly dependent on our technology platform, and we also rely on certain third-party service providers and computer systems. Any failure to maintain or upgrade our technology or network infrastructure effectively to support our growth, particularly as our customer base grows and we experience any corresponding surges in trading volume, or any interruption in the third-party services or deterioration in the quality of their service or performance, could result in unanticipated system disruptions, platform outages or other performance problems which have in the past and may in the future result in degraded service, or partial or full service outages on our platforms, costly litigation, regulatory and U.S. Congressional inquiries, examinations and investigations, customer dissatisfaction, arbitration and complaints and reputational harm and may have an adverse effect on our business. For example, we experienced (i) a service outage on our stock trading platform from March 2-3, 2020 caused by stress placed on our infrastructure due to highly volatile and historic market conditions, record trading volume and record account sign-ups and another service outage on March 9, 2020 (the “March 2020 Outages”) and (ii) partial service outages and degraded service on our cryptocurrency platform in mid-April and early May 2021, caused by a surging demand for cryptocurrency trading (the “April-May 2021 Outages”). See “Risks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technological failures, whether internal or external</w:t>
      </w:r>
      <w:r>
        <w:rPr>
          <w:rFonts w:ascii="Arial" w:cs="Arial" w:eastAsia="Arial" w:hAnsi="Arial"/>
          <w:sz w:val="18"/>
          <w:szCs w:val="18"/>
          <w:color w:val="auto"/>
        </w:rPr>
        <w:t>” and “Risks Related to Our Platform, Systems and Technology—</w:t>
      </w:r>
      <w:r>
        <w:rPr>
          <w:rFonts w:ascii="Arial" w:cs="Arial" w:eastAsia="Arial" w:hAnsi="Arial"/>
          <w:sz w:val="18"/>
          <w:szCs w:val="18"/>
          <w:i w:val="1"/>
          <w:iCs w:val="1"/>
          <w:color w:val="auto"/>
        </w:rPr>
        <w:t>We rely on third parties to perform certain key functions, and their failure to perform those functions could adversely affect our business, financial condition and results of operations</w:t>
      </w:r>
      <w:r>
        <w:rPr>
          <w:rFonts w:ascii="Arial" w:cs="Arial" w:eastAsia="Arial" w:hAnsi="Arial"/>
          <w:sz w:val="18"/>
          <w:szCs w:val="18"/>
          <w:color w:val="auto"/>
        </w:rPr>
        <w:t>.” In addition, our customer service team has historically experienced and continues to experience backlogs responding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requests, including in connection with the April-May 2021 Outages,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our growth, we may experience erosion to our brand, the quality of our products and services may suffer, we may face regulatory obstacles, including adverse enforcement actions, other regulatory restrictions or limitations or failure to obtain regulatory approvals required for certain types of growth, and our company culture may be harmed. We may also experience difficulties in providing adequate customer support to our growing customer base. Failure to improve, maintain or increase customer support now or in the future may inhibit our growth.</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we have limited experience operating our business at its current scale, it is difficult to evaluate our current business and future prospects, including our ability to plan for and model future growth. Our limited operating experience at this scale, combined with the rapidly evolving nature of the market for our products and services, substantial uncertainty concerning how these markets may develop, the complex regulatory regimes applicable to different aspects of our business and other factors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control, reduces our ability to accurately forecast quarterly or annual revenue and to predict the risks and challenges we may encounter.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manage our future growth effectively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grown rapidly over the last few years, and therefore our recent revenue growth rate and financial performance should not be considered indicative of our future performance. In particular, since March 2020, we have experienced a significant increase in revenue, MAU, AUC and Net Cumulative Funded Accounts. For example, for the years ended 2019 and 2020, our revenue was $277.5 million and $958.8 million, respectively, representing annual growth of 245%. In addition, for the three months ended March 31, 2021, during which we experienced high trading volume and account sign-ups as well as high market volatility, particularly in certain market sectors, our revenue was $522.2 million, as compared to $127.6 million for the three months ended March 31, 2020, and, on March 31, 2021, we had Net Cumulative Funded Accounts of 18.0 million, as compared to 7.2 million on March 31, 2020, representing growth of 309% and 151%, respectively. The circumstances that have accelerated the growth of our business may not continue in the future, and we expect the growth rates in revenue, MAU, AUC and Net Cumulative Funded Accounts to decline in future periods, and such declines could be significant.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revenue growth rate is likely to decline in future periods as the size of our business grows and as we achieve higher market adoption rates. We may also experience declines in our revenue growth rate as a result of a number of factors, including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our revenue growth rate declines, investors’ perceptions of our business and the trading price of our Class A common stock could be adversely affected. For more information about MAU, AUC and Net Cumulative Funded Accounts, see “Management’s Discussion and Analysis of Financial Condition and Results of Operations—Key Performance Metrics.”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of operations and other operating metrics may fluctuate from quarter to quarter, which makes these metrics difficult to predict.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and fluctuations in trading levels, each of which is outside our control and will continue to be outside of our control. Additionally, our limited operating history makes it difficult to forecast our future results. As a result, period-to-period comparisons of our results of operations may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many of which we are unable to predict or are outside of our control, which could include:</w:t>
      </w:r>
    </w:p>
    <w:p>
      <w:pPr>
        <w:spacing w:after="0" w:line="16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market acceptance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1" w:lineRule="exact"/>
        <w:rPr>
          <w:sz w:val="20"/>
          <w:szCs w:val="20"/>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continued development and improvement of our products and services, including our intellectual property, proprietary technology and customer support functions;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other changes in the competitive landscape of our market;</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expand our operations and to remain competitive;</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 of non-cash expenses, such as stock-based compensation and asset impairment;</w:t>
      </w:r>
    </w:p>
    <w:p>
      <w:pPr>
        <w:spacing w:after="0" w:line="198"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expansion into new markets, products and services, such as cryptocurrency trading, fractional shares trading or our Cash Management product;</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trading in global markets or decreased demand for financial services products generally;</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growth in the adoption and use of cryptocurrencies and the public perception thereof;</w:t>
      </w:r>
    </w:p>
    <w:p>
      <w:pPr>
        <w:spacing w:after="0" w:line="198"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system disruptions, outages and other performance problems or interruptions on our platform, or breaches of security or privacy;</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with our customers, adverse litigation and regulatory judgments, enforcement actions, settlements or other related costs and the public perception thereof;</w:t>
      </w:r>
    </w:p>
    <w:p>
      <w:pPr>
        <w:spacing w:after="0" w:line="157"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w:t>
      </w:r>
    </w:p>
    <w:p>
      <w:pPr>
        <w:spacing w:after="0" w:line="17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scope or focus of regulatory investigations and inquiries, or interpretations of regulatory requirements;</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development of any unique features or services that may be the subject of regulatory criticism or form the basis for regulatory enforcement action, including regulatory actions to prohibit certain practices or features;</w:t>
      </w:r>
    </w:p>
    <w:p>
      <w:pPr>
        <w:spacing w:after="0" w:line="15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tax rate for our business, which may be affected by any changes to our valuation allowance, domestic deferred tax assets, and the effects of changes in our business;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or judicial or regulatory interpretations of tax laws, which are recorded in the period such laws are enacted or interpretations are issued, and may significantly affect the effective tax rate of that period;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requirements imposed on us by regulators or by our counterparties, including net capital requirements imposed by the SEC and FINRA and cash deposit and collateral requirements imposed by the DTC, NSCC and OCC;</w:t>
      </w:r>
    </w:p>
    <w:p>
      <w:pPr>
        <w:spacing w:after="0" w:line="170"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volatility in the overall market which could, among other things, impact demand for our services, the magnitude of our cash deposit and collateral requirements and our growth strategy and business more generally; and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impact of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8"/>
          </w:cols>
          <w:pgMar w:left="652" w:top="1440" w:right="339" w:bottom="1440" w:gutter="0" w:footer="0" w:header="0"/>
        </w:sectPr>
      </w:pPr>
    </w:p>
    <w:bookmarkStart w:id="56" w:name="page57"/>
    <w:bookmarkEnd w:id="56"/>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may not maintain profitability in the future.</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incurred operating losses each year since our inception in 2013 through 2019, including net losses of $6.1 million, $57.5 million and $106.6 million for fiscal 2017, 2018 and 2019, respectively. We expect our operating expenses to continue to increase in the future as we increase our sales and marketing efforts, continue to invest in research and development, further develop our products and services, improve and expand our customer support functions and expand into new geographies. These efforts and additional expenses may be more costly than we expect, and we cannot guarantee that we will be able to increase our revenue by an amount sufficient to offset our increased operating expenses or to become profitable. Our revenue growth may slow or our revenue may decline for a number of other reasons, which could include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we are unable to successfully address these risks and challenges as we encounter them, our business, financial condition and results of operations could be adversely affected. If we are unable to generate adequate revenue growth and offset our operating expenses, we may continue to incur significant losses and may not be able to maintain profitability in the future.</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 ended December 31, 2020, revenue derived from PFOF and Transaction Rebates represented 75% of our total revenues, and for the three months ended March 31, 2021, represented 81% of our total revenues. Computer-generated buy/sell programs and other technological advances and regulatory changes in the marketplace may continue to tighten spreads on transactions, which could lead to a decrease in our PFOF earned from market makers. Our transaction-based revenue could also be harmed by decreased levels of trading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not documented under binding contracts. For the three months ended March 31, 2021, 59% of our total revenues came from four market makers. If any of these market makers, or any other market makers with whom we do business, were unwilling to continue to receive orders from us or to pay us for those orders (including, for example, as a result of unusually high volatility), we may have little to no recourse and, if there are no other market makers that are willing to receive such orders from us or to pay us for such orders, or if we are unable to find replacement market-makers in a timely manner, our transaction-based revenue would be impacted negatively. This risk is particularly heightened for RHC as there are very few market makers that are currently able to execute cryptocurrency trades. Furthermore, if market makers decide to alter our fee structure or to enter into more favorable fee structures with our competitors, our transaction-based revenue could be impacted negatively. Any decrease in transaction-based revenue from market makers could have an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trading venues. Additionally, our PFOF practices were the subject of a line of critical questioning during a February 18, 2021 U.S. Congressional hearing related to the Early 2021 Trading Restrictions (defined below under “—</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 additional capital to satisfy our liquidity needs and support business growth and objectives, and this capital might not be available to use on reasonable terms, if at all, may result in stockholder dilution, and may be delayed or prohibited by applicable regulations”</w:t>
      </w:r>
      <w:r>
        <w:rPr>
          <w:rFonts w:ascii="Arial" w:cs="Arial" w:eastAsia="Arial" w:hAnsi="Arial"/>
          <w:sz w:val="18"/>
          <w:szCs w:val="18"/>
          <w:color w:val="auto"/>
        </w:rPr>
        <w:t>),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our Co -Founder and CEO, Vladimir Tenev, provided testimony</w:t>
      </w:r>
      <w:r>
        <w:rPr>
          <w:rFonts w:ascii="Arial" w:cs="Arial" w:eastAsia="Arial" w:hAnsi="Arial"/>
          <w:sz w:val="18"/>
          <w:szCs w:val="18"/>
          <w:i w:val="1"/>
          <w:iCs w:val="1"/>
          <w:color w:val="auto"/>
        </w:rPr>
        <w:t>.</w:t>
      </w:r>
      <w:r>
        <w:rPr>
          <w:rFonts w:ascii="Arial" w:cs="Arial" w:eastAsia="Arial" w:hAnsi="Arial"/>
          <w:sz w:val="18"/>
          <w:szCs w:val="18"/>
          <w:color w:val="auto"/>
        </w:rPr>
        <w:t xml:space="preserve"> There is no guarantee that the SEC, other regulatory authorities or legislative bodies will not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Robinhood Financial LLC (“RHF”), of a $65 million fine in December 2020 and a requirement to retain an independent consultant. Also in December 2020 and in January 2021, putative class actions were filed against us in a federal district court generally relating to the same factual allegations as the SEC matter that settled in December 2020, as described under “Risks Related to Regulation and Litigation—</w:t>
      </w:r>
      <w:r>
        <w:rPr>
          <w:rFonts w:ascii="Arial" w:cs="Arial" w:eastAsia="Arial" w:hAnsi="Arial"/>
          <w:sz w:val="18"/>
          <w:szCs w:val="18"/>
          <w:i w:val="1"/>
          <w:iCs w:val="1"/>
          <w:color w:val="auto"/>
        </w:rPr>
        <w:t>We have been subject to regulatory investigations, actions and settlements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See “Business—Legal Proceedings.” Any new or heightened PFOF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may result in increased compliance costs and otherwise may materially decrease our transaction-based revenue, and may also make it more difficult for us to expand our platform in certain jurisdictions. Because certain of our competitors either do not engage in PFOF or derive a lower percentage of their revenues from PFOF than we do, any such heightened regulation or ban of PFOF could have an outsize impact on our results of operations. Additionally, if our customers or potential customers believe that they may get better execution quality (including better price improvement) directly from stock exchanges or from our competitors that have different execution arrangements, or if they perceive our PFOF practices to create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us and them, they may favor our competitors. Furthermore, depending on the nature of any new requirements, heightened regulation could also increase our risk of potential regulatory violations and civil litigation, which could result in fines or other penalties, as well as negative publicity, which could have an adverse effect on our business, financial condition and results of operations. For more information about the regulation of our PFOF practices, see “Business—Regulation—Best Execution.”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January 2021 Trading Restrictions, we faced allegations that our decision to temporarily prevent our customers from purchasing certain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our customers begin to disfavor PFOF and Transaction Rebate practices generally or the specific market markers with whom we do business due to any negative media attention, they may have an adverse view of our business model and decide to limit or cease the use of our platform. Additionally, some customers may prefer to invest through our competitors that do not engage in PFOF or Transaction Rebate practices or engage in them differently than do we. Any such loss of customer engagement as a result of any negative publicity associated with PFOF and Transaction Rebate practices could have an adverse effect on our business, financial condition and results of operations.</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Proposed legislation that would impose taxes on certain financial transactions could have a material adverse effect on our business, financial condition and results of operations.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members of the U.S. Congress and individual state legislatures have proposed the imposition of new taxes on a broad range of financial transactions, including transactions that occur on our platform, such as the buying and selling of stocks and derivative transactions. For example, the Wall Street Tax Act of 2021, H.R. 328, which was introduced into the U.S. Congress in January 2021, would impose a 0.1% excise tax on certain covered transactions.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 revenues. While it is difficult to assess the impact the proposed taxes could have on us, if a financial transaction tax is implemented in any jurisdiction in which we operate, our business, financial condition or results of operations could suffer a material adverse effect, and we could be impacted to a greater degree than other market participants.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Maintaining adequate liquidity is crucial to our securities brokerage and our money services business operations, including key functions such as transaction settlement, custody requirements and margin lending. We meet our liquidity needs primarily from working capital and cash generated by customer activity, as well as from external debt and equity financing. Increases in the number of customers, fluctuations in customer cash or deposit balances, as well as market conditions or changes in regulatory treatment of customer deposits, may affect our ability to meet our liquidity needs. Our broker-dealer subsidiaries, RHF and Robinhood Securities, LLC (“RHS”), are each subject to Rule 15c3-1 under the Exchange Act (the “Uniform Net Capital Rule”), which specifies minimum capital requirements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ensure the general financial soundness and liquidity of broker-dealers, and RHS is subject to Rule 15c3-3 under the Exchange Act, which requires broker-dealers to maintain certain liquidity reserves. In addition, as a clearing and carrying broker-dealer, RHS is subject to cash deposit and collateral requirements under the rules of the DTC, NSCC and OCC, which may fluctuate significantly from time to time based upon the nature and volume of customers’ trading activity and volatility in the market or individual securities. Because stock trades generally settle at the clearinghouse two days after execution (a settlement cycle referred to as “T+2”), clearinghouses require RHS to deposit funds to ensure that RHS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market is volatile. The funds deposited are RHS funds and, under SEC rules, customer funds are not available to be used to satisfy clearinghouse deposit requirements. If we fail to meet any such deposit requirements, our ability to settle trades through the clearinghouse may be suspended or we may be forced to restrict trading in certain stocks in order to limit clearinghouse deposit requirements. For example, from January 28 to February 5, 2021, due to increased deposit requirements imposed on RHS by NSCC in response to unprecedented market volatility, particularly in certain securities, we temporarily prevented our customers from purchasing certain specified securities, including GameStop Corp. and AMC Entertainment Holdings, Inc., on our trading platform (the “Early 2021 Trading Restrictions”). This resulted in negative media attention, customer dissatisfaction, litigation and regulatory and U.S. Congressional inquiries and investigations, capital raising by us in order to lift the trading restrictions while remaining in compliance with our net capital and deposit requirements and reputational harm. We cannot assure that similar events will not occur in the future. See “Business —Legal Proceedings—Early 2021 Trading Restrictions Matters” and “—Risks Related to Regulation and Litigation—</w:t>
      </w:r>
      <w:r>
        <w:rPr>
          <w:rFonts w:ascii="Arial" w:cs="Arial" w:eastAsia="Arial" w:hAnsi="Arial"/>
          <w:sz w:val="18"/>
          <w:szCs w:val="18"/>
          <w:i w:val="1"/>
          <w:iCs w:val="1"/>
          <w:color w:val="auto"/>
        </w:rPr>
        <w:t>We are involved in</w:t>
      </w:r>
      <w:r>
        <w:rPr>
          <w:rFonts w:ascii="Arial" w:cs="Arial" w:eastAsia="Arial" w:hAnsi="Arial"/>
          <w:sz w:val="18"/>
          <w:szCs w:val="18"/>
          <w:color w:val="auto"/>
        </w:rPr>
        <w:t xml:space="preserve"> </w:t>
      </w:r>
      <w:r>
        <w:rPr>
          <w:rFonts w:ascii="Arial" w:cs="Arial" w:eastAsia="Arial" w:hAnsi="Arial"/>
          <w:sz w:val="18"/>
          <w:szCs w:val="18"/>
          <w:i w:val="1"/>
          <w:iCs w:val="1"/>
          <w:color w:val="auto"/>
        </w:rPr>
        <w:t>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for more information about the Early 2021 Trading Restrictions, and see “Business—Regulation—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Regulation and Regulatory Capital and Deposit Requirements” for more information about the regulation of our broker-dealer entities, as well as our net capital and deposit requirements.</w:t>
      </w:r>
    </w:p>
    <w:p>
      <w:pPr>
        <w:spacing w:after="0" w:line="17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may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 See “—Risks Related to Our Brokerage Products and Services—</w:t>
      </w:r>
      <w:r>
        <w:rPr>
          <w:rFonts w:ascii="Arial" w:cs="Arial" w:eastAsia="Arial" w:hAnsi="Arial"/>
          <w:sz w:val="18"/>
          <w:szCs w:val="18"/>
          <w:i w:val="1"/>
          <w:iCs w:val="1"/>
          <w:color w:val="auto"/>
        </w:rPr>
        <w:t>Any inability to maintain adequate banking relationships with</w:t>
      </w:r>
      <w:r>
        <w:rPr>
          <w:rFonts w:ascii="Arial" w:cs="Arial" w:eastAsia="Arial" w:hAnsi="Arial"/>
          <w:sz w:val="18"/>
          <w:szCs w:val="18"/>
          <w:color w:val="auto"/>
        </w:rPr>
        <w:t xml:space="preserve"> </w:t>
      </w:r>
      <w:r>
        <w:rPr>
          <w:rFonts w:ascii="Arial" w:cs="Arial" w:eastAsia="Arial" w:hAnsi="Arial"/>
          <w:sz w:val="18"/>
          <w:szCs w:val="18"/>
          <w:i w:val="1"/>
          <w:iCs w:val="1"/>
          <w:color w:val="auto"/>
        </w:rPr>
        <w:t>respect to our Cash Management product may adversely affect our business</w:t>
      </w:r>
      <w:r>
        <w:rPr>
          <w:rFonts w:ascii="Arial" w:cs="Arial" w:eastAsia="Arial" w:hAnsi="Arial"/>
          <w:sz w:val="18"/>
          <w:szCs w:val="18"/>
          <w:color w:val="auto"/>
        </w:rPr>
        <w:t>” for more information.</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requiring liquidity for our securities brokerage business, cryptocurrency business and our other regulated businesses, we may also require additional capital to continue to support the growth of our business and respond to competitive challenges, including the need to promote our products and services, develop new products and services, enhance our existing products, services and operating infrastructure, and acquire and invest in complementary businesses and technologies.</w:t>
      </w:r>
    </w:p>
    <w:p>
      <w:pPr>
        <w:spacing w:after="0" w:line="16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When available cash is not sufficient for our liquidity and growth needs, we may need to engage in equity or debt financings to secure additional funds. There can be no assurance that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funding will be available on terms attractive to us, or at all, and our inability to obtain additional funding when needed could have an adverse effect on our business, financial condition and results of operations.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clearing operations expose us to liability for errors in clearing functions.</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broker-dealer subsidiary, RHS, provides clearing and execution services, which include the confirmation, receipt, settlement and delivery functions involved in securities transactions. Clearing brokers also assume direct responsibility for the possession and control of customer securities and other assets and the clearance of customer securities transactions.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held by us on behalf of customers, could lead to (i) civil penalties, as well as losses and liability as a result of related lawsuits brought by customers and others and any out-of-pocket costs associated with remediating customers for any losses incurred in connection therewith, and (ii) the risk of fines or other regulatory actions by regulators.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 to our brand and reputation could adversely affect our business.</w:t>
      </w:r>
    </w:p>
    <w:p>
      <w:pPr>
        <w:spacing w:after="0" w:line="2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brand and our reputation are two of our most important assets. Our reputation, brand and ability to build trust with existing and new customers may be adversely affected by complaints and negative publicity about us, our platform and customers that utilize our platform or our competitors’ platforms, even if factually incorrect or based on isolated incidents. Our ability to attract and retain customers is highly dependent upon external perceptions of our company, and damage to our brand and reputation may be caused by:</w:t>
      </w:r>
    </w:p>
    <w:p>
      <w:pPr>
        <w:spacing w:after="0" w:line="163" w:lineRule="exact"/>
        <w:rPr>
          <w:sz w:val="20"/>
          <w:szCs w:val="20"/>
          <w:color w:val="auto"/>
        </w:rPr>
      </w:pPr>
    </w:p>
    <w:p>
      <w:pPr>
        <w:jc w:val="both"/>
        <w:ind w:left="66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perceived system disruptions, outages, interruptions or other performance problems of our platform or similar incidents, cybersecurity attacks, privacy or data security breaches, or other security incidents, payment disruptions or other incidents that impact the reliability of our platform;</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management team, our other employees or contractors, our customers or third-party service providers;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alleged illegal, negligent, reckless, fraudulent or otherwise inappropriate behavior by our management team, our other employees or contractors, our customers or third-party service providers;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or regulatory actions or investigations into, our platform or our business, including litigation or arbitration and regulatory and U.S. Congressional inquiries related to the Early 2021 Trading Restrictions;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perceived or actual weakness in our financial strength or liquidity;</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failure by RHS to meet any capital requirements imposed by regulators and SROs, such as the SEC and FINRA, or any cash deposit and collateral requirements imposed by certain other SROs such as the DTC, NSCC and OCC, especially in the event of high volatility in market conditions or individual securities, unusually high trading volume or account sign-ups or a high concentration of net buying in a particular stock, which could lead to our temporarily restricting trading in stocks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order to limit clearinghouse deposit requirements (as in the case of the Early 2021 Trading Restrictions);</w:t>
      </w:r>
    </w:p>
    <w:p>
      <w:pPr>
        <w:spacing w:after="0" w:line="19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regulatory action that results in changes to, or prohibits us from offering, certain features or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our policies, features or services that customers or others perceive as overly restrictive, unclear, inconsistent with our values or mission, or not clearly articulated;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inadequate or unsatisfactory customer support experiences, including as a result of our inability to successfully and timely improve, maintain or increase our customer support capabilities. For example, we do not currently provide general customer support by telephone, which may limit potential or existing customers’ access to support; we currently offer callback phone support (which customers can request in-app) only for certain use cases, such as options trading, account security, selling issues and assistance with transfers and withdrawals;</w:t>
      </w:r>
    </w:p>
    <w:p>
      <w:pPr>
        <w:spacing w:after="0" w:line="16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responses by customers or regulators to our business model;</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responses by customers or regulators to new features or services, or changes to existing features or services, on our platform;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failure to adapt to new or changing customer preferences;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sustained downturn in U.S. equity markets or in general economic conditions, which could cause our existing customers to incur losses and, as a result, affect our existing and potential new customers’ interest in our products and services;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the resulting negative perception affects the public’s perception of us or our industry as a whole.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and other events that may harm our brand and reputation could diminish customer confidence in, and use of, our products and services and could have an adverse effect on our business, financial condition and results of operations. Such events could also cause our stockholders to sell or otherwise dispose of a significant number of shares of our Class A common stock, which may have a significant adverse effect on the trading price of our Class A common stock.</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and reputation may be harmed by changes in business, economic or political conditions that impact global financial markets, or by a systemic market event.</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financial services company, our business, results of operations and reputation are directly affected by elements beyond our control, such as economic and political conditions, changes in the volatility in financial markets (including volatility as a result of the COVID-19 pandemic), significant increases in the volatility or trading volume of particular securities, broad trends in business and finance, changes in volume of securities trading generally, changes in the markets in which such transactions occur and changes in how such transactions are processed. These elements can arise suddenly and the full impact of such conditions can remain uncertain. A prolonged weakness in equity markets, such as a slowdown causing reduction in trading volume in securities, derivatives or cryptocurrency markets, may result in reduced revenues and would have an adverse effect on our business, financial condition and results of operations. Significant downturns in the securities markets or in general economic and political conditions may also cause individuals to be reluctant to make their own investment decisions and thus decrease the demand for our products and services and could also result in our customers reducing their engagement with our platform. Conversely, significant upturns in the securities markets or in general economic and political conditions may cause individuals to be less proactive in seeking ways to improve the returns on their trading or investment decisions and, thus, decrease the demand for our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services. Any of these changes could cause our future performance to be uncertain or unpredictable, and could have an adverse effect on our business, financial condition and results of operations.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some market participants could be overleveraged. In case of sudden, large price movements, such market participants may not be able to meet their obligations to their respective brokers who, in turn, may not be able to meet their obligations to their counterparties. As a result, the financial system or a portion thereof could suffer, and the impact of such an event could have an adverse effect on our business, financial condition and results of operations.</w:t>
      </w:r>
    </w:p>
    <w:p>
      <w:pPr>
        <w:spacing w:after="0" w:line="16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In addition, a prolonged weakness in the U.S. equity markets or a general economic downturn could cause our customers to incur losses, which in turn could cause our brand and reputation to suffer. If our reputation is harmed, the willingness of our existing customers, and potential new customers, to do business with us could be negatively impacted, which would adversely affect our business, financial condition and results of operations.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monitoring developments related to the decision by the U.K. to leave the European Union (EU) on January 31, 2020 (“Brexit”) following the end of the transition period on December 31, 2020. On December 24, 2020, the U.K. and the EU agreed to enter into the EU-U.K. Trade and Cooperation Agreement, which negotiated some of the key aspects of the U.K. and EU post-Brexit relationship. Brexit and the EU-U.K. Trade and Cooperation Agreement could have implications for our U.K. subsidiary and could lead to economic and legal uncertainty, including significant volatility in global stock markets and currency exchange rates, and increasingly divergent laws, regulations and licensing requirements for any operations we conduct or may conduct in the U.K. or EU in the future as the U.K. determines which EU laws to replace or replicate. Any of these effects of Brexit, among others, could adversely affect our operations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impact of the COVID-19 pandemic on our business, financial condition and results of operations is uncertain.</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the onset of the COVID-19 pandemic in March 2020, we have seen substantial growth in our customer base, retention, engagement and trading activity metrics, as well as continued gains and periodic all-time highs achieved by the equity markets generally. During this period, market volatility, stay-at-home orders and increased interest in investing and personal finance helped foster an environment that encouraged an unprecedented number of first-time retail investors to become Robinhood customers and begin trading on the Robinhood platform. It is uncertain whether these trends and behavioral shifts will continue as reopening measures continue, and we may not be able to maintain the customer base we gained, or the rate of growth in our customer base that we experienced, throughout the COVID-19 pandemic. Additionally, to the extent that government stimulus measures enacted in response to the pandemic have contributed to this increase in customer engagement, there could be a negative impact on future customer engagement if no additional stimulus measures are taken. Further, if the financial markets experience a downturn, we may have difficulty retaining customers, particularly any first-time retail investors, who elect not to continue to invest in the financial markets by trading on our platform or at all as a result of any such downturn, a lack of access to additional stimulus funds, the ability to resume pre-COVID-19 activities or otherwise. To the extent that customer preferences revert to pre-COVID-19 behaviors and these metrics do not continue to improve, or if their growth is slowed as mitigation measures to limit the spread of COVID-19 are lifted or the financial markets experience additional or reduced volatility or decline, there could be an adverse effect on our business, financial condition and results of operations.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Notwithstanding the foregoing, 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contributes to a general slowdown in the global economy. The COVID-19 pandemic has resulted, in part, in inefficiencies or delays in our business, operational challenges, additional costs related to business continuity initiatives as our workforce has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transitioned to remote working and increased vulnerability to cybersecurity attacks or other privacy or data security incidents. The extent of the impact of COVID-19 on our business, financial condition and results of operations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 Even after the COVID-19 outbreak has subsided, we may continue to experience adverse impacts to our business as a result of the global economic impact, including the availability of credit, adverse impacts on our liquidity and any recession that has occurred or may occur in the future. A sustained or prolonged COVID-19 pandemic or a resurgence could exacerbate the factors described above and intensify the impact on our business, financial condition and results of operations.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Co-Founder and Chief Executive Officer (“CEO”), Vladimir Tenev, and our Co-Founder and Chief Creative Officer, Baiju Bhatt, have been critical to the development of our business, vision and strategic direction. In addition, we have heavily relied, and expect we will continue to heavily rely, on the services and performance of Mr. Tenev and our senior management team, which provides leadership, contributes to the core areas of our business and helps us to efficiently execute our business. If the senior management team, including any new hires that we make, fails to work together effectively and to execute our plans and strategies on a timely basis then our business and future growth prospects could be harmed.</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loss of any key personnel could make it more difficult to manage our operations and research and development activities, reduce our employee retention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Competition for highly skilled personnel is often intense, especially in the San Francisco Bay Area, where our headquarters is located and where we have a substantial presence and need for highly skilled personnel, and where there is particularly high competition for software engineers, computer scientists and other technical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If we are unable to attract and retain qualified personnel to fulfill our needs as we expand our operations, our business and growth prospects could be harmed.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Further, we may periodically change our equity compensation practices, which may include reducing the number of employees eligible for equity awards or reducing the size of equity awards granted per employee. The future of remote work and our physical office build-out strategy have been challenged by the COVID-19 pandemic and may be further impacted by local gathering and safety laws and regulations, which may adversely affect successful cross-functional collaboration, product development velocity and our company culture. If we are unable to attract, integrate or retain the qualified and highly skilled personnel required to fulfill our current or future needs, our business and future growth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conduct our brokerage and other business operations through subsidiaries and may in the future rely on dividends from our subsidiaries for a substantial amount of our cash flows.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in the future depend on dividends, distributions and other payments from our subsidiaries to fund payments on our obligations, including any debt obligations we may incur. Regulatory and other legal restrictions may limit our ability to transfer funds to or from certain subsidiaries, including RHF, RHC and RHS. In addition, certain of our subsidiaries are subject to laws and regulations that authorize regulatory bodies to block or reduce the flow of funds to us, or that prohibit such transfers altogether in certain circumstances. These laws and regulations may hinder our ability to access funds that we may need to make payments on our obligations, including any debt obligations we may incur and otherwise conduct our business by, among other things, reducing our liquidity in the form of corporate cash. In addition to negatively affecting our business, a significant decrease in our liquidity could also reduce investor confidence in us. Certain rules and regulations of the SEC and FINRA may limit the extent to which our broker-dealer subsidiaries may distribute capital to us. For example, under FINRA rules applicable to RHS, a dividend in excess of 10% of a member firm’s excess net capital may not be paid without FINRA’s prior written approval. Compliance with these rules may impede our ability to receive dividends, distributions and other payments from RHF, RHC and RHS. See also “Business—Regulation.”</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acquisitions of, or investments in, as applicable, other companies, products, technologies or specialized employees could require significant management attention, disrupt our business, dilute stockholder value and adversely affect our results of operations.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business strategy, we may make acquisitions of, or investments in, as applicable, specialized employees or other compatible companies, products or technologies. We also may enter into relationships with other businesses in order to expand our products and services. Negotiating these transactions can be time-consuming, difficult and expensive and our ability to close these transactions may be subject to third-party approvals, such as government and other regulatory approvals, which are beyond our control. Further, we may not be able to find suitable acquisition or investment candidates and we may not be able to complete acquisitions on favorable terms, if at all. Moreover, these kinds of acquisitions or investments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may not be able to integrate the acquired personnel, operations and technologies successfully, or effectively manage the combined business following the acquisition. Moreover, we cannot assure that the anticipated benefits of any acquisition or investment would be realized or that we would not be exposed to unknown liabilities.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have an adverse effect on our business, financial condition and results of operations.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expand into international markets, which will expose us to significant new risks, and our international expansion efforts may not be successful.</w:t>
      </w:r>
    </w:p>
    <w:p>
      <w:pPr>
        <w:spacing w:after="0" w:line="1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we have some employees and contractors in the U.K. and the Netherlands, we currently do not offer services to the public outside the United States. We may further expand our operations to other countries outside of the United States, which will require significant resources and management attention and will subject us to regulatory, economic and political risks in addition to those we already face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There are significant risks and costs inherent in doing business in international markets, including:</w:t>
      </w:r>
    </w:p>
    <w:p>
      <w:pPr>
        <w:spacing w:after="0" w:line="198" w:lineRule="exact"/>
        <w:rPr>
          <w:sz w:val="20"/>
          <w:szCs w:val="20"/>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operations and the increased operations, travel, infrastructure and legal and compliance costs associated with locations in different countries or regions;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interpretations of local laws and regulations, which may be subject to challenge by local regulators;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or delays in obtaining and/or maintaining the regulatory permissions, authorizations, licenses or consents that may be required to offer certain products in one or more international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managing multiple regulatory relationships across different jurisdictions on complex legal and regulatory matters;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were to engage in any merger or acquisition activity internationally, this is complex and would be new for us and subject to additional regulatory scrutiny;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vary products, pricing and margins to effectively compete in international markets;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adapt and localize products for specific countries, including obtaining rights to third-party intellectual property used in each country;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challenge of positioning our products and services to meet a demand in the local market (also known as “product-market fit”);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obtain, maintain, protect, defend and enforce intellectual property rights abroad;</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anti-bribery laws, such as the Foreign Corrupt Practices Act (the “FCPA”) and equivalent anti-bribery and anti-corruption requirements in local markets, by us, our employees and our business partners, and the potential for increased complexity due to the requirements on us as a group to follow multiple rule sets;</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which we may rely upon to be able to provide such products and services or to meet certain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7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customers in new markets. Product adoption and growth rates may vary significantly across different markets. We are subject to income taxes and other taxes in the United States and other countries in which we transact or conduct business, and such laws and tax rates vary by jurisdiction. We are subject to review and audit by U.S. federal, state,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could harm our international operations in the markets we choose to enter and have an adverse effect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harm our business, financial condition and results of operations.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receive a high volume of media coverage, which has increased as our company has grown. We have also received and may continue to receive negative media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Outages,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 See “Business—Legal Proceedings—Early 2021 Trading Restrictions Matters” and “Risk Factors—Risks Related to Regulation and Litigation—</w:t>
      </w:r>
      <w:r>
        <w:rPr>
          <w:rFonts w:ascii="Arial" w:cs="Arial" w:eastAsia="Arial" w:hAnsi="Arial"/>
          <w:sz w:val="18"/>
          <w:szCs w:val="18"/>
          <w:i w:val="1"/>
          <w:iCs w:val="1"/>
          <w:color w:val="auto"/>
        </w:rPr>
        <w:t>We are involved in numerous litigation matters that are expensive and time consuming, and, if resolved</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could harm our reputation, business, financial condition or results of operations</w:t>
      </w:r>
      <w:r>
        <w:rPr>
          <w:rFonts w:ascii="Arial" w:cs="Arial" w:eastAsia="Arial" w:hAnsi="Arial"/>
          <w:sz w:val="18"/>
          <w:szCs w:val="18"/>
          <w:color w:val="auto"/>
        </w:rPr>
        <w:t>” for more information about the Early 2021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and the March 2020 Outages.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Unfavorable publicity has in the past adversely affected, and could in the future adversely affect, our reputation. As our platform continues to scale and public awareness of our brand increases, any future issues that draw adverse media coverage could have an amplified negative effect on our reputation and brand. Any such negative publicity could have an adverse effect on our growth rate or the size, engagement and loyalty of our customer base, as well as on our ability to recruit and retain personnel, and result in decreased revenue or revenue growth rates,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subject to extensive regulation by federal, state and non-U.S. regulators and SROs, and broker-dealers and financial services companies are subject to laws and regulations covering all aspects of the securities industry. The substantial costs and uncertainties related to complying with these regulations continue to increase, and our introduction of new products or services, expansion of our business in certain jurisdictions or subindustries, acquisitions of other businesses that operate in similar regulated spaces or other actions that we may take may subject us to additional laws, regulations or other government or regulatory scrutiny. Regulations are intended to ensure the integrity of financial markets, appropriate capitalization of broker-dealers and other financial services companies and the protection of customers and their assets. These regulations may serve to limit our business activities through capital, customer protection and market conduct requirements, as well as restrictions on the activities that we are authorized to conduct.</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state and non-U.S. regulators and SROs, including the SEC and FINRA, among other things, can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 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may fail to establish and enforce procedures that comply with applicable legal requirements and regulations. We may be adversely affected by new laws or regulations, changes in the interpretation of existing laws or regulations or more rigorous enforcement. For example, the practice of PFOF may be limited substantially by new or revised laws or regulations, which would materially decrease our transaction-based revenue, or banned entirely, which could require us to make significant changes to our revenue model, and such changes may not be successful. A discussion draft of a bill that would prohibit PFOF was introduced on May 3, 2021, in the House of Representatives, Committee on Financial Services. We also may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subject to laws, rules, regulations, policies, industry standards and contractual obligations regarding data privacy and security, and we may be subject to litigation, regulatory proceedings or other investigations regarding any actual or perceived non-compliance with such obligations. For more information, see “—Risks Related to Cybersecurity and Data Privacy</w:t>
      </w:r>
      <w:r>
        <w:rPr>
          <w:rFonts w:ascii="Arial" w:cs="Arial" w:eastAsia="Arial" w:hAnsi="Arial"/>
          <w:sz w:val="18"/>
          <w:szCs w:val="18"/>
          <w:i w:val="1"/>
          <w:iCs w:val="1"/>
          <w:color w:val="auto"/>
        </w:rPr>
        <w:t>—We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6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From time to time, we have been, and expect to continue to be, subject to legal and regulatory proceedings arising out of our business practices and operations, including lawsuits, arbitration claims, governmental subpoenas, and regulatory, governmental and SRO inquiries, examinations, investigations and enforcement proceedings, as well as other actions and claims. For example, in May 2019, the SEC’s Division of Enforcement commenced an investigation into best execution and PFOF practices of our subsidiary, RHF, as well as statements concerning its sources of revenue. On December 17, 2020, RHF, on a neither admit nor deny basis, consented to the entry of an SEC order</w:t>
      </w:r>
    </w:p>
    <w:p>
      <w:pPr>
        <w:spacing w:after="0" w:line="2" w:lineRule="exact"/>
        <w:rPr>
          <w:sz w:val="20"/>
          <w:szCs w:val="20"/>
          <w:color w:val="auto"/>
        </w:rPr>
      </w:pPr>
    </w:p>
    <w:p>
      <w:pPr>
        <w:jc w:val="both"/>
        <w:ind w:firstLine="8"/>
        <w:spacing w:after="0" w:line="250" w:lineRule="auto"/>
        <w:tabs>
          <w:tab w:leader="none" w:pos="2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also “—</w:t>
      </w:r>
      <w:r>
        <w:rPr>
          <w:rFonts w:ascii="Arial" w:cs="Arial" w:eastAsia="Arial" w:hAnsi="Arial"/>
          <w:sz w:val="18"/>
          <w:szCs w:val="18"/>
          <w:i w:val="1"/>
          <w:iCs w:val="1"/>
          <w:color w:val="auto"/>
        </w:rPr>
        <w:t>As a result of our recent settlement</w:t>
      </w:r>
      <w:r>
        <w:rPr>
          <w:rFonts w:ascii="Arial" w:cs="Arial" w:eastAsia="Arial" w:hAnsi="Arial"/>
          <w:sz w:val="18"/>
          <w:szCs w:val="18"/>
          <w:color w:val="auto"/>
        </w:rPr>
        <w:t xml:space="preserve"> </w:t>
      </w:r>
      <w:r>
        <w:rPr>
          <w:rFonts w:ascii="Arial" w:cs="Arial" w:eastAsia="Arial" w:hAnsi="Arial"/>
          <w:sz w:val="18"/>
          <w:szCs w:val="18"/>
          <w:i w:val="1"/>
          <w:iCs w:val="1"/>
          <w:color w:val="auto"/>
        </w:rPr>
        <w:t>with the SEC, we are currently considered an ‘ineligible issuer,’ which limits our ability to use certain free writing prospectuses in securities offerings and will delay our ability to qualify as a ‘well-known seasoned issuer’ in the future</w:t>
      </w:r>
      <w:r>
        <w:rPr>
          <w:rFonts w:ascii="Arial" w:cs="Arial" w:eastAsia="Arial" w:hAnsi="Arial"/>
          <w:sz w:val="18"/>
          <w:szCs w:val="18"/>
          <w:color w:val="auto"/>
        </w:rPr>
        <w:t>” below. Additionally, in December 2019, FINRA</w:t>
      </w:r>
      <w:r>
        <w:rPr>
          <w:rFonts w:ascii="Arial" w:cs="Arial" w:eastAsia="Arial" w:hAnsi="Arial"/>
          <w:sz w:val="18"/>
          <w:szCs w:val="18"/>
          <w:i w:val="1"/>
          <w:iCs w:val="1"/>
          <w:color w:val="auto"/>
        </w:rPr>
        <w:t xml:space="preserve"> </w:t>
      </w:r>
      <w:r>
        <w:rPr>
          <w:rFonts w:ascii="Arial" w:cs="Arial" w:eastAsia="Arial" w:hAnsi="Arial"/>
          <w:sz w:val="18"/>
          <w:szCs w:val="18"/>
          <w:color w:val="auto"/>
        </w:rPr>
        <w:t>brought a disciplinary action against RHF in connection with alleged noncompliance with best execution rules during the 2016 to 2017 timeframe, which resulted in a settlement and payment by RHF of a $1.25 million fine. We have also accrued as accounts payable and accrued expenses on the condensed consolidated balance sheets for the three months ended March 31, 2021 of (i) a $57.0 million fine and a $4.5 million customer restitution to be paid in connection with an agreement-in-principle RHF had reached with FINRA to resolve, on a no admit, no deny basis, certain of FINRA’s investigations and examinations, including investigations into systems outages, RHF’s options product offering, and margin-related communications with customers, among others (the “FINRA Matters”), and (ii) $15 million representing our best estimate at the time of our probable losses in connection with the resolution of an NYDFS matter focused primarily on anti-money laundering and cybersecurity-related issues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See “Business—Legal Proceedings” and Note 13 to our unaudited condensed consolidated financial statements for the three months ended March 31, 2021, included elsewhere in this prospectus for more information about these matters. See also Note 13 to our consolidated financial statements for the year ended December 31, 2020, included elsewhere in this prospectus.</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have been subject, and, given the highly regulated nature of the industries in which we operate, expect that we will be subject in the future, to a number of SEC and FINRA examinations and investigations, including examinations and investigations related to broker-dealer and financial services rules and regulations, including our trading and supervisory policies and procedures, our clearing practices, our public communications, our compliance with anti-money laundering and other financial crimes regulations, cybersecurity matters and our business continuity plans. We have also been subject, and may be subject in the future, to inquiries, investigations and examinations by other federal agencies such as the U.S. Department of Treasury’s Office of Foreign Assets Control (“OFAC”) and state regulatory agencies, such as the Massachusetts Securities Division (the “MSD”) and the NYDFS. For example, in December 2020, the Enforcement Section of the MSD filed a complaint against us, alleging three counts of Massachusetts state securities law violations regarding unethical and dishonest conduct or practices, failure to supervise, and failure to act in accordance with the fiduciary duty standard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by Massachusetts, which became effective on March 6, 2020 and had an effective enforcement date beginning September 1, 2020. Among other things, the MSD alleges that our product features and marketing strategies, outages, and options trading approval process constitute violations of Massachusetts securities laws. 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 or will provide testimony with respect to the Early 2021 Trading Restrictions. See “Business—Legal Proceedings” and “Business—Regulation.”</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These proceedings, inquiries, examinations, investigations and other regulatory matters may subject us to fines, penalties and monetary settlements, result in additional compliance requirements, result in certain of our subsidiaries, including RHC, losing their regulatory licenses or ability to conduct business in certain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 Any of the foregoing could, individually or in the aggregate, harm our reputation and brand, require substantial management attention and have an adverse effect on our business, results of operations and financial condition.</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PFOF and options trading. Gary Gensler, who became chair of the SEC in April 2021, was one of the witnesses at the third hearing, held on May 6, 2021, and in his testimony he indicated that he had instructed the staff of the SEC to study, and in some cases make rulemaking recommendations to the SEC regarding, a variety of market issues and practices, including PFOF, so-called gamification,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Additionally, on June 9, 2021, Chair Gensler remarked at a public conference that he had instructed the SEC staff to make recommendations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SEC’s consideration on best execution, Regulation National Market System, PFOF (both on-exchange and off-exchange), minimum pricing increments and the NBBO. The regulatory agenda published by the SEC on June 11, 2021, also identified that the SEC would be considering proposing rules in the next year to modernize equity market structure, including possible new rules on PFOF, best execution (amendments to Rule 605), market concentration and certain other practices. The agenda also announced that the SEC might be, at a pre-rule stage, seeking public comments later this year on potential rules related to gamification, behavioral prompts, predictive analytics and differential marketing.</w:t>
      </w:r>
    </w:p>
    <w:p>
      <w:pPr>
        <w:spacing w:after="0" w:line="3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may have on the ability of market participants to enter into PFOF arrangements, if any, has not been determined.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may not be successful. Any of these outcomes could have an adverse effect on our business, financial condition and results of operations. For more information about the potential impact of legal and regulatory changes, including changes to regulation of PFOF, see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complex and changing laws and regulations, and related regulatory proceedings and investigations. Changes in these laws and regulations, or our failure to comply with these laws and regulations, could harm our business</w:t>
      </w:r>
      <w:r>
        <w:rPr>
          <w:rFonts w:ascii="Arial" w:cs="Arial" w:eastAsia="Arial" w:hAnsi="Arial"/>
          <w:sz w:val="18"/>
          <w:szCs w:val="18"/>
          <w:color w:val="auto"/>
        </w:rPr>
        <w:t>” and “—Risks Related to our Business—</w:t>
      </w:r>
      <w:r>
        <w:rPr>
          <w:rFonts w:ascii="Arial" w:cs="Arial" w:eastAsia="Arial" w:hAnsi="Arial"/>
          <w:sz w:val="18"/>
          <w:szCs w:val="18"/>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8"/>
          <w:szCs w:val="18"/>
          <w:color w:val="auto"/>
        </w:rPr>
        <w:t>.”</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result of our recent settlement with the SEC, we are currently considered an “ineligible issuer,” which limits our ability to use certain free writing prospectuses in securities offerings and will delay our ability to qualify as a “well-known seasoned issuer” in the future.</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and will remain an ineligible issuer until December 17, 2023. As long as we are an ineligible issuer, as a public company, we will be prevented from using free writing prospectuses in securities offerings, other than in certain limited circumstances, such as those free writing prospectuses that contain only a description of the terms of the offered securities or the offering itself. In particular, in connection with this initial public offering or any subsequent registered offering of our securities, we may only be able to engage in “live” roadshows that are not considered free writing prospectuses and are precluded from making broadly available to investors a recorded version of any roadshow, which would generally constitute a free writing prospectus. This could have the effect of limiting potential investor access to any roadshow we may conduct in connection with this or any other registered offering if investors are not able to attend any “live” virtual or in-person presentations, calls or webcasts that we may host.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following such time as we would otherwise be able to satisfy all other requirements for “well-known seasoned issuer” (“WKSI”) status under Rule 405, we will be unable to take advantage of the following benefits associated with WKSI status, including the ability to:</w:t>
      </w:r>
    </w:p>
    <w:p>
      <w:pPr>
        <w:spacing w:after="0" w:line="175" w:lineRule="exact"/>
        <w:rPr>
          <w:sz w:val="20"/>
          <w:szCs w:val="20"/>
          <w:color w:val="auto"/>
        </w:rPr>
      </w:pPr>
    </w:p>
    <w:p>
      <w:pPr>
        <w:jc w:val="both"/>
        <w:ind w:left="66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Form S-3 shelf registration statements that are automatically effective to register a range of different types of securities for an indeterminate number or amount of securities and without the need to identify a detailed plan of distribution or specified selling stockholders;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offer or register additional securities by amending any existing shelf registration statement rather than filing a new registration statement that would not be automatically effective;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take advantage of the “pay as you go” filing fee payment process and pay filing fees at the time of each takedown off a shelf registration statement, rather than at the time the registration statement is filed.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Notwithstanding our “ineligible issuer” status, assuming that the worldwide market value of our outstanding common stock held by non-affiliates will be at least $700 million, we would otherwise be eligible for WKSI status within 12 months of the consummation of this initial public offering. As a public company, we will face changing regulatory requirements and market conditions and be subject to other uncertainties which, among other things, could make it necessary or advisable for us to raise additional capital in an expeditious manner. Without the ability to utilize an automatic shelf registration statement once we would otherwise be eligible to do so if we had WKSI status, we may be unable to react quickly to such changing requirements and conditions and could be delayed in our ability to raise additional capital.</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harm our reputation, business, financial condition or results of operations.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regulatory oversight, investigations and other proceedings, we are also involved in numerous other litigation matters, including putative class action lawsuits, and we anticipate that we will continue to be a target for litigation in the future. These litigation matters include commercial litigation matters, insurance matters, privacy and cybersecurity disputes, intellectual property disputes, contract disputes, consumer protection matters and employment matters. In addition, during market downturns, the volume of legal claims and amount of damages sought in litigation and regulatory proceedings against financial services companies have historically increased.</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For example, beginning on March 4, 2020, 15 putative class actions and one individual action were filed against us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 Robinhood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 </w:t>
      </w:r>
      <w:r>
        <w:rPr>
          <w:rFonts w:ascii="Arial" w:cs="Arial" w:eastAsia="Arial" w:hAnsi="Arial"/>
          <w:sz w:val="18"/>
          <w:szCs w:val="18"/>
          <w:color w:val="auto"/>
        </w:rPr>
        <w:t>pending in the Superior Court of the State of California, County of San Mateo, has been stayed by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parties. The lawsuits generally allege that putative class members or the plaintiff were unable to execute trades during the March 2020 Outages because our platform was inadequately designed to handle customer demand and we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or disgorgement, as well as declaratory and injunctive relief. On October 5, 2020, we filed a motion to dismiss the consolidated amended complaint and to strike the class allegations. On February 18, 2021, the court dismissed RHM from the case with leave to amend, but otherwise denied the motion,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beginning in December 2020, six putative class actions were filed against us in federal district courts relating to our PFOF practices. The lawsuits generally relate to the same factual allegations as the SEC matter that settled in December 2020, as described above under “—</w:t>
      </w:r>
      <w:r>
        <w:rPr>
          <w:rFonts w:ascii="Arial" w:cs="Arial" w:eastAsia="Arial" w:hAnsi="Arial"/>
          <w:sz w:val="18"/>
          <w:szCs w:val="18"/>
          <w:i w:val="1"/>
          <w:iCs w:val="1"/>
          <w:color w:val="auto"/>
        </w:rPr>
        <w:t>We have been subject to regulatory investigations, actions and settlements and we expect to continue to be subject to such</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The consolidated lawsuits include, among other things, claims for breach of Section 10(b) and Rule 10b-5 of the Exchange Act, breach of the implied covenant of good faith and fair dealing, breach of fiduciary duty and violations of certain California consumer protection statutes.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 or will provide testimony with respect to the Early 2021 Trading Restrictions. In addition, we have also received a high degree of media coverage, including negative media coverage, as well as complaints from our customers about us and our platform in connection with the Early 2021 Trading Restrictions. Given our brand and our reputation are two of our most important assets, any damage to our brand and reputation as a result of such negative media coverage could have an adverse effect on our business, financial condition and results of operations.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about litigation matters and other regulatory and legal proceedings in which we are involved, see “Business—Legal Proceedings.”</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Litigation matters brought against us may require substantial management attention and may result in settlements, awards, injunctions, fines, penalties and other adverse results. A substantial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settlement, fine or penalty or injunctive relief could be material to our results of operations or cash flows for a particular period, or could cause us significant reputational harm or have an adverse effect on our business, financial condition and results of operations.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our operations are currently concentrated in the United States (with the limited exception of our U.K. and Dutch subsidiaries, which have U.K.- and Netherlands-based employees and contractors, but currently have no customers), in the future we may seek to expand internationally and will become subject to additional laws and regulations, and will need to implement new regulatory controls to comply with applicable laws. We are currently required to comply with U.S. economic and trade sanctions administered by OFAC and we have processes in place to comply with the OFAC regulations. As part of our onboarding process, in accordance with the Customer Identification Program rules, which is required by Section 326 of the USA PATRIOT ACT of 2001, we screen all potential customers against the OFAC watchlists and continue to screen all customers, vendors and employees daily against the OFAC watchlists. While we currently only offer services to U.S. citizens and permanent residents with a legal address within the United States or Puerto Rico, and while our application includes features designed to block access to our services from sanctioned countries, our application could potentially be illegitimately accessed from anywhere in the world. If our services are accessed from a sanctioned country in violation of the trade and economic sanctions, with our knowledge or otherwise, we could be subject to enforcement actions. Additionally, to the extent a customer accesses our application or services from outside the United States, we could also become subject to regulations in that local jurisdiction, including requirements that we become licensed, registered or authorized in such jurisdiction. A regulator’s conclusion that we are servicing customers in their jurisdiction without being appropriately licensed, registered or authorized could result in fines or other enforcement actions. Our broker-dealer subsidiaries are registered in the United States but are not licensed, authorized or registered in any other jurisdiction.</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to detect, deter and disrupt terrorist financing networks. Regulators in the United States and globally continue to increase their scrutiny of compliance with these obligations. For example, in July 2020, the NYDFS issued a report of its examination of RHC citing a number of “matters requiring attention” focused primarily on anti-money laundering and cybersecurity-related issues. Following subsequent investigation by the NYDFS’s Consumer Protection and Financial Enforcement Division, in March 2021, the NYDFS informed RHC of certain alleged violations of anti-money laundering and New York Banking Law requirements (Part 417, Part 504 and Banking Law § 44), including the failure to maintain and certify a compliant anti-money laundering program. RHC and the NYDFS have reached a settlement in principle with respect to these allegations, subject to final documentation, in connection with which, among other things, RHC will pay a monetary penalty and engage a monitor. See “Business—Legal Proceedings—RHC Anti-Money Laundering, Cybersecurity and Other Issues” for more information.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expand our services internationally, we will become subject to additional non-U.S. laws, rules, regulations and other requirements regarding economic and trade sanctions, anti-money laundering, and counter-terror financing. In that case, we would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impair our ability to compete in international markets, and subject us to risk of criminal or civil liability for violations.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our operations are currently concentrated in the United States (with the limited exception of our U.K. and Dutch subsidiaries, which have U.K. and Netherlands-based employees and contractors, but currently have no customers), as we increase our international cross-border business and expand operations abroad, we have engaged and may further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 -party intermediaries, our employees, representatives, contractors, partners, and agents, even if we do not explicitly authorize such activities. The failure to comply with any such laws could subject us to criminal or civil liability, cause us significant reputational harm and have an adverse effect on our business, financial condition and results of operations.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cannot assure that all of our employees and agents will comply with our internal policies and applicable law, including anti-corruption, anti-bribery and similar laws. We may be ultimately held responsible for any such non-compliance. As we increase our international business, our compliance risks may increase.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results of operations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Industry, Customers, Products and Services</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may be more appealing than ours to our current or potential customers.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markets in which we compete are evolving and highly competitive, with multiple participants competing for the same customers. Our current and potential future competition principally comes from incumbent discount brokerages, established financial technology companies, venture-backed financial technology firms, banks, cryptocurrency exchanges, asset management firms and technology platforms. Since the 2019 launch of our Cash Management product, which enables existing brokerage account holders to earn interest on uninvested cash in their Cash Management accounts, we have also faced competition with respect to those services from traditional consumer banking institutions. The majority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our competitors have longer operating histories and greater capital resources than we have and offer a wider range of products and services. The impact of competitors with superior name recognition, greater market acceptance, larger customer bases or stronger capital positions could adversely affect our results of operations and customer acquisition and retention. Our competitors may also be able to respond more quickly to new or changing opportunities and demands and withstand changing market conditions better than we can, especially larger competitors that may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to compete with us. In addition, competitors may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may not be able to match the marketing efforts or prices of our competitors. In addition, our competitors may choose to forgo PFOF and Transaction Rebate practices, which could create downward pressure on PFOF and make it more difficult for us to continue engaging in and generating revenue through PFOF, which is a significant source of our revenue. See “—Risks Related to Our Business— </w:t>
      </w:r>
      <w:r>
        <w:rPr>
          <w:rFonts w:ascii="Arial" w:cs="Arial" w:eastAsia="Arial" w:hAnsi="Arial"/>
          <w:sz w:val="18"/>
          <w:szCs w:val="18"/>
          <w:i w:val="1"/>
          <w:iCs w:val="1"/>
          <w:color w:val="auto"/>
        </w:rPr>
        <w:t>Because a majority of our revenue 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w:t>
      </w:r>
      <w:r>
        <w:rPr>
          <w:rFonts w:ascii="Arial" w:cs="Arial" w:eastAsia="Arial" w:hAnsi="Arial"/>
          <w:sz w:val="18"/>
          <w:szCs w:val="18"/>
          <w:color w:val="auto"/>
        </w:rPr>
        <w:t>for more information. We may</w:t>
      </w:r>
      <w:r>
        <w:rPr>
          <w:rFonts w:ascii="Arial" w:cs="Arial" w:eastAsia="Arial" w:hAnsi="Arial"/>
          <w:sz w:val="18"/>
          <w:szCs w:val="18"/>
          <w:i w:val="1"/>
          <w:iCs w:val="1"/>
          <w:color w:val="auto"/>
        </w:rPr>
        <w:t xml:space="preserve"> </w:t>
      </w:r>
      <w:r>
        <w:rPr>
          <w:rFonts w:ascii="Arial" w:cs="Arial" w:eastAsia="Arial" w:hAnsi="Arial"/>
          <w:sz w:val="18"/>
          <w:szCs w:val="18"/>
          <w:color w:val="auto"/>
        </w:rPr>
        <w:t>also be subject to increased competition as our competitors enter into business combinations or partnerships, or established companies in other market segments expand to become competitive with our business.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compete in a technology-intensive market characterized by rapid innovation. Some of our competitors in this market, including new and emerging competitors, are not subject to the same regulatory requirements or scrutiny to which we are subject, which could place us at a competitive disadvantage, in particular in the development of new technology platforms or the ability to rapidly innovate. We may be unable to effectively use new technologies, adapt our products and services to emerging market standards or develop or introduce and market enhanced or new products and services. If we are not able to update or adapt our products and services to take advantage of the latest technologies and standards, or are otherwise unable to tailor the delivery of our services to the latest personal and mobile computing devices preferred by our customers or to provide products or services that are of a quality preferred by our customers, it could have an adverse effect on our business, financial position and results of operations.</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5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easy-to-use, innovative and attractive products and services, as well as effective customer support;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and expanding our market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attracting and retaining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reputation and the market perception of our brand and overall value;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our relationships with our counterparties;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competitive pricing;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competing in a competitive landscape, including in the provision of products and services that have until recently been available only from our bank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1" w:lineRule="exact"/>
        <w:rPr>
          <w:sz w:val="20"/>
          <w:szCs w:val="20"/>
          <w:color w:val="auto"/>
        </w:rPr>
      </w:pPr>
    </w:p>
    <w:p>
      <w:pPr>
        <w:ind w:left="660" w:right="2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reliability and stability of our technology (including the success of our outage prevention efforts and our cybersecurity measures and defenses),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innovating effectively in launching new or enhanced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adjusting to a dynamic regulatory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differences in regulatory oversight regimes to which we and our competitors are subject;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and market trends, including customer demand for financial products and services.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 which could have an adverse effect on our business, financial condition and results of operations.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growth could be slower than we expect and our business may be harmed.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experienced significant customer growth over the past several years. Our continued business and revenue growth is dependent on our ability to attract new customers, retain existing customers, increase the amount that our customers use our products and services and sell our premium services, such as Robinhood Gold, and we cannot be sure that we will be successful in these efforts. There are a number of factors that could lead to a decline in our number of customers or their usage of our products and services, or that could prevent us from increasing our number of customers, including:</w:t>
      </w:r>
    </w:p>
    <w:p>
      <w:pPr>
        <w:spacing w:after="0" w:line="165" w:lineRule="exact"/>
        <w:rPr>
          <w:sz w:val="20"/>
          <w:szCs w:val="20"/>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introduce new products or services, or our introduction of new products or services, or changes in our existing products or services, that are not favorably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for our products and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harm to our brand and reputation, or decreases in the perceived quality, reliability or usefulness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customers engaging with competitive products and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customers having difficulty installing, updating or otherwise accessing the Robinhood app on mobile devices as a result of actions by us or third parties that we rely on to distribute our app;</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customers experiencing security breaches, account intrusions or other unauthorized access as a result of actions by us or our business partners, including third parties that we rely on to distribute the Robinhood application;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provide adequate customer service to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resistance to and non-acceptance of cryptocurrencies;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cybersecurity attack, data breach or other security incident resulting in loss in customer confidence;</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manage network or service outages, interruptions and internet disruptions, including during times of high trading activity, or other performance or technical problems that prevent our customers from accessing and managing their accounts or assets in a rapid and reliable manner;</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customers’ investment strategies or level of interest 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changes that have the effect of limiting or prohibiting our existing business practices, including PFOF;</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enactment of proposed legislation that would impose taxes on certain financial transactions;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that adversely affect our products and services, or our ability to provide them to our customers;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on trading that we impose on our platform as a result of the capital requirements and cash deposit and collateral requirements to which RHS is subject as a clearing and carrying broker-dealer;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deteriorating general economic conditions, including as a result of the COVID-19 pandemic or a general downturn in the U.S. equity markets.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we expand our business operations and enter new markets, new challenges in attracting and retaining customers will arise that we may not successfully address. Our success, and our ability to increase revenues and operate profitably, depends in part on our ability to cost-effectively acquire new customers, to retain existing customers and to keep existing customers engaged so that they continue to use our products and services. Our customers may choose to cease using our platform, products and services at any time, and may choose to transfer their accounts to another broker-dealer. For example, in the first quarter of 2021, we saw an increase in Automated Customer Account Transfer Services (“ACATS”) out as a result of an increase in customers choosing to transfer their accounts to another broker-dealer. In the first quarter of 2021, total value of ACATS out was $4.1 billion, representing 5.0% of AUC, from approximately 206,000 accounts, as compared to the quarterly average for fiscal year 2020 of $0.4 billion, representing on average 1.2% of AUC, from approximately 22,000 accounts on average. We have historically relied significantly on our customers joining organically or through the Robinhood Referral Program, which accounted for over 80% of the customers that joined our platform in fiscal year 2020 and in the three months ended March 31, 2021. If such channels of customer growth decline, our marketing efforts prove to be ineffective or we are unable to predict customer demands, retain current customers or attract new customers, our revenue may grow more slowly than expected, may not grow at all or may decline and have an adverse effect on our business, financial condition and results of operations. For a definition of “organically” acquired customers, see “Management’s Discussion and Analysis of Financial Condition and Results of Operations—Our Business Model—New Customer Growth.”</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Many of our customers are first-time investors and our trading volumes and revenues could be reduced if these customers stop trading altogether or stop using our platform for their investing activities.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model focuses on making the financial markets accessible to a broad demographic of retail investors. As of December 31, 2020 and as of March 31, 2021, we had 12.5 million and 18.0 million Net Cumulative Funded Accounts, respectively, and from January 1, 2015 to March 31, 2021, over half of the customers funding accounts on our platform told us that Robinhood was their first brokerage account. In addition, in the first half of 2020, we saw a significant increase in the number of new accounts opened by first-time investors. Our success, and our ability to increase revenues and operate profitably, depends in part on such customers continuing to utilize our platform, even as global social and economic conditions shift. However, our customers do not have long-term contractual arrangements with us and can utilize our platform on a transaction-by-transaction basis and may also cease to use our platforms at any time. We may face particular challenges in retaining these investors as customers, for example as a result of a return to pre-COVID-19 behaviors, increased volatility in the financial markets or increasing availability of competing products that seek to target the same demographic. In particular, a broad decline in the equity or other financial markets could result in some of these investors exiting the markets and leaving our platform. Any significant loss of customers or a significant reduction in their use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platform could have a material impact on our trading volumes and revenues, and materially adversely affect our business, financial condition and results of operations.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introduction of new products and services, or changes to existing products and services, could fail to attract or retain customers or generate growth and revenue.</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continue to maintain and evolve our existing products and services and to create successful new products and services. We may introduce significant changes to our existing products and services or acquire or introduce new and unproven products and services, including using technologies with which we have little or no prior development or operating experience. We continue to incur substantial costs, and we may not be successful in continuing to generate profits, in connection with these efforts. In addition, the introduction of new products and services, or changes to existing products and services, may result in new or enhanced governmental or regulatory scrutiny or other complications that could adversely affect our business and results of operations. If our new or enhanced products and services fail to attract customers, or if our business plans are unsuccessful, we may fail to attract or retain customers or to generate sufficient revenue, operating margin or other value to justify our investments, and our business may be adversely affected.</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do not keep pace with industry and technological changes and continue to provide new and innovative products and services, our business may become less competitive and our business may be adversely impacted.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Rapid and significant technological changes continue to confront the financial services industry, including developments in the methods in which securities are traded and developments in cryptocurrencies. If we fail to innovate and deliver products and services with market fit and differentiation, or fail to do so quickly enough as compared to our competitors, we may not be able to keep pace with industry and technological changes in our industry and we may face difficulty in competing within our market, which could harm our business.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new technologies, products, services and industry norms to continue to emerge and evolve, and we cannot predict the effects of technological changes or industry practices on our business. Further, new technologies introduced in our markets may be superior to, or render obsolete, the technologies we currently use in our products and services. Incorporating new technologies into our products and services may require substantial expenditures and take considerable time, and we may not be successful in realizing a return on these development efforts in a timely manner or at all. Our ability to successfully adopt new products and services and to develop and incorporate new technologies may be inhibited by industry-wide standards, changes to laws and regulations, changing customer expectations, demands and preferences or third-party intellectual property rights. If we are unable to enhance our products and services or to innovate or to develop new products and services that achieve market acceptance or that keep pace with rapid technological developments and evolving industry standards or practices, our business could be adversely affected.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our products and services are designed to operate on a variety of systems, we will need to continuously modify, enhance and improve our products and services to keep pace with changes in internet-related hardware, mobile operating systems such as iOS and other software, communication, browser and database technologies. We may not be successful in either developing these modifications, enhancements and improvements or in bringing them to market quickly or cost-effectively in response to market demands. Furthermore, uncertainties about the timing and nature of new network platforms or technologies, or modifications to existing platforms or technologies, could increase our research and development expenses. Any failure of our products and services to keep pace with technological changes or to innovate or to operate effectively with future network platforms and technologies, or to do so in a timely and cost-effective manner, could reduce the demand for our products and services, result in customer dissatisfaction and negative publicity, reduce our competitive advantage and harm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successfully monetize our products and services, our financial condition and results of operations may be adversely affected.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continuously striving to deliver innovative products and features to customers at low prices. As we expand into new business lines and markets, we may find that it is more difficult for us to monetize products and features delivered at low prices due to economic, political, competitive or market-structure considerations. If we are not successful in our monetization efforts or if we expend significant resources to launch new products and services that we are unable to monetize, our financial condition and results of operations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 Systems and Technology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platform has been, and may in the future be, subject to interruption and instability due to operational and technological failures, whether internal or external.</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 Our systems and operations, including our primary and disaster recovery data center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may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We temporarily halted options trading while the technology failure was repaired and remediated customers impacted by the outage through a combination of Amazon gift cards, Robinhood Gold subscription fees and cash, resulting in estimated out-of-pocket losses to us of approximately $0.9 million.</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surges in trading volume on our platform have in the past and may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or executed incorrectly, or not executed at all. For example, the March 2020 Outages resulted in certain of our customers being unable to buy and sell securities and other financial products on our platform for a period of time. Similarly, the April-May 2021 Outages resulted in certain of our customers being unable to buy and sell cryptocurrencies and some customers experiencing downgraded service. Our platform has otherwise in the past and may in the future experience additional outages from time to time. Disruptions caused by the March 2020 Outages resulted in putative class action lawsuits being filed against us (and certain of our subsidiaries) by our customers in both state and federal courts as well as regulatory examinations and investigations. We provided remediation to many of our customers impacted by the March 2020 Outages through cash payments, resulting in estimated out-of-pocket losses to us of approximately $3.6 million. See “—Risks Related to Regulation and Litigation—</w:t>
      </w:r>
      <w:r>
        <w:rPr>
          <w:rFonts w:ascii="Arial" w:cs="Arial" w:eastAsia="Arial" w:hAnsi="Arial"/>
          <w:sz w:val="18"/>
          <w:szCs w:val="18"/>
          <w:i w:val="1"/>
          <w:iCs w:val="1"/>
          <w:color w:val="auto"/>
        </w:rPr>
        <w:t>We are</w:t>
      </w:r>
      <w:r>
        <w:rPr>
          <w:rFonts w:ascii="Arial" w:cs="Arial" w:eastAsia="Arial" w:hAnsi="Arial"/>
          <w:sz w:val="18"/>
          <w:szCs w:val="18"/>
          <w:color w:val="auto"/>
        </w:rPr>
        <w:t xml:space="preserve"> </w:t>
      </w:r>
      <w:r>
        <w:rPr>
          <w:rFonts w:ascii="Arial" w:cs="Arial" w:eastAsia="Arial" w:hAnsi="Arial"/>
          <w:sz w:val="18"/>
          <w:szCs w:val="18"/>
          <w:i w:val="1"/>
          <w:iCs w:val="1"/>
          <w:color w:val="auto"/>
        </w:rPr>
        <w:t>involved in 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“—Risks Related to Regulation and Litigation—</w:t>
      </w: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and “Business—Legal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Disruptions to, destruction of, improper access to, breach of, instability of or failure to effectively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information technology systems (including our data processing systems, self-clearing platform and order routing system) or external technology of third parties with whom we do business that allow our customers to use our products and services could result in customer attrition, costly litigation and regulatory and U.S. Congressional inquiries, negative publicity and reputational harm, and may have an adverse effect on our business. Frequent or persistent interruptions in our products and services could cause customers to believe that our products and services are unreliable, leading them to switch to our competitors or to otherwise avoid our products and services. Additionally, our insurance policies may be insufficient to cover a claim made against us by any such customers affected by any disruptions, outages, or other performance or infrastructure problems. See also “—Risks Related to Finance, Accounting and Tax Matters</w:t>
      </w:r>
      <w:r>
        <w:rPr>
          <w:rFonts w:ascii="Arial" w:cs="Arial" w:eastAsia="Arial" w:hAnsi="Arial"/>
          <w:sz w:val="18"/>
          <w:szCs w:val="18"/>
          <w:i w:val="1"/>
          <w:iCs w:val="1"/>
          <w:color w:val="auto"/>
        </w:rPr>
        <w:t>—Our insurance coverage may</w:t>
      </w:r>
      <w:r>
        <w:rPr>
          <w:rFonts w:ascii="Arial" w:cs="Arial" w:eastAsia="Arial" w:hAnsi="Arial"/>
          <w:sz w:val="18"/>
          <w:szCs w:val="18"/>
          <w:color w:val="auto"/>
        </w:rPr>
        <w:t xml:space="preserve"> </w:t>
      </w:r>
      <w:r>
        <w:rPr>
          <w:rFonts w:ascii="Arial" w:cs="Arial" w:eastAsia="Arial" w:hAnsi="Arial"/>
          <w:sz w:val="18"/>
          <w:szCs w:val="18"/>
          <w:i w:val="1"/>
          <w:iCs w:val="1"/>
          <w:color w:val="auto"/>
        </w:rPr>
        <w:t>be inadequate or expensive.”</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we have made, and continue to make, significant investments designed to enhance the reliability and scalability of our platform and operations as well as our customer support functions, we do not have fully redundant systems and we cannot assure that these investments will be successful or that we will be able to maintain, expand and upgrade our systems and infrastructure to meet future requirements and mitigate future risks on a timely basis. It may become increasingly difficult to maintain and improve the availability of our platform, especially as our platform and product offerings become more complex, our customer base grows and we experience surges in trading volume on our platform. For example, in May 2021 we launched our IPO Access feature, which enables our customers to buy shares in the initial public offerings of participating companies at the IPO price, before trading begins on public exchanges. Because we only recently started offering this new feature, there may be risks related to the technology and operation of IPO Access that we have not yet identified or cannot foresee, and any failure or interruption of the IPO Access feature on our platform could adversely affect our relationships with participating companies and our customers that utilize this feature, including any customers who use this feature in connection with this offering. To the extent that we do not effectively address capacity constraints, upgrade our systems as needed, or continually develop our technology and network architecture to accommodate actual and anticipated changes in technology, our reputation, business, financial condition and results of operations could be adversely affected.</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products and internal systems rely on software that is highly technical, and if these systems contain errors, bugs or vulnerabilities, or if we are unsuccessful in addressing or mitigating technical limitations or vulnerabilities in our systems, our business could be adversely affected.</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products and internal systems rely on software, including software developed or maintained internally and by third parties, that is highly technical and complex. In addition, our platform and our internal systems depend on the ability of such software, which includes machine learning models, to collect, store, retrieve, transmit, manage and otherwise process immense amounts of data. The software on which we rely may contain errors, bugs or vulnerabilities, and our systems are subject to certain technical limitations that may compromise our ability to meet our objectives. Some errors, bugs or vulnerabilities inherently may be difficult to detect and may only be discovered after code has been released for external or internal use. Errors, bugs, vulnerabilities, design defects or technical limitations within the software on which we rely may lead to negative customer experiences (including the communication of inaccurate information to customers), compromised ability of our products to perform in a manner consistent with customer expectations, delayed product introductions, compromised ability to protect the data (including personal data) of our customers and our intellectual property or an inability to provide some or all of our services. Such errors, bugs, vulnerabilities or defects could also be exploited by malicious actors and result in exposure of data of customers on our platform,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bugs, vulnerabilities or defects in the software on which we rely, and any associated degradations or interruptions of service, could result in damage to our reputation, loss of customers, loss of revenue, regulatory or governmental inquiries, civil litigation, or liability for damages, any of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in part upon effective operation with mobile operating systems, networks, technologies, products, hardware and standards that we do not control.</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majority of our customers’ activity on our platform occurs on mobile devices. There is no guarantee that popular mobile devices will continue to feature the Robinhood app, or that mobile device customers will continue to use our products and services rather than those of our competitors. We are dependent on the interoperability of our app with popular mobile operating systems, networks, technologies, products, hardware and standards that we do not control, such as the Android and iOS operating systems. Any changes, bugs or technical issues in such systems or changes in our relationships with mobile operating system partners,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developers’, creators’ and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or discontinuation of our access to any third-party platform or application store could adversely affect our business, financial condition or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and that we have good relationships with mobile operating system partners, device manufacturers and mobile carriers. We may not be successful in maintaining or developing relationships with key participants in the mobile ecosystem or in developing products that operate effectively with these technologies, products, systems, networks or standards. In the event that it is more difficult for our customers to access and use our app, or if our customers choose not to access or use our app on their mobile devices or use mobile products that do not offer access to our app, our customer growth and engagement could be harmed. In the event that our customers are adversely affected by these actions or if our relationships with such third parties deteriorate, our customer growth and engagement could be adversely affected and our business could be harmed.</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certain third-party computer systems or third-party service providers, including cloud technology providers such as Amazon Web Services, internet service providers, payment services providers, market and third-party data providers, regulatory services providers, clearing systems, market makers, exchange systems, banking systems, co-location facilities, communications facilities and other facilities to run our platform, facilitate trades by our customers and support or carry out certain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vulnerabilities, including security breaches, which may impact our business, and our ability to monitor our third-party service providers’ data security is limited. In addition, these third-party service providers may rely on subcontractors to provide services to us that face similar risks. Any interruption in these third-party services, or deterioration in the quality of their service or performance, could be disruptive to our business. See also “Risks Related to Our Platform, Systems and Technology—</w:t>
      </w:r>
      <w:r>
        <w:rPr>
          <w:rFonts w:ascii="Arial" w:cs="Arial" w:eastAsia="Arial" w:hAnsi="Arial"/>
          <w:sz w:val="18"/>
          <w:szCs w:val="18"/>
          <w:i w:val="1"/>
          <w:iCs w:val="1"/>
          <w:color w:val="auto"/>
        </w:rPr>
        <w:t>We primarily rely on Amazon Web Services to deliver our</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to customers on our platform, and any disruption of or interference with our use of Amazon Web Services could adversely affect our business, financial condition and results of operations</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See also </w:t>
      </w:r>
      <w:r>
        <w:rPr>
          <w:rFonts w:ascii="Arial" w:cs="Arial" w:eastAsia="Arial" w:hAnsi="Arial"/>
          <w:sz w:val="18"/>
          <w:szCs w:val="18"/>
          <w:i w:val="1"/>
          <w:iCs w:val="1"/>
          <w:color w:val="auto"/>
        </w:rPr>
        <w:t>“</w:t>
      </w:r>
      <w:r>
        <w:rPr>
          <w:rFonts w:ascii="Arial" w:cs="Arial" w:eastAsia="Arial" w:hAnsi="Arial"/>
          <w:sz w:val="18"/>
          <w:szCs w:val="18"/>
          <w:color w:val="auto"/>
        </w:rPr>
        <w:t>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 technological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failures, whether internal or external.” </w:t>
      </w:r>
      <w:r>
        <w:rPr>
          <w:rFonts w:ascii="Arial" w:cs="Arial" w:eastAsia="Arial" w:hAnsi="Arial"/>
          <w:sz w:val="18"/>
          <w:szCs w:val="18"/>
          <w:color w:val="auto"/>
        </w:rPr>
        <w:t>Through contractual provisions and third-party risk management processes, we take steps to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providers, and their subcontractors, protect our data and information, including personal data. However, due to the size and complexity of our technology platform and services, the amount of data that we store and the number of customers, employees and third-party service providers with access to personal data, we, our third-party service providers and their subcontractors are potentially vulnerable to a variety of intentional and inadvertent cybersecurity breaches and other security-related incidents and threats, which could result in a material adverse effect on our business, financial condition and results of operation. Any contractual protections we may have from our third-party service providers may not be sufficient to adequately protect us against such consequences, and we may be unable to enforce any such contractual protections.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there is no assurance that our third-party service providers or their subcontractors will be able to continue to provide these services to meet our current needs in an efficient, cost-effective manner or that they will be able to adequately expand their services to meet our needs in the future. An interruption in or the cessation of service by our third-party service providers or their subcontractors, coupled with our possible inability to make alternative arrangements in a smooth, cost-effective and timely manner, could have adverse effects on our business, financial condition and results of operations.</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if there were deficiencies in the oversight and control of our third-party relationships, and if our regulators held us responsible for those deficiencies, it could have an adverse effect on our business, reputation and results of operations.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primarily rely on Amazon Web Services to deliver our services to customers on our platform, and any disruption of or interference with our use of Amazon Web Services could adversely affect our business, financial condition and results of operations.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host our platform and support our operations on datacenters provided by Amazon Web Services, or AWS, a third-party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do not have physical access to or control over the operations of the facilities of AWS that we use. AWS’ facilities are vulnerable to damage or interruption from natural disasters, cybersecurity attacks, terrorist attacks, power outages, and similar events or acts of misconduct. See also “Risks Related to Our Platform, Systems and Technology—</w:t>
      </w:r>
      <w:r>
        <w:rPr>
          <w:rFonts w:ascii="Arial" w:cs="Arial" w:eastAsia="Arial" w:hAnsi="Arial"/>
          <w:sz w:val="18"/>
          <w:szCs w:val="18"/>
          <w:i w:val="1"/>
          <w:iCs w:val="1"/>
          <w:color w:val="auto"/>
        </w:rPr>
        <w:t>Our platform</w:t>
      </w:r>
      <w:r>
        <w:rPr>
          <w:rFonts w:ascii="Arial" w:cs="Arial" w:eastAsia="Arial" w:hAnsi="Arial"/>
          <w:sz w:val="18"/>
          <w:szCs w:val="18"/>
          <w:color w:val="auto"/>
        </w:rPr>
        <w:t xml:space="preserve"> </w:t>
      </w:r>
      <w:r>
        <w:rPr>
          <w:rFonts w:ascii="Arial" w:cs="Arial" w:eastAsia="Arial" w:hAnsi="Arial"/>
          <w:sz w:val="18"/>
          <w:szCs w:val="18"/>
          <w:i w:val="1"/>
          <w:iCs w:val="1"/>
          <w:color w:val="auto"/>
        </w:rPr>
        <w:t>has been, and may in the future be, subject to interruption and instability due to operational and technological failures, whether internal or external</w:t>
      </w:r>
      <w:r>
        <w:rPr>
          <w:rFonts w:ascii="Arial" w:cs="Arial" w:eastAsia="Arial" w:hAnsi="Arial"/>
          <w:sz w:val="18"/>
          <w:szCs w:val="18"/>
          <w:color w:val="auto"/>
        </w:rPr>
        <w:t>.” Our platform’s continuing and uninterrupted performance is critical to our success. We have experienced, and expect that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we will experience, disruptions, interruptions, delays, and outages in service and availability from time to time due to a variety of factors, including infrastructure changes, human or software errors, website hosting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disruptions, and capacity constraints. Although we carry business interruption insurance, it may not be sufficient to compensate us for the potentially significant losses, including the potential harm to the future growth of our business that may result from interruptions in our services or products.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any changes in AWS’ service levels may adversely affect our ability to meet the requirements of customers on our platform. Since our platform’s continuing and uninterrupted performance is critical to our success, sustained or repeated system failures would reduce the attractiveness of our platform. It may become increasingly difficult to maintain and improve our performance, especially during peak usage times, as we expand and the usage of our platform increases. Any of the above circumstances or events or any negative publicity arising from such disruptions may harm our reputation and brand, reduce the availability or usage of our platform, lead to a significant short-term loss of revenue, increase our costs, and impair our ability to attract new customers, any of which could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commercial agreement with AWS will remain in effect until terminated by AWS or us pursuant to such agreement. AWS may terminate the agreement for convenience by providing us at least two years’ prior written notice. AWS may also terminate the agreement for cause upon a material breach of the agreement, subject to AWS providing prior written notice and a 30-day cure period. If AWS reasonably determines that our or any end users’ use of its services poses a security risk or threat to the function of their service offerings, AWS may also terminate the agreement for cause upon 90 days’ prior written notice and a 90-day cure period. AWS may also terminate the agreement upon 30 days’ prior written notice in order to comply with applicable law or requirements of governmental entities. Even though our platform is entirely in the cloud, we believe that we could transition to one or more alternative cloud infrastructure providers on commercially reasonable terms. In the event that our agreement with AWS is terminated or we add additional cloud infrastructure service providers, we may experience significant costs, interruptions in access to our website or online app or downtime in connection with the transfer to, or the addition of, new cloud infrastructure service providers.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systems and those of our customers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 Such issues are increasing in frequency and evolving in nature. See also “Risks Related to Our Platform, Systems and Technology—</w:t>
      </w:r>
      <w:r>
        <w:rPr>
          <w:rFonts w:ascii="Arial" w:cs="Arial" w:eastAsia="Arial" w:hAnsi="Arial"/>
          <w:sz w:val="18"/>
          <w:szCs w:val="18"/>
          <w:i w:val="1"/>
          <w:iCs w:val="1"/>
          <w:color w:val="auto"/>
        </w:rPr>
        <w:t>Our platform has been,</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in the future be, subject to interruption and instability due to operational and technological failures, whether internal or external.</w:t>
      </w:r>
      <w:r>
        <w:rPr>
          <w:rFonts w:ascii="Arial" w:cs="Arial" w:eastAsia="Arial" w:hAnsi="Arial"/>
          <w:sz w:val="18"/>
          <w:szCs w:val="18"/>
          <w:color w:val="auto"/>
        </w:rPr>
        <w:t>”</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customers or third-party service providers. Infiltration of our systems or those of our customers or third-party service providers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are expected to continue to be targeted. In light of media attention concerning increases in our number of customers and amount of customer assets, including since the onset of the COVID-19 pandemic, we may be a particularly attractive target of malicious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seeking to access customer data or assets. In addition to traditional computer “hackers,” malicious code (such as viruses and worms), employee theft or misuse and denial-of-service attacks, sophisticated nation-state and nation-state-supported actors now engage in attacks (including advanced persistent threat intrusions). Further, advances in computer capabilities, new discoveries in the field of cryptography, inadequate facility security or other developments may result in a compromise or breach of the technology we use to protect customer data. As the breadth and complexity of the technologies we use and the software and platforms we develop continue to grow, including as a result of the use of mobile devices, cloud services, open source software, social media and the increased reliance on devices connected to the internet (known as the "Internet of Things"), the potential risk of security breaches and cybersecurity attacks also increases. Despite ongoing efforts to improve our ability to protect data from compromise, we may not be able to protect all of our data across our diverse systems. Our efforts to improve security and protect data from compromise may also identify previously undiscovered instances of security breaches or other cyber incidents. Our policies, employee training (including phishing prevention training), procedures and technical safeguards may also be insufficient to prevent or detect improper access to confidential, proprietary or sensitive data, including personal data.</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due to the current COVID-19 pandemic, there is an increased risk that we may experience cybersecurity-related incidents as a result of our employees, service providers and other third parties working remotely on less secure systems and environments. Controls employed by our information technology department and our customers and third-party service providers, including cloud vendors, could prove inadequate.</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Information security risks for financial service providers are increasing, in part because of the use of the internet and mobile technologies to conduct financial transactions and, in the case of cryptocurrencies, the use of digital wallets. In addition, the highly automated nature of our products and services, as well as the liquidity offered by products and services such as our Cash Management product, make us and our customers a target for illegal or improper uses, including fraudulent transactions. Those committing fraud using stolen or fabricated debit cards or account numbers, or other deceptive or malicious practices, potentially can steal significant amounts of money from businesses and customers like ours. In providing products and services to customers, we rely on our ability to manage, use, store, disclose, transfer and otherwise process a large volume of customer data, including personal information and other sensitive information.</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we take efforts to protect our systems and data, including establishing internal processes and implementing technological measures designed to provide multiple layers of security, and contract with third-party service providers to take similar steps, there can be no assurance that our safety and security measures (and those of our third-party service providers) will prevent damage to, or interruption or breach of, our information systems, data (including personal data) and operations. We have recently taken steps 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Certain measures that could increase the security of our systems take significant time and resources to deploy broadly, and such measures may not be deployed in a timely manner or be effective against an attack. The inability to implement, maintain and upgrade adequate safeguards could have a material and adverse impact on our business, financial condition and results of operations.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there could be public announcements regarding any cybersecurity-related incidents and any steps we take to respond to or remediate such incidents, and if securities analysts or investors perceive these announcements to be negative, it could, among other things, have a substantial adverse effect on the price of our Class A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 criminals and other non-state threat actors and increased actions by nation-state actors make it difficult to keep up with new threats and could result in a breach of security. Additionally, we cannot guarantee that our insurance coverage would be sufficient to cover all losses. See “—Risks Related to Finance, Accounting and Tax Matters—</w:t>
      </w:r>
      <w:r>
        <w:rPr>
          <w:rFonts w:ascii="Arial" w:cs="Arial" w:eastAsia="Arial" w:hAnsi="Arial"/>
          <w:sz w:val="18"/>
          <w:szCs w:val="18"/>
          <w:i w:val="1"/>
          <w:iCs w:val="1"/>
          <w:color w:val="auto"/>
        </w:rPr>
        <w:t>Our insurance coverage</w:t>
      </w:r>
      <w:r>
        <w:rPr>
          <w:rFonts w:ascii="Arial" w:cs="Arial" w:eastAsia="Arial" w:hAnsi="Arial"/>
          <w:sz w:val="18"/>
          <w:szCs w:val="18"/>
          <w:color w:val="auto"/>
        </w:rPr>
        <w:t xml:space="preserve"> </w:t>
      </w:r>
      <w:r>
        <w:rPr>
          <w:rFonts w:ascii="Arial" w:cs="Arial" w:eastAsia="Arial" w:hAnsi="Arial"/>
          <w:sz w:val="18"/>
          <w:szCs w:val="18"/>
          <w:i w:val="1"/>
          <w:iCs w:val="1"/>
          <w:color w:val="auto"/>
        </w:rPr>
        <w:t>may be inadequate or expensive</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or security measures may be inadequate, and our ability to monitor our third-party service providers’ data security practices are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operation of our platform involves the use, collection, storage, sharing, disclosure, transfer and other processing of customer information, including personal data, and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Any or all of the issues above could adversely affect our ability to attract new customers and continue our relationship with existing customers, cause our customers to stop using our products and services, result in negative publicity or subject us to governmental, regulatory or third-party lawsuits, disputes, investigations, orders, regulatory fines, penalties for violation of applicable laws or regulations or other actions or liability, thereby harming our business, financial condition, operating results, cash flows, and prospects. Any accidental or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may occur, could harm our reputation, reduce the demand for our products and services and disrupt normal business operations. In addition, it may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an adverse effect on the trading price of our Class A common stock.</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Security incidents have occurred in the past, and future incidents may result in unauthorized access to, loss of or unauthorized disclosure of this data, regulatory enforcement actions, litigation, indemnity obligations and other possible liabilities, as well as negative publicity. For example, from January 1, 2020 to October 16, 2020, approximately 2,000 Robinhood customer accounts were allegedly accessed by unauthorized users. We experienced negative publicity in connection with this incident and may in the future experience similar adverse effects relating to security incidents we experience, whether or not related to the security of our platform or systems. On January 8, 2021, a putative class action was filed against us in the Superior Court of the State of California in connection with this incident.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We have also received customer complaints, regulatory inquiries, examinations, enforcement actions and investigations by various state and federal regulatory bodies, including the SEC, FINRA and certain state regulators, including the NYDFS and the New York Attorney General, related to this incident. For more information, see “Business—Legal Proceedings—Account Takeovers</w:t>
      </w:r>
      <w:r>
        <w:rPr>
          <w:rFonts w:ascii="Arial" w:cs="Arial" w:eastAsia="Arial" w:hAnsi="Arial"/>
          <w:sz w:val="18"/>
          <w:szCs w:val="18"/>
          <w:i w:val="1"/>
          <w:iCs w:val="1"/>
          <w:color w:val="auto"/>
        </w:rPr>
        <w:t>.</w:t>
      </w:r>
      <w:r>
        <w:rPr>
          <w:rFonts w:ascii="Arial" w:cs="Arial" w:eastAsia="Arial" w:hAnsi="Arial"/>
          <w:sz w:val="18"/>
          <w:szCs w:val="18"/>
          <w:color w:val="auto"/>
        </w:rPr>
        <w:t>” A breach of our security that results in unauthorized access to our data could expose us to a disruption or challenges relating to our daily operations, as well as to data loss, litigation, disputes, regulatory investigations, orders, damages, fines and penalties, indemnity obligations, damages for contract breach, penalties for violation of applicable laws and regulations, significant increases in compliance costs and reputational damage, any of which could have a material and adverse effect on our business, financial condition, operating results, cash flows and prospects.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(“GLBA”), Section 5(c) of the Federal Trade Commission Act and the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U.S., federal law, such as the GLBA and its implementing regulations, restricts certain collection, processing, storage, use and disclosure of personal data,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Department of Commerce, has announced that it is reviewing the need for greater regulation for the collection, use and other processing of information concerning consumer behavior on the internet, including regulation aimed at restricting certain targeted advertising practices. There is also a risk of enforcement actions in response to rules and regulations promulgated under the authority of federal agencies and state attorneys general and legislatures and consumer protection agencies.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Numerous states have enacted or are in the process of enacting state-level data privacy laws and regulations governing the collection, use, and other processing of state residents’ personal data. For example, the CCPA, which took effect on January 1, 2020, established a new privacy framework for covered businesses such as ours, and may require us to modify our data processing practices and policies and incur compliance related costs and expenses. The CCPA provides new and enhanced data privacy rights to California residents, such as affording California residents the right to access and delete their information and to opt out of certain sharing and sales of personal information. The law also prohibits covered businesses from discriminating against California residents (for example, charging more for services) for exercising any of their CCPA rights. The CCPA imposes severe civil penalties and statutory damages as well as a private right of action for certain data breaches that result in the loss of personal information. This private right of action is expected to increase the likelihood of, and risks associated with, data breach litigation. However, it remains unclear how various provisions of the CCPA will be interpreted and enforced. In November 2020, California voters passed the California Privacy Rights Act of 2020 (“CPRA”). Effective in most material respects starting on January 1, 2023, the CPRA will impose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The effects of the CPRA, the CCPA, other similar state or federal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CPRA and the CCPA may lead other states to pass comparable legislation, with potentially greater penalties and more rigorous compliance requirements relevant to our business. For example, many state legislatures have adopted legislation that regulates how businesses operate online, including measures relating to privacy, data security, data breaches and the protection of sensitive and personal information. 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in the event of a widespread data breach may be costly.</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requirements. We have in the past and may in the future be subject to investigations and examinations by the NYDFS regarding, among other things, our cybersecurity practices. In particular, in July 2020, the NYDFS issued a report of its examination of RHC citing certain of our cybersecurity practices as “matters requiring attention.” Following subsequent investigation by the NYDFS’s Consumer Protection and Financial Enforcement Division, in March 2021, the NYDFS informed RHC of certain alleged violations of, among other things,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will pay a monetary penalty and engage a monitor. See “Business—Legal Proceedings—RHC Anti-Money Laundering, Cybersecurity and Other Issues” for more information.</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face particular privacy, data security, and data protection risks as we continue to expand into the U.K. and the EU in connection with the GDPR and other data protection regulations.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International expansion into the U.K. and the EU in the future, as well as the fact that our U.K.- and Netherlands-based subsidiaries have a limited number of U.K.- or EU-based employees and contractors (although they currently have no customers), subjects us or may subject us to the EU General Data Protection Regulation (“GDPR”), supplemented by national laws and further implemented through binding guidance from the European Data Protection Board, which regulates the collection, control, sharing, disclosure, use and other processing of personal data and imposes stringent data protection requirements with significant penalties, and the risk of civil litigation, for noncompliance. As described further below, following Brexit, we also are subject to the U.K. General Data Protection Regulation (“U.K. GDPR”) (i.e., a version of the GDPR as implemented into U.K. law).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will likely apply not only to third-party transactions, but also to transfers of information between us and our subsidiaries, including employee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January 2021 (when the transitional period following Brexit expired), we have been required to comply with both the GDPR and the U.K. GDPR to the extent of our operations in the U.K. (given the conduct of activities falling under each law), exposing us to two parallel regimes with potentially divergent interpretations and enforcement actions for certain violations. The relationship between the U.K. and the EU in relation to certain aspects of data protection law remains unclear, for example, with how data transfers between EU member states and the U.K. will be treated and the role of the U.K.’s Information Commissioner’s Office with respect to the EU following the end of the transitional period. Following the expiration of such period, there will be increasing scope for divergence in application, interpretation and enforcement of the data protection law as between the U.K. and EEA.</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countries have also passed or are considering passing laws requiring local data residency or restricting the international transfer of data. These changes may lead to additional costs and increase our overall risk exposure. 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maintain the capital 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lead to our broker-dealer business being liquidated or wound down.</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SEC, FINRA and various other SROs have stringent rules with respect to the maintenance of specific levels of net capital and clearinghouse deposits by securities broker-dealers.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 See “Business—Regulation—Brokerage Regulation and Regulatory Capital and Deposit Requirements—Net Capital and Deposit Requirements” for more information about our net capital requirements.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Because stock trades generally settle at the clearinghouse two days after execution, RHS is required to deposit funds, the amount of which can be significant, to ensure that RHS can meet its settlement obligations. The funds deposited are RHS funds and, under SEC rules, customer funds are not available to be used to satisfy clearinghouse deposit requirements. If RHS fails to meet any such deposit requirements, its ability to settle trades through the clearinghouse may be suspended or RHS may restrict trading in certain stocks in order to limit clearinghouse deposit requirements. In either event, RHS may be exposed to significant losses or disruptions in customers’ ability to trade. For example, the Early 2021 Trading Restrictions were implemented by RHS due to increased deposit requirements imposed on RHS by the NSCC in response to the unprecedented market volatility. In a worst case scenario, if RHS is unable to satisfy its deposit requirements, the NSCC may cease to act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RHS and liquidate its unsettled clearing portfolio. See “Business—Legal Proceedings—Early 2021 Trading Restrictions Matters” and “— Risks Related to Regulation and Litigation—</w:t>
      </w:r>
      <w:r>
        <w:rPr>
          <w:rFonts w:ascii="Arial" w:cs="Arial" w:eastAsia="Arial" w:hAnsi="Arial"/>
          <w:sz w:val="18"/>
          <w:szCs w:val="18"/>
          <w:i w:val="1"/>
          <w:iCs w:val="1"/>
          <w:color w:val="auto"/>
        </w:rPr>
        <w:t>We are involved in numerous litigation matters that are expensive and time consuming, and, if</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adversely, could harm our reputation, business, financial condition or results of operations</w:t>
      </w:r>
      <w:r>
        <w:rPr>
          <w:rFonts w:ascii="Arial" w:cs="Arial" w:eastAsia="Arial" w:hAnsi="Arial"/>
          <w:sz w:val="18"/>
          <w:szCs w:val="18"/>
          <w:color w:val="auto"/>
        </w:rPr>
        <w:t>” for more information about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2021 Trading Restrictions, and see “Business—Regulation—Brokerage Regulation and Regulatory Capital and Deposit Requirements—Net Capital and Deposit Requirements” for more information about RHS’s deposit requirements.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Where we have subsidiaries that are or will be licensed and regulated in certain U.S. states or non-U.S. jurisdictions, those entities are or will be subject to their own regulatory capital rules and requirements that they, and we as a group, need to or will need to comply with to avoid censure or other adverse consequences. Changes in those rules, or changes in our business operations, may result in changes to the amount of capital that is needed by those entities, which could have an adverse effect on the operational costs of running those businesses or to the viability of those businesses.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a financial services company operating in the securities industry, among others, our business exposes us to a number of heightened risks. We have devoted significant resources to develop our compliance and risk management policies and procedures and will continue to do so, but there can be no assurance these are sufficient, especially as our business is rapidly growing and evolving. Nonetheless, our limited operating history, evolving business and rapid growth make it difficult to predict all of the risks and challenges we may encounter and may increase the risk that our policies and procedures to identify, monitor and manage compliance risks may not be fully effective in mitigating our exposure in all market environments or against all types of risk. Further, some controls are manual and are subject to inherent limitations and errors in oversight. This could cause our compliance and other risk management strategies to be ineffective. Other compliance and risk management methods depend upon the evaluation of information regarding markets, customers, catastrophe occurrence or other matters that are publicly available or otherwise accessible to us, which may not always be accurate, complete, up-to-date or properly evaluated. Insurance and other traditional risk-shifting tools may be held by or available to us in order to manage certain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We are also exposed to heightened regulatory risk because our business is subject to extensive regulation and oversight in a variety of areas, and such regulations are subject to evolving interpretations and application and it can be difficult to predict how they may be applied to our business, particularly as we introduce new products and services and expand into new jurisdictions. For example, when we launched our fractional shares program in 2019, we did not report proprietary fractional trades to FINRA’s Trade Reporting Facility based on our understanding of the reporting requirements. Since then, FINRA has informed us that such trades should be reported. As a result, we began reporting fractional shares in January 2021, and we are in the process of reviewing past transactions so that we can report such data, which may result in fines or penalties for failing to do so at the time of the trade. Additionally, the regulatory landscape involving cryptocurrencies is constantly evolving and RHC may be subject to fines, penalties or loss of regulatory licenses if the SEC or any other regulators issue new regulations or interpretive guidance related to cryptocurrencies that prohibit any of our current business practices. Also, due to market volatility, it is difficult to predict how much capital we will need in the future to meet net capital and deposit requirements. If either RHS or RHF fails to maintain specified levels of capital, our ability to settle trades through DTCC may be suspended or we may be forced to restrict trading in certain stocks in order to limit clearinghouse deposit requirements, or we could be subject to immediate suspension or revocation of registration, and suspension or expulsion could ultimately lead to the liquidation of either entity or to our broker-dealer business being wound down. Any perceived or actual breach of laws and regulations could negatively impact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condition or results of operations. It is possible that these laws and regulations could be interpreted or applied in a manner that would prohibit, alter, or impair our existing or planned products and services. See “Business—Regulation” for more information about the laws and regulations that apply to our current business operations and future business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provides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Our clearing operations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there can be no assurance that such systems and processes will be adequate. Any liability arising from clearing and margin operations could have an adverse effect on our business, financial condition and results of operations.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to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our customers purchase securities on margin or trade options, we are subject to the risk that our customers may default on their obligations when the value of the securities and cash in their accounts falls below the amount of the customers’ indebtedness. Abrupt changes in securities valuations, which are subject to fluctuations and subjectivity, and the failure of customers to meet margin calls could result in substantial losses.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in addition to SEC and FINRA net capital requirements, as a clearing and carrying broker-dealer, RHS is subject to cash deposit and collateral requirements under the rules of the DTC, NSCC and OCC.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prices are volatile. The funds deposited are RHS funds and, under SEC rules, customer funds are not available to be used to satisfy clearinghouse deposit requirements. If RHS fails to meet any such deposit requirements, its ability to settle trades through the clearinghouse may be suspended or it may restrict trading in certain stocks in order to limit clearinghouse deposit requirements (as in the case of the Early 2021 Trading Restrictions), which could result in our customers leaving our platform or subject us to litigation or regulatory or U.S. Congressional investigations and inquiries. In such case, RHS may be exposed to significant losses or disruptions in customers’ ability to trade. Furthermore, in the event that a significant amount of customers’ open trades fail to settle, RHS may be exposed to potential loss of the deposits and capital expended to meet its deposit requirements. Any liability arising in connection with any such events could have an adverse effect on our business, financial condition and results of operations. In a worst-case scenario, if RHS is unable to satisfy its deposit requirements, the NSCC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cease to act for RHS and liquidate its unsettled clearing portfolio. See “Business—Legal Proceedings” and “—Risks Related to Regulation and Litigation—</w:t>
      </w:r>
      <w:r>
        <w:rPr>
          <w:rFonts w:ascii="Arial" w:cs="Arial" w:eastAsia="Arial" w:hAnsi="Arial"/>
          <w:sz w:val="18"/>
          <w:szCs w:val="18"/>
          <w:i w:val="1"/>
          <w:iCs w:val="1"/>
          <w:color w:val="auto"/>
        </w:rPr>
        <w:t>We are involved in numerous litigation matters that are expensive and time consuming, and, if resolved adversely, could</w:t>
      </w:r>
      <w:r>
        <w:rPr>
          <w:rFonts w:ascii="Arial" w:cs="Arial" w:eastAsia="Arial" w:hAnsi="Arial"/>
          <w:sz w:val="18"/>
          <w:szCs w:val="18"/>
          <w:color w:val="auto"/>
        </w:rPr>
        <w:t xml:space="preserve"> </w:t>
      </w:r>
      <w:r>
        <w:rPr>
          <w:rFonts w:ascii="Arial" w:cs="Arial" w:eastAsia="Arial" w:hAnsi="Arial"/>
          <w:sz w:val="18"/>
          <w:szCs w:val="18"/>
          <w:i w:val="1"/>
          <w:iCs w:val="1"/>
          <w:color w:val="auto"/>
        </w:rPr>
        <w:t>harm our reputation, business, financial condition or results of operations</w:t>
      </w:r>
      <w:r>
        <w:rPr>
          <w:rFonts w:ascii="Arial" w:cs="Arial" w:eastAsia="Arial" w:hAnsi="Arial"/>
          <w:sz w:val="18"/>
          <w:szCs w:val="18"/>
          <w:color w:val="auto"/>
        </w:rPr>
        <w:t>” for more information about the Early 2021 Trading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see “Business—Regulation—Brokerage Regulation and Regulatory Capital and Deposit Requirements—Net Capital and Deposit Requirements” for more information about RHS’s net capital and deposit requirements.</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Any inability to maintain adequate banking relationships with respect to our Cash Management product may adversely affect our business.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our Cash Management product, under which we offer customers the ability to spend and earn interest on funds in their brokerage account that are not otherwise invested. Our customers who opt in to our Cash Management product have their uninvested cash automatically moved into deposits at a network of program banks. In connection with this service, we rely heavily on our relationships with partner banks to ensure the continued effectiveness of our Cash Management product. There can be no assurance that we will be able to maintain or establish adequate banking relationships. If we are unable to maintain and adequately grow our network of bank partners, our Cash Management product may be adversely impacted. In addition, if we cannot maintain sufficient relationships with the appropriate banks that provide these services, we would be required to implement alternative cash management procedures, which may result in increased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and counterparties could result in losses.</w:t>
      </w:r>
    </w:p>
    <w:p>
      <w:pPr>
        <w:spacing w:after="0" w:line="2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have adverse effects on our financial condition and results of operations.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We have policies and procedures designed to manage credit risk, but we cannot guarantee that such policies and procedures will be fully effective.</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Providing investment education tools could subject us to additional risks if such tools are construed to be investment advice or recommendations.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provide a variety of investment education and tools and financial news (including our “Robinhood Snacks” newsletters and podcasts) to our customers that we do not consider investment advice or an investment recommendation, but we cannot guarantee that such services could not be construed as constituting investment advice or recommendations by customers or regulatory agencies. Additionally, Robinhood Gold members have access to stock research reports prepared by our third-party partner, Morningstar, Inc. Risks associated with providing investment advice include those arising from how we disclose and address possible conflicts of interest, inadequate due diligence, inadequate disclosure, human error and fraud. New regulations, such as the SEC’s Regulation Best Interest and certain state broker-dealer regulations, will impose heightened conduct standards and requirements if we are deemed to provide recommendations to retail investors. In addition, various states are considering potential regulations or have already adopted certain regulations that could impose additional standards of conduct or other obligations on us if we provide investment advice or recommendations to our customers. Furthermore, we could be subject to investigations by regulatory agencies if our services are construed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constituting investment advice or recommendations. For example, in 2020, the MSD issued certain amendments to the Massachusetts securities law, which, among other things, apply a fiduciary conduct standard to broker-dealers and agents when dealing with their customers. In December 2020, the Enforcement Section of MSD filed a complaint against us stipulating that the fiduciary conduct standard applies to us by alleging that our product features and marketing strategies amount to investment recommendations. See “Business—Legal Proceedings” for more information. To the extent that the services we provide are construed or alleged to constitute investment advice or recommendations and we fail to satisfy regulatory requirements, fail to know our customers, improperly advise our customers, or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Cryptocurrency Products and Services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our cryptocurrencies may result in irreversible loss of such cryptocurrencies. If we are unable to access our private keys or if we experience a hack or other data loss relating to the cryptocurrencies we hold on behalf of customers, our customers may be unable to trade their cryptocurrency and our reputation and business could be harmed.</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and March 31, 2021, $3.5 billion and $11.6 billion of our AUC, respectively, was attributed to cryptocurrencies. As our business continues to grow and we expand RHC’s product and service offerings, so do the risks associated with failing to safeguard and manage our customers’ cryptocurrencies.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cryptocurrencies and funds appropriately and in compliance with applicable regulatory requirements could result in reputational harm, significant financial losses, lead customers to discontinue or reduce their use of RHC, and result in significant penalties and fines and additional restrictions, which could harm our reputation, business, financial condition or results of operations.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Cryptocurrencies are controllable only by the possessor of both the unique public key and private key relating to the local or online digital wallet in which such currency is held. While blockchain ledgers require a public key relating to a digital wallet to be published when used in a transaction, private keys must be safeguarded and stored securely in order to prevent an unauthorized third party from accessing the assets held in such wallet. RHC holds all cryptocurrencies in custody in two types of wallets: (i) hot wallets, which are managed online, and (ii) cold wallets, which are managed entirely offline on a computer stored in one or more secure data facilities. In general, the overwhelming majority of cryptocurrency coins on our platform are held in cold storage, though some coins are held in hot wallets to support day-to-day operations. To the extent any of our private keys are lost, destroyed, unable to be accessed by us or otherwise compromised and no backup of such private key is accessible,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RHC holds in custody on behalf of customers. Any such losses may be significant, and we may not be able to obtain insurance coverage for some or all of those losses. Cryptocurrencies and blockchain technologies, have been, and may in the future be, subject to security breaches, hacking or other malicious activities. Any loss of private keys relating to, or hack or other compromise of, hot wallets or cold wallets used to store our customers’ cryptocurrencies could result in total loss of customers’ cryptocurrencies (given our insurance coverage does not cover all customers’ cryptocurrency balances and cryptocurrency investments through RHC are not protected by the Securities Investor Protection Corporation (the “SIPC”)) or adversely affect our customers’ ability to sell their assets and could harm customer trust in us and our products. For more information about our insurance coverage and its limitations, see “—Risks Related to Finance, Accounting and Tax Matters—</w:t>
      </w:r>
      <w:r>
        <w:rPr>
          <w:rFonts w:ascii="Arial" w:cs="Arial" w:eastAsia="Arial" w:hAnsi="Arial"/>
          <w:sz w:val="18"/>
          <w:szCs w:val="18"/>
          <w:i w:val="1"/>
          <w:iCs w:val="1"/>
          <w:color w:val="auto"/>
        </w:rPr>
        <w:t>Our insurance coverage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be inadequate or expensive</w:t>
      </w:r>
      <w:r>
        <w:rPr>
          <w:rFonts w:ascii="Arial" w:cs="Arial" w:eastAsia="Arial" w:hAnsi="Arial"/>
          <w:sz w:val="18"/>
          <w:szCs w:val="18"/>
          <w:color w:val="auto"/>
        </w:rPr>
        <w:t>.” Additionally, any such security compromises or any business continuity issues affecting our cryptocurrency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makers may affect the ability of our customers to trade or hold in cryptocurrencies on our platform and could harm customer trust in us and our products.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prices of cryptocurrencies are extremely volatile. Fluctuations in the price of various cryptocurrencies may cause uncertainty in the market and could negatively impact trading volumes of cryptocurrencies, which would adversely affect the success of RHC’s business, financial condition and results of operations.</w:t>
      </w:r>
    </w:p>
    <w:p>
      <w:pPr>
        <w:spacing w:after="0" w:line="1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value of cryptocurrencies is based in part on market adoption and future expectations, which may or may not be realized. As a result, the prices of cryptocurrencies are highly speculative. The prices of cryptocurrencies have been subject to dramatic fluctuations to date. Several factors may affect price, including, but not limited to:</w:t>
      </w:r>
    </w:p>
    <w:p>
      <w:pPr>
        <w:spacing w:after="0" w:line="161" w:lineRule="exact"/>
        <w:rPr>
          <w:sz w:val="20"/>
          <w:szCs w:val="20"/>
          <w:color w:val="auto"/>
        </w:rPr>
      </w:pPr>
    </w:p>
    <w:p>
      <w:pPr>
        <w:jc w:val="both"/>
        <w:ind w:left="660" w:hanging="328"/>
        <w:spacing w:after="0" w:line="254"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maintenance and development of the software protocol of cryptocurrencies.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measures, if any, that affect the use and value of cryptocurrencies.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perceived manipulation of the markets for cryptocurrencies.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perceived threats that cryptocurrencies and related activities such as mining have adverse effects on the environment or are tied to illegal activities.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cryptocurrency markets are volatile, and changes in the prices and/or trading volume of cryptocurrencies may adversely impact RHC’s growth strategy and business. In addition, while we have observed a positive trend in the total market capitalization of cryptocurrency assets historically, driven by increased adoption of cryptocurrency trading by both retail and institutional investors as well as continued growth of various non-investing use cases, historical trends are not indicative of future adoption, and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possible that the adoption of cryptocurrencies may slow, take longer to develop or never be broadly adopted, which would negatively impact our business, financial condition and results of operations. Volatility in the values of cryptocurrencies caused by the factors described above or other factors may impact our regulatory net worth requirements as well as the demand for our services and therefore have an adverse effect on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substantial portion of the recent growth in our net revenues earned from cryptocurrency transactions is attributable to transactions in Dogecoin. If demand for transactions in Dogecoin declines and is not replaced by new demand for other cryptocurrencies available for trading on our platform, our business, financial condition and results of operations could be adversely affected.</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17% of our total revenue was derived from transaction -based revenues earned from cryptocurrency transactions, compared to 4% for the three months year ended December 31, 2020. While we currently support a portfolio of seven cryptocurrencies for trading, for the three months ended March 31, 2021, 34% of our cryptocurrency transaction-based revenue was attributable to transactions in Dogecoin, as compared to 4% for the three months ended December 31, 2020. As such, in addition to the factors impacting the broader cryptoeconomy described elsewhere in this section, RHC’s business may be adversely affected, and growth in our net revenue earned from cryptocurrency transactions may slow or decline, if the markets for Dogecoin deteriorate or if the price of Dogecoin declines, including as a result of factors such as negative perceptions of Dogecoin or the increased availability of Dogecoin on other cryptocurrency trading platforms.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Regulation of the cryptocurrency industry continues to evolve 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RHC provides users with the ability to buy, hold and sell a limited number of cryptocurrencies, such as Bitcoin, Ethereum and Dogecoin. Cryptocurrencies have experienced significant price volatility, technological glitches and various law enforcement and regulatory interventions. Both domestic and foreign regulators and governments are increasingly focused on the regulation of cryptocurrencies. In the United States, cryptocurrencies are regulated by both federal and state authorities, depending on the context of their usage. Regulation of cryptocurrencies continues to evolve. Cryptocurrency market disruptions and resulting governmental interventions are unpredictable, and may make cryptocurrencies, or certain cryptocurrency business activities, illegal altogether. There is a substantial risk of inconsistent regulatory guidance among federal and state agencies and among state governments which, along with potential accounting and tax issues or other requirements relating to cryptocurrencies, could impede the growth and operations of RHC.</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currently provides a trading platform for a limited number of cryptocurrencies that we have analyzed under applicable internal policies and procedures and do not believe are securities under the U.S. securities laws. Although our policies and procedures are intended to enable us to make risk-based assessments regarding the likelihood that a particular cryptocurrency could be deemed a security under applicable laws, including federal securities laws, they are not legal determinations as to whether a particular digital asset is a security under such laws. Accordingly, regardless of our conclusions, we could be subject to legal or regulatory action in the event the SEC or a court were to determine that a cryptocurrency currently traded on our platform is a “security” under U.S. law. Although the SEC has not asserted that all cryptocurrencies are securities,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offer, sale, trading and clearing of such assets. For example, in the United States, securities (and therefore any cryptocurrencies deemed to be securities) may generally be offered or sold in the United States only pursuant to a registration statement filed with the SEC or in an offering that qualifies for an exemption from registration, and persons that effect transactions in cryptocurrencies that are securities in the United States may be subject to registration with the SEC as a broker or dealer. Any such determination that a cryptocurrency available for trading on our platform is a security could result in significant market dislocations, trading suspensions and lawsuits from customers.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A determination by a the SEC or a court that a cryptocurrency that we currently make available for trading on our platform constitutes a security may also result in our determination that it is advisable to remove other cryptocurrencies from our platform that have similar characteristics to the cryptocurrency that was determined to be a security.</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growth of RHC may be adversely affected if we are not able to expand RHC’s platform to include additional cryptocurrencies that the SEC has determined to be securities or that we believe are likely to be determined to be securities. Our business could be adversely affected by the listing and delisting of cryptocurrencies on our trading platform and general trends concerning cryptocurrencies. In addition, to the extent that future regulatory actions or policies limit or restrict cryptocurrency usage, custody or trading, or the ability to convert cryptocurrencies to fiat currencies, the demand for cryptocurrency trading may be reduced and it could have an adverse effect on our business, financial condition and results of operations.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in the future we were to 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do not allow customers to deposit or withdraw cryptocurrencies into or from our platform, but we may offer this feature in the future. As noted above, cryptocurrencies are controllable only by the possessor of both the unique public key and private key relating to the local or online digital wallet in which such cryptocurrency is held. In order to deposit cryptocurrencies held by a customer into our platform, a customer would need to “sign” a transaction that consists of the private key of the wallet from which the customer is transferring cryptocurrency, direct the deposit using the public key of a wallet that we would control and which we would provide to the customer, and we would broadcast the deposit transaction onto the underlying blockchain network. Similarly, to withdraw cryptocurrencies from our platform, the customer would need to provide us with the public key of the wallet that the cryptocurrencies are to be transferred to, and a party with access to the private keys of wallet holding the cryptocurrency to be withdrawn would be required to “sign” a transaction authorizing the transfer. In addition, some crypto networks might require additional information to be provided in connection with any transfer of cryptocurrencies into or from our platform and wallets. A number of errors could occur in the process of depositing or withdrawing cryptocurrencies into or from our platform, such as typos, mistakes, or the failure to include the information required by the blockchain network. For instance, a user could incorrectly enter our wallet’s public key or the desired recipient’s public key when depositing and withdrawing from our platforms, respectively. Alternatively, a user could transfer cryptocurrencies to a wallet address that he or she does not own, control or hold the private keys to. In addition, each wallet address is only compatible with the underlying blockchain network on which it is created. For instance, a Bitcoin wallet address can only be used to send and receive Bitcoins. If any Ethereum, Dogecoin or other cryptocurrency is sent to a Bitcoin wallet address, or if any of the foregoing errors occur, such cryptocurrencies could be permanently and irretrievably lost with no means of recovery. Such incidents could result in customer disputes, damage to our brand and reputation, legal claims against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 any of which could adversely affect our business, financial condition and results of operations.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allowing customers to deposit and withdraw cryptocurrencies into and from our platform could expose us to heightened risks related to potential violations of trade sanctions, including OFAC regulations, and anti-money laundering and counter-terrorist financing laws if individuals specifically exploit this feature to conduct fraudulent transfers, illegal activity or money laundering. Such fraudulent transactions may be difficult or impossible for us to detect and 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or results of operations. See “—Risks Related to Regulation and Litigation—</w:t>
      </w:r>
      <w:r>
        <w:rPr>
          <w:rFonts w:ascii="Arial" w:cs="Arial" w:eastAsia="Arial" w:hAnsi="Arial"/>
          <w:sz w:val="18"/>
          <w:szCs w:val="18"/>
          <w:i w:val="1"/>
          <w:iCs w:val="1"/>
          <w:color w:val="auto"/>
        </w:rPr>
        <w:t>We are subject to governmental laws and</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regarding economic and trade sanctions, anti-money laundering and counter-terror financing that could impair our ability to compete in international markets or subject us to criminal or civil liability if we violate them.”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Both Bitcoin and Ethereum protocols have been subject to “forks” recently that resulted in the creation of new networks, including, among others, Bitcoin Cash, Bitcoin SV, Bitcoin Diamond, Bitcoin Gold and 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Ethereum or any of their forked alternatives.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hard forks can lead to new security concerns.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Similar replay attacks occurred in connection with the Bitcoin Cash and Bitcoin Cash SV network split in November 2018. Another possible result of a hard fork is an inherent decrease in the level of security due to the splitting of some mining power across networks, making it easier for a malicious actor to exceed 50% of the mining power of that network.</w:t>
      </w:r>
    </w:p>
    <w:p>
      <w:pPr>
        <w:spacing w:after="0" w:line="16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 fork can lead to a disruption of networks and our information technology systems, cybersecurity attacks, replay attacks or security weaknesses, any of which can further lead to temporary or 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permanent loss of customer cryptocurrencies. Such disruption and loss could cause our company to be exposed to liability, even in circumstances where we have no intention of supporting a cryptocurrency compromised by a fork.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we may not wish to or be able to support a cryptocurrency resulting from the fork of a network which may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its systems to ensure that the cryptocurrencies it supports remain safe and secure. There are several considerations that RHC considers as part of a general cryptocurrency approval policy (including security or infrastructure concerns that may arise with the integration of any new cryptocurrency into the technical infrastructure that allows us to secure customer cryptocurrencies and to transact securely in corresponding blockchains), which may operate to limit RHC’s ability to support forks. Further, RHC generally does not support a forked cryptocurrency that does not have support from a majority of the affiliated third-party miner and developer community.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Whether RHC is obligated to provide services for a new and previously unsupported cryptocurrency is a question of contract, as recognized in recent published rulings of the California appellate courts, such as Archer v. Coinbase, 53 Cal App. 5th 266 (App. 1st Dist. 2020) and federal district courts, such as BDI Capital, LLC v. Bulbul Investments LLC, 446F.Supp.3d 1127, 1138 (N.D. Ga. 2020). The RHC User Agreement, which each customer must enter into in order to trade cryptocurrencies on the Company’s platform, clearly indicates that (i) RHC has the sole discretion to determine whether RHC will support a forked network and the approach to such forked cryptocurrencies, (ii) RHC is unlikely to support most forked networks and (iii) RHC may temporarily suspend trading for a cryptocurrency whose network is undergoing a fork without advanced notice to the customer while RHC determines which, if any, forked network and forked cryptocurrencies to support on our platform. Regardless of the foregoing, we may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may be required to pay significant damages, fines or other fees to compensate customers for their losses.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Any inability to maintain adequate relationships with affiliates, third-party banks and trading venues with respect to, and any inability to settle customer trades related to, RHC’s cryptocurrency offerings, may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relies on its affiliates (including its affiliate clearing broker), third-party banks and trading venues to provide its cryptocurrency products and services to its customers. The cryptocurrency market operates 24 hours a day, seven days a week. The cryptocurrency market does not have a centralized clearinghouse, and the transactions in cryptocurrencies on our platform rely on direct settlements between RHC and its customers and direct settlements between RHC and RHC’s trading venues after customer trades are executed. Accordingly, RHC relies on its affiliate clearing brokerage and third -party banks to facilitate cash settlements between customers’ brokerage accounts and RHC and relies on the ability of its trading venues to complete cryptocurrency settlements with RHC to obtain cryptocurrency for customer accounts. In addition, RHC must maintain cash assets in its bank accounts sufficient to meet the working capital needs of its business, which includes deploying available working capital to facilitate cash settlements between RHC and its customers or RHC and its trading venues (as well as maintaining the minimum capital required by regulators such as the NYDFS). If RHC’s affiliate clearing broker, third-party banks or trading venues have operational failures and cannot perform and facilitate RHC’s routine cash and cryptocurrency settlement transactions, RHC will be unable to support normal trading operations on its cryptocurrency trading platform and these disruptions could have an adverse impact on our business, financial condition and results of operations. Similarly, if RHC fails to maintain cash assets in its bank accounts sufficient to meet the working capital needs of its business and necessary to complete routine cash settlements related to customer trading activity, such failure could impair RHC’s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ability to support normal trading operations on our cryptocurrency platform and these disruptions could have an adverse impact on our business, financial condition and results of operations.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also be harmed by the loss of any of RHC’s banking partners and trading venues. As a result of the many regulations applicable to cryptocurrencies or the risks of crypto assets generally, many financial institutions have decided, and other financial institutions may in the future decide, to not provide bank accounts (or access to bank accounts), payments services or other financial services to companies providing cryptocurrency products, including us.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financial condition and results of operations.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From time to time, we may encounter technical issues in connection with changes and upgrades to the underlying networks of supported cryptocurrencies, which could adversely affect the success of RHC’s business, financial condition and results of operations.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may no longer be able to support such cryptocurrency, our customers’ assets may be frozen or lost, the security of our hot or cold wallets may be compromised and our platform and technical infrastructure may be affected, all of which could adversely impact the success of RHC’s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 financial condition and results of operations.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Unauthorized use of our intellectual property or a violation of our intellectual property rights by third parties may damage our brand and our reputation. We rely on a combination of trademark, patent, copyright, and trade secret laws in the U.S. and internationally, our terms and conditions, other contractual provisions and technological measures to protect our intellectual property rights from infringement, misappropriation or other violation to maintain our brand and competitive position. Various factors outside our control pose a threat to our intellectual property rights, as well as to our products, services and technologies.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steps we take to protect our intellectual property rights may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and when to rely upon trade secret protection, and the approach we select may ultimately prove to be inadequate. There can be no assurance our intellectual property rights will be sufficient to protect against unauthorized parties offering products or services that are substantially similar to ours and compete with our business or attempting to copy aspects of our technology and use information that we consider proprietary.</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will not be able to protect our intellectual property rights if we do not detect unauthorized use of our intellectual property rights. We also may fail to maintain or be unable to obtain adequate protections for certain of our intellectual property rights in the United States and certain non-U.S. countries,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protect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and may in the future be, subject to claims that we violated certain third-party intellectual property rights, which, even where meritless, can be costly to defend and could materially adversely affect our business, results of operations, and financial condition.</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Additionally, companies in the technology industry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have in the past and may in the future attempt to assert intellectual property claims against us or seek to monetize the intellectual property rights they own to extract value through licensing or other settlements.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use of third-party software and other intellectual property rights may be subject to claims of infringement or misappropriation. The vendors who provide us with technology that we incorporate in our product offerings also could become subject to various infringement claims. We cannot guarantee that our internally developed or acquired technologies and content do not or will not infringe, misappropriate or otherwise violate the intellectual property rights of others.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our competitors or other third parties may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results of operations.</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protect, defend and enforce our trademarks and trade names, or build name recognition in our markets of interest, thereby harming our competitive position.</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the protection of our trademark rights is an important factor in product recognition, protecting our brand and maintaining goodwill. We may be unable to obtain trademark protection for our technologies, logos, slogans and brands, and our existing trademark registrations and applications, and any trademarks that may be used in the future, may not provide us with competitive advantages or distinguish our products and services from those of our competitors. Further, we may not timely or successfully register our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do not adequately protect our rights in our trademarks from infringement and unauthorized use, any goodwill that we have developed in those trademarks could be lost or impaired, which could harm our brand and our business. We have registered, among other trademarks, the term “Robinhood” and our feather logo in the United States and certain other jurisdictions. Competitors have and may continue to adopt service names similar to ours, thereby harming our ability to build brand identity and possibly leading to customer confusion. In addition, there could be potential trade name or trademark infringement claims brought by owners of other trademarks that are similar to our trademarks. Furthermore, our trademarks may be opposed,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 Our efforts to obtain, maintain, protect, defend and enforce our trademarks may be ineffective and could result in substantial costs and diversion of resources, which could adversely affect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registered domain names that we use in, or are related to, our business, most importantly www.robinhood.com and www.robinhood.net. If we lose the ability to use a domain name,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protecting, defending and enforcing our rights in our domain names may require litigation, which could result in substantial costs and diversion of resources, which could in turn adversely affect our business, financial condition, and results of operations.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harm our business.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third-party websites that aggregate or misappropriate our data.</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customers, our brand and business could be harmed.</w:t>
      </w:r>
    </w:p>
    <w:p>
      <w:pPr>
        <w:spacing w:after="0" w:line="1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properly handle cash, securities and cryptocurrencies held on behalf of customers could harm our business and reputation.</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hold, handle and account accurately for the cash, securities and cryptocurrencies in our customers’ accounts requires a high level of internal controls, and our success requires significant customer confidence in our ability to do so. As our business continues to grow and we expand our products and services, we must continue to strengthen our associated internal controls. Any failure to maintain the necessary controls or to manage our customers’ funds and securities accurately could result in reputational harm, lead customers to discontinue or reduce their use of our products and services and result in regulatory actions, including significant penalties and fines, which could harm our business.</w:t>
      </w:r>
    </w:p>
    <w:p>
      <w:pPr>
        <w:spacing w:after="0" w:line="15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Covenants in our credit agreements may restrict our operations and if we do not effectively manage our business to comply with these covenants, our financial condition could be adversely impacted.</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two credit agreements and may enter into additional agreements for other borrowing in the future. These agreements contain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may restrict our current and future operations, particularly our ability to respond to certain changes in our business or industry or take future actions, including our ability to incur debt to increase our liquidity position.</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meet these restrictive covenants can be impacted by events beyond our control and we may be unable to do so. The credit agreements provide that our breach or failure to satisfy certain covenants constitutes an event of default. Upon the occurrence of an event of default, our lenders could elect to declare all amounts outstanding under our debt agreements to be immediately due and payable. In addition, our lenders may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possible to prevent or detect all activities giving rise to claims and the precautions we take may not be effective in all cases. We maintain voluntary and required insurance coverage, including, among others, general liability, property, director and officer, excess-SIPC, business interruption, cyber and data breach, errors and omissions, crime and fidelity bond insurance. Our insurance coverage is expensive and maintaining or expanding our insurance coverage may have an adverse effect on our results of operations and financial condition.</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insurance coverage may be insufficient to protect us against all losses and costs stemming from operational and technological failures and we cannot be certain that such insurance will continue to be available to us on economically reasonable terms, or at all, or that any insurer will not deny coverage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any future claim. For example, we offer a guarantee to our customers to fully reimburse direct losses that occur due to unauthorized activity that is not the fault of the customer, and any such losses we incur in satisfaction of this guarantee may not be fully or partially covered by insurance.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and policies could adversely impact our financial condition and results of operations.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complex and evolving U.S. tax laws and regulations, which may in the future make changes to corporate income tax rates (including increases proposed by the Biden administration), the treatment of foreign earnings, or other income tax laws that could affect our future income tax provision and reduce our earnings while increasing the complexity, burden and cost of tax compliance.</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we believe our estimates are reasonable, as a result of these and other factors, the ultimate amount of our tax obligations owed may differ from the amounts recorded in our consolidated financial statements and any such difference may harm our results of operations in future periods in which we change our estimates of our tax obligations or in which the ultimate tax outcome is determined.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certain members of the U.S. Congress and individual state legislatures have proposed the imposition of new taxes on a broad range of financial transactions, including transactions that occur on our platform, such as the buying and selling of stocks and derivative transactions. If enacted, such proposed financial transaction taxes could increase the cost to customers of investing or trading on our platform and reduce or adversely affect U.S. market conditions and liquidity, our customers’ investment performance, general levels of interest in investing and the volume of trades and other transactions from which we derive transaction revenues, as well as on our business, financial condition and results of operations. See “Risks Related to our Business—</w:t>
      </w:r>
      <w:r>
        <w:rPr>
          <w:rFonts w:ascii="Arial" w:cs="Arial" w:eastAsia="Arial" w:hAnsi="Arial"/>
          <w:sz w:val="18"/>
          <w:szCs w:val="18"/>
          <w:i w:val="1"/>
          <w:iCs w:val="1"/>
          <w:color w:val="auto"/>
        </w:rPr>
        <w:t>Proposed legislation that would impose taxes on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transactions could have a material adverse effect on our business, financial condition and results of operations</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During 2020, we utilized substantially all of our U.S. federal and state net operating loss ("NOL") carryforwards, excluding California due to the recently enacted Assembly Bill No. 85 (as further described in Note 6 to our consolidated financial statements included elsewhere in this prospectus). As a result, as of December 31, 2020, we had U.S. state NOL carryforwards of $32.3 million that will begin to expire in 2034 if not utilized, and non-U.S. NOL carryforwards of $ 4.7 million that do not expire.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similar state provisions. Future changes in our stock ownership, many of which are outside of our control, could result in an ownership change under Section 382 or 383 of the Code. Furthermore, our ability to utilize NOLs of companies that we may acquire in the future may be subject to limitations. For these reasons, we may not be able to utilize our NOLs, even if we maintain profitability.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large number of RSUs will vest in connection with this offering, and we may expend substantial funds in connection with the tax withholding and remittance obligations related to the settlement of RSUs and/or the exercise of outstanding stock options depending on the manner in which we fund these liabilities, which may have an adverse effect on our financial condition and results of operations.</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 to shares of our Class A common stock will be issuable in connection with this offering upon the settlement of IPO-Vesting Time-Based RSUs (based on the number of IPO-Vesting Time-Based RSUs for which the time-based vesting condition was satisfied as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March 31, 2021), up to shares of our Class A common stock will be issuable in connection with this offering upon the settlement of IPO-Vesting Market-Based RSUs (assuming the effectiveness of this offering on March 31, 2021 for purposes of any applicable time-based vesting conditions and, for purposes of determining the satisfaction of the market-based vesting condition, an initial public offering price of</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Class A common stock of $ per share, which is the midpoint of the estimated offering price range set forth on the cover page of this prospectus), and up to 15,396,002 shares of our Class A common stock will be issuable after this offering upon the exercise of outstanding vested stock options (based on vested stock options outstanding as of March 31, 2021). On the settlement dates for the IPO-Vesting Time-Based RSUs and IPO-Vesting Market-Based RSUs granted prior to the date of this prospectus and upon exercise of stock options, holders may be allowed to sell a portion of the resulting shares of our common stock in the public market to satisfy the resulting tax withholding and remittance obligations related to the settlement or exercise of awards, which we refer to as “selling to cover,” or we may withhold shares and remit tax liabilities to the relevant tax authorities on behalf of the holders, which we refer to as a “net settlement.” We currently expect that the average rate at which we will withhold for tax obligations will be approximately % and the income taxes due would be based on the then-current value of the underlying shares of our Class A common stock and the taxable amounts resulting from the exercise of stock options.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IPO-Vesting Time-Based RSUs vest upon the satisfaction of both a time-based vesting condition and a liquidity-based vesting condition. The time-based vesting condition for a majority of such RSUs is satisfied over a period of four years (generally from the grant date or the holder’s employment start date). The liquidity-based vesting condition of such RSUs will be satisfied in connection with this offering. We expect to settle the IPO-Vesting Time-Based RSUs in connection with this offering. Based on the number of IPO-Vesting Time-Based RSUs for which the time-based vesting condition was satisfied as of March 31, 2021, and assuming (i) the satisfaction of the liquidity-based vesting</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condition on that date and (ii) that the price of our Class A common stock at the time of settlement was equal to $ per share, which is the midpoint of the estimated offering price range set forth on the cover page of this prospectus, we estimate that the tax withholding 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remittance obligations would be approximately $ in the aggregate. The amount of these obligations could be higher or lower, depending on the price of shares of our Class A common stock and the actual numbers of IPO-Vesting Time-Based RSUs on the applicable settlement date. Assuming an approximate 45% tax withholding rate, we intend to undertake a net settlement of the awards by delivering an aggregate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approximately shares of Class A common stock to IPO-Vesting Time-Based RSU holders and withholding an aggregate of approximately shares of Class A common stock, based on the number of IPO-Vesting Time-Based RSUs outstanding as of March 31, 2021.</w:t>
      </w:r>
    </w:p>
    <w:p>
      <w:pPr>
        <w:spacing w:after="0" w:line="38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2019 Market-Based RSUs were granted on October 8, 2019 and were amended and restated on May 26, 2021 and vest upon the satisfaction of both a time-based vesting condition and a market-based vesting condition. The time-based vesting condition that is applicable to a portion of the 2019 Market-Based RSUs is satisfied over a period of six years. The market-based vesting condition that is applicable to the 2019 Market-Based RSUs is initially tested based on our initial public offering price. Any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Market Based RSUs for which the market-based vesting condition is not satisfied in this offering will continue to be eligible to vest upon the satisfaction of the market-based vesting condition following this offering. Based on the number of outstanding 2019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 we estimate that the tax</w:t>
      </w:r>
    </w:p>
    <w:p>
      <w:pPr>
        <w:spacing w:after="0" w:line="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withholding and remittance obligations for the IPO-Vesting Market-Based RSUs would be approximately $ in the aggregate. The amount of these obligations could be higher or lower, depending on the initial public offering price. Assuming an approximate 45% tax</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withholding rate, we intend to undertake a net settlement of the awards by delivering an aggregate of approximately shares of Class A common stock to IPO-Vesting Market-Based RSU holders (which consist of our Co-Founder, CEO, President and director, Mr. Tenev, and our</w:t>
      </w:r>
    </w:p>
    <w:p>
      <w:pPr>
        <w:jc w:val="both"/>
        <w:spacing w:after="0" w:line="250" w:lineRule="auto"/>
        <w:rPr>
          <w:sz w:val="20"/>
          <w:szCs w:val="20"/>
          <w:color w:val="auto"/>
        </w:rPr>
      </w:pPr>
      <w:r>
        <w:rPr>
          <w:rFonts w:ascii="Arial" w:cs="Arial" w:eastAsia="Arial" w:hAnsi="Arial"/>
          <w:sz w:val="18"/>
          <w:szCs w:val="18"/>
          <w:color w:val="auto"/>
        </w:rPr>
        <w:t>Co-Founder, Chief Creative Officer and director, Mr. Bhatt) and withholding an aggregate of approximately shares of Class A common stock.</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predict when holders will exercise their stock options. However, if all stock options vested as of March 31, 2021 were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exercised and the price of our Class A common stock at the time of exercise were equal to $ per share, which is the midpoint of the estimated offering price range set forth on the cover page of this prospectus, we estimate that the aggregate resulting tax withholding 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remittance obligations would be approximately $ . If holders elect to sell shares of our Class A common stock in the public market to satisfy these tax withholding and remittance obligations rather than our undertaking a net settlement of the awards, an aggregate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approximately shares of our Class A common stock would be sold in the public market and an aggregate of approximately shares of our Class A common stock would be delivered to option holders. If holders elect for us to undertake a net settlement of these options to</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satisfy these tax withholding obligations, we would expect to deliver an aggregate of approximately shares of our Class A common stock to option holders and withholding an aggregate of approximately shares of our Class A common stock.</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Given the large number of IPO-Vesting Time-Based RSUs and IPO-Vesting Market-Based RSUs that will be settled in connection with this offering, the number of outstanding stock options and the number of Market-Based RSUs that could settle following this offering, if we choose to net settle all or a portion of these awards we may expend substantial funds to satisfy the related tax withholding and remittance obligations in the year in which this offering is completed. To fund those tax withholding and remittance obligations, we may choose to use a substantial portion of our existing cash, including funds raised in this offering, borrow funds under our revolving credit facility, or rely on a combination of these alternatives. In the event that we elect to satisfy our tax withholding and remittance obligations in whole or in part by drawing on our revolving credit facility, our interest expense and principal repayment requirements could increase significantly, which could have an adverse effect on our financial results.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of a large number of shares of our Class A common stock if holders “sell to cover” upon the settlement of RSUs and/or exercise of stock options may impact the market price of our Class A common stock. See “—Risks Related to Our Class A Common Stock and this Offering—</w:t>
      </w:r>
      <w:r>
        <w:rPr>
          <w:rFonts w:ascii="Arial" w:cs="Arial" w:eastAsia="Arial" w:hAnsi="Arial"/>
          <w:sz w:val="18"/>
          <w:szCs w:val="18"/>
          <w:i w:val="1"/>
          <w:iCs w:val="1"/>
          <w:color w:val="auto"/>
        </w:rPr>
        <w:t>Substantial future sales of shares of our Class A common stock in the public market could cause the trading price of our Class A</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 to fall</w:t>
      </w:r>
      <w:r>
        <w:rPr>
          <w:rFonts w:ascii="Arial" w:cs="Arial" w:eastAsia="Arial" w:hAnsi="Arial"/>
          <w:sz w:val="18"/>
          <w:szCs w:val="18"/>
          <w:color w:val="auto"/>
        </w:rPr>
        <w:t>.”</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The share counts set forth above do not give effect to any exchange by our founders of shares of Class A common stock received upon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IPO-Vesting Time-Vesting RSUs and IPO-Vesting Market-Based RSUs held by our founders for shares of Class B common stock pursuant to their Equity Exchange Rights.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 independent third party and which may differ from estimates or similar metrics published by third parties due to differences in sources, methodologies or the assumptions on which we rely. Our internal systems and tools are subject to a number of limitations and our methodologies for tracking these metrics have changed in the past and may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may be significantly harmed, the trading price of our Class A common stock could decline and we may be subject to stockholder litigation, which could have an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interest rates.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Fluctuations in interest rates may adversely impact our customers’ general spending levels and ability and willingness to invest through our platform. Additionally, some of our products, such as our Cash Management product and margin lending programs, are affected by interest rate changes. Higher interest rates often lead to higher payment obligations by our customers to us and to their creditors under mortgage, credit card, and other consumer and merchant loans, which may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See “Risks Related to Our Brokerage Products and Services—</w:t>
      </w:r>
      <w:r>
        <w:rPr>
          <w:rFonts w:ascii="Arial" w:cs="Arial" w:eastAsia="Arial" w:hAnsi="Arial"/>
          <w:sz w:val="18"/>
          <w:szCs w:val="18"/>
          <w:i w:val="1"/>
          <w:iCs w:val="1"/>
          <w:color w:val="auto"/>
        </w:rPr>
        <w:t>Our exposure to credit risk with customers and counterparties could result in losses</w:t>
      </w:r>
      <w:r>
        <w:rPr>
          <w:rFonts w:ascii="Arial" w:cs="Arial" w:eastAsia="Arial" w:hAnsi="Arial"/>
          <w:sz w:val="18"/>
          <w:szCs w:val="18"/>
          <w:color w:val="auto"/>
        </w:rPr>
        <w:t>” above. Fluctuations in interest rates may also adversely impact our Cash Management customers’ returns on their cash deposits. We are also exposed to interest rate risk from our investment portfolio and from interest-rate sensitive assets, including assets underlying the customer balances we hold on our balance sheet as customer accounts. A low or negative interest rate environment or reductions in interest rates may negatively impact our net income.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Fluctuations in the risk-free interest rate will also affect the fair values of our convertible notes and warrants liability, which are recorded in our financial statements and marked to fair market value each quarter. Changes in the fair values of such liabilities will be recorded in change in fair value of convertible notes and warrant liability in our consolidated statements of operations. All else being equal, rises in interest rates generally cause the notes liability to decrease and the warrant liability to increase (though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hypothetical 100 basis point increase or decrease in risk-free rates would not have a material effect on our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 and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 following this offering.</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shares of our Class A common stock. We cannot predict the extent to which investor interest in us will lead to the development of a trading market on the Nasdaq or otherwise or how liquid that market might become. If an active market does not develop, you may have difficulty selling any shares of our Class A common stock that you purchase in this offering. The initial public offering price for the shares of our Class A common stock has been determined by negotiations between us and the representatives of the underwriters, and may not be indicative of prices that will prevail in the open market following this offering.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for our Class A common stock may be volatile and you could lose all or part of your investment.</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initial public offering price of our Class A common stock was determined through negotiation between the underwriters and us. This price does not necessarily reflect the price at which investors in the market will be willing to buy and sell shares of our Class A common stock following this offering. In addition, the trading price of our Class A common stock may be highly volatile and could be subject to fluctuations in response to various factors, some of which are beyond our control. These fluctuations could cause you to lose all or part of your investment in our Class A common stock since you may be unable to sell your shares at or above the price you paid in this offering. Some specific factors that may have a significant effect on the trading price of our Class A common stock include:</w:t>
      </w:r>
    </w:p>
    <w:p>
      <w:pPr>
        <w:spacing w:after="0" w:line="167"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 such as the effect of the ongoing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or those of our competitors;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the growth rate of the market in which we operate or the growth rate of our businesses or those of companies that investors deem comparable to 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governmental or other relevant regulation;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ineffectiveness of our internal controls;</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platform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public’s reaction to our media statements, other public announcements and filings with the SEC;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harm to our brand and reputation;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may result in increased volatility;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high levels of initial interest in our stock at the time of this offering may result in an unsustainable trading price, in which case the price of our Class A common stock may decline over time. In addition,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be required to issue additional shares of Class A common stock upon the automatic conversion of our convertible notes upon the completion of this offering, as well as upon the exercise of our outstanding warrants and options and settlement of our RSUs and future equity-based awards. These and other additional issuances of our capital stock, including issuances of our Class B common stock and Class C common stock, could result in significant dilution to our stockholders.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issuances of shares of our capital stock, including our Class A common stock, Class B common stock and Class C common stock, or of securities convertible into or exercisable for our capital stock could depress the market price of our Class A common stock and result in a significant dilution for holders of our capital stock. We have authorized more capital stock in recent years to provide additional stock options and RSUs to our employees and to permit for the consummation of equity and equity-linked financings and may continue to do so in the future.</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Further, 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Assuming an initial public offering price of our Class A common</w:t>
      </w:r>
    </w:p>
    <w:p>
      <w:pPr>
        <w:spacing w:after="0" w:line="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stock of $</w:t>
      </w:r>
      <w:r>
        <w:rPr>
          <w:sz w:val="20"/>
          <w:szCs w:val="20"/>
          <w:color w:val="auto"/>
        </w:rPr>
        <w:tab/>
      </w:r>
      <w:r>
        <w:rPr>
          <w:rFonts w:ascii="Arial" w:cs="Arial" w:eastAsia="Arial" w:hAnsi="Arial"/>
          <w:sz w:val="17"/>
          <w:szCs w:val="17"/>
          <w:color w:val="auto"/>
        </w:rPr>
        <w:t>per share,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is the midpoint of the estimated offering price range set forth on the cover page of this prospectus, based on the principal amounts outstanding and interest accrued as of March 31, 2021, if all the convertible notes remain outstanding at the time of the offering, they will</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automatically convert into shares of Class A common stock upon the closing of this offering, resulting in immediate dilution to our stockholders. Furthermore, pursuant to the Tranche I convertible note and warrant purchase agreement, we have agreed that, upon request from the holders of the shares of our Class A common stock to be issued upon the conversion of our Tranche I convertible notes concurrently with this offering, we will promptly (and in any event within 30 days) after the registration statement of which this prospectus forms a part is declared effective, use reasonable best efforts to file a registration statement on Form S-1, registering the offer and sale of such shares, subject to certain qualifications. We anticipate filing a resale registration statement on Form S-1 in respect of such shares shortly after the effectiveness of the registration statement of which this prospectus is a part. See “Description of Capital Stock—Registration Rights—S-1 Demand Registration Rights” for more information.</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we granted to each purchaser of the Tranche I convertible notes a warrant to purchase a number of shares of equity securities equal to 15% of the aggregate proceeds invested by such purchaser in the Tranche I convertible notes (i.e., $ 379.8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investors in this offering and (ii) $38.29. Assuming an initial public offering price of our Class A common stock of $ per share, which is the midpoint of the estimated offering price range set forth on the cover page of this prospectus, the warrants will be exercisable for an aggregate of shares of Class A common stock, and such exercises would result in additional dilution. For more information about the convertible notes and warrants, see “Certain Relationships and Related Person Transactions—Convertible Note and Warrant Financings.”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following the completion of this offering, and pursuant to the Equity Exchange Rights, each of our founders will have a right (but not an obligation) to require us to exchange, for shares of Class B common stock, any shares of Class A common stock received by them upon the vesting and settlement of RSUs granted to them prior to the effectiveness of our Charter (which will occur immediately prior to the completion of this offering). Because our Class B common stock entitles the holder thereof to 10 votes per share, as compared to the one vote per share afforded to holders of our Class A common stock, our founders’ exercise of these Equity Exchange Rights and resulting issuance of Class B common stock will dilute the voting power of holders of our Class A common stock. For more information about our Class B common stock, see “Description of Capital Stock—Our Capital Stock—Common Stock.”</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Moreover, as of March 31, 2021, options to purchase 18,096,127 shares of our Class A common stock with a weighted-average exercise price of approximately $2.23 per share were outstanding and 81,820,160 shares of our Class A common stock were subject to outstanding RSUs (including 27,663,658 shares subject to 2019 Market-Based RSUs). In addition, in May 2021, our founders were granted the 2021 Market-Based RSUs representing the right to receive up to an aggregate of 35,520,000 shares of our Class A common stock subject to the achievement of market-based vesting conditions following this offering and certain other conditions. The exercise of any of these options and settlement of any of these RSUs would result in additional dilution. To the extent that we issue shares of our capital stock to acquire other companies or outstanding options and warrants to purchase capital stock are exercised, there will be further dilution. Our employee headcount has increased significantly in the past few years and we expect this rapid growth to continue. We rely on equity-based compensation as an important tool in recruiting and retaining employees. Further, our board of directors and our stockholders approved a new equity plan, the 2021 Plan, and an employee share purchase plan, the ESPP, which would allow us to grant equity-based awards to be settled in shares of our Class A common stock following this offering. We expect that, when the 2021 Plan and the ESPP become effective, the aggregate number of shares of our Class A common stock reserved for issuance under the plans will be equal to approximately 14% and 2%, respectively, of the number of shares of our common stock (of all classes) that will be outstanding immediately after the closing of this offering. The amount of dilution due to equity-based compensation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employees or other additional issuances could be substantial depending upon the size of the issuances and exercises. For more information about our RSUs, other equity-based awards and equity plans, see “Executive Compensation—Narrative Description of Executive Compensation Arrangements.”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in the public market could cause the trading price of our Class A common stock to fall.</w:t>
      </w:r>
    </w:p>
    <w:p>
      <w:pPr>
        <w:spacing w:after="0" w:line="1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could significantly reduce the trading price of our Class A common stock. If our existing stockholders sell, or indicate an intention to sell, substantial amounts of our Class A common stock in the public market after the lock-up and legal restrictions on resale discussed in this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prospectus lapse, the trading price of our Class A common stock could substantially decline. Furthermore, approximately % of our outstanding Class A common stock is beneficially owned by our executive officers and directors. If one or more of them were to sell a substantial portion of the shares they hold, it could cause the trading price of our Class A common stock to decline.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ind w:left="340"/>
              <w:spacing w:after="0"/>
              <w:rPr>
                <w:sz w:val="20"/>
                <w:szCs w:val="20"/>
                <w:color w:val="auto"/>
              </w:rPr>
            </w:pPr>
            <w:r>
              <w:rPr>
                <w:rFonts w:ascii="Arial" w:cs="Arial" w:eastAsia="Arial" w:hAnsi="Arial"/>
                <w:sz w:val="18"/>
                <w:szCs w:val="18"/>
                <w:color w:val="auto"/>
              </w:rPr>
              <w:t>Based on shares outstanding as of</w:t>
            </w:r>
          </w:p>
        </w:tc>
        <w:tc>
          <w:tcPr>
            <w:tcW w:w="7960" w:type="dxa"/>
            <w:vAlign w:val="bottom"/>
            <w:gridSpan w:val="4"/>
          </w:tcPr>
          <w:p>
            <w:pPr>
              <w:jc w:val="right"/>
              <w:spacing w:after="0"/>
              <w:rPr>
                <w:sz w:val="20"/>
                <w:szCs w:val="20"/>
                <w:color w:val="auto"/>
              </w:rPr>
            </w:pPr>
            <w:r>
              <w:rPr>
                <w:rFonts w:ascii="Arial" w:cs="Arial" w:eastAsia="Arial" w:hAnsi="Arial"/>
                <w:sz w:val="18"/>
                <w:szCs w:val="18"/>
                <w:color w:val="auto"/>
              </w:rPr>
              <w:t>March 31, 2021, at the completion of this offering (and after giving effect to the Assumed Share</w:t>
            </w:r>
          </w:p>
        </w:tc>
      </w:tr>
      <w:tr>
        <w:trPr>
          <w:trHeight w:val="216"/>
        </w:trPr>
        <w:tc>
          <w:tcPr>
            <w:tcW w:w="6200" w:type="dxa"/>
            <w:vAlign w:val="bottom"/>
            <w:gridSpan w:val="4"/>
          </w:tcPr>
          <w:p>
            <w:pPr>
              <w:spacing w:after="0"/>
              <w:rPr>
                <w:sz w:val="20"/>
                <w:szCs w:val="20"/>
                <w:color w:val="auto"/>
              </w:rPr>
            </w:pPr>
            <w:r>
              <w:rPr>
                <w:rFonts w:ascii="Arial" w:cs="Arial" w:eastAsia="Arial" w:hAnsi="Arial"/>
                <w:sz w:val="18"/>
                <w:szCs w:val="18"/>
                <w:color w:val="auto"/>
              </w:rPr>
              <w:t>Events described under “The Offering”), we will have outstanding a total of</w:t>
            </w:r>
          </w:p>
        </w:tc>
        <w:tc>
          <w:tcPr>
            <w:tcW w:w="3520" w:type="dxa"/>
            <w:vAlign w:val="bottom"/>
          </w:tcPr>
          <w:p>
            <w:pPr>
              <w:ind w:left="280"/>
              <w:spacing w:after="0"/>
              <w:rPr>
                <w:sz w:val="20"/>
                <w:szCs w:val="20"/>
                <w:color w:val="auto"/>
              </w:rPr>
            </w:pPr>
            <w:r>
              <w:rPr>
                <w:rFonts w:ascii="Arial" w:cs="Arial" w:eastAsia="Arial" w:hAnsi="Arial"/>
                <w:sz w:val="18"/>
                <w:szCs w:val="18"/>
                <w:color w:val="auto"/>
              </w:rPr>
              <w:t>shares of Class A common stock and</w:t>
            </w:r>
          </w:p>
        </w:tc>
        <w:tc>
          <w:tcPr>
            <w:tcW w:w="1520" w:type="dxa"/>
            <w:vAlign w:val="bottom"/>
          </w:tcPr>
          <w:p>
            <w:pPr>
              <w:jc w:val="right"/>
              <w:spacing w:after="0"/>
              <w:rPr>
                <w:sz w:val="20"/>
                <w:szCs w:val="20"/>
                <w:color w:val="auto"/>
              </w:rPr>
            </w:pPr>
            <w:r>
              <w:rPr>
                <w:rFonts w:ascii="Arial" w:cs="Arial" w:eastAsia="Arial" w:hAnsi="Arial"/>
                <w:sz w:val="18"/>
                <w:szCs w:val="18"/>
                <w:color w:val="auto"/>
              </w:rPr>
              <w:t>shares of Class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 common stock. This includes the</w:t>
            </w:r>
          </w:p>
        </w:tc>
        <w:tc>
          <w:tcPr>
            <w:tcW w:w="7960" w:type="dxa"/>
            <w:vAlign w:val="bottom"/>
            <w:gridSpan w:val="4"/>
          </w:tcPr>
          <w:p>
            <w:pPr>
              <w:jc w:val="right"/>
              <w:spacing w:after="0"/>
              <w:rPr>
                <w:sz w:val="20"/>
                <w:szCs w:val="20"/>
                <w:color w:val="auto"/>
              </w:rPr>
            </w:pPr>
            <w:r>
              <w:rPr>
                <w:rFonts w:ascii="Arial" w:cs="Arial" w:eastAsia="Arial" w:hAnsi="Arial"/>
                <w:sz w:val="18"/>
                <w:szCs w:val="18"/>
                <w:color w:val="auto"/>
              </w:rPr>
              <w:t>shares of Class A common stock that we are selling in this offering (assuming no exercise of the</w:t>
            </w: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underwriters’  option  to  purchase  additional  shares),</w:t>
            </w:r>
          </w:p>
        </w:tc>
        <w:tc>
          <w:tcPr>
            <w:tcW w:w="6640" w:type="dxa"/>
            <w:vAlign w:val="bottom"/>
            <w:gridSpan w:val="3"/>
          </w:tcPr>
          <w:p>
            <w:pPr>
              <w:jc w:val="right"/>
              <w:spacing w:after="0"/>
              <w:rPr>
                <w:sz w:val="20"/>
                <w:szCs w:val="20"/>
                <w:color w:val="auto"/>
              </w:rPr>
            </w:pPr>
            <w:r>
              <w:rPr>
                <w:rFonts w:ascii="Arial" w:cs="Arial" w:eastAsia="Arial" w:hAnsi="Arial"/>
                <w:sz w:val="18"/>
                <w:szCs w:val="18"/>
                <w:color w:val="auto"/>
              </w:rPr>
              <w:t>which  may  be  resold  in  the  public  market  immediately.  Of  the  remaining</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shares,</w:t>
            </w:r>
          </w:p>
        </w:tc>
        <w:tc>
          <w:tcPr>
            <w:tcW w:w="3700" w:type="dxa"/>
            <w:vAlign w:val="bottom"/>
            <w:gridSpan w:val="2"/>
          </w:tcPr>
          <w:p>
            <w:pPr>
              <w:ind w:left="300"/>
              <w:spacing w:after="0"/>
              <w:rPr>
                <w:sz w:val="20"/>
                <w:szCs w:val="20"/>
                <w:color w:val="auto"/>
              </w:rPr>
            </w:pPr>
            <w:r>
              <w:rPr>
                <w:rFonts w:ascii="Arial" w:cs="Arial" w:eastAsia="Arial" w:hAnsi="Arial"/>
                <w:sz w:val="18"/>
                <w:szCs w:val="18"/>
                <w:color w:val="auto"/>
              </w:rPr>
              <w:t>shares of our Class A common stock and</w:t>
            </w:r>
          </w:p>
        </w:tc>
        <w:tc>
          <w:tcPr>
            <w:tcW w:w="6640" w:type="dxa"/>
            <w:vAlign w:val="bottom"/>
            <w:gridSpan w:val="3"/>
          </w:tcPr>
          <w:p>
            <w:pPr>
              <w:jc w:val="right"/>
              <w:spacing w:after="0"/>
              <w:rPr>
                <w:sz w:val="20"/>
                <w:szCs w:val="20"/>
                <w:color w:val="auto"/>
              </w:rPr>
            </w:pPr>
            <w:r>
              <w:rPr>
                <w:rFonts w:ascii="Arial" w:cs="Arial" w:eastAsia="Arial" w:hAnsi="Arial"/>
                <w:sz w:val="18"/>
                <w:szCs w:val="18"/>
                <w:color w:val="auto"/>
              </w:rPr>
              <w:t>shares of our Class B common stock, which together represent   % of our</w:t>
            </w:r>
          </w:p>
        </w:tc>
      </w:tr>
    </w:tbl>
    <w:p>
      <w:pPr>
        <w:jc w:val="both"/>
        <w:spacing w:after="0" w:line="265" w:lineRule="auto"/>
        <w:rPr>
          <w:sz w:val="20"/>
          <w:szCs w:val="20"/>
          <w:color w:val="auto"/>
        </w:rPr>
      </w:pPr>
      <w:r>
        <w:rPr>
          <w:rFonts w:ascii="Arial" w:cs="Arial" w:eastAsia="Arial" w:hAnsi="Arial"/>
          <w:sz w:val="17"/>
          <w:szCs w:val="17"/>
          <w:color w:val="auto"/>
        </w:rPr>
        <w:t>outstanding shares after this offering, are currently, and will be following the completion of this offering, restricted as a result of securities laws or lock-up or market standoff agreements. We, and all of our directors, executive officers, the selling stockholders and certain other record holders that together represent approximately % of our outstanding Class A common stock and securities directly or indirectly convertible into or exchangeable or exercisable for our Class A common stock (including shares of our Class B common stock) have entered into lock-up agreements with the underwriters or market standoff agreements with us for the benefit of the underwriters under which the holders of such securities have agreed that, subject to certain exceptions, without the prior written consent of Goldman Sachs &amp; Co LLC and J.P. Morgan Securities LLC, as representatives of the underwriters, during the period beginning on the date of this prospectus and ending on the earlier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 the second trading day after we publicly release earnings for the fiscal quarter ended , 2021 (which for this purpose does not include “flash” numbers or preliminary, partial earnings), which will be the second quarter following the most recent period for which financial</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statements are included in this prospectus (or the day after the date of this prospectus, if later), and (ii) the 181st day after the date of this prospectus (the “restricted period”), we and they will not (1)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clause (1) or (2) above is to be settled by delivery of our Class A common stock or other securities, in cash, or otherwise or (3) publicly disclose the intention to take any of the actions restricted by clause (1) or (2) above.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9" w:lineRule="exact"/>
        <w:rPr>
          <w:sz w:val="20"/>
          <w:szCs w:val="20"/>
          <w:color w:val="auto"/>
        </w:rPr>
      </w:pPr>
    </w:p>
    <w:p>
      <w:pPr>
        <w:jc w:val="both"/>
        <w:ind w:left="328" w:hanging="328"/>
        <w:spacing w:after="0" w:line="224" w:lineRule="auto"/>
        <w:tabs>
          <w:tab w:leader="none" w:pos="32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convertible 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w:t>
      </w:r>
    </w:p>
    <w:p>
      <w:pPr>
        <w:ind w:left="328"/>
        <w:spacing w:after="0" w:line="220" w:lineRule="auto"/>
        <w:rPr>
          <w:sz w:val="20"/>
          <w:szCs w:val="20"/>
          <w:color w:val="auto"/>
        </w:rPr>
      </w:pPr>
      <w:r>
        <w:rPr>
          <w:rFonts w:ascii="Arial" w:cs="Arial" w:eastAsia="Arial" w:hAnsi="Arial"/>
          <w:sz w:val="18"/>
          <w:szCs w:val="18"/>
          <w:color w:val="auto"/>
        </w:rPr>
        <w:t>any shares withheld for taxes associated with IPO-Vesting Time-Based RSUs and IPO-Vesting Market-Based RSUs, may be sold on</w:t>
      </w:r>
    </w:p>
    <w:p>
      <w:pPr>
        <w:spacing w:after="0" w:line="1" w:lineRule="exact"/>
        <w:rPr>
          <w:sz w:val="20"/>
          <w:szCs w:val="20"/>
          <w:color w:val="auto"/>
        </w:rPr>
      </w:pPr>
    </w:p>
    <w:p>
      <w:pPr>
        <w:jc w:val="both"/>
        <w:ind w:left="328"/>
        <w:spacing w:after="0"/>
        <w:rPr>
          <w:sz w:val="20"/>
          <w:szCs w:val="20"/>
          <w:color w:val="auto"/>
        </w:rPr>
      </w:pPr>
      <w:r>
        <w:rPr>
          <w:rFonts w:ascii="Arial" w:cs="Arial" w:eastAsia="Arial" w:hAnsi="Arial"/>
          <w:sz w:val="18"/>
          <w:szCs w:val="18"/>
          <w:color w:val="auto"/>
        </w:rPr>
        <w:t xml:space="preserve">or after the later of (i) the second trading after we publicly release earnings for the fiscal quarter ended ,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212" w:lineRule="exact"/>
        <w:rPr>
          <w:sz w:val="20"/>
          <w:szCs w:val="20"/>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968" w:hanging="320"/>
        <w:spacing w:after="0" w:line="251" w:lineRule="auto"/>
        <w:tabs>
          <w:tab w:leader="none" w:pos="97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0" w:lineRule="exact"/>
        <w:rPr>
          <w:rFonts w:ascii="Arial" w:cs="Arial" w:eastAsia="Arial" w:hAnsi="Arial"/>
          <w:sz w:val="18"/>
          <w:szCs w:val="18"/>
          <w:color w:val="auto"/>
        </w:rPr>
      </w:pPr>
    </w:p>
    <w:p>
      <w:pPr>
        <w:jc w:val="both"/>
        <w:ind w:left="968" w:hanging="320"/>
        <w:spacing w:after="0" w:line="254"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58"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968" w:hanging="320"/>
        <w:spacing w:after="0" w:line="252" w:lineRule="auto"/>
        <w:tabs>
          <w:tab w:leader="none" w:pos="978" w:val="left"/>
        </w:tabs>
        <w:numPr>
          <w:ilvl w:val="1"/>
          <w:numId w:val="48"/>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08"/>
          </w:cols>
          <w:pgMar w:left="652" w:top="1440" w:right="339" w:bottom="1440" w:gutter="0" w:footer="0" w:header="0"/>
        </w:sectPr>
      </w:pPr>
    </w:p>
    <w:bookmarkStart w:id="114" w:name="page115"/>
    <w:bookmarkEnd w:id="114"/>
    <w:p>
      <w:pPr>
        <w:spacing w:after="0" w:line="171" w:lineRule="exact"/>
        <w:rPr>
          <w:sz w:val="20"/>
          <w:szCs w:val="20"/>
          <w:color w:val="auto"/>
        </w:rPr>
      </w:pPr>
    </w:p>
    <w:p>
      <w:pPr>
        <w:jc w:val="both"/>
        <w:ind w:left="1300" w:hanging="320"/>
        <w:spacing w:after="0" w:line="254" w:lineRule="auto"/>
        <w:tabs>
          <w:tab w:leader="none" w:pos="13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and which we anticipate filing shortly after the effectiveness of the registration statement of which this prospectus is a part, such holders will not take any of the actions described in the foregoing clauses (1)-</w:t>
      </w:r>
    </w:p>
    <w:p>
      <w:pPr>
        <w:spacing w:after="0" w:line="2" w:lineRule="exact"/>
        <w:rPr>
          <w:sz w:val="20"/>
          <w:szCs w:val="20"/>
          <w:color w:val="auto"/>
        </w:rPr>
      </w:pPr>
    </w:p>
    <w:p>
      <w:pPr>
        <w:ind w:firstLine="8"/>
        <w:spacing w:after="0" w:line="261" w:lineRule="auto"/>
        <w:tabs>
          <w:tab w:leader="none" w:pos="2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50% of such shares (it being understood that the remaining 50% of such shares will not be subject to any such lock-up agreement).</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each release of the foregoing restrictions, our securityholders subject to a lock-up or market stand-off agreement will be able to sell our shares in the public market. In addition, Goldman Sachs &amp; Co. LLC and J.P. Morgan Securities LLC, in their sole discretion as representatives of the underwriters, may release the Class A common stock and other securities subject to the lock-up and market standoff agreements described above in whole or in part at any time. For more information about these lock-up and market standoff agreements, see the “Shares Eligible for Future Sale” and “Underwriting (Conflicts of Interest)” sections of this prospectus.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as of March 31, 2021, there were 18,096,127 shares of Class A common stock subject to outstanding options, 187,885 restricted shares of Class A common stock, an additional 81,820,160 shares of Class A common stock subject to outstanding RSUs (including 27,663,658 shares subject to 2019 Market-Based RSUs) and an additional 27,799,737 shares of Class A common stock reserved for issuance under our equity incentive plans that will become eligible for sale in the public market to the extent permitted by the provisions of various vesting schedules, the lock-up agreements discussed above and Rules 144 and 701 under the Securities Act, as further described under the section of this prospectus titled “Shares Eligible for Future Sale.” Additionally, in May 2021, our founders were granted the 2021 Market-Based RSUs representing the right to receive up to an aggregate of 35,520,000 shares of our Class A common stock subject to the achievement of market-based vesting conditions following this offering and certain other conditions. Moreover, 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Amended and Restated 2013 Stock Plan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Any sales of our Class A common stock (including shares of Class A common stock issuable upon conversion of our Class B common stock) as lock-up restrictions end, as stock options are exercised or as RSUs are settled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book value of the shares you purchase in this offering, and you will suffer additional dilution if the underwriters exercise their option to purchase additional shares.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initial public offering price is substantially higher than the pro forma as adjusted net tangible book value per share of our outstanding</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Class A common stock of $ per share as of March 31, 2021. Investors purchasing shares of our Class A common stock in this offering will pay a price per share that substantially exceeds the book value of our tangible assets after subtracting our liabilities. As a result, investors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purchasing Class A common stock in this offering will incur immediate and substantial dilution of $ per share, representing the difference between the assumed initial public offering price of our Class A common stock of $ per share, which is the midpoint of the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estimated offering price range set forth on the cover page of this prospectus, and our pro forma as adjusted net tangible book value per share after giving effect to our sale of shares in this offering. See the section titled “Dilution”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The declaration and amount of any future dividends to holders of our common stock will be at the discretion of our board of directors in accordance with applicable law and after taking into account various factors, including our financial condition, results of operations, contractual restrictions, capital requirements, business prospects and other factors that our board of directors currently deems relevant. Our board of directors intends to retain future earnings to fund the development and expansion of our business. Additionally, certain of our existing credit agreements include restrictions on our ability to pay cash dividends. Accordingly, we do not expect to pay dividends on our common stock in the foreseeable future. As a result, capital appreciation, if any, of our Class A common stock will be your sole source of gain for the foreseeable future.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use of those proceeds may not yield a favorable return on your investment.</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We have not established a timetable for the effective deployment of the proceeds and we cannot predict how long it will take to deploy the proceeds. We expect to use our net proceeds from this offering for working capital, capital expenditures and general corporate purposes. See “Use of Proceeds.” The failure by our management to apply these proceeds effectively or in a manner that increases our fair value or enhances our profitability could harm our business, results of operations and financial condition and may negatively impact the trading price of our Class A common stock.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customers may be able to purchase shares of our Class A common stock offered by this prospectus from RHF, acting in its capacity as a selling group member in this offering. Any negative experiences our customers have in connection with their participation or attempted participation in this offering may harm our brand and reputation, as well as our business, financial condition and results of operations. In addition, our customers’ participation in this offering could result in increased volatility in the trading price of our Class A common stock.</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See “Underwriting (Conflicts of Interest) —Participation by Robinhood Customers in the Offering.” Our continued business and revenue growth is dependent in part on our ability to retain existing customers and increase the amount that our customers use our products and services. Any negative experiences our customers have in connection with their participation or attempted participation in this offering could diminish customer confidence in us and our products and services. Such negative experiences could include actual or perceived technological failures or disruptions to our platform during customers’ participation or attempted participation, any decrease in the trading price of our Class A common stock after completion of this offering or, if demand from our customers to participate in this offering exceeds the supply of shares reserved for allocation by RHF to our customers, customers’ failure to be allocated all of the shares they wish to purchase from RHF in the offering or participate in the offering at all. Because our brand and our reputation are two of our most important assets, any negative perceptions about us by our customers or the media could have an adverse effect on our business, financial condition and results of operations.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because we expect Robinhood customers to have the opportunity to participate in this offering through our platform, and given the broad consumer awareness and brand recognition of Robinhood, individual investors, retail or otherwise, may constitute a larger proportion of the investors participating in this offering than is typical for an initial public offering. These factors could cause volatility in the trading price of our Class A common stock. In addition, high levels of initial interest in our stock at the time of this offering may result in an unsustainable trading price, in which case the price of our Class A common stock may decline over time. Further, if the public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Class A common stock, which is the stock that is being sold in this offering, has one vote per share, our Class B common stock has 10 votes per share and our Class C common stock has no voting rights, except as otherwise required by law. Upon the closing of this offering, our founders and certain of their related entities will together hold all of the issued and outstanding shares of our Class B common stock. Accordingly, upon the completion of this offering, (i) Mr. Tenev, who is also our CEO, President and a director, and his related entities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will hold an economic interest in approximately % of our outstanding capital stock and Mr. Tenev will hold approximately % of the voting power of our outstanding capital stock and (ii) Mr. Bhatt, who is also our Chief Creative Officer and a director, and his related entities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will hold an economic interest in approximately % of our outstanding capital stock and Mr. Bhatt will hold approximately % of the voting power of our outstanding capital stock, in each case, which voting power may increase over time upon the vesting and settlement of equity awards held by such founder that are outstanding immediately prior to the effectiveness of this offering if such founder exercises his Equity Exchange Rights with respect to the shares received upon settlement of such equity awards. If all such equity awards held by Mr. Tenev and Mr. Bhatt (including the IPO-Vesting Market-Based RSUs, but excluding the Market-Based RSUs subject to market-based vesting conditions that can only be satisfied following this offering) were vested (assuming an initial public offering price of our Class A common stock of $ per share, which is the midpoint of the estimated offering price range set forth on the cover of this prospectus) and the Class A common stock received in settlement of such awards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exchanged for shares of Class B common stock pursuant to the Equity Exchange Rights, immediately following the completion of this offering, Mr. Tenev and Mr. Bhatt and their respective related entities would hold an economic interest in approximately % and %, respectively, of our outstanding capital stock, and Mr. Tenev and Mr. Bhatt would hold approximately % and %, respectively, of the voting power of our outstanding capital stock. If all such equity awards held by Mr. Tenev and Mr. Bhatt (including all of the Market-Based RSUs) were vested (assuming all applicable market-based vesting conditions were satisfied, including those that can only be satisfied following this offering) and the Class A common stock received in settlement of such awards was exchanged for shares of Class B common stock pursuant to the Equity Exchange Rights, immediately following the completion of this offering, Mr. Tenev and Mr. Bhatt and their respective related</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entities would hold approximately % and %, respectively, of our outstanding capital stock, and Mr. Tenev and Mr. Bhatt would hold approximately % and %, respectively, of the voting power of our outstanding capital stock. 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 In addition, for so long as our Class B common stock represents approximately 9.1% or more of our outstanding shares of voting common stock (i.e., our Class A common stock and Class B common stock), the holders of our Class B common stock, who are our founders and certain of their related entities, will represent more than 50% of the voting power of our outstanding common stock and will have the ability to determine any action requiring the majority approval of our stockholders. Moreover, even if our Class B common stock represents less than approximately 9.1% of all of the outstanding shares of our common stock (and therefore less than 50% of the voting power of our outstanding common stock), so long as our Class B common stock represents more than 5% of all outstanding shares of our common stock, the holders of our Class B common stock will still collectively hold or control over a third of the voting power of our common stock and therefore have the ability to significantly influence any such action. Our founders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may result in our founders undertaking, or causing us to undertake, actions that would be desirable for our founders but would not be desirable for our other stockholders.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The existence of the Founder Voting Agreement will have the effect of concentrating voting power in our founders (or either one of them) at all times prior to the Final Conversion Date. Moreover, the Founder Voting Agreement will grant to each founder and its respective Founder Affiliates a right of first offer in the event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founder or any of its respective Founder Affiliates proposes to transfer any shares of Class B common stock in a transaction that would cause such shares of Class B common stock to convert to Class A common stock pursuant to our Charter.</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effected for estate planning or other transfers among our founders, their family members and certain of their related entities. Each share of our Class B common stock is convertible at any time at the option of the holder of such share into one share of our Class A common stock. In addition, each share of our Class B common stock will convert automatically into one share of our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 less than 5% of the aggregate number of shares of Class A common stock and Class B common stock then outstanding, (iii) the date fixed by our board of directors that is no less than 61 days and no more than 180 days following the date that</w:t>
      </w:r>
    </w:p>
    <w:p>
      <w:pPr>
        <w:spacing w:after="0" w:line="4" w:lineRule="exact"/>
        <w:rPr>
          <w:sz w:val="20"/>
          <w:szCs w:val="20"/>
          <w:color w:val="auto"/>
        </w:rPr>
      </w:pPr>
    </w:p>
    <w:p>
      <w:pPr>
        <w:jc w:val="both"/>
        <w:ind w:firstLine="8"/>
        <w:spacing w:after="0" w:line="251" w:lineRule="auto"/>
        <w:tabs>
          <w:tab w:leader="none" w:pos="2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 Because of the 10-to-one voting ratio between our Class B common stock and Class A common stock, prior to the Final Conversion Date, even if some of our Class B common stock converts into Class A common stock, including as a result of future transfers of such Class B common stock, our founders may still collectively control a significant portion of the voting power of our capital stock based on their current ownership. If one of our founders and his related entities retain a significant portion of their holdings of Class B common stock for an extended period of time, such founder could, in the future, continue to control a significant portion of the combined voting power of our outstanding capital stock, even if the other founder and his related entities reduce their holdings of Class B common stock, and such voting power could enable such founder to effectively control all matters subject to stockholder approval prior to the Final Conversion Date.</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may be maintained for a longer period of time than would be the case if we issued Class A common stock rather than Class C common stock in such issuances. In addition, we could issue shares of our Class C common stock to our founders and, in that event, they would be able to sell such shares and achieve liquidity in their holdings without diminishing their voting control. Any future issuances of shares of Class C common stock will not be subject to approval by our stockholders except as required by the listing standards of Nasdaq. Each share of our Class C common stock will convert automatically into one share of our Class A common stock on the date or time fixed by our board of directors following the Final Conversion Date.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“Description of Capital Stock” for additional information about our multi-class 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multi-class structure may have on the trading price of our Class A common stock.</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 traded companies excluded from such indices, but it is possible that they may depress valuations, as compared to similar companies that are included. In addition, we cannot assure that other stock indices will not adopt similar policies or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may prevent or delay an acquisition of Robinhood, which could decrease the trading price of our Class A common stock.</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will provide for our multi-class common stock structure, which provides holders of shares of our Class B common stock with the ability, prior to the Final Conversion Date, to significantly influence the outcome of matters requiring stockholder approval, including the approval of any merger, consolidation, sale of all or substantially all of our assets, or other major corporation transaction, even if they own significantly less than a majority of the shares of our outstanding common stock. See “—</w:t>
      </w:r>
      <w:r>
        <w:rPr>
          <w:rFonts w:ascii="Arial" w:cs="Arial" w:eastAsia="Arial" w:hAnsi="Arial"/>
          <w:sz w:val="18"/>
          <w:szCs w:val="18"/>
          <w:i w:val="1"/>
          <w:iCs w:val="1"/>
          <w:color w:val="auto"/>
        </w:rPr>
        <w:t>The multi-class structure of our common stock will</w:t>
      </w:r>
      <w:r>
        <w:rPr>
          <w:rFonts w:ascii="Arial" w:cs="Arial" w:eastAsia="Arial" w:hAnsi="Arial"/>
          <w:sz w:val="18"/>
          <w:szCs w:val="18"/>
          <w:color w:val="auto"/>
        </w:rPr>
        <w:t xml:space="preserve"> </w:t>
      </w:r>
      <w:r>
        <w:rPr>
          <w:rFonts w:ascii="Arial" w:cs="Arial" w:eastAsia="Arial" w:hAnsi="Arial"/>
          <w:sz w:val="18"/>
          <w:szCs w:val="18"/>
          <w:i w:val="1"/>
          <w:iCs w:val="1"/>
          <w:color w:val="auto"/>
        </w:rPr>
        <w:t>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r>
        <w:rPr>
          <w:rFonts w:ascii="Arial" w:cs="Arial" w:eastAsia="Arial" w:hAnsi="Arial"/>
          <w:sz w:val="18"/>
          <w:szCs w:val="18"/>
          <w:color w:val="auto"/>
        </w:rPr>
        <w:t>” for more information.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and our Bylaws will also contain, and Delaware law contains, provisions that may have the effect of deterring takeovers by making such takeovers more expensive to the bidder and by encouraging prospective acquirers to negotiate with our board of directors rather than to attempt a hostile takeover. Our Charter and our Bylaws include, among others, the following provisions:</w:t>
      </w:r>
    </w:p>
    <w:p>
      <w:pPr>
        <w:spacing w:after="0" w:line="175" w:lineRule="exact"/>
        <w:rPr>
          <w:sz w:val="20"/>
          <w:szCs w:val="20"/>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terms until our third annual meeting of stockholders following the effectiveness of our Charter;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that, for so long as our board of directors is classified, our directors may only be removed from office for cause;</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that only our board of directors may fill any vacancies created by the expansion of our board of directors or the resignation, death or removal of a director;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providing that our board of directors may adopt, amend, alter or repeal our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1" w:lineRule="exact"/>
        <w:rPr>
          <w:sz w:val="20"/>
          <w:szCs w:val="20"/>
          <w:color w:val="auto"/>
        </w:rPr>
      </w:pPr>
    </w:p>
    <w:p>
      <w:pPr>
        <w:ind w:left="660" w:right="2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requiring approval of at least a majority of the voting power of the then-outstanding shares of capital stock to adopt, amend, alter or repeal our Bylaws;</w:t>
      </w:r>
    </w:p>
    <w:p>
      <w:pPr>
        <w:spacing w:after="0" w:line="17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requiring approval of (i) at least a majority of the shares of the then-outstanding voting shares to amend, repeal or adopt any provisions of our Charter and (ii) for so long as any shares of our Class B common stock are outstanding, at least 80% of the outstanding shares of our Class B common stock, voting separately as a class, to amend, repeal or adopt certain provisions of our Charter;</w:t>
      </w:r>
    </w:p>
    <w:p>
      <w:pPr>
        <w:spacing w:after="0" w:line="1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permitting our board of directors to authorize the issuances of shares of preferred stock and to determine the price and other terms of those shares, including voting or other rights and preferences, without obtaining stockholder approval;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limitations on convening a special meeting of our stockholders;</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requiring our stockholders to comply with advance notice procedures in order to nominate candidates for election as directors or to bring matters before an annual or special meeting of stockholders; and</w:t>
      </w:r>
    </w:p>
    <w:p>
      <w:pPr>
        <w:spacing w:after="0" w:line="15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only permitting the stockholders to take action at a meeting of our stockholders and not by written consent,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Corporate Law (“DGCL”), which prohibits us from engaging in a business combination, including a merger, with a person who owns 15% or more of our outstanding voting stock (an “interested stockholder”) for a period of three years after the date of the transaction in which such person became an interested stockholder, unless (with certain exceptions) the business combination is approved in a prescribed manner.</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provisions will protect our stockholders, particularly following the Final Conversion Date,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may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may elect to sell their shares in Robinhood and the trading price of our Class A common stock could decrease. These and other provisions of our Charter, our Bylaws and the DGCL could have the effect of delaying or deterring a change in control, which may limit the opportunity for our stockholders to receive a premium for their shares of our Class A common stock and may also affect the price that some investors are willing to pay for our Class A common stock.</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Similarly, the Financial Services and Markets Act of 2000, as amended, generally provides that prior approval from the U.K. Financial Conduct Authority (the “FCA”), which regulates our U.K. authorized broker-dealer subsidiary (which does not currently do business), must be obtained in connection with any transaction resulting in a person or entity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directly or indirectly, 10% or more of the equity or voting power of a U.K. authorized person or the parent of a U.K. authorized person. Therefore, for so long as we own a U.K. authorized broker-dealer subsidiary or similar regulated entity, any person wanting to purchase or acquire 10% or more in our Class A common stock will need to first obtain authorization from the FCA to be able to do so. These and any other applicable regulations relating to changes in control of us or our regulated subsidiaries could further have the effect of delaying or deterring a change in control of us.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Charter will designate a state or federal court located within the State of Delaware as the exclusive forum for substantially all disputes between us and our stockholders, and the federal district courts of the United States as the exclusive forum for the resolution of any complaint asserting a cause of action under the Securities Act, which could limit our stockholders’ ability to choose the judicial forum for disputes with us or our directors, officers, or employees.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which will become effective immediately prior to the completion of this offering, will provide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will also provide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Charter to be inapplicable or unenforceable in an action, we may incur additional costs associated with resolving the dispute in other jurisdictions, which could adversely affect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General Risk Factors</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obligations associated with being a public company may strain our resources, result in more litigation and divert management’s attention from operating our business.</w:t>
      </w:r>
    </w:p>
    <w:p>
      <w:pPr>
        <w:spacing w:after="0" w:line="1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 “Sarbanes-Oxley Act”), the Dodd-Frank Wall Street Reform and Consumer Protection Act, the listing requirements of the Nasdaq, and other applicable securities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regulations. Complying with these rules and regulations will increase our legal, accounting and financial compliance costs, make some activities more difficult, time-consuming or costly, and increase demand on our personnel, systems and resources. The need to establish the corporate infrastructure demanded of a public company may divert management’s attention from implementing our growth strategy, which could prevent us from successfully implementing our strategic initiatives and improving our business, results of operations, financial condition and prospects. Although we have already hired additional employees to assist us in complying with these requirements, we may need to hire more employees to assist us in complying with these requirements. Additionally, we expect these rules and regulations to make it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as a result of disclosure of information in this prospectus and in filings required of a public company, our business and financial condition will become more visible. Such increased disclosure and visibility could result in adverse changes to our reputation and to the way our customers perceive our brand and overall value, as well as shareholder activism or threatened or actual litigation, including by competitors and other third parties. If such claims are successful, our business, financial condition and results of operations could be harmed, and even if the claims do not result in litigation or are resolved in our favor, these claims, and the time and resources necessary to resolve them, could divert the resources of our management and could adversely affect our business, results of operations and financial condition.</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private company,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an “emerging growth company,” as defined in the JOBS Act. We could continue to be considered an emerging growth company for up to five years, although we would lose that status sooner if our annual gross revenues exceed $1.07 billion, if we issue more than $1.0 billion in nonconvertible debt in a three-year period or if the fair value of our common stock held by non-affiliates exceeds $700.0 million (and we have been a public company for at least 12 months and have filed at least one Annual Report on Form 10-K). For the three months ended March 31, 2021, our total revenue was $522.2 million and, while we cannot predict our future revenue, including whether our revenue in future periods may decrease or increase, we currently expect our status as an emerging growth company to cease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January 1, 2022 as a result of our annual gross revenues exceeding $1.07 billion for the year ended December 31, 2021.</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estimates, assumptions and/or judgments relating to our critical accounting policies prove to be incorrect or financial reporting standards or interpretations change, our results of operations could be adversely affected.</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revenue recognition, share -based compensation, common stock valuations, convertible notes and warrant liability valuation, loss contingencies and income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negatively impacted by changes in generally accepted accounting principles in the United States.</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GAAP are subject to interpretation by the Financial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or unfavorable opinion regarding our business or do not publish research or publish unfavorable research about our business, the trading price and trading volume of our Class A common stock could decline.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the trading price or trading volume of our Class A common stock or trading volume to decline. Moreover, if any of the analysts who cover us issue an adverse or misleading opinion regarding us, our business model or our stock performance, or if our results of operations fail to meet the expectations of the investor community, one or more of the analysts who cover our company may change their recommendations regarding our company, and the trading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adversely affected by natural disasters and other catastrophic events, pandemics or epidemics and by man-made problems such as terrorism, that could disrupt our business operations and our business continuity and disaster recovery plans may not adequately protect us from a serious disaster.</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Natural disasters or other catastrophic events, including health pandemics or epidemics, such as the COVID-19 pandemic, have caused, and may in the future cause, damage or disruption to our operations, international commerce and the global economy and could have an adverse effect on our business, results of operations and financial condition. Our business operations are subject to interruption by natural disasters, fire, power shortages, pandemics or epidemics and other events beyond our control. In addition, acts of terrorism and other geopolitical unrest could cause disruptions in our business or the businesses of our partners or the economy as a whole. In the event of a natural disaster, including a major earthquake or other catastrophic event such as a fire, power loss or telecommunications failure, we may be unable to continue our operations and may endure system interruptions, reputational harm, lengthy interruptions in service, breaches of data security and loss of critical data, any of which could have an adverse effect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183" w:lineRule="exact"/>
        <w:rPr>
          <w:sz w:val="20"/>
          <w:szCs w:val="20"/>
          <w:color w:val="auto"/>
        </w:rPr>
      </w:pPr>
    </w:p>
    <w:p>
      <w:pPr>
        <w:ind w:left="100"/>
        <w:spacing w:after="0"/>
        <w:rPr>
          <w:sz w:val="20"/>
          <w:szCs w:val="20"/>
          <w:color w:val="auto"/>
        </w:rPr>
      </w:pPr>
      <w:r>
        <w:rPr>
          <w:rFonts w:ascii="Arial" w:cs="Arial" w:eastAsia="Arial" w:hAnsi="Arial"/>
          <w:sz w:val="35"/>
          <w:szCs w:val="35"/>
          <w:color w:val="auto"/>
        </w:rPr>
        <w:t>SPECIAL NOTE REGARDING FORWARD-LOOKING STATEMENTS</w:t>
      </w:r>
    </w:p>
    <w:p>
      <w:pPr>
        <w:spacing w:after="0" w:line="2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6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enter new markets, including any expansion into international markets, and comply with any applicable laws and regulations;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invest in and develop our products and services to operate with changing technology;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benefits of our products to our customers and the impact of our products on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attract and retain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impacts of accounting guidance;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litigation and regulatory proceedings;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share-based compensation;</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collect, store, share, disclose, transfer, receive, use and otherwise process customer information and other data, and compliance with laws, rules and regulations related to data privacy, protection and security;</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or adjust our business model in response thereto, and potential harm to our business as a result of those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continuing impact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loss of our status as an emerging growth company;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forward-looking statements in this prospectus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prospectus and are subject to a number of known and unknown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 -looking statements for any reason after the date of this prospectus or to conform these statements to actual results or revised expectations, except as required by law. The forward-looking statements contained in the prospectus are excluded from the safe harbor protection provided by the Private Securities Litigation Reform Act of 1995 and Section 27A of the Securities Act.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USE OF PROCEEDS</w:t>
      </w:r>
    </w:p>
    <w:p>
      <w:pPr>
        <w:spacing w:after="0" w:line="2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estimate that our net proceeds from the sale of our Class A common stock by us in this offering will be approximately $ , assuming an initial public offering price of our Class A common stock of $ per share, which is the midpoint of the range listed on the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 page of this prospectus, and after deducting the estimated underwriting discounts and commissions and estimated offering expenses payable by us. We will not receive any proceeds from the sale of shares of Class A common stock by the selling stockholders.</w:t>
      </w:r>
    </w:p>
    <w:p>
      <w:pPr>
        <w:spacing w:after="0" w:line="15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 $1.00 increase or decrease in the assumed initial public offering price of our Class A common stock of $ per share would increase or decrease, as applicable, the net proceeds to us from this offering by approximately $ , assuming that the number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shares offered, as set forth on the cover page of this prospectus, remains the same and after deducting the estimated underwriting discounts and commissions and estimated offering expenses payable by us. An increase or decrease of 1,000,000 shares in the number of shares of Class A common stock offered by us in this offering, as set forth on the cover page of this prospectus, would increase or decrease, as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applicable, the net proceeds to us from this offering by approximately $ , assuming no change in the assumed initial public offering price per share and after deducting estimated underwriting discounts and commissions and estimated offering expenses payable by us.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intend to use a portion of the net proceeds we receive in this offering to repay approximately $ million that we expect to borrow, shortly prior to the completion of this offering, under our revolving credit facilities to fund our anticipated tax withholding and remittance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obligations of approximately $ million related to the IPO-Vesting Time-Based RSU Settlement and IPO-Vesting Market-Based RSU Settlement (assuming the effectiveness of this offering on March 31, 2021 for purposes of any applicable time-based vesting conditions; an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assumed initial public offering price of our Class A common stock of $ per share, which is the midpoint of the range listed on the cover page of this prospectus, for purposes of determining the satisfaction of any market-based vesting conditions; and an assumed 45% tax</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withholding rate). A $ 1.00 increase or decrease in the assumed initial public offering price of our Class A common stock of $ per share would increase or decrease, as applicable, the amount we would borrow under our revolving credit facilities and be required to pay to satisfy our tax withholding and remittance obligations related to the IPO-Vesting Time-Based RSU Settlement and IPO-Vesting Market-Based</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RSU Settlement by $ million. See “Management’s Discussion and Analysis of Financial Condition and Results of Operations— Liquidity and Capital Resources” for additional information regarding our revolving credit facilities.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use the remaining net proceeds we receive in this offering for working capital, capital expenditures and general corporate purposes, including increasing our hiring efforts to expand our employee base, expanding our customer support operations and satisfying our general capital needs (including capital requirements imposed by regulators and SROs and cash deposit and collateral requirements under the rules of the DTC, NSCC and OCC).</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the application of the net proceeds we receive from this offering, and investors will be relying on the judgment of our management regarding the application of our net proceeds. While we expect to use the net proceeds for the purposes described above, the timing and amount of our actual expenditures will be based on many factors, including cash flows from operations, the anticipated growth of our business, and the availability and terms of alternative financing sources to fund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DIVIDEND POLICY</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CAPITALIZATION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8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basis, giving effect to (i) the Preferred Share Conversion, (ii) the Convertible Note Conversion, (iii) the IPO-Vesting</w:t>
      </w:r>
    </w:p>
    <w:p>
      <w:pPr>
        <w:spacing w:after="0" w:line="9"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Time-Based RSU Settlement, (iv) the IPO-Vesting Market-Based RSU Settlement, (v) the related increase in liabilities and corresponding decrease in additional paid-in capital for the associated tax withholding and remittance liabilities related to the IPO-</w:t>
      </w:r>
    </w:p>
    <w:p>
      <w:pPr>
        <w:spacing w:after="0" w:line="1"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Vesting Time-Based RSU Settlement and the IPO-Vesting Market-Based RSU Settlement, (vi) the borrowing of $ under our revolving credit facilities to satisfy our tax withholding and remittance obligations related to the IPO-Vesting Time-Based RSU</w:t>
      </w:r>
    </w:p>
    <w:p>
      <w:pPr>
        <w:spacing w:after="0" w:line="1"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Settlement and the IPO-Vesting Market-Based RSU Settlement, (vii) a cash payment of $ to satisfy our tax withholding and remittance liabilities described in clause (v) above (assuming the effectiveness of this offering on March 31, 2021 for purposes of any applicable time-based vesting conditions; an initial public offering price of our Class A common stock of $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w:t>
      </w:r>
    </w:p>
    <w:p>
      <w:pPr>
        <w:spacing w:after="0" w:line="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terms, become exercisable for our class A common stock, (ix) share-based compensation expense of $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 per share, which is the midpoint of the estimated offering price range set forth on the cover page of this prospectus, reflected as an increase to additional paid-in capital and accumulated deficit, (x) income tax benefit of $ , net of valuation allowance, (xi) the filing and effectiveness of our Charter in Delaware, which will occur immediately prior to the completion of this offering and will effect the Reclassification, and (xii) the Class B Exchange; and</w:t>
      </w:r>
    </w:p>
    <w:p>
      <w:pPr>
        <w:spacing w:after="0" w:line="16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pro forma adjustments set out above, (ii) our issuance and sale</w:t>
      </w:r>
    </w:p>
    <w:p>
      <w:pPr>
        <w:spacing w:after="0" w:line="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in this offering, assuming an initial public offering price of our Class A common stock of</w:t>
      </w:r>
    </w:p>
    <w:p>
      <w:pPr>
        <w:spacing w:after="0" w:line="9" w:lineRule="exact"/>
        <w:rPr>
          <w:sz w:val="20"/>
          <w:szCs w:val="20"/>
          <w:color w:val="auto"/>
        </w:rPr>
      </w:pPr>
    </w:p>
    <w:p>
      <w:pPr>
        <w:jc w:val="both"/>
        <w:ind w:left="660" w:hanging="4"/>
        <w:spacing w:after="0" w:line="250" w:lineRule="auto"/>
        <w:tabs>
          <w:tab w:leader="none" w:pos="14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 share, which is the midpoint of the estimated price range set forth on the cover page of this prospectus, after deducting the estimated underwriting discounts and commissions, estimated offering expenses payable by us, of which $0.2 million had been paid, and $5.0 million had been accrued, at March 31, 2021 and (iii) the use of a portion of the proceeds from the offering to repay</w:t>
      </w:r>
    </w:p>
    <w:p>
      <w:pPr>
        <w:spacing w:after="0" w:line="1" w:lineRule="exact"/>
        <w:rPr>
          <w:rFonts w:ascii="Arial" w:cs="Arial" w:eastAsia="Arial" w:hAnsi="Arial"/>
          <w:sz w:val="18"/>
          <w:szCs w:val="18"/>
          <w:color w:val="auto"/>
        </w:rPr>
      </w:pPr>
    </w:p>
    <w:p>
      <w:pPr>
        <w:jc w:val="both"/>
        <w:ind w:left="660" w:hanging="4"/>
        <w:spacing w:after="0" w:line="256" w:lineRule="auto"/>
        <w:tabs>
          <w:tab w:leader="none" w:pos="10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borrowings drawn under our revolving credit facilities to satisfy our tax withholding and remittance obligations related to the IPO-Vesting Time-Based RSU Settlement and the IPO-Vesting Market-Based RSU Settlement, as described under “Use of Proceeds.”</w:t>
      </w:r>
    </w:p>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as adjusted information set forth in the table below is illustrative only and our capitalization following the completion of this offering will be adjusted based on the actual initial public offering price, the number of common shares sold in this offering and other terms of this offering determined at pricing. You should read the following table in conjunction with our consolidated financial statements and related notes appearing at the end of this prospectus and the sections of the prospectus titled “Management’s Discussion and Analysis of Financial Condition and Results of Operations”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5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60" w:type="dxa"/>
            <w:vAlign w:val="bottom"/>
            <w:gridSpan w:val="6"/>
          </w:tcPr>
          <w:p>
            <w:pPr>
              <w:jc w:val="center"/>
              <w:ind w:right="257"/>
              <w:spacing w:after="0"/>
              <w:rPr>
                <w:sz w:val="20"/>
                <w:szCs w:val="20"/>
                <w:color w:val="auto"/>
              </w:rPr>
            </w:pPr>
            <w:r>
              <w:rPr>
                <w:rFonts w:ascii="Arial" w:cs="Arial" w:eastAsia="Arial" w:hAnsi="Arial"/>
                <w:sz w:val="14"/>
                <w:szCs w:val="14"/>
                <w:i w:val="1"/>
                <w:iCs w:val="1"/>
                <w:color w:val="auto"/>
              </w:rPr>
              <w:t>(in thousands, except share and per share data)</w:t>
            </w:r>
          </w:p>
        </w:tc>
        <w:tc>
          <w:tcPr>
            <w:tcW w:w="0" w:type="dxa"/>
            <w:vAlign w:val="bottom"/>
          </w:tcPr>
          <w:p>
            <w:pPr>
              <w:spacing w:after="0"/>
              <w:rPr>
                <w:sz w:val="1"/>
                <w:szCs w:val="1"/>
                <w:color w:val="auto"/>
              </w:rPr>
            </w:pPr>
          </w:p>
        </w:tc>
      </w:tr>
      <w:tr>
        <w:trPr>
          <w:trHeight w:val="25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Revolving credit facilities</w:t>
            </w:r>
          </w:p>
        </w:tc>
        <w:tc>
          <w:tcPr>
            <w:tcW w:w="1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Convertible notes</w:t>
            </w:r>
            <w:r>
              <w:rPr>
                <w:rFonts w:ascii="Arial" w:cs="Arial" w:eastAsia="Arial" w:hAnsi="Arial"/>
                <w:sz w:val="23"/>
                <w:szCs w:val="23"/>
                <w:color w:val="auto"/>
                <w:vertAlign w:val="superscript"/>
              </w:rPr>
              <w:t>(2)</w:t>
            </w:r>
          </w:p>
        </w:tc>
        <w:tc>
          <w:tcPr>
            <w:tcW w:w="6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line="230"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(3)</w:t>
            </w:r>
          </w:p>
        </w:tc>
        <w:tc>
          <w:tcPr>
            <w:tcW w:w="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369,162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 convertible preferred stock, $0.0001 par value; 658,311,424</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shares authorized, 412,742,897 shares issued and outstanding,</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actual; no shares authorized, no shares issued and outstanding, pro forma;</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no shares authorized, no shares issued and outstanding, pro forma as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2,179,739</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1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40" w:type="dxa"/>
            <w:vAlign w:val="bottom"/>
            <w:gridSpan w:val="4"/>
            <w:shd w:val="clear" w:color="auto" w:fill="CCEEFF"/>
          </w:tcPr>
          <w:p>
            <w:pPr>
              <w:ind w:left="260"/>
              <w:spacing w:after="0" w:line="189" w:lineRule="exact"/>
              <w:rPr>
                <w:sz w:val="20"/>
                <w:szCs w:val="20"/>
                <w:color w:val="auto"/>
              </w:rPr>
            </w:pPr>
            <w:r>
              <w:rPr>
                <w:rFonts w:ascii="Arial" w:cs="Arial" w:eastAsia="Arial" w:hAnsi="Arial"/>
                <w:sz w:val="18"/>
                <w:szCs w:val="18"/>
                <w:color w:val="auto"/>
              </w:rPr>
              <w:t>Preferred stock, $0.0001 par value; no shares authorized or issued and</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gridSpan w:val="4"/>
            <w:shd w:val="clear" w:color="auto" w:fill="CCEEFF"/>
          </w:tcPr>
          <w:p>
            <w:pPr>
              <w:ind w:left="440"/>
              <w:spacing w:after="0" w:line="176" w:lineRule="exact"/>
              <w:rPr>
                <w:sz w:val="20"/>
                <w:szCs w:val="20"/>
                <w:color w:val="auto"/>
              </w:rPr>
            </w:pPr>
            <w:r>
              <w:rPr>
                <w:rFonts w:ascii="Arial" w:cs="Arial" w:eastAsia="Arial" w:hAnsi="Arial"/>
                <w:sz w:val="18"/>
                <w:szCs w:val="18"/>
                <w:color w:val="auto"/>
              </w:rPr>
              <w:t>outstanding, actual; 210,000,000 shares authorized, no shares issued</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40" w:type="dxa"/>
            <w:vAlign w:val="bottom"/>
            <w:gridSpan w:val="4"/>
          </w:tcPr>
          <w:p>
            <w:pPr>
              <w:ind w:left="240"/>
              <w:spacing w:after="0" w:line="189" w:lineRule="exact"/>
              <w:rPr>
                <w:sz w:val="20"/>
                <w:szCs w:val="20"/>
                <w:color w:val="auto"/>
              </w:rPr>
            </w:pPr>
            <w:r>
              <w:rPr>
                <w:rFonts w:ascii="Arial" w:cs="Arial" w:eastAsia="Arial" w:hAnsi="Arial"/>
                <w:sz w:val="18"/>
                <w:szCs w:val="18"/>
                <w:color w:val="auto"/>
              </w:rPr>
              <w:t>Common stock, $0.0001 par value; 777,354,000 shares authorized,</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4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232,257,374 shares issued and outstanding, actual; no shares authorized,</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40" w:type="dxa"/>
            <w:vAlign w:val="bottom"/>
            <w:gridSpan w:val="4"/>
          </w:tcPr>
          <w:p>
            <w:pPr>
              <w:ind w:left="400"/>
              <w:spacing w:after="0"/>
              <w:rPr>
                <w:sz w:val="20"/>
                <w:szCs w:val="20"/>
                <w:color w:val="auto"/>
              </w:rPr>
            </w:pPr>
            <w:r>
              <w:rPr>
                <w:rFonts w:ascii="Arial" w:cs="Arial" w:eastAsia="Arial" w:hAnsi="Arial"/>
                <w:sz w:val="18"/>
                <w:szCs w:val="18"/>
                <w:color w:val="auto"/>
              </w:rPr>
              <w:t>no shares issued and outstanding, pro forma and pro forma as adjusted</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40" w:type="dxa"/>
            <w:vAlign w:val="bottom"/>
            <w:gridSpan w:val="4"/>
            <w:shd w:val="clear" w:color="auto" w:fill="CCEEFF"/>
          </w:tcPr>
          <w:p>
            <w:pPr>
              <w:ind w:left="240"/>
              <w:spacing w:after="0" w:line="189" w:lineRule="exact"/>
              <w:rPr>
                <w:sz w:val="20"/>
                <w:szCs w:val="20"/>
                <w:color w:val="auto"/>
              </w:rPr>
            </w:pPr>
            <w:r>
              <w:rPr>
                <w:rFonts w:ascii="Arial" w:cs="Arial" w:eastAsia="Arial" w:hAnsi="Arial"/>
                <w:sz w:val="18"/>
                <w:szCs w:val="18"/>
                <w:color w:val="auto"/>
              </w:rPr>
              <w:t>Class A common stock, $0.0001 par value; no shares authorized, no shares</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issued and outstanding, actual; 21,000,000,000 shares</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authorized,</w:t>
            </w:r>
          </w:p>
        </w:tc>
        <w:tc>
          <w:tcPr>
            <w:tcW w:w="458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shares issued and outstanding, pro</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gridSpan w:val="3"/>
            <w:shd w:val="clear" w:color="auto" w:fill="CCEEFF"/>
          </w:tcPr>
          <w:p>
            <w:pPr>
              <w:ind w:left="400"/>
              <w:spacing w:after="0" w:line="176" w:lineRule="exact"/>
              <w:rPr>
                <w:sz w:val="20"/>
                <w:szCs w:val="20"/>
                <w:color w:val="auto"/>
              </w:rPr>
            </w:pPr>
            <w:r>
              <w:rPr>
                <w:rFonts w:ascii="Arial" w:cs="Arial" w:eastAsia="Arial" w:hAnsi="Arial"/>
                <w:sz w:val="18"/>
                <w:szCs w:val="18"/>
                <w:color w:val="auto"/>
              </w:rPr>
              <w:t>forma; 21,000,000,000 shares authorized,</w:t>
            </w:r>
          </w:p>
        </w:tc>
        <w:tc>
          <w:tcPr>
            <w:tcW w:w="23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shares issued and</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outstanding, pro forma as adjusted</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40" w:type="dxa"/>
            <w:vAlign w:val="bottom"/>
            <w:gridSpan w:val="4"/>
          </w:tcPr>
          <w:p>
            <w:pPr>
              <w:ind w:left="240"/>
              <w:spacing w:after="0" w:line="189" w:lineRule="exact"/>
              <w:rPr>
                <w:sz w:val="20"/>
                <w:szCs w:val="20"/>
                <w:color w:val="auto"/>
              </w:rPr>
            </w:pPr>
            <w:r>
              <w:rPr>
                <w:rFonts w:ascii="Arial" w:cs="Arial" w:eastAsia="Arial" w:hAnsi="Arial"/>
                <w:sz w:val="18"/>
                <w:szCs w:val="18"/>
                <w:color w:val="auto"/>
              </w:rPr>
              <w:t>Class B common stock, $0.0001 par value; no shares authorized, no shares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40" w:type="dxa"/>
            <w:vAlign w:val="bottom"/>
            <w:gridSpan w:val="4"/>
          </w:tcPr>
          <w:p>
            <w:pPr>
              <w:ind w:left="400"/>
              <w:spacing w:after="0" w:line="176" w:lineRule="exact"/>
              <w:rPr>
                <w:sz w:val="20"/>
                <w:szCs w:val="20"/>
                <w:color w:val="auto"/>
              </w:rPr>
            </w:pPr>
            <w:r>
              <w:rPr>
                <w:rFonts w:ascii="Arial" w:cs="Arial" w:eastAsia="Arial" w:hAnsi="Arial"/>
                <w:sz w:val="18"/>
                <w:szCs w:val="18"/>
                <w:color w:val="auto"/>
              </w:rPr>
              <w:t>issued and outstanding, actual; 700,000,000 shares</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400"/>
              <w:spacing w:after="0" w:line="176" w:lineRule="exact"/>
              <w:rPr>
                <w:sz w:val="20"/>
                <w:szCs w:val="20"/>
                <w:color w:val="auto"/>
              </w:rPr>
            </w:pPr>
            <w:r>
              <w:rPr>
                <w:rFonts w:ascii="Arial" w:cs="Arial" w:eastAsia="Arial" w:hAnsi="Arial"/>
                <w:sz w:val="18"/>
                <w:szCs w:val="18"/>
                <w:color w:val="auto"/>
              </w:rPr>
              <w:t>authorized,</w:t>
            </w:r>
          </w:p>
        </w:tc>
        <w:tc>
          <w:tcPr>
            <w:tcW w:w="458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shares issued and outstanding, pro forma; 700,000,000</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shares authorized,</w:t>
            </w:r>
          </w:p>
        </w:tc>
        <w:tc>
          <w:tcPr>
            <w:tcW w:w="39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shares issued and outstanding, pro forma as</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400"/>
              <w:spacing w:after="0"/>
              <w:rPr>
                <w:sz w:val="20"/>
                <w:szCs w:val="20"/>
                <w:color w:val="auto"/>
              </w:rPr>
            </w:pPr>
            <w:r>
              <w:rPr>
                <w:rFonts w:ascii="Arial" w:cs="Arial" w:eastAsia="Arial" w:hAnsi="Arial"/>
                <w:sz w:val="18"/>
                <w:szCs w:val="18"/>
                <w:color w:val="auto"/>
              </w:rPr>
              <w:t>adjusted</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40" w:type="dxa"/>
            <w:vAlign w:val="bottom"/>
            <w:gridSpan w:val="4"/>
            <w:shd w:val="clear" w:color="auto" w:fill="CCEEFF"/>
          </w:tcPr>
          <w:p>
            <w:pPr>
              <w:ind w:left="240"/>
              <w:spacing w:after="0" w:line="189" w:lineRule="exact"/>
              <w:rPr>
                <w:sz w:val="20"/>
                <w:szCs w:val="20"/>
                <w:color w:val="auto"/>
              </w:rPr>
            </w:pPr>
            <w:r>
              <w:rPr>
                <w:rFonts w:ascii="Arial" w:cs="Arial" w:eastAsia="Arial" w:hAnsi="Arial"/>
                <w:sz w:val="18"/>
                <w:szCs w:val="18"/>
                <w:color w:val="auto"/>
              </w:rPr>
              <w:t>Class C common stock, $0.0001 par value; no shares authorized, no shares</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gridSpan w:val="4"/>
            <w:shd w:val="clear" w:color="auto" w:fill="CCEEFF"/>
          </w:tcPr>
          <w:p>
            <w:pPr>
              <w:ind w:left="400"/>
              <w:spacing w:after="0" w:line="176" w:lineRule="exact"/>
              <w:rPr>
                <w:sz w:val="20"/>
                <w:szCs w:val="20"/>
                <w:color w:val="auto"/>
              </w:rPr>
            </w:pPr>
            <w:r>
              <w:rPr>
                <w:rFonts w:ascii="Arial" w:cs="Arial" w:eastAsia="Arial" w:hAnsi="Arial"/>
                <w:sz w:val="18"/>
                <w:szCs w:val="18"/>
                <w:color w:val="auto"/>
              </w:rPr>
              <w:t>issued and outstanding, actual; 7,000,000,000 shares authorized, no</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pro forma and pro forma as adjusted</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149,217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6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(1,634,906)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2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(1,485,186)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40"/>
              <w:spacing w:after="0"/>
              <w:rPr>
                <w:sz w:val="20"/>
                <w:szCs w:val="20"/>
                <w:color w:val="auto"/>
              </w:rPr>
            </w:pPr>
            <w:r>
              <w:rPr>
                <w:rFonts w:ascii="Arial" w:cs="Arial" w:eastAsia="Arial" w:hAnsi="Arial"/>
                <w:sz w:val="18"/>
                <w:szCs w:val="18"/>
                <w:color w:val="auto"/>
              </w:rPr>
              <w:t>Total capitalization</w:t>
            </w:r>
          </w:p>
        </w:tc>
        <w:tc>
          <w:tcPr>
            <w:tcW w:w="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5,738,797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176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7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gridSpan w:val="6"/>
          </w:tcPr>
          <w:p>
            <w:pPr>
              <w:spacing w:after="0"/>
              <w:rPr>
                <w:sz w:val="20"/>
                <w:szCs w:val="20"/>
                <w:color w:val="auto"/>
              </w:rPr>
            </w:pPr>
            <w:r>
              <w:rPr>
                <w:rFonts w:ascii="Arial" w:cs="Arial" w:eastAsia="Arial" w:hAnsi="Arial"/>
                <w:sz w:val="14"/>
                <w:szCs w:val="14"/>
                <w:color w:val="auto"/>
              </w:rPr>
              <w:t>(1)  Each $1.00 increase or decrease in the assumed initial public offering price of our Class A common stock of $</w:t>
            </w:r>
          </w:p>
        </w:tc>
        <w:tc>
          <w:tcPr>
            <w:tcW w:w="3800" w:type="dxa"/>
            <w:vAlign w:val="bottom"/>
            <w:gridSpan w:val="5"/>
          </w:tcPr>
          <w:p>
            <w:pPr>
              <w:jc w:val="right"/>
              <w:spacing w:after="0"/>
              <w:rPr>
                <w:sz w:val="20"/>
                <w:szCs w:val="20"/>
                <w:color w:val="auto"/>
              </w:rPr>
            </w:pPr>
            <w:r>
              <w:rPr>
                <w:rFonts w:ascii="Arial" w:cs="Arial" w:eastAsia="Arial" w:hAnsi="Arial"/>
                <w:sz w:val="14"/>
                <w:szCs w:val="14"/>
                <w:color w:val="auto"/>
              </w:rPr>
              <w:t>per share, which is the midpoint of the estimated price</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range set forth on the cover page of this prospectus, would increase or decrease, as applicable, (i) each of cash and cash equivalents, additional paid-in capital, total</w:t>
      </w:r>
    </w:p>
    <w:p>
      <w:pPr>
        <w:spacing w:after="0" w:line="323"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stockholders’ equity and total capitalization on a pro forma as adjusted basis by approximately $ , and (ii) the amount we would borrow under our revolving credit facilities and be required to pay to satisfy our tax withholding and remittance obligations by approximately $ , in each case assuming that the number of shares of Class</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A common stock offered by us, as set forth on the cover page of this prospectus, remains the same and after deducting estimated underwriting discounts and commissions and estimated offering expenses payable by us. Similarly, each 1,000,000-share increase or decrease in the number of shares of Class A common stock offered by us in this offering would increase or decrease, as applicable, each of cash and cash equivalents, additional paid-in capital, total stockholders’ equity and total capitalization on a</w:t>
      </w:r>
    </w:p>
    <w:p>
      <w:pPr>
        <w:spacing w:after="0" w:line="1" w:lineRule="exact"/>
        <w:rPr>
          <w:sz w:val="20"/>
          <w:szCs w:val="20"/>
          <w:color w:val="auto"/>
        </w:rPr>
      </w:pPr>
    </w:p>
    <w:p>
      <w:pPr>
        <w:ind w:left="340"/>
        <w:spacing w:after="0"/>
        <w:tabs>
          <w:tab w:leader="none" w:pos="3720" w:val="left"/>
        </w:tabs>
        <w:rPr>
          <w:sz w:val="20"/>
          <w:szCs w:val="20"/>
          <w:color w:val="auto"/>
        </w:rPr>
      </w:pPr>
      <w:r>
        <w:rPr>
          <w:rFonts w:ascii="Arial" w:cs="Arial" w:eastAsia="Arial" w:hAnsi="Arial"/>
          <w:sz w:val="14"/>
          <w:szCs w:val="14"/>
          <w:color w:val="auto"/>
        </w:rPr>
        <w:t>pro forma as adjusted basis by approximately $</w:t>
      </w:r>
      <w:r>
        <w:rPr>
          <w:sz w:val="20"/>
          <w:szCs w:val="20"/>
          <w:color w:val="auto"/>
        </w:rPr>
        <w:tab/>
      </w:r>
      <w:r>
        <w:rPr>
          <w:rFonts w:ascii="Arial" w:cs="Arial" w:eastAsia="Arial" w:hAnsi="Arial"/>
          <w:sz w:val="14"/>
          <w:szCs w:val="14"/>
          <w:color w:val="auto"/>
        </w:rPr>
        <w:t>, assuming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6"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change in the assumed initial public offering price per share of our Class A common stock of $ per share, which is the midpoint of the estimated price range set forth on the cover page of this prospectus, and after deducting estimated underwriting discounts and commissions and estimated offering expenses payable by us.</w:t>
      </w:r>
    </w:p>
    <w:p>
      <w:pPr>
        <w:spacing w:after="0" w:line="1" w:lineRule="exact"/>
        <w:rPr>
          <w:sz w:val="20"/>
          <w:szCs w:val="20"/>
          <w:color w:val="auto"/>
        </w:rPr>
      </w:pPr>
    </w:p>
    <w:p>
      <w:pPr>
        <w:jc w:val="both"/>
        <w:ind w:left="340" w:hanging="332"/>
        <w:spacing w:after="0" w:line="241"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164" w:lineRule="exact"/>
        <w:rPr>
          <w:rFonts w:ascii="Arial" w:cs="Arial" w:eastAsia="Arial" w:hAnsi="Arial"/>
          <w:sz w:val="14"/>
          <w:szCs w:val="14"/>
          <w:color w:val="auto"/>
        </w:rPr>
      </w:pPr>
    </w:p>
    <w:p>
      <w:pPr>
        <w:jc w:val="both"/>
        <w:ind w:left="340" w:hanging="332"/>
        <w:spacing w:after="0" w:line="245"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connection with our February 2021 convertible note offering, we granted to each purchaser of the Tranche I convertible notes a warrant to purchase a number of shares of equity securities equal to 15% of the aggregate proceeds invested by such purchaser in the Tranche I convertible notes (i.e</w:t>
      </w:r>
      <w:r>
        <w:rPr>
          <w:rFonts w:ascii="Arial" w:cs="Arial" w:eastAsia="Arial" w:hAnsi="Arial"/>
          <w:sz w:val="14"/>
          <w:szCs w:val="14"/>
          <w:i w:val="1"/>
          <w:iCs w:val="1"/>
          <w:color w:val="auto"/>
        </w:rPr>
        <w:t>.</w:t>
      </w:r>
      <w:r>
        <w:rPr>
          <w:rFonts w:ascii="Arial" w:cs="Arial" w:eastAsia="Arial" w:hAnsi="Arial"/>
          <w:sz w:val="14"/>
          <w:szCs w:val="14"/>
          <w:color w:val="auto"/>
        </w:rPr>
        <w:t>,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warrant financings, see “Certain Relationships and Related Person Transactions—Convertible Note and Warrant Financings.”</w:t>
      </w:r>
    </w:p>
    <w:p>
      <w:pPr>
        <w:spacing w:after="0" w:line="172" w:lineRule="exact"/>
        <w:rPr>
          <w:sz w:val="20"/>
          <w:szCs w:val="20"/>
          <w:color w:val="auto"/>
        </w:rPr>
      </w:pPr>
    </w:p>
    <w:p>
      <w:pPr>
        <w:jc w:val="right"/>
        <w:ind w:left="340"/>
        <w:spacing w:after="0" w:line="250" w:lineRule="auto"/>
        <w:rPr>
          <w:sz w:val="20"/>
          <w:szCs w:val="20"/>
          <w:color w:val="auto"/>
        </w:rPr>
      </w:pPr>
      <w:r>
        <w:rPr>
          <w:rFonts w:ascii="Arial" w:cs="Arial" w:eastAsia="Arial" w:hAnsi="Arial"/>
          <w:sz w:val="18"/>
          <w:szCs w:val="18"/>
          <w:color w:val="auto"/>
        </w:rPr>
        <w:t>The pro forma and pro forma as adjusted columns in the table above are based on        shares of our Class A common stock, shares of our Class B common stock and no shares of our Class C common stock issued and outstanding as of March 31, 2021,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gives effect to the Assumed Share Events set forth under the section titled “The Offering” and excludes:</w:t>
      </w:r>
    </w:p>
    <w:p>
      <w:pPr>
        <w:spacing w:after="0" w:line="185" w:lineRule="exact"/>
        <w:rPr>
          <w:sz w:val="20"/>
          <w:szCs w:val="20"/>
          <w:color w:val="auto"/>
        </w:rPr>
      </w:pPr>
    </w:p>
    <w:p>
      <w:pPr>
        <w:ind w:left="66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18,096,127 shares of our Class A common stock issuable upon exercise of options to purchase shares of our Class A common stock outstanding as of March 31, 2021 with a weighted-average exercise price of $2.23 per share;</w:t>
      </w:r>
    </w:p>
    <w:p>
      <w:pPr>
        <w:spacing w:after="0" w:line="157" w:lineRule="exact"/>
        <w:rPr>
          <w:rFonts w:ascii="Arial" w:cs="Arial" w:eastAsia="Arial" w:hAnsi="Arial"/>
          <w:sz w:val="18"/>
          <w:szCs w:val="18"/>
          <w:color w:val="auto"/>
        </w:rPr>
      </w:pPr>
    </w:p>
    <w:p>
      <w:pPr>
        <w:ind w:left="660" w:hanging="328"/>
        <w:spacing w:after="0" w:line="250"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Class A common stock issuable upon exercise of warrants to purchase shares of our equity securities, $379.8 million aggregate maximum purchase amount of which was outstanding as of March 31, 2021, assuming an exercise price of $</w:t>
      </w:r>
    </w:p>
    <w:p>
      <w:pPr>
        <w:sectPr>
          <w:pgSz w:w="11900" w:h="16838" w:orient="portrait"/>
          <w:cols w:equalWidth="0" w:num="1">
            <w:col w:w="11240"/>
          </w:cols>
          <w:pgMar w:left="320" w:top="1440" w:right="339" w:bottom="1440" w:gutter="0" w:footer="0" w:header="0"/>
        </w:sectPr>
      </w:pPr>
    </w:p>
    <w:p>
      <w:pPr>
        <w:spacing w:after="0" w:line="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(which is the lower of (i) 70% of the assumed initial public offering price of our Class A common stock of $ per share, which is the midpoint of the estimated offering price range set forth on the cover page of this prospectus, and (ii) $38.29);</w:t>
      </w:r>
    </w:p>
    <w:p>
      <w:pPr>
        <w:sectPr>
          <w:pgSz w:w="11900" w:h="16838" w:orient="portrait"/>
          <w:cols w:equalWidth="0" w:num="1">
            <w:col w:w="11240"/>
          </w:cols>
          <w:pgMar w:left="320" w:top="1440" w:right="339" w:bottom="1440" w:gutter="0" w:footer="0" w:header="0"/>
          <w:type w:val="continuous"/>
        </w:sectPr>
      </w:pPr>
    </w:p>
    <w:p>
      <w:pPr>
        <w:spacing w:after="0" w:line="172" w:lineRule="exact"/>
        <w:rPr>
          <w:sz w:val="20"/>
          <w:szCs w:val="20"/>
          <w:color w:val="auto"/>
        </w:rPr>
      </w:pPr>
    </w:p>
    <w:p>
      <w:pPr>
        <w:ind w:left="660" w:right="2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39,069,091 shares of our Class A common stock subject to Time-Based RSUs outstanding as of March 31, 2021, but for which the time-based vesting condition was not satisfied as of March 31, 2021;</w:t>
      </w:r>
    </w:p>
    <w:p>
      <w:pPr>
        <w:spacing w:after="0" w:line="157" w:lineRule="exact"/>
        <w:rPr>
          <w:rFonts w:ascii="Arial" w:cs="Arial" w:eastAsia="Arial" w:hAnsi="Arial"/>
          <w:sz w:val="18"/>
          <w:szCs w:val="18"/>
          <w:color w:val="auto"/>
        </w:rPr>
      </w:pPr>
    </w:p>
    <w:p>
      <w:pPr>
        <w:jc w:val="both"/>
        <w:ind w:left="660" w:hanging="328"/>
        <w:spacing w:after="0" w:line="265" w:lineRule="auto"/>
        <w:tabs>
          <w:tab w:leader="none" w:pos="14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assuming an initial</w:t>
      </w: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public offering price of our Class A common stock of $ per share, which is the midpoint of the estimated offering price range set forth on the cover page of this prospectus;</w:t>
      </w:r>
    </w:p>
    <w:p>
      <w:pPr>
        <w:spacing w:after="0" w:line="157"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2021 Market-Based RSUs granted in May 2021, assuming achievement of all applicable market-based vesting conditions;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84" w:lineRule="exact"/>
        <w:rPr>
          <w:rFonts w:ascii="Arial" w:cs="Arial" w:eastAsia="Arial" w:hAnsi="Arial"/>
          <w:sz w:val="18"/>
          <w:szCs w:val="18"/>
          <w:color w:val="auto"/>
        </w:rPr>
      </w:pPr>
    </w:p>
    <w:p>
      <w:pPr>
        <w:jc w:val="both"/>
        <w:ind w:left="1300" w:hanging="320"/>
        <w:spacing w:after="0" w:line="256" w:lineRule="auto"/>
        <w:tabs>
          <w:tab w:leader="none" w:pos="13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27,799,737 shares of our Class A common stock reserved for future issuance under our 2020 Plan as of March 31, 2021. The number of shares reserved but unissued (and not subject to any awards) under our 2020 Plan at the time our 2021 Plan (as defined below) becomes effective will be added to the shares of our Class A common stock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71"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reserved for future issuance under our 2021 Plan upon its effectiveness (as described below), at which time we will cease granting awards under our 2020 Plan;</w:t>
      </w:r>
    </w:p>
    <w:p>
      <w:pPr>
        <w:spacing w:after="0" w:line="171" w:lineRule="exact"/>
        <w:rPr>
          <w:sz w:val="20"/>
          <w:szCs w:val="20"/>
          <w:color w:val="auto"/>
        </w:rPr>
      </w:pPr>
    </w:p>
    <w:p>
      <w:pPr>
        <w:jc w:val="both"/>
        <w:ind w:left="1300" w:hanging="320"/>
        <w:spacing w:after="0" w:line="251" w:lineRule="auto"/>
        <w:tabs>
          <w:tab w:leader="none" w:pos="13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68"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 which will become effective immediately prior to the completion of this offering, as described under “Executive Compensation—Employee Benefits and Stock Plans— 2021 Employee Share Purchase Plan.”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DILUTION</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and Class B common stock immediately after this offering.</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historical net tangible book value as of March 31, 2021 was $(1.5) billion, or $(6.41) per share of common stock. Our historical net tangible book value represents our total tangible assets less our total liabilities, which is not included within our stockholders’ equity. Historical net tangible book value per share represents historical net tangible book value divided by the 232,257,374 shares of common stock outstanding as of March 31, 2021.</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pro forma net tangible book value as of March 31, 2021 was $ , or $ per share of common stock. Pro forma net tangible book value per share represents the amount of our total tangible assets less our total liabilities. Pro forma net tangible book value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 share represents our pro forma net tangible book value divided by , which is the total number of shares of Class A common stock and Class B common stock outstanding as of March 31, 2021 after giving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 under our revolving credit facilities to satisfy our tax withholding and remittance obligations related to the IPO-Vesting Time-Based RSU Settlement and the IPO-Vesting Market-Based RSU Settlement, (vii) a cash payment of $ to satisfy our tax withholding and remittance liabilities described in clause (v) above (assuming the effectiveness of this offering on March 31, 2021 for purposes of any applicable time-based</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vesting conditions; an initial public offering price of our Class A common stock of $ per share, which is the midpoint of the estimated offering price range set forth on the cover page of this prospectus, for purposes of determining the satisfaction of any market-based vesting conditions; and an assumed 45% tax withholding rate), (viii) the reclassification of our warrant liability into additional paid-in capital because upon the completion of this offering, the warrants will, in accordance with their terms, become exercisable for our class A common stock, (ix)</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share-based compensation expense of $ related to IPO-Vesting Time-Based RSUs for which the time-based vesting condition was satisfied or partially satisfied as of March 31, 2021 and IPO-Vesting Market-Based RSUs, assuming the effectiveness of this offering on March 31, 2021 for purposes of any applicable time-based vesting conditions and, for purposes of determining the satisfaction of the market-based vesting condition, an initial public offering price of our Class A common stock of $ per share, which is the midpoint of the estimated offering price range set forth on the cover page of this prospectus, reflected as an increase to additional paid-in capital and accumulated deficit, (x) income tax benefit of $ , net of valuation allowance, (xi) the filing and effectiveness of our Charter in Delaware, which will occur immediately prior to the completion of this offering and will effect the Reclassification, and (xii) the Class B Exchange.</w:t>
      </w:r>
    </w:p>
    <w:p>
      <w:pPr>
        <w:spacing w:after="0" w:line="166"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After giving further effect to our issuance and sale of shares of Class A common stock in this offering at an assumed initial public offering price of our Class A common stock of $ per share, which is the midpoint of the estimated price range set forth on the cover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page of this prospectus, and after deducting the estimated underwriting discounts and</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commissions and estimated offering expenses</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payable by us, our pro forma as adjusted net tangible book value as of March 31, 2021</w:t>
            </w:r>
          </w:p>
        </w:tc>
        <w:tc>
          <w:tcPr>
            <w:tcW w:w="2040" w:type="dxa"/>
            <w:vAlign w:val="bottom"/>
          </w:tcPr>
          <w:p>
            <w:pPr>
              <w:ind w:left="40"/>
              <w:spacing w:after="0"/>
              <w:rPr>
                <w:sz w:val="20"/>
                <w:szCs w:val="20"/>
                <w:color w:val="auto"/>
              </w:rPr>
            </w:pPr>
            <w:r>
              <w:rPr>
                <w:rFonts w:ascii="Arial" w:cs="Arial" w:eastAsia="Arial" w:hAnsi="Arial"/>
                <w:sz w:val="18"/>
                <w:szCs w:val="18"/>
                <w:color w:val="auto"/>
              </w:rPr>
              <w:t>would have been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 or approximately</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80" w:type="dxa"/>
            <w:vAlign w:val="bottom"/>
            <w:gridSpan w:val="4"/>
          </w:tcPr>
          <w:p>
            <w:pPr>
              <w:ind w:left="380"/>
              <w:spacing w:after="0"/>
              <w:rPr>
                <w:sz w:val="20"/>
                <w:szCs w:val="20"/>
                <w:color w:val="auto"/>
              </w:rPr>
            </w:pPr>
            <w:r>
              <w:rPr>
                <w:rFonts w:ascii="Arial" w:cs="Arial" w:eastAsia="Arial" w:hAnsi="Arial"/>
                <w:sz w:val="18"/>
                <w:szCs w:val="18"/>
                <w:color w:val="auto"/>
              </w:rPr>
              <w:t>per share. This amount represents an immediate increase in the pro forma as adjusted net tangible book value of $</w:t>
            </w:r>
          </w:p>
        </w:tc>
        <w:tc>
          <w:tcPr>
            <w:tcW w:w="660" w:type="dxa"/>
            <w:vAlign w:val="bottom"/>
          </w:tcPr>
          <w:p>
            <w:pPr>
              <w:jc w:val="right"/>
              <w:spacing w:after="0"/>
              <w:rPr>
                <w:sz w:val="20"/>
                <w:szCs w:val="20"/>
                <w:color w:val="auto"/>
              </w:rPr>
            </w:pPr>
            <w:r>
              <w:rPr>
                <w:rFonts w:ascii="Arial" w:cs="Arial" w:eastAsia="Arial" w:hAnsi="Arial"/>
                <w:sz w:val="18"/>
                <w:szCs w:val="18"/>
                <w:color w:val="auto"/>
              </w:rPr>
              <w:t>per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share to our existing stockholders and immediate dilution of $</w:t>
            </w:r>
          </w:p>
        </w:tc>
        <w:tc>
          <w:tcPr>
            <w:tcW w:w="5960" w:type="dxa"/>
            <w:vAlign w:val="bottom"/>
            <w:gridSpan w:val="4"/>
          </w:tcPr>
          <w:p>
            <w:pPr>
              <w:jc w:val="right"/>
              <w:spacing w:after="0"/>
              <w:rPr>
                <w:sz w:val="20"/>
                <w:szCs w:val="20"/>
                <w:color w:val="auto"/>
              </w:rPr>
            </w:pPr>
            <w:r>
              <w:rPr>
                <w:rFonts w:ascii="Arial" w:cs="Arial" w:eastAsia="Arial" w:hAnsi="Arial"/>
                <w:sz w:val="18"/>
                <w:szCs w:val="18"/>
                <w:color w:val="auto"/>
              </w:rPr>
              <w:t>per share to new investors purchasing our shares of Class A common</w:t>
            </w: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rPr>
              <w:t>stock in this offering.</w:t>
            </w:r>
          </w:p>
        </w:tc>
        <w:tc>
          <w:tcPr>
            <w:tcW w:w="2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Dilution per share to new investors is determined by subtracting the pro forma as adjusted net tangible book value per share after this offering from the initial public offering price per share of our Class A common stock paid by new investors. The following table illustrates this dilution on a per share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60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09"/>
        </w:trPr>
        <w:tc>
          <w:tcPr>
            <w:tcW w:w="800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March 31, 2021</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88"/>
        </w:trPr>
        <w:tc>
          <w:tcPr>
            <w:tcW w:w="80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7"/>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of Class A common stock in this offering</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0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the number of shares of Class A common stock sold by us in this offering and other terms of this offering determined at pricing. Each $1.00 increase or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decrease in the assumed initial public offering price of our Class A common stock of $ per share, which is the midpoint of the estimated price range set forth on the cover page of this prospectus, would increase or decrease, as applicable, the as adjusted net tangible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book value per share after this offering by approximately $ and the dilution per share to new investors by $ , assuming that the number of shares of Class A common stock offered by us, as set forth on the cover page of this prospectus, remains the same and after deducting estimated underwriting discounts and commissions and estimated offering expenses payable by us. Each increase of 1,000,000 shares in the number of shares of Class A common stock offered by us would increase our as adjusted net tangible book value per share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after this offering by $ and decrease the dilution per share to new investors by $ , assuming no change in the assumed initial public offering price per share and after deducting estimated underwriting discounts and commissions. Each decrease of 1,000,000 shares in the number of shares of Class A common stock offered by us would decrease our as adjusted net tangible book value per share after this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offering by $ and increase the dilution per share to new investors by $ , assuming no change in the assumed initial public offering price per share and after deducting estimated underwriting discounts and commissions and estimated offering expenses payable by us.</w:t>
      </w:r>
    </w:p>
    <w:p>
      <w:pPr>
        <w:spacing w:after="0" w:line="37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in this offering, our as pro forma adjusted net tangible book value per share after the offering would be $ , and the dilution per share to new investors would be $ , in each case assuming an initial public offering price of our Class A common stock of $ per share, which is the midpoint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price range set forth on the cover page of this prospectus, and after deducting the estimated underwriting discounts and commissions.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following table summarizes, as of March 31, 2021, on the pro forma as adjusted basis as described above, the total number of shares of Class A common stock purchased from us, the total consideration paid and the average price per share paid or to be paid by existing stockholders and new investors acquiring shares of Class A common stock in this offering, assuming an initial public offering price of</w:t>
      </w:r>
    </w:p>
    <w:p>
      <w:pPr>
        <w:spacing w:after="0" w:line="1"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our Class A common stock of $</w:t>
      </w:r>
      <w:r>
        <w:rPr>
          <w:sz w:val="20"/>
          <w:szCs w:val="20"/>
          <w:color w:val="auto"/>
        </w:rPr>
        <w:tab/>
      </w:r>
      <w:r>
        <w:rPr>
          <w:rFonts w:ascii="Arial" w:cs="Arial" w:eastAsia="Arial" w:hAnsi="Arial"/>
          <w:sz w:val="17"/>
          <w:szCs w:val="17"/>
          <w:color w:val="auto"/>
        </w:rPr>
        <w:t>per share, which is the midpoint of the estimated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range set forth on the cover page of this prospectus, before deducting estimated underwriting discounts and commissions and estimated offering expenses payable by 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700" w:type="dxa"/>
            <w:vAlign w:val="bottom"/>
            <w:gridSpan w:val="4"/>
          </w:tcPr>
          <w:p>
            <w:pPr>
              <w:ind w:left="680"/>
              <w:spacing w:after="0"/>
              <w:rPr>
                <w:sz w:val="20"/>
                <w:szCs w:val="20"/>
                <w:color w:val="auto"/>
              </w:rPr>
            </w:pPr>
            <w:r>
              <w:rPr>
                <w:rFonts w:ascii="Arial" w:cs="Arial" w:eastAsia="Arial" w:hAnsi="Arial"/>
                <w:sz w:val="14"/>
                <w:szCs w:val="14"/>
                <w:b w:val="1"/>
                <w:bCs w:val="1"/>
                <w:color w:val="auto"/>
              </w:rPr>
              <w:t>Shares Purchased</w:t>
            </w:r>
          </w:p>
        </w:tc>
        <w:tc>
          <w:tcPr>
            <w:tcW w:w="2740" w:type="dxa"/>
            <w:vAlign w:val="bottom"/>
            <w:gridSpan w:val="4"/>
          </w:tcPr>
          <w:p>
            <w:pPr>
              <w:ind w:left="66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1"/>
                <w:szCs w:val="11"/>
                <w:color w:val="auto"/>
              </w:rPr>
            </w:pPr>
          </w:p>
        </w:tc>
        <w:tc>
          <w:tcPr>
            <w:tcW w:w="13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Percent</w:t>
            </w:r>
          </w:p>
        </w:tc>
        <w:tc>
          <w:tcPr>
            <w:tcW w:w="80" w:type="dxa"/>
            <w:vAlign w:val="bottom"/>
            <w:vMerge w:val="restart"/>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46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table above assumes no exercise of the underwriters’ option to purchase additional shares of our Class A common stock. If the underwriters exercise in full their option to purchase additional shares of Class A common stock, the percentage of shares of our Class A</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common stock held by existing stockholders would be decreased to % of the total number of our Class A common stock outstanding after this offering, and the number of shares held by new investors participating in this offering would be increased to % of the total number of shares of our Class A common stock outstanding after this offering.</w:t>
      </w:r>
    </w:p>
    <w:p>
      <w:pPr>
        <w:spacing w:after="0" w:line="16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The number of shares of our Class A common stock to be outstanding after this offering is based on shares of our Class A common stock, shares of our Class B common stock and no shares of our Class C common stock, in each case outstanding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2021, which gives effect to the Assumed Share Events set forth under the section titled “The Offering” and excludes:</w:t>
      </w:r>
    </w:p>
    <w:p>
      <w:pPr>
        <w:spacing w:after="0" w:line="198" w:lineRule="exact"/>
        <w:rPr>
          <w:sz w:val="20"/>
          <w:szCs w:val="20"/>
          <w:color w:val="auto"/>
        </w:rPr>
      </w:pPr>
    </w:p>
    <w:p>
      <w:pPr>
        <w:ind w:left="66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18,096,127 shares of our Class A common stock issuable upon exercise of options to purchase shares of our common stock outstanding as of March 31, 2021 with a weighted-average exercise price of $2.23 per share;</w:t>
      </w:r>
    </w:p>
    <w:p>
      <w:pPr>
        <w:spacing w:after="0" w:line="157" w:lineRule="exact"/>
        <w:rPr>
          <w:rFonts w:ascii="Arial" w:cs="Arial" w:eastAsia="Arial" w:hAnsi="Arial"/>
          <w:sz w:val="18"/>
          <w:szCs w:val="18"/>
          <w:color w:val="auto"/>
        </w:rPr>
      </w:pPr>
    </w:p>
    <w:p>
      <w:pPr>
        <w:ind w:left="1280" w:hanging="948"/>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Class A common stock issuable upon exercise of warrants to purchase shares of our equity securities, $379.8</w:t>
      </w:r>
    </w:p>
    <w:p>
      <w:pPr>
        <w:spacing w:after="0" w:line="9"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color w:val="auto"/>
        </w:rPr>
        <w:t>million aggregate maximum purchase amount of which was outstanding as of March 31, 2021, assuming an exercise price of $ (which is the lower of (i) 70% of the assumed initial public offering price of our Class A common stock of $ per share, which is the midpoint of the estimated offering price range set forth on the cover page of this prospectus, and (ii) $38.29);</w:t>
      </w:r>
    </w:p>
    <w:p>
      <w:pPr>
        <w:spacing w:after="0" w:line="161" w:lineRule="exact"/>
        <w:rPr>
          <w:sz w:val="20"/>
          <w:szCs w:val="20"/>
          <w:color w:val="auto"/>
        </w:rPr>
      </w:pPr>
    </w:p>
    <w:p>
      <w:pPr>
        <w:ind w:left="660" w:right="2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39,069,091 shares of our Class A common stock subject to Time-Based RSUs outstanding as of March 31, 2021, but for which the time-based vesting condition was not satisfied as of March 31, 2021;</w:t>
      </w:r>
    </w:p>
    <w:p>
      <w:pPr>
        <w:spacing w:after="0" w:line="170" w:lineRule="exact"/>
        <w:rPr>
          <w:rFonts w:ascii="Arial" w:cs="Arial" w:eastAsia="Arial" w:hAnsi="Arial"/>
          <w:sz w:val="18"/>
          <w:szCs w:val="18"/>
          <w:color w:val="auto"/>
        </w:rPr>
      </w:pPr>
    </w:p>
    <w:p>
      <w:pPr>
        <w:jc w:val="both"/>
        <w:ind w:left="660" w:hanging="328"/>
        <w:spacing w:after="0" w:line="265" w:lineRule="auto"/>
        <w:tabs>
          <w:tab w:leader="none" w:pos="14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shares of our Class A common stock subject to 2019 Market-Based RSUs outstanding as of March 31, 2021, but for which the vesting conditions were not satisfied assuming the effectiveness of this offering on March 31, 2021 either because (i) the market-based vesting condition was not satisfied in this offering but may be satisfied in the future or (ii) the market-based vesting condition was satisfied in this offering but the quarterly time-based vesting condition was not satisfied as of March 31, 2021, assuming an initial</w:t>
      </w: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public offering price of our Class A common stock of $ per share, which is the midpoint of the estimated offering price range set forth on the cover page of this prospectus;</w:t>
      </w:r>
    </w:p>
    <w:p>
      <w:pPr>
        <w:spacing w:after="0" w:line="157"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2021 Market-Based RSUs granted in May 2021, assuming achievement of all applicable market-based vesting conditions;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1" w:lineRule="exact"/>
        <w:rPr>
          <w:sz w:val="20"/>
          <w:szCs w:val="20"/>
          <w:color w:val="auto"/>
        </w:rPr>
      </w:pPr>
    </w:p>
    <w:p>
      <w:pPr>
        <w:jc w:val="both"/>
        <w:ind w:left="1300" w:hanging="320"/>
        <w:spacing w:after="0" w:line="253" w:lineRule="auto"/>
        <w:tabs>
          <w:tab w:leader="none" w:pos="13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27,799,737 shares of our Class A common stock reserved for future issuance under our 2020 Plan as of March 31, 2021. The number of shares reserved but unissued (and not subject to any awards) under our 2020 Plan at the time our 2021 Plan (as defined below) becomes effective will be added to the shares of our Class A common stock to be reserved for future issuance under our 2021 Plan upon its effectiveness (as described below), at which time we will cease granting awards under our 2020 Plan;</w:t>
      </w:r>
    </w:p>
    <w:p>
      <w:pPr>
        <w:spacing w:after="0" w:line="178" w:lineRule="exact"/>
        <w:rPr>
          <w:rFonts w:ascii="Arial" w:cs="Arial" w:eastAsia="Arial" w:hAnsi="Arial"/>
          <w:sz w:val="18"/>
          <w:szCs w:val="18"/>
          <w:color w:val="auto"/>
        </w:rPr>
      </w:pPr>
    </w:p>
    <w:p>
      <w:pPr>
        <w:jc w:val="both"/>
        <w:ind w:left="1300" w:hanging="320"/>
        <w:spacing w:after="0" w:line="251" w:lineRule="auto"/>
        <w:tabs>
          <w:tab w:leader="none" w:pos="13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which will become effective immediately prior to the completion of this offering, consisting of an initial share reserve equal to approximately (i) 11% of the number of shares of our common stock (of all classes) that will be outstanding immediately after the closing of this offering plus (ii) (A)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 subject to automatic annual increases in accordance with our 2021 Plan as described under “Executive Compensation—Employee Benefits and Stock Plans—2021 Omnibus Incentive Plan”; and</w:t>
      </w:r>
    </w:p>
    <w:p>
      <w:pPr>
        <w:spacing w:after="0" w:line="168"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 which will become effective immediately prior to the completion of this offering, as described under “Executive Compensation—Employee Benefits and Stock Plans— 2021 Employee Share Purchase Plan.”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about our warrants, see “Certain Relationships and Related Person Transactions—Convertible Note and Warrant Financings.” For more information about our Market-Based RSUs, see “Executive Compensation—Narrative Description of Executive Compensation Arrangements—Market-Based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183" w:lineRule="exact"/>
        <w:rPr>
          <w:sz w:val="20"/>
          <w:szCs w:val="20"/>
          <w:color w:val="auto"/>
        </w:rPr>
      </w:pPr>
    </w:p>
    <w:p>
      <w:pPr>
        <w:jc w:val="center"/>
        <w:spacing w:after="0" w:line="261" w:lineRule="auto"/>
        <w:rPr>
          <w:sz w:val="20"/>
          <w:szCs w:val="20"/>
          <w:color w:val="auto"/>
        </w:rPr>
      </w:pPr>
      <w:r>
        <w:rPr>
          <w:rFonts w:ascii="Arial" w:cs="Arial" w:eastAsia="Arial" w:hAnsi="Arial"/>
          <w:sz w:val="36"/>
          <w:szCs w:val="36"/>
          <w:color w:val="auto"/>
        </w:rPr>
        <w:t>MANAGEMENT’S DISCUSSION AND ANALYSIS OF FINANCIAL CONDITION AND RESULTS OF OPERATIONS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The following discussion and analysis is intended to highlight and supplement data and information presented elsewhere in this prospectus, and should be read in conjunction with the sections “Prospectus Summary—Summary Historical Consolidated Financial and Other Data” and our consolidated financial statements and notes thereto appearing at the end of this prospectus.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“Special Note Regarding Forward-Looking Statements” and “Risk Factors.”</w:t>
      </w:r>
    </w:p>
    <w:p>
      <w:pPr>
        <w:spacing w:after="0" w:line="17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Data as of and for the years ended December 31, 2019 and 2020 has been derived from our audited consolidated financial statements appearing at the end of this prospectus. Data as of and for the three months ended March 31, 2020 and 2021 has been derived from our unaudited condensed consolidated financial statements appearing at the end of this prospectus. Results for any interim period should not be construed as an inference of what our results would be for any full fiscal year or future period.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 with our users, our users do not meet the definition of “customer” for purposes of the accounting rules. See “—Revenue Recognition” in Note 1 to our audited consolidated financial statements appearing at the end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build relationships with our customers by introducing new products with compelling value propositions that further expand access to the financial system. As we have expanded our platform, we have experienced significant growth 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3008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to democratize finance for all drives our revenue model. We pioneered commission-free trading with no account minimums, giving smaller investors access to the financial markets. Many of our customers are getting started with less, which often means they’re trading a smaller number of shares. Rather than earning revenue from fixed trading commissions which, before Robinhood introduced commission free trading, had often ranged from $8 to $10 per trade, the majority of our revenue is earned through payment for order flow.</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earn net interest revenues, primarily from our securities lending program and interest earned on margin lending and cash deposits, net of borrowing costs related to our revolving lines of credit. We also earn subscription revenue from our Robinhood Gold product.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certain of our financial and operating results as of or for the years ended December 31, 2020 and 2019:</w:t>
      </w:r>
    </w:p>
    <w:p>
      <w:pPr>
        <w:spacing w:after="0" w:line="18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generated total revenues of $959 million and $278 million, for year-over-year growth of 245%;</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had Net Cumulative Funded Accounts of 12.5 million and 5.1 million, for year-over-year growth of 143%;</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had Monthly Active Users of 11.7 million and 4.3 million in December of the relevant year, for period-over-period growth of 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generated net income of $7 million and incurred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Adjusted EBITDA was $155 million and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as of or for the three months ended March 31, 2021 and 2020:</w:t>
      </w:r>
    </w:p>
    <w:p>
      <w:pPr>
        <w:spacing w:after="0" w:line="18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generated total revenues of $522 million and $128 million, for a year-over-year growth of 309%;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had Net Cumulative Funded Accounts of 18.0 million and 7.2 million, for year-over-year growth of 151%;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had Monthly Active Users of 17.7 million and 8.6 million in March of the relevant quarters, for year-over-year growth of 107%;</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incurred a net loss of $1.4 billion, which included a $1.5 billion fair value adjustment to our convertible notes and warrant liability, and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Adjusted EBITDA was $115 million and negative $47 million.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definitions of “Net Cumulative Funded Accounts” and “Monthly Active Users,”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grown rapidly and achieved significant scale in recent periods. The charts below further illustrate our financial and operating results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109220</wp:posOffset>
            </wp:positionV>
            <wp:extent cx="5349240" cy="3008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Reflects MAUs for December of each year presented. See “—Key Performance Metrics” below for a definition of “Monthly Active Users” or “MAU.”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6" w:lineRule="exact"/>
        <w:rPr>
          <w:sz w:val="20"/>
          <w:szCs w:val="20"/>
          <w:color w:val="auto"/>
        </w:rPr>
      </w:pPr>
    </w:p>
    <w:p>
      <w:pPr>
        <w:ind w:left="340" w:right="20" w:hanging="332"/>
        <w:spacing w:after="0" w:line="258"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Adjusted EBITDA is a non-GAAP measure. See “—Non-GAAP Financial Measures” below for more information about Adjusted EBITDA, including the definition and limitations of such measure, and a reconciliation of net income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102870</wp:posOffset>
            </wp:positionV>
            <wp:extent cx="5349240" cy="3008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MAU for each month in the periods presented. See “—Key Performance Metrics” below for a definition of “Monthly Active Users” or “MAU.”</w:t>
      </w:r>
    </w:p>
    <w:p>
      <w:pPr>
        <w:spacing w:after="0" w:line="1"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average DAU for each month in the periods presented. We define “Daily Active Users” or “DAU” as the number of Daily Active Users during a specified 24-hour period. A “Daily Active User” is a unique user who makes a debit card transaction, transitions between two different screens on a mobile device while logged into their account or who loads a page in a web browser, at any point during the relevant 24-hour period. A user need not satisfy these conditions on a recurring basis or have a Funded Account to be included in DAU.</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Our Business Model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model is characterized by efficient new customer growth and strong expansion within our customer base.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Customer Growth</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new customers join our platform organically or through the Robinhood Referral Program (as described below). A customer is considered to have joined organically if we cannot attribute that customer’s acquisition to a paid marketing channel, such as broad-scale advertising or clicking through an online advertisement, or to the Robinhood Referral Program. These channels were responsible for over 80% of the new Funded Accounts that joined our platform in 2020 and in the three months ended March 31, 2021 and generally have lower direct expense rates as compared to other marketing methods such as paid digital and broad-scale advertising, helping to maintain low average customer acquisition costs and rapid payback. Our ability to achieve high customer growth is supported by our platform’s high engagement, as potential customers see and hear those around them using our platform and services and then join Robinhood on their own or after being referred by their family, friends or colleagues. We also supplement these channels with paid digital and broad-scale advertising to widen the reach of our marketing efforts. While such paid marketing channels have historically driven a smaller portion of our new customer growth, in-market testing has helped us determine the most effective paid channels, and we believe paid digital marketing is, and will be in the future, a powerful complement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customer acquisition channels. See “—Key Performance Metrics” below for a definition of “Funded Accounts,” and “Business—What Sets Us Apart—Financial Services at Internet Scale” for a description of the various measures we utilize to evaluate our customers’ level of engagement with our platform.</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measure the efficiency of our new customer growth by evaluating our “revenue payback period.” For the monthly cohorts in the year ended December 31, 2019, our average revenue payback period was approximately 13 months, and for the monthly cohorts in the year ended December 31, 2020, our average revenue payback period improved to less than five months. This improvement was driven by efficiencies in our marketing spend, including awarding shares under the Robinhood Referral Program upon bank linking rather than account approval, as well as improvements in digital ad spending. Changing our program to award shares to new users after they initially link their bank accounts to their Robinhood accounts, instead of the prior practice of awarding shares upon completion of the account approval process, allowed us to award shares only to customers with higher intent to use the platform and lowered the cost to acquire a new Funded Account. Additionally, we improved the existing acquisition channel mix to be more heavily weighted towards channels that were showing greater efficiencies and we added new channels to replace our use of social channels that were less effective. As a result, our average cost to acquire a new Funded Account declined by more than 60% from $53 in fiscal 2019 to $20 in fiscal 2020. For the periods ending March 31, 2020 and 2021, the average cost to acquire a new Funded Account declined from $32 to $15. Lower costs to acquire a new Funded Account results in improved revenue payback periods since less revenue is needed to cover marketing expenses. We expect our customer acquisition costs for our current product offerings, on a per customer and total basis, to increase in future periods. See “—Key Performance Metrics” for definitions of “cohort” and “revenue payback period.”</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referral program (the “Robinhood Referral Program”), RHF credits referring and referred customers with a stock reward (of one share each per referral), with the potential value of each share ranging from $2.50 to $ 225. Each stock reward is selected randomly from RHF’s previously purchased inventory of settled shares held exclusively for this program. This inventory is comprised of shares of stock of issuers that are widely held among our customers’ accounts (i.e., held by at least 5,000 customers). Approximately 98% of customers receive a stock reward having a value ranging from $2.50 to $ 10. Referring customers can earn more than one reward through the Robinhood Referral Program by making multiple referrals, subject to a maximum of $500 in total rewards earned annually per customer. Stock rewards are also available to customers who sign up through paid marketing channels. In order for rewards to be earned by the referring and referred customer, the referred customer must fulfill certain conditions stated in their promotion, such as linking their bank account to our platform. After the referred Robinhood account is approved, each customer must claim his or her stock reward in the Robinhood app within 60 days of notification thereof, at which point the stock is deposited to such customer’s Robinhood account. Customers do not need to provide any cash consideration for the stock reward.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Relationship Expansion</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many of our customers are still in the early stages of building a relationship with a financial services provider. From January 1, 2015 to March 31, 2021, over half of the customers funding accounts on our platform told us that Robinhood was their first brokerage account. As we work to enable Robinhood customers to manage all aspects of their financial lives in one place, we have seen customers deepen their relationship with our platform. We monitor this expansion by tracking the Cumulative Net Deposits and total revenue earned through existing customers’ activity over time.</w:t>
      </w:r>
    </w:p>
    <w:p>
      <w:pPr>
        <w:spacing w:after="0" w:line="143" w:lineRule="exact"/>
        <w:rPr>
          <w:sz w:val="20"/>
          <w:szCs w:val="20"/>
          <w:color w:val="auto"/>
        </w:rPr>
      </w:pPr>
    </w:p>
    <w:p>
      <w:pPr>
        <w:jc w:val="both"/>
        <w:ind w:left="660" w:hanging="328"/>
        <w:spacing w:after="0" w:line="26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Cumulative Net Deposits. </w:t>
      </w:r>
      <w:r>
        <w:rPr>
          <w:rFonts w:ascii="Arial" w:cs="Arial" w:eastAsia="Arial" w:hAnsi="Arial"/>
          <w:sz w:val="18"/>
          <w:szCs w:val="18"/>
          <w:color w:val="auto"/>
        </w:rPr>
        <w:t>We track the average balance of Cumulative Net Deposits for existing customers in any given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over time. We believe Cumulative Net Deposits is an important indicator of our customers’ trust and relationship with our platform. From January 1, 2017 through December 31, 2020, average Cumulative Net Deposits across our monthly cohorts increased 3.3x after 12 months of initial deposit and 4.1x after 24 months of initial deposit. See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1"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Performance Metrics” below for definitions of “Cumulative Net Deposits” and “cohort.” The chart below shows the trajectory and growth of Cumulative Net Deposits by annual cohort.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Net Deposits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128905</wp:posOffset>
            </wp:positionV>
            <wp:extent cx="5349240" cy="3008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60" w:hanging="328"/>
        <w:spacing w:after="0" w:line="23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by cohort is an important indicator of customer usage of our platform. We categorize our customers on a cohort</w:t>
      </w:r>
      <w:r>
        <w:rPr>
          <w:rFonts w:ascii="Arial" w:cs="Arial" w:eastAsia="Arial" w:hAnsi="Arial"/>
          <w:sz w:val="18"/>
          <w:szCs w:val="18"/>
          <w:b w:val="1"/>
          <w:bCs w:val="1"/>
          <w:color w:val="auto"/>
        </w:rPr>
        <w:t xml:space="preserve"> </w:t>
      </w:r>
      <w:r>
        <w:rPr>
          <w:rFonts w:ascii="Arial" w:cs="Arial" w:eastAsia="Arial" w:hAnsi="Arial"/>
          <w:sz w:val="18"/>
          <w:szCs w:val="18"/>
          <w:color w:val="auto"/>
        </w:rPr>
        <w:t>basis based on the month, quarter or year they first funded their accounts. We track the annual revenue from those cohorts over subsequent one-year periods. On average, revenues per user increased nearly three-fold in the first 24 months for both our 2017 and 2018 annual cohorts. While not all forms of customer engagement with our platform directly contribute to revenues or otherwise impact our financial results, as more users join our platform (increasing our Net Cumulative Funded Accounts) and engage with new and existing products (contributing to our DAU and MAU), we expect to generate increased amounts of revenue over time. The chart below illustrates our revenue by annual cohort, reflecting our customers’ increasing activity on our platform. For information about other metrics we use to evaluate customer engagement, see “Business—What Sets Us Apart—Financial Services at Internet Scale.” For more information about “Net Cumulative Funded Accounts,” “DAU” and “MAU,” see “—Overview” above and “—Key Performance Metrics”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Revenue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3008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or Month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Three Months or Month Ended March 31,</w:t>
            </w:r>
          </w:p>
        </w:tc>
      </w:tr>
      <w:tr>
        <w:trPr>
          <w:trHeight w:val="18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68"/>
        </w:trPr>
        <w:tc>
          <w:tcPr>
            <w:tcW w:w="21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Cumulative Funded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Monthly Active Users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160" w:type="dxa"/>
            <w:vAlign w:val="bottom"/>
          </w:tcPr>
          <w:p>
            <w:pPr>
              <w:ind w:left="20"/>
              <w:spacing w:after="0" w:line="216" w:lineRule="exact"/>
              <w:rPr>
                <w:sz w:val="20"/>
                <w:szCs w:val="20"/>
                <w:color w:val="auto"/>
              </w:rPr>
            </w:pPr>
            <w:r>
              <w:rPr>
                <w:rFonts w:ascii="Arial" w:cs="Arial" w:eastAsia="Arial" w:hAnsi="Arial"/>
                <w:sz w:val="18"/>
                <w:szCs w:val="18"/>
                <w:color w:val="auto"/>
              </w:rPr>
              <w:t>(MAU)</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188"/>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Assets Under Custody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Average Revenues Per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2160" w:type="dxa"/>
            <w:vAlign w:val="bottom"/>
          </w:tcPr>
          <w:p>
            <w:pPr>
              <w:ind w:left="20"/>
              <w:spacing w:after="0" w:line="222" w:lineRule="exact"/>
              <w:rPr>
                <w:sz w:val="20"/>
                <w:szCs w:val="20"/>
                <w:color w:val="auto"/>
              </w:rPr>
            </w:pPr>
            <w:r>
              <w:rPr>
                <w:rFonts w:ascii="Arial" w:cs="Arial" w:eastAsia="Arial" w:hAnsi="Arial"/>
                <w:sz w:val="18"/>
                <w:szCs w:val="18"/>
                <w:color w:val="auto"/>
              </w:rPr>
              <w:t>User (ARPU)</w:t>
            </w:r>
            <w:r>
              <w:rPr>
                <w:rFonts w:ascii="Arial" w:cs="Arial" w:eastAsia="Arial" w:hAnsi="Arial"/>
                <w:sz w:val="23"/>
                <w:szCs w:val="23"/>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r>
    </w:tbl>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32"/>
        <w:spacing w:after="0" w:line="243"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“—Key Components of our Results of Operations—Operating Expenses—Operations”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6" w:lineRule="exact"/>
        <w:rPr>
          <w:sz w:val="20"/>
          <w:szCs w:val="20"/>
          <w:color w:val="auto"/>
        </w:rPr>
      </w:pPr>
    </w:p>
    <w:p>
      <w:pPr>
        <w:jc w:val="both"/>
        <w:ind w:left="340" w:hanging="332"/>
        <w:spacing w:after="0" w:line="241"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or Month Ended March</w:t>
            </w:r>
          </w:p>
        </w:tc>
      </w:tr>
      <w:tr>
        <w:trPr>
          <w:trHeight w:val="196"/>
        </w:trPr>
        <w:tc>
          <w:tcPr>
            <w:tcW w:w="5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2"/>
              </w:rPr>
              <w:t>31,</w:t>
            </w:r>
          </w:p>
        </w:tc>
        <w:tc>
          <w:tcPr>
            <w:tcW w:w="1000" w:type="dxa"/>
            <w:vAlign w:val="bottom"/>
            <w:tcBorders>
              <w:bottom w:val="single" w:sz="8" w:color="auto"/>
            </w:tcBorders>
          </w:tcPr>
          <w:p>
            <w:pPr>
              <w:spacing w:after="0"/>
              <w:rPr>
                <w:sz w:val="17"/>
                <w:szCs w:val="17"/>
                <w:color w:val="auto"/>
              </w:rPr>
            </w:pPr>
          </w:p>
        </w:tc>
      </w:tr>
      <w:tr>
        <w:trPr>
          <w:trHeight w:val="209"/>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21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65,076.7</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2,041.4</w:t>
            </w:r>
          </w:p>
        </w:tc>
      </w:tr>
      <w:tr>
        <w:trPr>
          <w:trHeight w:val="22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Cryptocurrencies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11,597.4</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Cash held by users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7,947.3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7,646.3</w:t>
            </w: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customer margin balances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Assets Under Custody (AUC)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14,135.6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62,978.5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19,220.1</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80,932.4</w:t>
            </w:r>
          </w:p>
        </w:tc>
      </w:tr>
      <w:tr>
        <w:trPr>
          <w:trHeight w:val="21"/>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340" w:hanging="332"/>
        <w:spacing w:after="0" w:line="247"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37" w:lineRule="exact"/>
        <w:rPr>
          <w:rFonts w:ascii="Arial" w:cs="Arial" w:eastAsia="Arial" w:hAnsi="Arial"/>
          <w:sz w:val="14"/>
          <w:szCs w:val="14"/>
          <w:color w:val="auto"/>
        </w:rPr>
      </w:pPr>
    </w:p>
    <w:p>
      <w:pPr>
        <w:jc w:val="both"/>
        <w:ind w:left="660" w:hanging="328"/>
        <w:spacing w:after="0" w:line="266" w:lineRule="auto"/>
        <w:tabs>
          <w:tab w:leader="none" w:pos="655"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Cohort: </w:t>
      </w:r>
      <w:r>
        <w:rPr>
          <w:rFonts w:ascii="Arial" w:cs="Arial" w:eastAsia="Arial" w:hAnsi="Arial"/>
          <w:sz w:val="18"/>
          <w:szCs w:val="18"/>
          <w:color w:val="auto"/>
        </w:rPr>
        <w:t>We define “cohort” as a group of customers who funded their accounts for the first time on our platform during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 quarter or year. Cohort metrics vary depending on activity on our platform and may fluctuate periodically based on levels of customer usage.</w:t>
      </w:r>
    </w:p>
    <w:p>
      <w:pPr>
        <w:spacing w:after="0" w:line="1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Cumulative Net Deposits: </w:t>
      </w:r>
      <w:r>
        <w:rPr>
          <w:rFonts w:ascii="Arial" w:cs="Arial" w:eastAsia="Arial" w:hAnsi="Arial"/>
          <w:sz w:val="18"/>
          <w:szCs w:val="18"/>
          <w:color w:val="auto"/>
        </w:rPr>
        <w:t>We define “Cumulative Net Deposits” as the total of Net Deposits from inception to a stated date or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 We define “Net Deposits” as all cash deposits received from customers net of reversals, customer cash withdrawals and other equity and cash amounts transferred out of our platform (including in connection with debit card transactions and account transfers out of our platform through the Automated Customer Account Transfer Service (“ACATS”)) for a stated period. Cumulative Net Deposits includes, for periods prior to the adoption of our self-clearing platform in November 2018, account transfers into our platform made through ACATS.</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Revenue Payback Period</w:t>
      </w:r>
      <w:r>
        <w:rPr>
          <w:rFonts w:ascii="Arial" w:cs="Arial" w:eastAsia="Arial" w:hAnsi="Arial"/>
          <w:sz w:val="18"/>
          <w:szCs w:val="18"/>
          <w:color w:val="auto"/>
        </w:rPr>
        <w:t>: With respect to a given monthly cohort, we define “revenue payback period” as the number of months it</w:t>
      </w:r>
      <w:r>
        <w:rPr>
          <w:rFonts w:ascii="Arial" w:cs="Arial" w:eastAsia="Arial" w:hAnsi="Arial"/>
          <w:sz w:val="18"/>
          <w:szCs w:val="18"/>
          <w:i w:val="1"/>
          <w:iCs w:val="1"/>
          <w:color w:val="auto"/>
        </w:rPr>
        <w:t xml:space="preserve"> </w:t>
      </w:r>
      <w:r>
        <w:rPr>
          <w:rFonts w:ascii="Arial" w:cs="Arial" w:eastAsia="Arial" w:hAnsi="Arial"/>
          <w:sz w:val="18"/>
          <w:szCs w:val="18"/>
          <w:color w:val="auto"/>
        </w:rPr>
        <w:t>takes for total revenues generated by that monthly cohort to equal or exceed the marketing expense incurred in the month the cohort was formed. For purposes of this calculation, marketing expense excludes indirect customer acquisition costs, as they are not directly related to efforts to acquire new customers. Indirect customer acquisition costs consists of expenses directly attributable to customer goodwill, gain/loss on stock referral inventory and compensation and benefits, including stock-based compensation for employees on our marketing team as well as allocated overhead attributed to the marketing team. In this prospectus, we also present “average revenue payback period” for a stated period, which represents the average of the revenue payback periods for all monthly cohorts within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expenses, (v) change in fair value of convertible notes and warrant liability and (vi) certain legal and tax settlements, reserves and expenses.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 related to credit facilities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11,779</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(1,426,404)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48"/>
        </w:trPr>
        <w:tc>
          <w:tcPr>
            <w:tcW w:w="386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convertible notes and warrant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1,492,269</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line="176" w:lineRule="exact"/>
              <w:rPr>
                <w:sz w:val="20"/>
                <w:szCs w:val="20"/>
                <w:color w:val="auto"/>
              </w:rPr>
            </w:pPr>
            <w:r>
              <w:rPr>
                <w:rFonts w:ascii="Arial" w:cs="Arial" w:eastAsia="Arial" w:hAnsi="Arial"/>
                <w:sz w:val="14"/>
                <w:szCs w:val="14"/>
                <w:color w:val="auto"/>
              </w:rPr>
              <w:t>liability</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Certain legal and tax settlements, reserves and expenses</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(74,485)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154,580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(46,944)</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114,771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7"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2021—Change in Fair Value of Convertible Notes and Warrant Liability” for more information.</w:t>
      </w:r>
    </w:p>
    <w:p>
      <w:pPr>
        <w:spacing w:after="0" w:line="39"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the FINRA Matters and (iii) the charge of $10 million for potential resolution of the NYDFS Matter.</w:t>
      </w:r>
    </w:p>
    <w:p>
      <w:pPr>
        <w:spacing w:after="0" w:line="39" w:lineRule="exact"/>
        <w:rPr>
          <w:rFonts w:ascii="Arial" w:cs="Arial" w:eastAsia="Arial" w:hAnsi="Arial"/>
          <w:sz w:val="14"/>
          <w:szCs w:val="14"/>
          <w:color w:val="auto"/>
        </w:rPr>
      </w:pPr>
    </w:p>
    <w:p>
      <w:pPr>
        <w:jc w:val="both"/>
        <w:ind w:left="340"/>
        <w:spacing w:after="0" w:line="247" w:lineRule="auto"/>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6" w:lineRule="exact"/>
        <w:rPr>
          <w:sz w:val="20"/>
          <w:szCs w:val="20"/>
          <w:color w:val="auto"/>
        </w:rPr>
      </w:pPr>
    </w:p>
    <w:p>
      <w:pPr>
        <w:ind w:left="340"/>
        <w:spacing w:after="0" w:line="258" w:lineRule="auto"/>
        <w:rPr>
          <w:sz w:val="20"/>
          <w:szCs w:val="20"/>
          <w:color w:val="auto"/>
        </w:rPr>
      </w:pPr>
      <w:r>
        <w:rPr>
          <w:rFonts w:ascii="Arial" w:cs="Arial" w:eastAsia="Arial" w:hAnsi="Arial"/>
          <w:sz w:val="14"/>
          <w:szCs w:val="14"/>
          <w:color w:val="auto"/>
        </w:rPr>
        <w:t>reached a settlement in principle, subject to final documentation, in connection with which, among other things, RHC will pay a monetary penalty and engage a monitor. For more information about these matters, see “Business—Legal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auto"/>
        </w:rPr>
        <w:t>Key Factors Driving Our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our Customer Base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Sustaining our growth requires continued adoption of our platform by new customers. We have grown rapidly over the last few years. In particular, for the years ended 2019 and 2020, Net Cumulative Funded Accounts were 5.1 million and 12.5 million, respectively, representing a 143% growth rate. In addition, for the three months ended March 31, 2021, during which we experienced high trading volume and account sign-ups, as well as high market volatility, particularly in certain market sectors, we had Net Cumulative Funded Accounts of 18.0 million, as compared to 7.2 million as of March 31, 2020, representing a 151% growth rate. We will continue to introduce products and features to attract new customers and we will seek to increase brand awareness and customer adoption of our platform through the Robinhood Referral Program and digital and broad-scale advertising. However, the circumstances that have accelerated the growth of our customer base in recent periods may not continue in the future, and we do not expect the growth rates in our Net Cumulative Funded Accounts to be sustainable in future periods as we achieve higher market adoption rates. See “—Our Business Model—New Customer Growth” above for more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Cumulative Funded Accounts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3040" w:type="dxa"/>
            <w:vAlign w:val="bottom"/>
            <w:gridSpan w:val="4"/>
            <w:vMerge w:val="continue"/>
          </w:tcPr>
          <w:p>
            <w:pPr>
              <w:spacing w:after="0"/>
              <w:rPr>
                <w:sz w:val="15"/>
                <w:szCs w:val="15"/>
                <w:color w:val="auto"/>
              </w:rPr>
            </w:pPr>
          </w:p>
        </w:tc>
        <w:tc>
          <w:tcPr>
            <w:tcW w:w="1960" w:type="dxa"/>
            <w:vAlign w:val="bottom"/>
            <w:gridSpan w:val="3"/>
          </w:tcPr>
          <w:p>
            <w:pPr>
              <w:ind w:left="116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New funded accounts</w:t>
            </w:r>
          </w:p>
        </w:tc>
        <w:tc>
          <w:tcPr>
            <w:tcW w:w="1420" w:type="dxa"/>
            <w:vAlign w:val="bottom"/>
          </w:tcPr>
          <w:p>
            <w:pPr>
              <w:jc w:val="center"/>
              <w:ind w:left="95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40" w:type="dxa"/>
            <w:vAlign w:val="bottom"/>
          </w:tcPr>
          <w:p>
            <w:pPr>
              <w:jc w:val="center"/>
              <w:ind w:left="933"/>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440" w:type="dxa"/>
            <w:vAlign w:val="bottom"/>
          </w:tcPr>
          <w:p>
            <w:pPr>
              <w:jc w:val="center"/>
              <w:ind w:left="957"/>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Resurrected accounts</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churned accounts</w:t>
            </w:r>
          </w:p>
        </w:tc>
        <w:tc>
          <w:tcPr>
            <w:tcW w:w="1420" w:type="dxa"/>
            <w:vAlign w:val="bottom"/>
            <w:tcBorders>
              <w:bottom w:val="single" w:sz="8" w:color="auto"/>
            </w:tcBorders>
          </w:tcPr>
          <w:p>
            <w:pPr>
              <w:jc w:val="center"/>
              <w:ind w:left="935"/>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97"/>
              </w:rPr>
              <w:t>(0.9)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Our Relationship with Existing Customers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 has continued to grow as we have introduced new products and features to our customers and as our customers have increased their usage of our platform. As discussed in “—Overview” and “—Key Performance Metrics” above, we have experienced significant increases in revenue, DAU, MAU, AUC and Net Cumulative Funded Accounts over the past year. However, the circumstances that have accelerated the growth of our business may not continue in the future. We aim to grow with our customers over time and to grow our relationship with our customers as they build and manage their wealth. Our ability to expand our relationship with our customers will be an important contributor to our long-term growth. See “—Our Business Model—Customer Relationship Expansion” above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Platform</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continue to invest in our platform capabilities and regulatory and compliance functions to support new and existing customers and products that we believe will drive our growth. As our customer base and platform functionalities expand, areas of investment priority include product innovation, educational content, technology and infrastructure improvements and customer support. We believe these investments will contribute to our long-term growth.</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we strive to strengthen our relationships with our customers by responding to customer feedback not only through the introduction of new products, but also through improvements to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products and services. For example, in response to customer feedback and concerns about longer wait times for customer support, in 2020 we more than tripled the number of our dedicated customer service professionals and began a roll-out of our live, phone-based voice support option to serve customers with respect to certain time-sensitive options trading issues, and have continued, and expect to continue, to expand phone-based support to more use cases. See “Business—Harnessing Our Platform—Customer Support.” Additionally, in response to the March 2020 outages, we upgraded our platform infrastructure to improve our overall stability and made investments to scale our system load capacity so that we can handle multiples of peak historical trading and usage volumes going forward.</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to increase the headcount number of our engineering and customer service by more than double and our regulatory and compliance professionals by more than triple by end of fiscal year 2021, compared to fiscal year 2020. These additional employees will be staffed on projects to enhance platform capabilities, drive product innovation and improve customer support, as well as to undertake regulatory and compliance functions. As of March 31, 2021, we had added approximately 20% of the expected additional headcount of our engineering and customer service and almost 30% of the expected additional headcount of our regulatory and compliance professionals.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Interest in Investing and Saving</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results of operations are impacted by the overall health of the economy and retail investing and saving behaviors, which include the following key drivers:</w:t>
      </w:r>
    </w:p>
    <w:p>
      <w:pPr>
        <w:spacing w:after="0" w:line="153" w:lineRule="exact"/>
        <w:rPr>
          <w:sz w:val="20"/>
          <w:szCs w:val="20"/>
          <w:color w:val="auto"/>
        </w:rPr>
      </w:pPr>
    </w:p>
    <w:p>
      <w:pPr>
        <w:ind w:left="660" w:hanging="328"/>
        <w:spacing w:after="0" w:line="28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Seasonality</w:t>
      </w:r>
      <w:r>
        <w:rPr>
          <w:rFonts w:ascii="Arial" w:cs="Arial" w:eastAsia="Arial" w:hAnsi="Arial"/>
          <w:sz w:val="18"/>
          <w:szCs w:val="18"/>
          <w:color w:val="auto"/>
        </w:rPr>
        <w:t>. We believe investment activity will vary throughout a calendar year. Given traditional consumer behavior,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more new customers in the first calendar quarter.</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Consumer Behavior</w:t>
      </w:r>
      <w:r>
        <w:rPr>
          <w:rFonts w:ascii="Arial" w:cs="Arial" w:eastAsia="Arial" w:hAnsi="Arial"/>
          <w:sz w:val="18"/>
          <w:szCs w:val="18"/>
          <w:color w:val="auto"/>
        </w:rPr>
        <w:t>. Consumer behavior varies over time and is affected by numerous conditions. For example, behavior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social or economic factors such as changes in disposable income levels, general interest in investing and stock market volatility. There may also be high profile initial public offerings, or idiosyncratic events impacting single companies, that impact consumer behavior. These shifts in consumer behavior may influence interest in our products over time.</w:t>
      </w:r>
    </w:p>
    <w:p>
      <w:pPr>
        <w:spacing w:after="0" w:line="1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Market Trends</w:t>
      </w:r>
      <w:r>
        <w:rPr>
          <w:rFonts w:ascii="Arial" w:cs="Arial" w:eastAsia="Arial" w:hAnsi="Arial"/>
          <w:sz w:val="18"/>
          <w:szCs w:val="18"/>
          <w:color w:val="auto"/>
        </w:rPr>
        <w:t>. As financial markets grow and contract, our customers’ investing, saving, and spending behaviors are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our operating history has coincided with a period of general macroeconomic growth in the United States, particularly in the U.S. equity markets, stimulating growth in overall investment activity on our platform, we may be impacted by any slowdowns in growth or downturns in the U.S. equity markets. For example, we saw trading activity slow in the month ending October 31, 2020, coinciding with a downturn in the broader U.S. equity market, and as a result transaction-based revenue decreased 9% from the month prior.</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Macroeconomic Events</w:t>
      </w:r>
      <w:r>
        <w:rPr>
          <w:rFonts w:ascii="Arial" w:cs="Arial" w:eastAsia="Arial" w:hAnsi="Arial"/>
          <w:sz w:val="18"/>
          <w:szCs w:val="18"/>
          <w:color w:val="auto"/>
        </w:rPr>
        <w:t>. Customer behavior is impacted by the overall macroeconomic environment, which is influenced by events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the ongoing COVID-19 pandemic (including COVID-19 vaccine development and responsive measures taken by the U.S. government) as well as its effects on both global business and individuals’ behavior. Since the onset of the COVID-19 pandemic in March 2020, we have seen substantial growth in our customer base, retention, engagement and trading activity metrics. It is uncertain whether these trends and behavioral shifts will continue as reopening measures continue, and we may not be able to maintain the customer base we gained, or the rate of growth in our customer base that we experienced, throughout the COVID-19 pandemic. Other macroeconomic conditions that could impact customer behavior include employment rates, natural disasters and other political or economic events.</w:t>
      </w:r>
    </w:p>
    <w:p>
      <w:pPr>
        <w:spacing w:after="0" w:line="16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more information about how market trends and macroeconomic events can adversely impact our results of operations,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Transaction-based revenues consist of amount earned from routing customer orders for options, equities and cryptocurrencies to market makers. When customers place orders for equities, options or cryptocurrencies on our platform, we route these orders to market makers and we receive consideration from those brokers.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interest revenues and incur interest expenses on securities lending transactions. We also earn interest revenues on margin loans to users, as well as on our segregated cash, cash and cash equivalents, and deposits with clearing organizations. We also incur interest expenses in connection with our revolving credit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primarily consist of Robinhood Gold, a monthly paid subscription service that provides users with premium features such as enhanced instant deposits, professional research, Nasdaq Level II market data and, upon approval, access to margin investing. Other revenues also include proxy rebate revenues and miscellaneous fees charged to users.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regulatory fees, market data expenses, compensation and benefits, including share-based compensation, for employees engaged in clearing and brokerage functions and allocated overhead. A large portion of our brokerage and transaction costs are variable and tied to trading and transaction volumes on our platform.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and develop new products, costs associated with computer hardware and software, including amortization of internally developed software, and allocated overhead. We intend to continue to invest in technology and development for the foreseeable future as we focus on developing new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enhancements on our platform, while also developing new products to serve the needs of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vendors, customer onboarding and account verification as well as allocated overhead. We plan to continue to invest in customer service-related expenses, including the costs associated with expanding our customer support functions, such as phone-based voice support, to adequately support the significant growth in our user base.</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Operations costs also include our provision for credit losses in connection with unrecoverable receivables due to Fraudulent Deposit Transactions. “Fraudulent Deposit Transactions” occur when users initiate deposits into their accounts, make unsuccessful trades on our platform using a short-term extension of credit from us, and then repatriate or reverse the deposits, resulting in a loss to us of the credited amount. The provision for credit loss is equal to the unsecured receivable balance owed by users, i.e., the difference between the amount due from users and the fair value of the assets in the users account, and we write-off the receivable balance when it has become outstanding for over 180 days. We seek to reduce Fraudulent Deposit Transactions by deploying and iterating on machine learning models that identify high-risk users and transactions on our platform. In addition, upon identifying high risk users and transactions, we seek to prevent further losses by introducing friction into the user experience (for example, by not offering the identified customer access to instant funds) or implementing restrictions to mitigate the risk of these transactions (such as temporarily restricting withdrawals). While the total number of Fraudulent Deposit Transactions and the average dollar amount of each Fraudulent Deposit Transaction has increased over the periods presented, the percentage of total Net Funded Accounts that have made Fraudulent Deposit Transactions has decreased due to the efforts described above. Due to the fraudulent nature of these transactions, recourse and collection of the funds is limited. The provision for credit losses also includes an immaterial amount of losses related to our margin lending and proxy rebate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the Robinhood Referral Program, production and placement of advertisements in various media outlets, including online and on television, and customer goodwill, which primarily relates to costs to remediate losses experienced by our customers due to service interruptions on our platform and reimbursement of direct losses that happen due to unauthorized activity that is not the fault of our customer. Marketing costs also include compensation and benefits, including share-based compensation, for employees engaged in the marketing function and allocated overhead. We plan to continue to invest in marketing efforts through the Robinhood Referral Program and other media outlets to support growing our user base. See “—Our Business Model— New Customer Growth” above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 and administrative costs primarily consist of compensation and benefits, including share-based compensation, for certain executives as well as employees engaged in legal, finance, human resources, risk, and compliance. General and administrative costs also include legal settlements and professional fees, such as, but not limited to, legal, audit and accounting fees, as well as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vMerge w:val="restart"/>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Transaction-based revenues</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170,831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720,133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95,631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420,439</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70,639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177,437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36,063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61,263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7,903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39,238</w:t>
            </w: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277,533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958,833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522,174</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45,459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111,083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41,004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94,932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215,630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33,205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116,858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33,869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137,905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66,564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124,699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185,741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69,922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85,504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294,694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34,651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384,463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945,053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179,995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463,788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657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w w:val="98"/>
              </w:rPr>
              <w:t>(50)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(107,587)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(1,433,024)</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(1,018)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6,381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3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(106,569)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6"/>
            <w:vMerge w:val="restart"/>
          </w:tcPr>
          <w:p>
            <w:pPr>
              <w:jc w:val="right"/>
              <w:ind w:right="463"/>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7"/>
          </w:tcPr>
          <w:p>
            <w:pPr>
              <w:jc w:val="center"/>
              <w:ind w:right="880"/>
              <w:spacing w:after="0" w:line="134" w:lineRule="exact"/>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3"/>
                <w:szCs w:val="13"/>
                <w:b w:val="1"/>
                <w:bCs w:val="1"/>
                <w:color w:val="auto"/>
                <w:w w:val="96"/>
              </w:rPr>
              <w:t>March 31,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Brokerage and transaction</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Technology and development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1,308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Marketing</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37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100" w:type="dxa"/>
            <w:vAlign w:val="bottom"/>
          </w:tcPr>
          <w:p>
            <w:pPr>
              <w:ind w:left="340"/>
              <w:spacing w:after="0"/>
              <w:rPr>
                <w:sz w:val="20"/>
                <w:szCs w:val="20"/>
                <w:color w:val="auto"/>
              </w:rPr>
            </w:pPr>
            <w:r>
              <w:rPr>
                <w:rFonts w:ascii="Arial" w:cs="Arial" w:eastAsia="Arial" w:hAnsi="Arial"/>
                <w:sz w:val="14"/>
                <w:szCs w:val="14"/>
                <w:color w:val="auto"/>
              </w:rPr>
              <w:t>Total share-based compensation expense</w:t>
            </w:r>
          </w:p>
        </w:tc>
        <w:tc>
          <w:tcPr>
            <w:tcW w:w="20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26,667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24,330</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2,412</w:t>
            </w:r>
          </w:p>
        </w:tc>
        <w:tc>
          <w:tcPr>
            <w:tcW w:w="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8,996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Months Ended March 31, 2020 and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5"/>
        </w:trPr>
        <w:tc>
          <w:tcPr>
            <w:tcW w:w="6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59,760</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197,860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231 %</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31,589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133,301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4,238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87,587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1,967 %</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3,743 %</w:t>
            </w: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95,631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420,439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340 %</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Transaction-based revenues as a % of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increased by $324.8 million, or 340%, for the three months ended March 31, 2021, compared to the year prior. The increase was driven by a 151% increase in Net Cumulative Funded Accounts, which resulted in higher daily average revenue trades in options, equities and cryptocurrencies. Our daily average revenue trades for the quarter for options, equities and cryptocurrencies increased from 0.4 million to 1.1 million, an increase of 188%, 1.3 million to 5.1 million, an increase of 291%, and 0.1 million to 1.4 million, an increase of 1,375%. Increased interest in personal finance and investing, and several high-profile securities and cryptocurrencies, encouraged an unprecedented number of first-time retail investors to become our users and begin trading on our platform. We have seen substantial growth in our user base, engagement and trading activity metrics. We define “daily average revenue trades” as the total number of revenue generating trades executed during a given period divided by the number of trading days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6,505</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35,626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27,731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9,196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(1,504)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24,016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62,497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$38.5 million, or 160%, for the three months ended March 31, 2021,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$ 29.1 million as we grew our securities lending program, which benefited from higher returns on hard-to-borrow securities. Securities loaned increased 236% to $2.0 billion, while securities borrowed remained relatively flat. Interest revenue earned on margin borrowings increased by $19.9 million due to an increase in both the number of margin borrowers and average per-user margin balance. Margin receivables outstanding, net of allowance for credit losses, increased from $661.3 million due from 0.1 million users to $5.4 billion due from 0.5 million users. The first $1,000 in margin borrowed by each user is not charged interest while margin over $1,000 borrowed was charged at 5% annual percentage rate until December 2020 when we lowered this rate to 2.5%. Interest revenue earned on segregated cash and securities balances decreased $8.1 million due to the decrease in the Federal Reserve's benchmark target rate to near zero.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Pr>
          <w:p>
            <w:pPr>
              <w:spacing w:after="0"/>
              <w:rPr>
                <w:sz w:val="14"/>
                <w:szCs w:val="14"/>
                <w:color w:val="auto"/>
              </w:rPr>
            </w:pPr>
          </w:p>
        </w:tc>
      </w:tr>
      <w:tr>
        <w:trPr>
          <w:trHeight w:val="175"/>
        </w:trPr>
        <w:tc>
          <w:tcPr>
            <w:tcW w:w="6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7,903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increased by $31.3 million, or 396%, for the three months ended March 31, 2021, compared to the year prior. The increase was due to an increase in subscription revenue of $13.8 million driven by an increase in paid subscribers to Robinhood Gold from 0.3 million to 1.4 million, and an increase of $12.6 million primarily relating to ACATS fees charged to users for facilitating the transfer of their account to another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6"/>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41,004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116,858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66,564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102,248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137,114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179,995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463,788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6"/>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fees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5,096</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Clearing fees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 transactions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Bank charges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Regulatory fees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20,404</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41,004</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Brokerage and transaction costs increased by $20.6 million, or 101%, for the three months ended March 31, 2021, compared to the year prior. The increase was primarily due to an increase of $5.7 million in losses attributable to the market price fluctuations that impacted fractional share transactions, an increase of $4.9 million in market data fees, an increase of $4.2 million in bank fees and an increase of $1.1 million in clearing fees. These increases were in line with the growth in our user base and higher trading volumes on a per user basis. See “Business—Regulation—Brokerage Regulation and Regulatory Capital and Deposit Requirements” for more information. Additionally, employee compensation and benefits, including share-based compensation, and allocated overhead increased $1.5 million as we continued to grow our brokerage teams to support the growth of our user base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11,832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48,152</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60" w:type="dxa"/>
            <w:vAlign w:val="bottom"/>
          </w:tcPr>
          <w:p>
            <w:pPr>
              <w:spacing w:after="0"/>
              <w:rPr>
                <w:sz w:val="19"/>
                <w:szCs w:val="19"/>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19,731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52,888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33,157</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1,642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2,344</w:t>
            </w: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33,205</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116,858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83,653</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and development costs increased by $83.7 million, or 252%, for the three months ended March 31, 2021, compared to the year prior. The increase was primarily due to an increase of $48.2 million in costs for cloud infrastructure due to increased capacity requirements for our platform and other software services utilized in delivering our products. Additionally, we experienced an increase of $33.2 million in employee compensation and benefits, including share-based compensation, net of capitalized costs for internally developed software, and allocated overhead as we continued to grow our engineering, data science, and design teams to support the growth of our user base and develop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6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5,770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16,607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9,948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6,455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12,175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2,730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6,784</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21,813</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66,564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44,751</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$44.8 million, or 205%, for the three months ended March 31, 2021, compared to the year prior. The increase was due to an increase of $16.6 million in compensation and benefits expense, including share-based compensation, and allocated overhead for customer support and other operations employees as we increased the related personnel headcount by 286% from the same period in the year prior. Costs related to third-party customer support vendors and customer onboarding increased $12.2 million and $2.7 million as we continued to make investments to support our growing user base. Additionally, our provision for credit losses increased $6.5 million, from $9.9 million to $16.4 million, mainly driven by Fraudulent Deposit Transactions as the number of accounts making Fraudulent Deposit Transactions stayed relatively consistent period over period while loss incurred per account increased.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25,994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31,911</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6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38,796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(5,868)</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5,772</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4,334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511</w:t>
            </w:r>
          </w:p>
        </w:tc>
      </w:tr>
      <w:tr>
        <w:trPr>
          <w:trHeight w:val="22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69,922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by $32.3 million, or 46%, for the three months ended March 31, 2021, compared to the year prior. The increase was primarily due to an increase of $ 31.9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695</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61,535</w:t>
            </w:r>
          </w:p>
        </w:tc>
      </w:tr>
      <w:tr>
        <w:trPr>
          <w:trHeight w:val="256"/>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(2,034)</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(1,597)</w:t>
            </w:r>
          </w:p>
        </w:tc>
      </w:tr>
      <w:tr>
        <w:trPr>
          <w:trHeight w:val="257"/>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(25,652)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(53,930)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4,669</w:t>
            </w:r>
          </w:p>
        </w:tc>
      </w:tr>
    </w:tbl>
    <w:p>
      <w:pPr>
        <w:spacing w:after="0" w:line="17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jc w:val="both"/>
        <w:ind w:firstLine="324"/>
        <w:spacing w:after="0" w:line="256" w:lineRule="auto"/>
        <w:rPr>
          <w:sz w:val="20"/>
          <w:szCs w:val="20"/>
          <w:color w:val="auto"/>
        </w:rPr>
      </w:pPr>
      <w:r>
        <w:rPr>
          <w:rFonts w:ascii="Arial" w:cs="Arial" w:eastAsia="Arial" w:hAnsi="Arial"/>
          <w:sz w:val="18"/>
          <w:szCs w:val="18"/>
          <w:color w:val="auto"/>
        </w:rPr>
        <w:t>Additionally, there was an increase of $5.8 million in compensation and benefits, including share-based compensation, and allocated overhead for employees engaged in our marketing function. The increase was partially offset by a decrease of $5.9 million in digital advertising cost as we adjusted our channel mix towards channels that were showing greater efficiency.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6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17,689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30,373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42,160</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14,934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23,507</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2,028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6,423</w:t>
            </w:r>
          </w:p>
        </w:tc>
      </w:tr>
      <w:tr>
        <w:trPr>
          <w:trHeight w:val="223"/>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34,651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102,463</w:t>
            </w: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 and administrative costs increased by $102.5 million, or 296%, for the three months ended March 31, 2021, compared to the year prior. The increase was primarily due to an increase of $30.4 million in compensation and benefits, including share-based compensation, and allocated overhead for general and administrative personnel, and an increase of $23.5 million in professional fees, to support the growth of our business. In addition, legal settlements and reserves increased by $42.2 million as discussed in Note 13 to our unaudited condensed consolidated financial statements and elsewhere in this prospectus.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Fair Value of Convertible Notes and Warrant Liability</w:t>
      </w:r>
    </w:p>
    <w:p>
      <w:pPr>
        <w:spacing w:after="0" w:line="23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w:t>
      </w:r>
    </w:p>
    <w:p>
      <w:pPr>
        <w:jc w:val="center"/>
        <w:ind w:left="51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1,492,269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type w:val="continuous"/>
        </w:sectPr>
      </w:pPr>
    </w:p>
    <w:bookmarkStart w:id="161" w:name="page162"/>
    <w:bookmarkEnd w:id="161"/>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completion of this offering, we anticipate the mark-to-market charge to be approximately $</w:t>
            </w:r>
          </w:p>
        </w:tc>
        <w:tc>
          <w:tcPr>
            <w:tcW w:w="3580" w:type="dxa"/>
            <w:vAlign w:val="bottom"/>
            <w:gridSpan w:val="7"/>
          </w:tcPr>
          <w:p>
            <w:pPr>
              <w:jc w:val="right"/>
              <w:spacing w:after="0"/>
              <w:rPr>
                <w:sz w:val="20"/>
                <w:szCs w:val="20"/>
                <w:color w:val="auto"/>
              </w:rPr>
            </w:pPr>
            <w:r>
              <w:rPr>
                <w:rFonts w:ascii="Arial" w:cs="Arial" w:eastAsia="Arial" w:hAnsi="Arial"/>
                <w:sz w:val="18"/>
                <w:szCs w:val="18"/>
                <w:color w:val="auto"/>
              </w:rPr>
              <w:t>for the quarter in which this offering occurs,</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assuming an initial public offering price of our Class A common stock of $</w:t>
            </w:r>
          </w:p>
        </w:tc>
        <w:tc>
          <w:tcPr>
            <w:tcW w:w="4940" w:type="dxa"/>
            <w:vAlign w:val="bottom"/>
            <w:gridSpan w:val="9"/>
          </w:tcPr>
          <w:p>
            <w:pPr>
              <w:jc w:val="right"/>
              <w:spacing w:after="0"/>
              <w:rPr>
                <w:sz w:val="20"/>
                <w:szCs w:val="20"/>
                <w:color w:val="auto"/>
              </w:rPr>
            </w:pPr>
            <w:r>
              <w:rPr>
                <w:rFonts w:ascii="Arial" w:cs="Arial" w:eastAsia="Arial" w:hAnsi="Arial"/>
                <w:sz w:val="18"/>
                <w:szCs w:val="18"/>
                <w:color w:val="auto"/>
              </w:rPr>
              <w:t>per share, which is the midpoint of the estimated offering</w:t>
            </w:r>
          </w:p>
        </w:tc>
      </w:tr>
      <w:tr>
        <w:trPr>
          <w:trHeight w:val="217"/>
        </w:trPr>
        <w:tc>
          <w:tcPr>
            <w:tcW w:w="6300" w:type="dxa"/>
            <w:vAlign w:val="bottom"/>
          </w:tcPr>
          <w:p>
            <w:pPr>
              <w:spacing w:after="0"/>
              <w:rPr>
                <w:sz w:val="20"/>
                <w:szCs w:val="20"/>
                <w:color w:val="auto"/>
              </w:rPr>
            </w:pPr>
            <w:r>
              <w:rPr>
                <w:rFonts w:ascii="Arial" w:cs="Arial" w:eastAsia="Arial" w:hAnsi="Arial"/>
                <w:sz w:val="18"/>
                <w:szCs w:val="18"/>
                <w:color w:val="auto"/>
              </w:rPr>
              <w:t>price range set forth on the cover page of this prospectus.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55"/>
        </w:trPr>
        <w:tc>
          <w:tcPr>
            <w:tcW w:w="6300" w:type="dxa"/>
            <w:vAlign w:val="bottom"/>
          </w:tcPr>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3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r>
    </w:tbl>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Provision for income taxes increased by $11.9 million, for the three months ended March 31, 2021, compared to the year prior. The increase was primarily due to the growth of the business.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2019 and 2020</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110,656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440,070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251,200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26,708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720,133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Transaction-based revenues as a % of total net revenues:</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c>
          <w:tcPr>
            <w:tcW w:w="1640" w:type="dxa"/>
            <w:vAlign w:val="bottom"/>
          </w:tcPr>
          <w:p>
            <w:pPr>
              <w:spacing w:after="0"/>
              <w:rPr>
                <w:sz w:val="19"/>
                <w:szCs w:val="19"/>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64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3 %</w:t>
            </w:r>
          </w:p>
        </w:tc>
        <w:tc>
          <w:tcPr>
            <w:tcW w:w="16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2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 %</w:t>
            </w: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15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c>
          <w:tcPr>
            <w:tcW w:w="164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increased by $549.3 million, or 322%, for the year ended December 31, 2020, compared to the year prior. The increase was driven by a 143% increase in Net Cumulative Funded Accounts, which resulted in higher daily average revenue trades (as defined above) in options, equities and cryptocurrencies. Our daily average revenue trades for options, equities and cryptocurrencies increased from 0.2 million to 0.6 million, an increase of 306%, 0.6 million to 2.2 million, an increase of 274%, and less than 0.1 million to 0.1 million, an increase of 175%. Increased interest in personal finance and investing, low interest rates and a positive market environment, especially in the U.S. equities markets, encouraged an unprecedented number of first-time retail investors to become our users and begin trading on our platform. We have seen substantial growth in our user base, retention, engagement and trading activity metrics, as well as continued gains and periodic all-time highs achieved by the equity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98,165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1439 %</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66,781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13,401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(4,882)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393 %</w:t>
            </w:r>
          </w:p>
        </w:tc>
      </w:tr>
      <w:tr>
        <w:trPr>
          <w:trHeight w:val="230"/>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70,639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177,437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4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c>
          <w:tcPr>
            <w:tcW w:w="16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64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6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40" w:type="dxa"/>
            <w:vAlign w:val="bottom"/>
            <w:shd w:val="clear" w:color="auto" w:fill="CCEEFF"/>
          </w:tcPr>
          <w:p>
            <w:pPr>
              <w:spacing w:after="0"/>
              <w:rPr>
                <w:sz w:val="19"/>
                <w:szCs w:val="19"/>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40" w:type="dxa"/>
            <w:vAlign w:val="bottom"/>
          </w:tcPr>
          <w:p>
            <w:pPr>
              <w:spacing w:after="0"/>
              <w:rPr>
                <w:sz w:val="19"/>
                <w:szCs w:val="19"/>
                <w:color w:val="auto"/>
              </w:rPr>
            </w:pPr>
          </w:p>
        </w:tc>
      </w:tr>
      <w:tr>
        <w:trPr>
          <w:trHeight w:val="21"/>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$106.8 million, or 151%, for the year ended December 31, 2020,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$ 91.8 million as we grew our securities lending program, which benefited from higher rates earned on hard-to-borrow securities. Securities loaned increased 185%, to $ 1.9 billion, while securities borrowed remained flat at $0.4 million. Interest revenue earned on margin borrowings increased by $47.7 million due to an increase in both the number of margin borrowers and average per-user margin balance. Margin receivables outstanding, net of allowance for credit losses, increased from $ 637.3 million due from 0.1 million users to $ 3.3 billion due from 0.3 million users. The first $1,000 in margin borrowed by each user is not charged interest while margin over $1,000 was charged at 5% annual percentage rate until December 2020 when we lowered this rate to 2.5%. Interest revenue earned on segregated cash and securities balances decreased $22.9 million due to the decrease in the Federal Reserve's benchmark target rate to near zero.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61,263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increased by $ 25.2 million, or 70%, for the year ended December 31, 2020, compared to the year prior. The increase was primarily due to an increase in paid subscribers to Robinhood Gold from 0.2 million to 0.9 million, resulting in $9.8 million in increased subscription revenue and higher proxy rebate revenue of $7.5 million resulting from the growth in our user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111,083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215,630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137,905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185,741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294,694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384,463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945,053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2"/>
        </w:trPr>
        <w:tc>
          <w:tcPr>
            <w:tcW w:w="6340" w:type="dxa"/>
            <w:vAlign w:val="bottom"/>
          </w:tcPr>
          <w:p>
            <w:pPr>
              <w:spacing w:after="0"/>
              <w:rPr>
                <w:sz w:val="20"/>
                <w:szCs w:val="20"/>
                <w:color w:val="auto"/>
              </w:rPr>
            </w:pPr>
            <w:r>
              <w:rPr>
                <w:rFonts w:ascii="Arial" w:cs="Arial" w:eastAsia="Arial" w:hAnsi="Arial"/>
                <w:sz w:val="18"/>
                <w:szCs w:val="18"/>
                <w:i w:val="1"/>
                <w:iCs w:val="1"/>
                <w:color w:val="auto"/>
              </w:rPr>
              <w:t>Brokerage and transaction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fees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Market data fees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9,630</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fees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charges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23"/>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65,624</w:t>
            </w: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Brokerage and transaction costs increased by $65.6 million, or 144%, for the year ended December 31, 2020, compared to the year prior. The increase was primarily due to an increase of $31.6 million in clearing fees, an increase of $10.5 million in regulatory fees, an increase of $9.6 million in market data fees, an increase of $4.5 million in bank charges and an increase of $1.9 million in employee compensation and benefits, including share-based compensation, and allocated overhead. These increases were in line with the growth in our user base and higher trading volumes on a per-user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62,256</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54,047</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94,932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120,698</w:t>
            </w:r>
          </w:p>
        </w:tc>
      </w:tr>
    </w:tbl>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Technology and development costs increased by $120.7 million, or 127%, for the year ended December 31, 2020, compared to the year prior. The increase was primarily due to an increase of $62.3 million in employee compensation and benefits, including share-based compensation, net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1440" w:right="339" w:bottom="1440" w:gutter="0" w:footer="0" w:header="0"/>
          <w:type w:val="continuous"/>
        </w:sectPr>
      </w:pPr>
    </w:p>
    <w:bookmarkStart w:id="164" w:name="page165"/>
    <w:bookmarkEnd w:id="164"/>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capitalized costs for internally developed software, and allocated overhead as we continued to grow our engineering, data science, and design teams to support the growth of our user base and develop new products. We also experienced an increase of $54.0 million in costs for cloud infrastructure and other software services utilized in delivering our products as a result of overall growth in customer accounts and related activities.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24,209</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21,299</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104,036</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$104.0 million, or 307%, for the year ended December 31, 2020, compared to the year prior. The increase was primarily due to an increase in provision for credit losses of $ 48.0 million, from $11.1 million to $59.1 million, mainly driven by Fraudulent Deposit Transactions and, to a lesser extent, losses on margin borrowings, which have both increased, on a total account and loss per account basis, with the growth of our user base. We also incurred additional compensation and benefits expense, including share-based compensation, and allocated overhead of $24.2 million for customer support and other operations employees as we more than tripled the number of our dedicated customer support professionals from the year prior. Costs related to third-party customer support vendors and customer onboarding increased $21.3 million and $5.7 million as a result of the growth in our user 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50,311</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Customer goodwill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12,395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(12,644)</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61,072</w:t>
            </w: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Marketing costs increased by $ 61.0 million, or 49%, for the year ended December 31, 2020, compared to the year prior. The increase was primarily due to an increase of $50.3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85,849</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56"/>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(7,715)</w:t>
            </w:r>
          </w:p>
        </w:tc>
      </w:tr>
      <w:tr>
        <w:trPr>
          <w:trHeight w:val="257"/>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(78,669)</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r>
    </w:tbl>
    <w:p>
      <w:pPr>
        <w:spacing w:after="0" w:line="17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jc w:val="both"/>
        <w:ind w:firstLine="324"/>
        <w:spacing w:after="0" w:line="253" w:lineRule="auto"/>
        <w:rPr>
          <w:sz w:val="20"/>
          <w:szCs w:val="20"/>
          <w:color w:val="auto"/>
        </w:rPr>
      </w:pPr>
      <w:r>
        <w:rPr>
          <w:rFonts w:ascii="Arial" w:cs="Arial" w:eastAsia="Arial" w:hAnsi="Arial"/>
          <w:sz w:val="18"/>
          <w:szCs w:val="18"/>
          <w:color w:val="auto"/>
        </w:rPr>
        <w:t>Additionally, customer goodwill related to costs to remediate losses experienced by our users due to service interruptions and unauthorized activity on our platform increased $12.4 million. We also incurred additional compensation and benefits expense, including share-based compensation, and allocated overhead, of $6.2 million for marketing personnel. The increase was partially offset by a decrease in digital and paid marketing efforts of $12.6 million as we strategically focused our marketing efforts through the Robinhood Referral Program, which generally has lower direct expense rates as compared to other marketing methods.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67,504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209,190</w:t>
            </w:r>
          </w:p>
        </w:tc>
      </w:tr>
    </w:tbl>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 and administrative costs increased by $209.2 million, or 245%, for the year ended December 31, 2020, compared to the year prior. The increase was primarily due to a total of $101.6 million in certain legal settlements or reserves as discussed in Note 13 to our consolidated financial statements and elsewhere in this prospectus. Additionally, compensation and benefits, excluding share-based compensation, and allocated overhead for general and administrative personnel increased $45.0 million, offset by lower share-based compensation of $11.1 million related to the 2020 Tender Offer as compared to the 2019 Tender Offer, for a net change of $33.9 million, along with an increase of $3.7 million in professional fees.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r>
    </w:tbl>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Provision for income taxes increased by $7.4 million, for the year ended December 31, 2020, compared to the year ended December 31, 2019. The increase was primarily due to the growth of the business and the accrual of non-deductible regulatory settlements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Quarterly Results of Operations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 sets forth our unaudited quarterly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Three Months Ended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 2019</w:t>
            </w: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2019</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2019</w:t>
            </w:r>
          </w:p>
        </w:tc>
        <w:tc>
          <w:tcPr>
            <w:tcW w:w="10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Dec. 31, 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Mar. 31, 2020</w:t>
            </w: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2020</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2020</w:t>
            </w:r>
          </w:p>
        </w:tc>
        <w:tc>
          <w:tcPr>
            <w:tcW w:w="1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 2020</w:t>
            </w:r>
          </w:p>
        </w:tc>
        <w:tc>
          <w:tcPr>
            <w:tcW w:w="9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3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Revenues:</w:t>
            </w: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Transaction-based revenues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33,851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44,800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48,841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43,339</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95,631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187,413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201,807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235,282</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420,439</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interest revenues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15,618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21,946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24,016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39,998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50,406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63,017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62,497</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Other revenues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11,314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6,693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7,284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7,903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17,317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19,243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39,238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net revenues</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56,156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71,732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77,480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72,165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127,550</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244,211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269,530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317,542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522,174</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rPr>
                <w:sz w:val="20"/>
                <w:szCs w:val="20"/>
                <w:color w:val="auto"/>
              </w:rPr>
            </w:pPr>
            <w:r>
              <w:rPr>
                <w:rFonts w:ascii="Arial" w:cs="Arial" w:eastAsia="Arial" w:hAnsi="Arial"/>
                <w:sz w:val="11"/>
                <w:szCs w:val="11"/>
                <w:color w:val="auto"/>
              </w:rPr>
              <w:t>Operating expenses:</w:t>
            </w:r>
            <w:r>
              <w:rPr>
                <w:rFonts w:ascii="Arial" w:cs="Arial" w:eastAsia="Arial" w:hAnsi="Arial"/>
                <w:sz w:val="14"/>
                <w:szCs w:val="14"/>
                <w:color w:val="auto"/>
                <w:vertAlign w:val="superscript"/>
              </w:rPr>
              <w:t>(1)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Brokerage and transaction</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8,225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11,142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20,404</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28,612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31,444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30,623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41,004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Technology and development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18,239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29,580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33,205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44,971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81,963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116,858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Operations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6,058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8,984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21,813</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30,464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40,962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44,666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66,564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Marketing</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27,672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28,211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27,825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40,991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69,922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39,088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33,221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102,248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General and administrative</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9,944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16,498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38,127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34,651</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38,636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113,494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107,913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137,114</w:t>
            </w:r>
          </w:p>
        </w:tc>
        <w:tc>
          <w:tcPr>
            <w:tcW w:w="0" w:type="dxa"/>
            <w:vAlign w:val="bottom"/>
          </w:tcPr>
          <w:p>
            <w:pPr>
              <w:spacing w:after="0"/>
              <w:rPr>
                <w:sz w:val="1"/>
                <w:szCs w:val="1"/>
                <w:color w:val="auto"/>
              </w:rPr>
            </w:pPr>
          </w:p>
        </w:tc>
      </w:tr>
      <w:tr>
        <w:trPr>
          <w:trHeight w:val="133"/>
        </w:trPr>
        <w:tc>
          <w:tcPr>
            <w:tcW w:w="2300" w:type="dxa"/>
            <w:vAlign w:val="bottom"/>
          </w:tcPr>
          <w:p>
            <w:pPr>
              <w:ind w:left="460"/>
              <w:spacing w:after="0"/>
              <w:rPr>
                <w:sz w:val="20"/>
                <w:szCs w:val="20"/>
                <w:color w:val="auto"/>
              </w:rPr>
            </w:pPr>
            <w:r>
              <w:rPr>
                <w:rFonts w:ascii="Arial" w:cs="Arial" w:eastAsia="Arial" w:hAnsi="Arial"/>
                <w:sz w:val="11"/>
                <w:szCs w:val="11"/>
                <w:color w:val="auto"/>
              </w:rPr>
              <w:t>Total operating expenses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68,203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83,074</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115,681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117,505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179,995</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186,193</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280,479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298,386</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463,788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Change in fair value of convertible notes and</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warrant liability</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1,492,269</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Other expense (income), net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before income tax</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(12,154)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(11,457)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(45,495)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(52,588)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58,118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19,294</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(1,433,024)</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11,779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13,028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(1,444,803)</w:t>
            </w:r>
          </w:p>
        </w:tc>
        <w:tc>
          <w:tcPr>
            <w:tcW w:w="0" w:type="dxa"/>
            <w:vAlign w:val="bottom"/>
          </w:tcPr>
          <w:p>
            <w:pPr>
              <w:spacing w:after="0"/>
              <w:rPr>
                <w:sz w:val="1"/>
                <w:szCs w:val="1"/>
                <w:color w:val="auto"/>
              </w:rPr>
            </w:pPr>
          </w:p>
        </w:tc>
      </w:tr>
      <w:tr>
        <w:trPr>
          <w:trHeight w:val="22"/>
        </w:trPr>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80" w:hanging="161"/>
        <w:spacing w:after="0" w:line="225" w:lineRule="auto"/>
        <w:rPr>
          <w:sz w:val="20"/>
          <w:szCs w:val="20"/>
          <w:color w:val="auto"/>
        </w:rPr>
      </w:pPr>
      <w:r>
        <w:rPr>
          <w:rFonts w:ascii="Arial" w:cs="Arial" w:eastAsia="Arial" w:hAnsi="Arial"/>
          <w:sz w:val="11"/>
          <w:szCs w:val="11"/>
          <w:color w:val="auto"/>
        </w:rPr>
        <w:t>Net income (loss) attributable to common stockholders: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3"/>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-225425</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13970</wp:posOffset>
            </wp:positionV>
            <wp:extent cx="71323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000" w:space="300"/>
            <w:col w:w="89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Net income (loss) per share attributable to</w:t>
      </w:r>
    </w:p>
    <w:p>
      <w:pPr>
        <w:ind w:left="180"/>
        <w:spacing w:after="0"/>
        <w:rPr>
          <w:sz w:val="20"/>
          <w:szCs w:val="20"/>
          <w:color w:val="auto"/>
        </w:rPr>
      </w:pPr>
      <w:r>
        <w:rPr>
          <w:rFonts w:ascii="Arial" w:cs="Arial" w:eastAsia="Arial" w:hAnsi="Arial"/>
          <w:sz w:val="11"/>
          <w:szCs w:val="11"/>
          <w:color w:val="auto"/>
        </w:rPr>
        <w:t>common stockholders:</w:t>
      </w:r>
    </w:p>
    <w:p>
      <w:pPr>
        <w:sectPr>
          <w:pgSz w:w="11900" w:h="16838" w:orient="portrait"/>
          <w:cols w:equalWidth="0" w:num="1">
            <w:col w:w="11240"/>
          </w:cols>
          <w:pgMar w:left="320" w:top="1440"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36" w:lineRule="exact"/>
        <w:rPr>
          <w:sz w:val="20"/>
          <w:szCs w:val="20"/>
          <w:color w:val="auto"/>
        </w:rPr>
      </w:pPr>
    </w:p>
    <w:p>
      <w:pPr>
        <w:ind w:left="180" w:hanging="161"/>
        <w:spacing w:after="0" w:line="218" w:lineRule="auto"/>
        <w:rPr>
          <w:sz w:val="20"/>
          <w:szCs w:val="20"/>
          <w:color w:val="auto"/>
        </w:rPr>
      </w:pPr>
      <w:r>
        <w:rPr>
          <w:rFonts w:ascii="Arial" w:cs="Arial" w:eastAsia="Arial" w:hAnsi="Arial"/>
          <w:sz w:val="11"/>
          <w:szCs w:val="11"/>
          <w:color w:val="auto"/>
        </w:rPr>
        <w:t>Weighted-average shares used to compute net income (loss) per share attributable to common stockholders: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3"/>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-153670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2260" w:space="40"/>
            <w:col w:w="8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221,593,866</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222,300,000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223,845,043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224,780,085</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225,091,413</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225,997,444</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227,115,364</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230,685,464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Diluted</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221,593,866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222,300,000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223,845,043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224,780,085</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244,338,145</w:t>
            </w:r>
          </w:p>
        </w:tc>
        <w:tc>
          <w:tcPr>
            <w:tcW w:w="10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225,997,444</w:t>
            </w:r>
          </w:p>
        </w:tc>
        <w:tc>
          <w:tcPr>
            <w:tcW w:w="8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245,008,423</w:t>
            </w:r>
          </w:p>
        </w:tc>
        <w:tc>
          <w:tcPr>
            <w:tcW w:w="10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230,685,464</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00" w:type="dxa"/>
            <w:vAlign w:val="bottom"/>
            <w:gridSpan w:val="1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9"/>
          </w:tcPr>
          <w:p>
            <w:pPr>
              <w:jc w:val="right"/>
              <w:ind w:right="66"/>
              <w:spacing w:after="0"/>
              <w:rPr>
                <w:sz w:val="20"/>
                <w:szCs w:val="20"/>
                <w:color w:val="auto"/>
              </w:rPr>
            </w:pPr>
            <w:r>
              <w:rPr>
                <w:rFonts w:ascii="Arial" w:cs="Arial" w:eastAsia="Arial" w:hAnsi="Arial"/>
                <w:sz w:val="11"/>
                <w:szCs w:val="11"/>
                <w:b w:val="1"/>
                <w:bCs w:val="1"/>
                <w:color w:val="auto"/>
              </w:rPr>
              <w:t>Three Months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Mar. 31, 2019</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Jun. 30, 2019</w:t>
            </w: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Sept. 30, 2019</w:t>
            </w:r>
          </w:p>
        </w:tc>
        <w:tc>
          <w:tcPr>
            <w:tcW w:w="9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Dec. 31, 2019</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w w:val="93"/>
              </w:rPr>
              <w:t>Mar. 31, 2020</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Jun. 30, 2020</w:t>
            </w:r>
          </w:p>
        </w:tc>
        <w:tc>
          <w:tcPr>
            <w:tcW w:w="94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Sept. 30, 2020</w:t>
            </w:r>
          </w:p>
        </w:tc>
        <w:tc>
          <w:tcPr>
            <w:tcW w:w="940" w:type="dxa"/>
            <w:vAlign w:val="bottom"/>
            <w:tcBorders>
              <w:top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Dec. 31, 2020</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March 31, 2021</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Brokerage and transaction</w:t>
            </w:r>
          </w:p>
        </w:tc>
        <w:tc>
          <w:tcPr>
            <w:tcW w:w="46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6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3"/>
                <w:szCs w:val="13"/>
                <w:color w:val="auto"/>
              </w:rPr>
              <w:t>Technology and development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13,682</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1960" w:type="dxa"/>
            <w:vAlign w:val="bottom"/>
          </w:tcPr>
          <w:p>
            <w:pPr>
              <w:ind w:left="340"/>
              <w:spacing w:after="0" w:line="109" w:lineRule="exact"/>
              <w:rPr>
                <w:sz w:val="20"/>
                <w:szCs w:val="20"/>
                <w:color w:val="auto"/>
              </w:rPr>
            </w:pPr>
            <w:r>
              <w:rPr>
                <w:rFonts w:ascii="Arial" w:cs="Arial" w:eastAsia="Arial" w:hAnsi="Arial"/>
                <w:sz w:val="12"/>
                <w:szCs w:val="12"/>
                <w:color w:val="auto"/>
              </w:rPr>
              <w:t>Total share-based</w:t>
            </w:r>
          </w:p>
        </w:tc>
        <w:tc>
          <w:tcPr>
            <w:tcW w:w="200" w:type="dxa"/>
            <w:vAlign w:val="bottom"/>
            <w:vMerge w:val="restart"/>
          </w:tcPr>
          <w:p>
            <w:pPr>
              <w:spacing w:after="0"/>
              <w:rPr>
                <w:sz w:val="9"/>
                <w:szCs w:val="9"/>
                <w:color w:val="auto"/>
              </w:rPr>
            </w:pPr>
          </w:p>
        </w:tc>
        <w:tc>
          <w:tcPr>
            <w:tcW w:w="260" w:type="dxa"/>
            <w:vAlign w:val="bottom"/>
            <w:vMerge w:val="restart"/>
          </w:tcPr>
          <w:p>
            <w:pPr>
              <w:jc w:val="right"/>
              <w:ind w:right="122"/>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1,450</w:t>
            </w: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1,477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40" w:type="dxa"/>
            <w:vAlign w:val="bottom"/>
            <w:vMerge w:val="restart"/>
          </w:tcPr>
          <w:p>
            <w:pPr>
              <w:jc w:val="right"/>
              <w:ind w:right="2"/>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20,167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3,573</w:t>
            </w: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00" w:type="dxa"/>
            <w:vAlign w:val="bottom"/>
            <w:gridSpan w:val="2"/>
            <w:vMerge w:val="restart"/>
          </w:tcPr>
          <w:p>
            <w:pPr>
              <w:jc w:val="right"/>
              <w:ind w:right="66"/>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2,412</w:t>
            </w:r>
          </w:p>
        </w:tc>
        <w:tc>
          <w:tcPr>
            <w:tcW w:w="80" w:type="dxa"/>
            <w:vAlign w:val="bottom"/>
          </w:tcPr>
          <w:p>
            <w:pPr>
              <w:spacing w:after="0"/>
              <w:rPr>
                <w:sz w:val="9"/>
                <w:szCs w:val="9"/>
                <w:color w:val="auto"/>
              </w:rPr>
            </w:pPr>
          </w:p>
        </w:tc>
        <w:tc>
          <w:tcPr>
            <w:tcW w:w="160" w:type="dxa"/>
            <w:vAlign w:val="bottom"/>
            <w:gridSpan w:val="2"/>
            <w:vMerge w:val="restart"/>
          </w:tcPr>
          <w:p>
            <w:pPr>
              <w:jc w:val="right"/>
              <w:ind w:right="6"/>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1,571</w:t>
            </w:r>
          </w:p>
        </w:tc>
        <w:tc>
          <w:tcPr>
            <w:tcW w:w="100" w:type="dxa"/>
            <w:vAlign w:val="bottom"/>
          </w:tcPr>
          <w:p>
            <w:pPr>
              <w:spacing w:after="0"/>
              <w:rPr>
                <w:sz w:val="9"/>
                <w:szCs w:val="9"/>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18,982</w:t>
            </w:r>
          </w:p>
        </w:tc>
        <w:tc>
          <w:tcPr>
            <w:tcW w:w="100" w:type="dxa"/>
            <w:vAlign w:val="bottom"/>
          </w:tcPr>
          <w:p>
            <w:pPr>
              <w:spacing w:after="0"/>
              <w:rPr>
                <w:sz w:val="9"/>
                <w:szCs w:val="9"/>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8,996</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1960" w:type="dxa"/>
            <w:vAlign w:val="bottom"/>
          </w:tcPr>
          <w:p>
            <w:pPr>
              <w:ind w:left="500"/>
              <w:spacing w:after="0" w:line="141" w:lineRule="exact"/>
              <w:rPr>
                <w:sz w:val="20"/>
                <w:szCs w:val="20"/>
                <w:color w:val="auto"/>
              </w:rPr>
            </w:pPr>
            <w:r>
              <w:rPr>
                <w:rFonts w:ascii="Arial" w:cs="Arial" w:eastAsia="Arial" w:hAnsi="Arial"/>
                <w:sz w:val="13"/>
                <w:szCs w:val="13"/>
                <w:color w:val="auto"/>
              </w:rPr>
              <w:t>compensation expense</w:t>
            </w:r>
          </w:p>
        </w:tc>
        <w:tc>
          <w:tcPr>
            <w:tcW w:w="200" w:type="dxa"/>
            <w:vAlign w:val="bottom"/>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5280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w:t>
      </w:r>
    </w:p>
    <w:p>
      <w:pPr>
        <w:spacing w:after="0" w:line="15"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to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type w:val="continuous"/>
        </w:sectPr>
      </w:pPr>
    </w:p>
    <w:bookmarkStart w:id="168" w:name="page169"/>
    <w:bookmarkEnd w:id="16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 as a percentage of 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Three Months Ended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 31, 2019</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2019</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 30, 2019</w:t>
            </w:r>
          </w:p>
        </w:tc>
        <w:tc>
          <w:tcPr>
            <w:tcW w:w="960" w:type="dxa"/>
            <w:vAlign w:val="bottom"/>
          </w:tcPr>
          <w:p>
            <w:pPr>
              <w:jc w:val="right"/>
              <w:ind w:right="69"/>
              <w:spacing w:after="0"/>
              <w:rPr>
                <w:sz w:val="20"/>
                <w:szCs w:val="20"/>
                <w:color w:val="auto"/>
              </w:rPr>
            </w:pPr>
            <w:r>
              <w:rPr>
                <w:rFonts w:ascii="Arial" w:cs="Arial" w:eastAsia="Arial" w:hAnsi="Arial"/>
                <w:sz w:val="11"/>
                <w:szCs w:val="11"/>
                <w:b w:val="1"/>
                <w:bCs w:val="1"/>
                <w:color w:val="auto"/>
              </w:rPr>
              <w:t>Dec. 31, 2019</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Mar. 31, 2020</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 31, 2020</w:t>
            </w:r>
          </w:p>
        </w:tc>
        <w:tc>
          <w:tcPr>
            <w:tcW w:w="980" w:type="dxa"/>
            <w:vAlign w:val="bottom"/>
          </w:tcPr>
          <w:p>
            <w:pPr>
              <w:jc w:val="right"/>
              <w:ind w:right="29"/>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Transaction-based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revenues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interest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revenues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net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Brokerage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Technology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development</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9"/>
        </w:trPr>
        <w:tc>
          <w:tcPr>
            <w:tcW w:w="1860" w:type="dxa"/>
            <w:vAlign w:val="bottom"/>
          </w:tcPr>
          <w:p>
            <w:pPr>
              <w:ind w:left="240"/>
              <w:spacing w:after="0"/>
              <w:rPr>
                <w:sz w:val="20"/>
                <w:szCs w:val="20"/>
                <w:color w:val="auto"/>
              </w:rPr>
            </w:pPr>
            <w:r>
              <w:rPr>
                <w:rFonts w:ascii="Arial" w:cs="Arial" w:eastAsia="Arial" w:hAnsi="Arial"/>
                <w:sz w:val="14"/>
                <w:szCs w:val="14"/>
                <w:color w:val="auto"/>
              </w:rPr>
              <w:t>Marketing</w:t>
            </w: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General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vMerge w:val="restart"/>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administrative</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Pr>
          <w:p>
            <w:pPr>
              <w:ind w:left="460"/>
              <w:spacing w:after="0" w:line="133" w:lineRule="exact"/>
              <w:rPr>
                <w:sz w:val="20"/>
                <w:szCs w:val="20"/>
                <w:color w:val="auto"/>
              </w:rPr>
            </w:pPr>
            <w:r>
              <w:rPr>
                <w:rFonts w:ascii="Arial" w:cs="Arial" w:eastAsia="Arial" w:hAnsi="Arial"/>
                <w:sz w:val="14"/>
                <w:szCs w:val="14"/>
                <w:color w:val="auto"/>
              </w:rPr>
              <w:t>Total operating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71"/>
        </w:trPr>
        <w:tc>
          <w:tcPr>
            <w:tcW w:w="1860" w:type="dxa"/>
            <w:vAlign w:val="bottom"/>
          </w:tcPr>
          <w:p>
            <w:pPr>
              <w:ind w:left="460"/>
              <w:spacing w:after="0"/>
              <w:rPr>
                <w:sz w:val="20"/>
                <w:szCs w:val="20"/>
                <w:color w:val="auto"/>
              </w:rPr>
            </w:pPr>
            <w:r>
              <w:rPr>
                <w:rFonts w:ascii="Arial" w:cs="Arial" w:eastAsia="Arial" w:hAnsi="Arial"/>
                <w:sz w:val="14"/>
                <w:szCs w:val="14"/>
                <w:color w:val="auto"/>
              </w:rPr>
              <w:t>expenses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in fair value of</w:t>
            </w: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convertible notes and</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liability</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Other expense (income),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(loss) before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Provision for (benefit from)</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Trends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have generally increased sequentially in each of the periods presented, other than the fourth quarter of 2019, due to growth in our user base which resulted in higher trading volume on a per-user basis. In the first half of 2020, we saw a significant increase in the number of new accounts opened by first-time investors, as a result of increased interest in personal finance and investing, low interest rates and a positive market environment, especially in the U.S. equity markets. Throughout the remainder of 2020 and the first quarter of 2021, we maintained substantial growth in our user base, retention, engagement and trading activity metrics, as well as gains and periodic all-time highs achieved by the equity 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revenues have generally increased sequentially in each of the periods presented, other than the fourth quarter of 2019, due to continued growth of our securities lending activities and increases in both the number of margin borrowers and average per-user margin balance. Net interest revenues decreased slightly in the first quarter of 2021 primarily due to an increase in interest expense incurred by borrowing on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 quarterly basis, other revenues generally increased in 2020 and the first quarter of 2021 compared to the corresponding quarterly periods of 2019 primarily due to an increase in subscribers to Robinhood Gold and higher proxy rebate revenue as a result of the growth in our user base. The first quarter of 2021 also had higher revenues due to ACATS fees charged to users for facilitating the transfer of their account to another broker-dealer. The decrease in other revenues in the second half of 2019 was primarily due to a change in the subscription fee structure for Robinhood Gold, from a tiered pricing model to a lower, flat-rate pricing model, effective as of the second quarter of 2019. Proxy rebate revenue is impacted by seasonality, with the second quarter historically the highest as that coincides with a large number of shareholder meetings.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Brokerage and transaction costs have generally increased sequentially in each of the periods presented, other than the fourth quarter of 2020, which benefited from decreases in certain regulatory fee rates. The increases were primarily driven by higher clearing fees, regulatory fees and market data fees due to growth in our user base and higher trading volumes. The increase in the first quarter of 2021 was also due to an increase of $5.7 million in losses attributable to the market price fluctuation of inventory held in fractional shares.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increased sequentially in each of the periods presented. The increases were primarily driven by higher employee compensation and benefits as we continued to grow our engineering, data science and design teams. We also experienced increases in costs for cloud infrastructure and other software services utilized in delivering our products. The third quarter of 2019 and the fourth quarter of 2020 included share-based compensation related to the 2019 and 2020 Tender Offers.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Operations costs have generally increased sequentially in each of the periods presented, other than the third quarter of 2019. The increases were primarily due to increases in provision for credit losses, mainly driven by Fraudulent Deposit Transactions and, to a lesser extent, losses on margin borrowings, both of which have generally increased every quarter due to the growth of our user base. Additionally, operations costs increased due to our increased investments in customer service for our users.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sequentially through the first quarter of 2020, which was followed by sequential decreases through the fourth quarter of 2020. The increases were primarily driven by expenses associated with the Robinhood Referral Program and paid digital and broad-scale advertising. Marketing costs trended downward after the first quarter of 2020 as we strategically focused our marketing efforts through the Robinhood Referral Program, which generally has lower direct expense rates as compared to other marketing methods. The significant increase in the first quarter of 2021 was in line with the growth in our user base, which drove a significant increase in expenses related to the Robinhood Referral Program, and our digital and paid marketing efforts to drive higher brand awareness.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have generally increased sequentially in each of the periods presented, other than the fourth quarter of 2019 and 2020, primarily due to higher professional fees and compensation and benefits for general and administrative personnel to support the growth of our business. The third quarter of 2020 included a $65.0 million legal settlement, the fourth quarter of 2020 included a $36.6 million legal reserve, and the first quarter of 2021 included an aggregate legal 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$39.9 million as discussed in Note 13 to our consolidated financial statements and elsewhere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 and warrant liability</w:t>
      </w:r>
    </w:p>
    <w:p>
      <w:pPr>
        <w:spacing w:after="0" w:line="20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statements. Following the completion of this offering, we anticipate the mark-to-market charge to be approximately $ for the quarter in which this offering occurs, assuming an initial public offering price of our Class A common stock of $ per share, which is the midpoint of the estimated offering price range set forth on the cover page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Since inception, we have financed operations primarily through issuances of preferred stock, borrowings from credit facilities and cash flow from operating activities.</w:t>
      </w:r>
    </w:p>
    <w:p>
      <w:pPr>
        <w:spacing w:after="0" w:line="15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March 31, 2021, our primary sources of liquidity were our cash and cash equivalents of $4.79 billion and our revolving credit facilities. In February 2021, we issued two tranches of convertible notes, consisting of $2.53 billion aggregate principal amount of Tranche I convertible notes, as well as related warrants to purchase our equity securities with an aggregate maximum purchase price of $379.8 million, and $1.02 billion aggregate principal amount of Tranche II convertible notes. As of March 31, 2021, we had $2.55 billion aggregate amount of Tranche I convertible notes and $ 1.03 billion aggregate amount of Tranche II convertible notes, in each case including accrued interest.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For more information about our convertible notes and our warrants, see “Certain Relationships and Related Person Transactions—Convertible Note and Warrant Financings.” Based on our current level of operations, we believe our available cash, available borrowings, and cash provided by operations will be adequate to meet our future liquidity needs for more than the next 12 months. Our future capital requirements will depend on many factors, including but not limited to our growth rate, headcount, sales and marketing activities, research and development efforts, capital expenditures, the introduction of new products and offerings, and potential merger and acquisition activity, other strategic initiatives, volatility in the market or in certain securities and trading volume of our customers.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 See “Risk Factors—Risks Related to Our Business—</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Facilities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2021, RHS entered into a $2.2 billion committed and secured revolving line of credit, subject to certain borrowing base limitations, with a maturity date of April 15, 2022 (the “April 2021 Credit Facility”). Borrowings from the April 2021 Credit Facility must be specified to be Tranche A, Tranche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Tranche C or a combination thereof. Tranche A loans are secured by users’ securities and used, among other things, to finance margin loans. Tranche B loans are secured by the right to the return from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one-month interest period on such day, (ii) the Federal Funds Effective Rate and (iii) the Overnight Bank Funding Rate in effect on such day. This agreement contains customary covenants restricting RHS’s ability to incur debt, incur liens and undergo certain fundamental changes. Additionally, we are obligated to pay a commitment fee calculated as a per annum rate equal to 0.50% on any unused amount of the April 2021 Credit Facility.</w:t>
      </w:r>
    </w:p>
    <w:p>
      <w:pPr>
        <w:spacing w:after="0" w:line="18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October 2019, RHM entered into a $200.0 million committed and unsecured revolving line of credit with a syndicate of banks (the “October 2019 Credit Facility”) maturing in October 2023. In October 2020, RHM amended the October 2019 Credit Facility to, among other things, increase the aggregate committed and unsecured revolving line of credit amount to $600.0 million with a maturity date of October 29, 2024. In April 2021, RHM further increased the aggregate credit amount available under the October 2019 Credit Facility to $625.0 million. Loans under the October 2019 Credit Facility bear interest, at our option, at a per annum rate of either (a) the Eurodollar Rate plus 1.00% or</w:t>
      </w:r>
    </w:p>
    <w:p>
      <w:pPr>
        <w:spacing w:after="0" w:line="2" w:lineRule="exact"/>
        <w:rPr>
          <w:sz w:val="20"/>
          <w:szCs w:val="20"/>
          <w:color w:val="auto"/>
        </w:rPr>
      </w:pPr>
    </w:p>
    <w:p>
      <w:pPr>
        <w:jc w:val="both"/>
        <w:ind w:firstLine="8"/>
        <w:spacing w:after="0" w:line="251" w:lineRule="auto"/>
        <w:tabs>
          <w:tab w:leader="none" w:pos="2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Alternative Base Rate. The Eurodollar Rate is equal to the Eurodollar Base Rate, which is derived from London Interbank Offered Rate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2019. There were no outstanding borrowings under the October 2019 Credit Facility at March 31, 2021. Additionally, RHM is obligated to pay a commitment fee calculated as a per annum rate equal to 0.10% on any unused amount of the October 2019 Credit Facility.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September 2019, RHS entered into a $400.0 million committed and secured line of credit with a maturity date of September 25, 2020 (the “September 2019 Credit Facility”). In June 2020, RHS amended the September 2019 Credit Facility and increased the aggregate committed and secured revolving line of credit amount to $550.0 million with a maturity date of June 5, 2021. This line of credit was primarily collateralized by users’ securities held as collateral for users’ margin loans. Interest for this line of credit was determined at the time a loan was initiated and the applicable interest rate under this line of credit was calculated as a per annum rate equal to 1.25% plus the federal funds rate at the applicable time. There were no outstanding borrowings under the September 2019 Credit Facility at December 31, 2020 and 2019, or at March 31, 2021. Additionally, RHS was obligated to pay a commitment fee calculated as a per annum rate equal to 0.35% on any unused amount of the credit facility. The September 2019 Credit Facility was terminated in April 2021, in connection with RHS’s entry into the April 2021 Credit Facility.</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RHS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RHS was obligated to pay a commitment fee calculated as a per annum rate equal to 0.35% on any unused amount of the credit facility. The June 2019 Credit Facility was terminated in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October 2019 Credit Facility and the September 2019 Credit Facility contain customary covenants restricting our ability to incur debt, incur liens and undergo certain fundamental changes. We were in compliance with all covenants under these facilities, to the extent outstanding, as of December 31, 2020 and 2019 and as of March 31, 2021.</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Shortly prior to the completion of this offering, we expect to borrow approximately $ million under our revolving credit facilities to fund our tax withholding and remittance obligations related to the IPO-Vesting Time-Based RSU Settlement and IPO-Vesting Market-Based RSU Settlement, and we intend to use a portion of the net proceeds from this offering to repay such borrowings under our revolving credit facilities. See “Use of Proceeds.”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66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1,260,085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240"/>
              <w:spacing w:after="0"/>
              <w:rPr>
                <w:sz w:val="20"/>
                <w:szCs w:val="20"/>
                <w:color w:val="auto"/>
              </w:rPr>
            </w:pPr>
            <w:r>
              <w:rPr>
                <w:rFonts w:ascii="Arial" w:cs="Arial" w:eastAsia="Arial" w:hAnsi="Arial"/>
                <w:sz w:val="18"/>
                <w:szCs w:val="18"/>
                <w:color w:val="auto"/>
              </w:rPr>
              <w:t>1,876,254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2,144,695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(1,882,196)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1,275,883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3,557,772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Cash provided by operating activities consisted of net income (loss) adjusted for certain non-cash items including change in fair value of convertible notes and warrant liability, provision for credit losses, depreciation and amortization, share-based compensation expense and deferred income taxes, as well as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cash used in operating activities was $1,882.2 million, primarily due to a net loss of $1,444.8 million, adjusted for the add-back of non-cash expenses of $1,521.5 million consisting primarily of change in fair value of convertible notes and warrant liability of $1,492.3 million, provision for credit losses of $16.4 million, depreciation and amortization of $3.8 million and share-based compensation expense of $ 9.0 million. Additionally, the cash generated from operating activities decreased due to a net outflow from changes in operating assets and liabilities of $1,958.9 million, primarily due to an increase in receivables from users, net, of $2,028.9 million, driven by an increase in margin receivables due to growth in our user base and a decrease in our margin interest rate.</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2020, cash provided by operating activities was $2,144.7 million primarily due to a net loss of $52.5 million, adjusted for the add back of non-cash expenses of $13.9 million consisting primarily of provision for credit losses of $9.9 million, share-based compensation expense of $2.4 million and depreciation and amortization of $1.7 million. Additionally, the cash generated from operating activities increased due to a net inflow from changes in operating assets and liabilities of $2,183.2 million, primarily due to an increase in payables to users of $2,450.0 million, driven by an increase in customer cash held in line with the growth in our user base.</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year ended December 31, 2020, cash provided by operating activities was $1,876.3 million, primarily due to net income of $7.4 million, adjusted for the add back of non-cash expenses of $ 95.5 million consisting primarily of provision for credit losses of $59.1 million, share-based compensation expense of $24.3 million and depreciation and amortization of $9.9 million. Additionally, the cash generated from operating activities increased due to a net inflow from changes in operating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liabilities of $1,773.3 million, primarily due to increases in payables to users of $3,532.1 million and securities loaned of $1,247.1 million, partially offset by an increase in receivables from users, net, of $2,772.0 million, driven by increases in customer cash held, securities loaned, and margin receivables in line with the growth in our user base.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 ended December 31, 2019, cash provided by operating activities was $1,260.1 million, primarily due to net loss of $106.6 million, adjusted for the add back of non-cash expenses of $43.4 million consisting primarily of share-based compensation expense of $26.7 million, provision for credit losses of $11.1 million and depreciation and amortization of $5.4 million. Additionally, the cash generated from operating activities increased due to a net inflow from changes in operating assets and liabilities of $1,323.3 million, primarily due to increases in payables to users of $802.8 million and securities loaned of $674.0 million, driven by increases in customer cash held and securities loaned in line with the growth in our user base.</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three months ended March 31, 2021 and 2020, cash flows used in investing activities were $11.4 million and $8.4 million, which primarily consisted of $9.3 million and $6.1 million in purchases of property, software and equipment and $2.1 million and $2.3 million in capitalization of internally developed software.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used in investing activities were $32.3 million and $12.3 million, which primarily consisted of $24.4 million and $7.3 million in purchases of property, software and equipment and $7.9 million and $5.2 million in capitalization of internally developed software.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March 31, 2021, cash flows provided by financing activities were $3,557.8 million, which primarily consisted of proceeds from issuance of convertible notes and warrants of $3.55 billion and the draw and repayment of $ 1.0 billion on our credit facilities. For the three months ended March 31, 2020, cash flows provided by financing activities were $190.1 million, which primarily consisted of draw and repayment of $907.7 million and $717.7 million on our credit facilities.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provided by financing activities were $ 1,275.9 million and $375.4 million, which primarily consisted of $ 1,267.3 million and $372.7 million in proceeds from issuance of redeemable convertible preferred stock, net of issuance costs. We also drew and repaid $937.7 million and $137.0 million on our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broker-dealer subsidiaries are subject to the SEC Uniform Net Capital Rule (Rule 15c3-1 under the Exchange Act), administered by the SEC and the FINRA, which requires the maintenance of minimum net capital, as defined. Net capital and the related net capital requirements may fluctuate on a daily basis. RHS and RHF compute net capital under the alternative method as permitted by SEC Rule 15c3-1.</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summarize the net capital, capital requirements and excess net capital of RHS and RHF as of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Net Capital in Excess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of Required Net</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75"/>
        </w:trPr>
        <w:tc>
          <w:tcPr>
            <w:tcW w:w="1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2,620,729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2,511,793</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170,363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170,313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January and February 2021, we received gross proceeds of $3.55 billion from the issuance of two tranches of convertible notes and related warrants, of which an aggregate of $2.0 billion was contributed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RHS in the first quarter of 2021. Pursuant to Rule 15c3-1 of the Exchange Act, capital contributed to RHS and included in RHS’s net capital calculation may generally not be withdrawn from RHS for one year from the time of contribution. For more information about the convertible note and warrant financing, see “Certain Relationships and Related Person Transactions—Convertible Note and Warrant Financings.” For more information about regulation of our broker-dealer entities, see “Business—Regulation—Brokerage Regulation and Regulatory Capital and Deposit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Contractual Obligations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our contractual obligations as of the dates indicated below. The amount of the obligations presented in the table summarizes our commitments to settle contractual obligations in cash as of the dates presented.</w:t>
      </w:r>
    </w:p>
    <w:p>
      <w:pPr>
        <w:spacing w:after="0" w:line="199"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40976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right="1640"/>
        <w:spacing w:after="0" w:line="341" w:lineRule="auto"/>
        <w:rPr>
          <w:sz w:val="20"/>
          <w:szCs w:val="20"/>
          <w:color w:val="auto"/>
        </w:rPr>
      </w:pPr>
      <w:r>
        <w:rPr>
          <w:rFonts w:ascii="Arial" w:cs="Arial" w:eastAsia="Arial" w:hAnsi="Arial"/>
          <w:sz w:val="18"/>
          <w:szCs w:val="18"/>
          <w:b w:val="1"/>
          <w:bCs w:val="1"/>
          <w:color w:val="auto"/>
        </w:rPr>
        <w:t xml:space="preserve">As of March 31, 2021 </w:t>
      </w:r>
      <w:r>
        <w:rPr>
          <w:rFonts w:ascii="Arial" w:cs="Arial" w:eastAsia="Arial" w:hAnsi="Arial"/>
          <w:sz w:val="18"/>
          <w:szCs w:val="18"/>
          <w:color w:val="auto"/>
        </w:rPr>
        <w:t>Operating lease commitments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Non-cancelable purchase commitments</w:t>
      </w:r>
      <w:r>
        <w:rPr>
          <w:rFonts w:ascii="Arial" w:cs="Arial" w:eastAsia="Arial" w:hAnsi="Arial"/>
          <w:sz w:val="22"/>
          <w:szCs w:val="22"/>
          <w:color w:val="auto"/>
          <w:vertAlign w:val="superscript"/>
        </w:rPr>
        <w:t>(1)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right="740"/>
        <w:spacing w:after="0" w:line="265" w:lineRule="auto"/>
        <w:rPr>
          <w:sz w:val="20"/>
          <w:szCs w:val="20"/>
          <w:color w:val="auto"/>
        </w:rPr>
      </w:pPr>
      <w:r>
        <w:rPr>
          <w:rFonts w:ascii="Arial" w:cs="Arial" w:eastAsia="Arial" w:hAnsi="Arial"/>
          <w:sz w:val="18"/>
          <w:szCs w:val="18"/>
          <w:b w:val="1"/>
          <w:bCs w:val="1"/>
          <w:color w:val="auto"/>
        </w:rPr>
        <w:t xml:space="preserve">As of December 31, 2020 </w:t>
      </w:r>
      <w:r>
        <w:rPr>
          <w:rFonts w:ascii="Arial" w:cs="Arial" w:eastAsia="Arial" w:hAnsi="Arial"/>
          <w:sz w:val="18"/>
          <w:szCs w:val="18"/>
          <w:color w:val="auto"/>
        </w:rPr>
        <w:t>Operating lease commitments Non-cancelable purchase commitments</w:t>
      </w:r>
      <w:r>
        <w:rPr>
          <w:rFonts w:ascii="Arial" w:cs="Arial" w:eastAsia="Arial" w:hAnsi="Arial"/>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92,584</w:t>
            </w:r>
          </w:p>
        </w:tc>
        <w:tc>
          <w:tcPr>
            <w:tcW w:w="10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27,653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182,351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42,317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98,048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29,144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2"/>
                <w:szCs w:val="12"/>
                <w:color w:val="auto"/>
              </w:rPr>
            </w:pPr>
          </w:p>
        </w:tc>
        <w:tc>
          <w:tcPr>
            <w:tcW w:w="10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5"/>
        </w:trPr>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208,463</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-1653540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-1310640</wp:posOffset>
            </wp:positionV>
            <wp:extent cx="713232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-479425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060" w:space="720"/>
            <w:col w:w="646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58" w:lineRule="auto"/>
        <w:tabs>
          <w:tab w:leader="none" w:pos="327"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Non-cancelable purchase commitments are determined based on the non-cancelable quantities or termination amounts to which we are contractually obligated. They are primarily commitments for cloud infrastructure and data services and tenant improvements.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auto"/>
        </w:rPr>
        <w:t>Off-Balance Sheet Arrangements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as defined in Regulation S-K, that have or are reasonably likely to have a current or future material effect on our financial condition, changes in our financial condition, revenue,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a discussion of recently adopted accounting pronouncements and recently issued accounting pronouncements not yet adopted, see Note 2 to our consolidated financial statements included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Quantitative and Qualitative Disclosures About Market Risk</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type w:val="continuous"/>
        </w:sectPr>
      </w:pPr>
    </w:p>
    <w:bookmarkStart w:id="175" w:name="page176"/>
    <w:bookmarkEnd w:id="175"/>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exposure to changes in interest rates relates to interest earned on our cash and cash equivalents and segregated cash under federal and other regulations and interest incurred in relation to our credit facilities. We use a net interest sensitivity analysis to evaluate the effect that changes in interest rates might have on pre-tax income. The analysis assumes that the asset and liability structure of our consolidated balance sheet would not be changed as a result of a simulated change in interest rates. The results of the analysis based on our financial position as of December 31, 2020 and March 31, 2021, indicate that a hypothetical 100 basis point increase or decrease in interest rates would not have a material effect on our financial results. We also have exposure to change in interest rates related to our variable-rate credit facilities, which are described under “—Liquidity and Capital Resources” above. However, as there were no outstanding borrowings under our credit facilities as of March 31, 2021, we had limited financial exposure associated with changes in interest rates as of such date.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convertible notes bear interest at a fixed rate of 6% per annum that compounds semi-annually and is payable in-kind. As the interest rate is fixed, we have limited financial exposure associated with changes in interest rates. However, fluctuation in risk-free rate does impact the fair value of the convertible notes and warrant liability. The results of the analysis based on our financial position as of March 31, 2021, indicate that a hypothetical 100 basis point increase or decrease in risk-free rates would not have a material effect on our financial results.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cannot precisely estimate the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OCC.</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Policies and Estimates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(“GAAP”). The preparation of these consolidated financial statements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6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described below. For further information, see Note 1 to our consolidated financial statements included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16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5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as discussed in “—Common Stock Valuations” below.</w:t>
      </w:r>
    </w:p>
    <w:p>
      <w:pPr>
        <w:spacing w:after="0" w:line="135"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8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March 31, 2021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Market-based conditions include</w:t>
      </w:r>
    </w:p>
    <w:p>
      <w:pPr>
        <w:spacing w:after="0" w:line="1" w:lineRule="exact"/>
        <w:rPr>
          <w:sz w:val="20"/>
          <w:szCs w:val="20"/>
          <w:color w:val="auto"/>
        </w:rPr>
      </w:pPr>
    </w:p>
    <w:p>
      <w:pPr>
        <w:jc w:val="both"/>
        <w:ind w:firstLine="8"/>
        <w:spacing w:after="0" w:line="252" w:lineRule="auto"/>
        <w:tabs>
          <w:tab w:leader="none" w:pos="2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achievement of target stock prices whereby the award vests upon achievement of the target price or (ii) achievement of target stock prices whereby the award vests upon achievement of the target price and, in addition, the passage of an explicit service period. For the awards that have an explicit time-based service condition, compensation is taken over that period. Absent an explicit time-based service condition, compensation expense is taken over a derived service period based on the median time it takes to achieve the target price using a Monte Carlo simulation. See “Executive Compensation—Narrative Description of Executive Compensation Arrangements” for more information about the vesting conditions of our outstanding RSUs.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March 31, 2021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Valuations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Prior to this offering, given the absence of a public trading market for our common stock and in accordance with the American Institute of Certified Public Accountants Accounting and Valuation Guide, </w:t>
      </w:r>
      <w:r>
        <w:rPr>
          <w:rFonts w:ascii="Arial" w:cs="Arial" w:eastAsia="Arial" w:hAnsi="Arial"/>
          <w:sz w:val="18"/>
          <w:szCs w:val="18"/>
          <w:i w:val="1"/>
          <w:iCs w:val="1"/>
          <w:color w:val="auto"/>
        </w:rPr>
        <w:t>Valuation of Privately-Held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exercised reasonable judgment and considered numerous objective and subjective factors to determine the best estimate of fair value of our common stock. These factors included:</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prices paid for common or convertible preferred stock sold to third-party investors by us and prices paid in secondary transactions, including any tender offers;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a sale of our company, given prevailing market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unemployment, interest rate environment, and global economic trends.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enterprise value of our business was primarily estimated by reference to the closest round of equity financing or tender transaction preceding the date of the valuation. In a few cases, we also utilized the income or market approaches.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estimates value based on a comparison of the subject company to comparable public companies. From the comparable companies, a representative market value multiple is determined and then applied to the subject company’s financial forecasts to estimate the value of the subject company.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allocating the enterprise value of our business among the various classes of stock prior, we primarily used the option pricing method (“OPM”), which models each class of stock as a call option with a unique claim on our assets. 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Following this offering, it will not be necessary to determine the fair value of our Class A common stock, as the shares of our Class A common stock will be traded in the public market.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354965</wp:posOffset>
            </wp:positionV>
            <wp:extent cx="6986270" cy="905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354965</wp:posOffset>
            </wp:positionV>
            <wp:extent cx="6986905" cy="905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98690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BUSINESS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Our Mission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Who We Are</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have dissuaded millions of people from feeling welcome or taking part. Investing has long required expensive commissions to place trades, making it impractical for people with smaller balances to participate. In addition, many were unable to satisfy minimum account balance requirements, or were otherwise uncomfortable walking into a financial institution to complete paperwork or answer jargon-filled questions they did not understand. Investing can also seem unfamiliar, complex and confusing. Even when traditional brokerages moved their offerings online, we believe their product experiences were intimidating. Robinhood has set out to change this.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Robinhood is democratizing finance for all.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Customer feedback is at the heart of product development at Robinhood. In the early days, our 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For example, we have begun to expand our customer support functions, including phone-based voice support, to adequately support the significant growth in our user base. Additionally,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 Many of our customers are new to investing, and we are encouraged to see them taking their first steps toward wealth creation. We have replaced confusing jargon with simplicity and slang. Our tools are delightful and engaging.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foundation for future development. With a focused team and appropriate 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platform, which began as a U.S. stock-focused retail brokerage, currently offers:</w:t>
      </w:r>
    </w:p>
    <w:p>
      <w:pPr>
        <w:spacing w:after="0" w:line="198"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trading in U.S.-listed stocks and ETFs, as well as related options and ADRs;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cryptocurrency trading through our subsidiary, RHC, with seven different cryptocurrencies available for trading as of March 31, 2021;</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IPO Access, which enables our customers to buy shares in participating IPOs at the IPO price, before trading begins on public exchanges, with no account minimums;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FDIC pass-through insurance on cash swept from their brokerage account; and</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180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seen an enthusiastic response from customers and are humbled by how often they share Robinhood with their families, friends and colleagues. This powerful word-of-mouth referral network has helped to rapidly grow our customer base. In 2020, our Net Cumulative Funded Accounts grew 143% to 12.5 million, and had increased to 18.0 million as of March 31, 2021, with over 80% of new Funded Accounts in 2020 and in the three months ended March 31, 2021, joining our platform organically or through the Robinhood Referral Program. A customer is considered to have joined organically if we cannot attribute that customer’s acquisition to a paid marketing channel, such as broad-scale advertising or clicking through an online advertisement, or to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and description of the “Robinhood Referral Program,” see “Management’s Discussion and Analysis of Financial Condition and Results of Operations—Our Business Model—New Customer Growth.”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85"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vision is for Robinhood to become the most trusted, lowest-cost, and most culturally relevant money app 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57" w:lineRule="exact"/>
        <w:rPr>
          <w:sz w:val="20"/>
          <w:szCs w:val="20"/>
          <w:color w:val="auto"/>
        </w:rPr>
      </w:pPr>
    </w:p>
    <w:p>
      <w:pPr>
        <w:jc w:val="both"/>
        <w:ind w:left="660" w:hanging="328"/>
        <w:spacing w:after="0" w:line="252"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79"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cryptocurrency trading platform offers commission-free buying and selling of cryptocurrency through our subsidiary, RHC. From February 21, 2018, the day before we introduced cryptocurrency trading on our platform, to March 31, 2021, the total cryptocurrency market capitalization has grown from approximately $450 billion to approximately $1.9 trillion, driven by increased adoption of cryptocurrency trading by both retail and institutional investors, as well as continued growth of various non-investing use cases for crypto-assets. In addition, the worldwide daily average market volume of Bitcoin, which was the most traded cryptocurrency on our platform by notional value for the year ended December 31, 2020 and for the three months ended March 31, 2021, was over $54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w:t>
      </w:r>
    </w:p>
    <w:p>
      <w:pPr>
        <w:spacing w:after="0" w:line="157" w:lineRule="exact"/>
        <w:rPr>
          <w:rFonts w:ascii="Arial" w:cs="Arial" w:eastAsia="Arial" w:hAnsi="Arial"/>
          <w:sz w:val="18"/>
          <w:szCs w:val="18"/>
          <w:color w:val="auto"/>
        </w:rPr>
      </w:pPr>
    </w:p>
    <w:p>
      <w:pPr>
        <w:jc w:val="both"/>
        <w:ind w:left="660" w:hanging="328"/>
        <w:spacing w:after="0" w:line="224"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 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attention, we plan to expand our phone-based voice support to additional use cases and are increasing the number of customer support professionals we employ. See “—Harnessing Our Platform—Customer Support.”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currently only operate our business in the United States and offer services only to U.S. citizens and permanent residents with a legal address within the United States or Puerto Rico, we believe there is also an important opportunity to democratize retail investing outside of the United States. Total global wealth outside of the United States, as of mid-2019, has been estimated at over $250 trillion, according to the Credit Suisse Research Institute. Even in brokerage alone, we believe our international market opportunity is very significant; as an example, based on Hardman &amp; Co. research, as of early 2018, there were more than £2.5 trillion total assets in the United Kingdom addressable by investing platforms, but less than 30% of such assets were then served.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 In addition, we continue to work to deliver a beautifully designed, intuitive product experience including developing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designs to celebrate investing milestones of our customers in a responsible way. For example,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What’s more, Robinhood customers are highly engaged with our platform across multiple products and services; by March 31, 2021, which is less than two years after Cash Management was introduced in 2019, over 3.4 million of our customers were debit card holders with our Cash Management offering, and, from our launch of fractional shares in 2019 to March 31, 2021, approximately 11 million customers have placed a fractional trade on Robinhood. Additionally,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 We believe that the extent to which our existing and potential customers use and engage with our products and services is an important indicator of their level of interest in our platform. While not all forms of engagement directly impact our financial results, we believe that having highly engaged customers allows us to develop long-term relationships with them and introduce them to new products and services as our platform and offerings develop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Continue Adding New Customers to Our Platform</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simplifying how people interact with financial products, allowing new customers from all walks of life and generations to participate in the financial system. While we have established a strong brand and achieved significant growth to date, we believe we are still in the early stages of growth in our existing markets. For example, according to a 2019 Pew Research survey, approximately 60% of all Americans still do not have investments outside of their retirement accounts, and, according to a 2020 Gallup poll,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even greater percentage of young adults aged 18 to 29—68%—have no money invested in the stock market at all. Accordingly, we believe there remains a significant opportunity for us to continue growing our customer base as we attract new investors to financial markets.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Historically, the majority of our customers has joined organically or through the Robinhood Referral Program, with over 80% of our customers with new Funded Accounts in 2020 and in the three months ended March 31, 2021 coming to us through these channels. We have achieved our growth with relatively little investment in traditional sales and marketing efforts, although we have done substantial in-market testing to determine how to most efficiently utilize paid channels. We plan to increase our marketing in the future and anticipate that our digital and paid marketing efforts will drive higher brand awareness that can further accelerate our growth.</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“—Legal Proceedings” for more information about these challenges, including the March 2020 Outages, the April-May 2021 Outages, and the Early 2021 Trading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with Our Customers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our customers are just beginning their financial journeys. As our customers grow their wealth, we believe they will continue to expand their relationship with our platform, providing an increased opportunity to meet their growing financial needs. The 25- to 40-year-old population has experienced a rapid rise in net worth over the last decade (with average annual growth of approximately 30% since 2010), but today collectively comprises just 5% of total wealth within the United States, according to the Federal Reserve. This younger generation is poised to see its wealth expand in the coming years—Deloitte has projected that they will account for 16% of U.S. wealth by 2030—and participation in the markets will provide a critical opportunity as younger Americans grow their assets and build financial security for themselves and their families.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Continuing Product and Technology Innovation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continue to invest in our platform through four key areas: product innovation, educational content, technology and infrastructure improvements, and customer support. We seek to improve our existing products and introduce new products over time as we continue to solicit feedback from our customers on how best to address their financial needs. Importantly, we will continue to improve our educational offerings to equip our customers with the knowledge they need to participate in the financial system. As we scale and grow, we plan to further build upon our technology infrastructure to meet the increased activity on our platform. Finally, we will continue to improve our customer support functions as we scale, including continuing to scale phone-based voice support to more use cases as we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Internationally</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we currently only operate our business in the United States and offer services to only U.S. citizens and permanent residents with a legal address within the continental United States or Puerto Rico, we believe there is a significant opportunity for Robinhood to grow internationally. Over time, we intend to pursue a disciplined approach to international expansion, including into Europe and Asia, and will consider factors such as population size and demographics, legal and regulatory environments and general investing attitudes in potential new markets prior to pursuing any such expansion. While our near-term focus remains on our current U.S. customers, we have already made technical investments in our clearing platform that we believe will allow us to expand to serve customers in other geographies more easily in the future. However, we do not currently have a specific timeframe for international expansion, and any plans to pursue international expansion are uncertain and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Customers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friendly, approachable, and understandable to newcomers and experts alike. We have reached customers across the United States from a wide variety of social and economic backgrounds and, from January 1, 2015 to March 31, 2021, over half of the customers funding accounts on our platform told us that Robinhood was their first brokerage account. We see evidence that most of our customers are primarily buy-and-hold investors, and the vast majority of our customers are not considered to be “pattern day traders” as defined under FINRA rules. According to a paper published by the National Bureau of Economic Research, as market volatility increased in March 2020, Robinhood customers acted as a small but active market-stabilizing force, and their collective portfolios performed on par with standard academic benchmark models.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take pride in the fact that we are expanding the market by welcoming new investors into the financial system and helping the next generation of investors build sound long-term investing, saving and spending habits. For example, as of March 31, 2021, approximately 70% of our AUC came from customers on our platform aged 18 to 40, and the median age of customers on our platform was 31. We continue to welcome an increasing proportion of women to our platform, having tripled the number of women on our platform at the end of 2020 as compared to 2019. Surveys also indicate that our customers are more racially diverse than customers at incumbent brokerages. Based on a representative sampling between July 2020 and December 2020, African-American investors represented 9% of Robinhood’s customer base, compared with just 3% at incumbent firms. Over the same period, Hispanic investors accounted for 16% of Robinhood’s customers, compared with 7% at incumbent firms. Meanwhile, stock ownership across the board is more diverse than it was a few years ago, according to Federal Reserve data. This is a promising trend that’s continued into the past year. Most new investors in 2020 were more likely to be racially and ethnically diverse than the investors who came before them, per research by the FINRA foundation and NORC at the University of Chicago.</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customers have healthy financial habits beyond investing as well. According to data from Experian based on a sampling of approximately two million Funded Accounts in November 2020, approximately 65% of our customers with Funded Accounts have credit scores of prime or higher, and over 65% have debt to income ratios under 20%. Moreover, more than half of our customers who participated in a 2020 survey said that Robinhood helped motivate them to save money.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regularly communicate with our customers—not just to provide support, but also to learn more about their experiences and insights, and to respond to their feedback about our products. This keeps us connected with customers and enables us to understand their expectations and the problems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opportunities they face financially. Listening to their stories, our customers tell us how Robinhood has changed their views about investing and has given them confidence to participate in the financial system.</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67" w:lineRule="exact"/>
        <w:rPr>
          <w:sz w:val="20"/>
          <w:szCs w:val="20"/>
          <w:color w:val="auto"/>
        </w:rPr>
      </w:pPr>
    </w:p>
    <w:p>
      <w:pPr>
        <w:jc w:val="both"/>
        <w:ind w:left="660" w:hanging="328"/>
        <w:spacing w:after="0" w:line="255"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 The reliability of our platform takes precedence over all else, so that we can be</w:t>
      </w:r>
      <w:r>
        <w:rPr>
          <w:rFonts w:ascii="Arial" w:cs="Arial" w:eastAsia="Arial" w:hAnsi="Arial"/>
          <w:sz w:val="18"/>
          <w:szCs w:val="18"/>
          <w:i w:val="1"/>
          <w:iCs w:val="1"/>
          <w:color w:val="auto"/>
        </w:rPr>
        <w:t xml:space="preserve"> </w:t>
      </w:r>
      <w:r>
        <w:rPr>
          <w:rFonts w:ascii="Arial" w:cs="Arial" w:eastAsia="Arial" w:hAnsi="Arial"/>
          <w:sz w:val="18"/>
          <w:szCs w:val="18"/>
          <w:color w:val="auto"/>
        </w:rPr>
        <w:t>there for our customers when they need us the most. We relentlessly protect our customers’ security and privacy, and we only share with our counterparties what they need to fulfill our customers’ financial needs, nothing more. We build safeguards and provide education so that our customers are in the best position to succeed. We have high-quality timely customer support, and when things aren’t right, we fix them. We work closely with regulators and lawmakers to protect our customers and the broader financial system. We speak simply, plainly, and truthfully, even if it’s not what others want to hear. We hold ourselves and our colleagues to the highest ethical standards.</w:t>
      </w:r>
    </w:p>
    <w:p>
      <w:pPr>
        <w:spacing w:after="0" w:line="16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 We founded Robinhood in the wake of the financial crisis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we identified a gap—the more you had, the better deal you got. We aim to give everyone access to the financial system, regardless of their background or bank account balance. That’s why we have uniform interest rates, no account minimums and a product that was designed from the ground up for small accounts. We would rather serve many small customers over a few large ones. We reflect the world around us, and we elevate and embrace all voices so everyone feels at home at Robinhood.</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 From the early days of Robinhood, we have prioritized getting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 customer feedback on what we were building. Talking to our customers forms the kernel of the product development process we have today. We listen with empathy, ask questions, and critically evaluate our work by how valuable our customers find it. We never stop asking how we can make our product better, and we never settle for ‘good enough’. We listen to our colleagues, and we start from a place of believing they are capable and well-intentioned. We delight our customers and take pride in our work. Otherwise, why even be here?</w:t>
      </w:r>
    </w:p>
    <w:p>
      <w:pPr>
        <w:spacing w:after="0" w:line="14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 Our foundation is in art, science, and pure mathematics,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we have a deep appreciation for the scientific process. We develop hypotheses and design experiments to test them. We reduce complex problems to their constituent bits. We debate vigorously and change our minds when confronted with the right evidence. We bravely do what’s right. We treat our company like a product and aim to get better, every single day.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commitments to our customers include:</w:t>
      </w:r>
    </w:p>
    <w:p>
      <w:pPr>
        <w:spacing w:after="0" w:line="185" w:lineRule="exact"/>
        <w:rPr>
          <w:sz w:val="20"/>
          <w:szCs w:val="20"/>
          <w:color w:val="auto"/>
        </w:rPr>
      </w:pPr>
    </w:p>
    <w:p>
      <w:pPr>
        <w:jc w:val="both"/>
        <w:ind w:right="20" w:firstLine="324"/>
        <w:spacing w:after="0" w:line="413" w:lineRule="auto"/>
        <w:rPr>
          <w:sz w:val="20"/>
          <w:szCs w:val="20"/>
          <w:color w:val="auto"/>
        </w:rPr>
      </w:pPr>
      <w:r>
        <w:rPr>
          <w:sz w:val="1"/>
          <w:szCs w:val="1"/>
          <w:color w:val="auto"/>
        </w:rPr>
        <w:drawing>
          <wp:inline distT="0" distB="0" distL="0" distR="0">
            <wp:extent cx="342900" cy="3429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No Commission Fees</w:t>
      </w:r>
      <w:r>
        <w:rPr>
          <w:rFonts w:ascii="Arial" w:cs="Arial" w:eastAsia="Arial" w:hAnsi="Arial"/>
          <w:sz w:val="18"/>
          <w:szCs w:val="18"/>
          <w:color w:val="auto"/>
        </w:rPr>
        <w:t>. We believe that everyone should have equal access to financial markets. Regardless of how much money</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intend to invest, they will not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 minimums or charged commissions to buy or sell stocks, ETFs, options or cryptocurrencies on Robinhood.</w:t>
      </w:r>
    </w:p>
    <w:p>
      <w:pPr>
        <w:spacing w:after="0" w:line="199" w:lineRule="exact"/>
        <w:rPr>
          <w:sz w:val="20"/>
          <w:szCs w:val="20"/>
          <w:color w:val="auto"/>
        </w:rPr>
      </w:pPr>
    </w:p>
    <w:p>
      <w:pPr>
        <w:jc w:val="both"/>
        <w:ind w:right="20" w:firstLine="324"/>
        <w:spacing w:after="0" w:line="383" w:lineRule="auto"/>
        <w:rPr>
          <w:sz w:val="20"/>
          <w:szCs w:val="20"/>
          <w:color w:val="auto"/>
        </w:rPr>
      </w:pPr>
      <w:r>
        <w:rPr>
          <w:sz w:val="1"/>
          <w:szCs w:val="1"/>
          <w:color w:val="auto"/>
        </w:rPr>
        <w:drawing>
          <wp:inline distT="0" distB="0" distL="0" distR="0">
            <wp:extent cx="342900" cy="3429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Quality Execution</w:t>
      </w:r>
      <w:r>
        <w:rPr>
          <w:rFonts w:ascii="Arial" w:cs="Arial" w:eastAsia="Arial" w:hAnsi="Arial"/>
          <w:sz w:val="18"/>
          <w:szCs w:val="18"/>
          <w:color w:val="auto"/>
        </w:rPr>
        <w:t>. We perform regular and rigorous reviews of the execution quality our customers receive from our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makers, including the execution price, speed and price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wp:posOffset>
            </wp:positionV>
            <wp:extent cx="342900" cy="44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44577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914"/>
        <w:spacing w:after="0" w:line="282" w:lineRule="auto"/>
        <w:rPr>
          <w:sz w:val="20"/>
          <w:szCs w:val="20"/>
          <w:color w:val="auto"/>
        </w:rPr>
      </w:pPr>
      <w:r>
        <w:rPr>
          <w:rFonts w:ascii="Arial" w:cs="Arial" w:eastAsia="Arial" w:hAnsi="Arial"/>
          <w:sz w:val="18"/>
          <w:szCs w:val="18"/>
          <w:i w:val="1"/>
          <w:iCs w:val="1"/>
          <w:color w:val="auto"/>
        </w:rPr>
        <w:t>High Security Standards</w:t>
      </w:r>
      <w:r>
        <w:rPr>
          <w:rFonts w:ascii="Arial" w:cs="Arial" w:eastAsia="Arial" w:hAnsi="Arial"/>
          <w:sz w:val="18"/>
          <w:szCs w:val="18"/>
          <w:color w:val="auto"/>
        </w:rPr>
        <w:t>. We are committed to keeping our customers’ accounts safe. We offer security tools, including two-factor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 and a promise to reimburse direct losses that happen due to unauthorized activity that is not the fault of our customer.</w:t>
      </w:r>
    </w:p>
    <w:p>
      <w:pPr>
        <w:spacing w:after="0" w:line="153" w:lineRule="exact"/>
        <w:rPr>
          <w:sz w:val="20"/>
          <w:szCs w:val="20"/>
          <w:color w:val="auto"/>
        </w:rPr>
      </w:pPr>
    </w:p>
    <w:p>
      <w:pPr>
        <w:jc w:val="both"/>
        <w:ind w:firstLine="324"/>
        <w:spacing w:after="0" w:line="265" w:lineRule="auto"/>
        <w:rPr>
          <w:sz w:val="20"/>
          <w:szCs w:val="20"/>
          <w:color w:val="auto"/>
        </w:rPr>
      </w:pPr>
      <w:r>
        <w:rPr>
          <w:sz w:val="1"/>
          <w:szCs w:val="1"/>
          <w:color w:val="auto"/>
        </w:rPr>
        <w:drawing>
          <wp:inline distT="0" distB="0" distL="0" distR="0">
            <wp:extent cx="342900" cy="3429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Extra Protection</w:t>
      </w:r>
      <w:r>
        <w:rPr>
          <w:rFonts w:ascii="Arial" w:cs="Arial" w:eastAsia="Arial" w:hAnsi="Arial"/>
          <w:sz w:val="18"/>
          <w:szCs w:val="18"/>
          <w:color w:val="auto"/>
        </w:rPr>
        <w:t>. RHF and RHS are members of Securities Investor Protection Corporation (“SIPC”), which protects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cash and securities of its members up to $500,000 (including $250,000 for claims for cash). In addition to SIPC protection, Robinhood provides its brokerage customers with additional "excess of SIPC" coverage, which provides an aggregate of $100 million of coverage—up to $1.5 million for cash and $10.0 million for securities per customer. Further, our Cash Management product places customer cash with FDIC-insured banks.</w:t>
      </w:r>
    </w:p>
    <w:p>
      <w:pPr>
        <w:spacing w:after="0" w:line="174" w:lineRule="exact"/>
        <w:rPr>
          <w:sz w:val="20"/>
          <w:szCs w:val="20"/>
          <w:color w:val="auto"/>
        </w:rPr>
      </w:pPr>
    </w:p>
    <w:p>
      <w:pPr>
        <w:jc w:val="both"/>
        <w:ind w:firstLine="324"/>
        <w:spacing w:after="0" w:line="276" w:lineRule="auto"/>
        <w:rPr>
          <w:sz w:val="20"/>
          <w:szCs w:val="20"/>
          <w:color w:val="auto"/>
        </w:rPr>
      </w:pPr>
      <w:r>
        <w:rPr>
          <w:sz w:val="1"/>
          <w:szCs w:val="1"/>
          <w:color w:val="auto"/>
        </w:rPr>
        <w:drawing>
          <wp:inline distT="0" distB="0" distL="0" distR="0">
            <wp:extent cx="342900" cy="3429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Dedicated Support</w:t>
      </w:r>
      <w:r>
        <w:rPr>
          <w:rFonts w:ascii="Arial" w:cs="Arial" w:eastAsia="Arial" w:hAnsi="Arial"/>
          <w:sz w:val="18"/>
          <w:szCs w:val="18"/>
          <w:color w:val="auto"/>
        </w:rPr>
        <w:t>. We aim to respond to our customers as quickly as possible to resolve issues swiftly and will continue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expanding our customer support functions. We have a growing team of hundreds of registered financial representatives across the United States who are focused on one thing: our customers.</w:t>
      </w:r>
    </w:p>
    <w:p>
      <w:pPr>
        <w:spacing w:after="0" w:line="170" w:lineRule="exact"/>
        <w:rPr>
          <w:sz w:val="20"/>
          <w:szCs w:val="20"/>
          <w:color w:val="auto"/>
        </w:rPr>
      </w:pPr>
    </w:p>
    <w:p>
      <w:pPr>
        <w:jc w:val="both"/>
        <w:ind w:firstLine="324"/>
        <w:spacing w:after="0" w:line="383" w:lineRule="auto"/>
        <w:rPr>
          <w:sz w:val="20"/>
          <w:szCs w:val="20"/>
          <w:color w:val="auto"/>
        </w:rPr>
      </w:pPr>
      <w:r>
        <w:rPr>
          <w:sz w:val="1"/>
          <w:szCs w:val="1"/>
          <w:color w:val="auto"/>
        </w:rPr>
        <w:drawing>
          <wp:inline distT="0" distB="0" distL="0" distR="0">
            <wp:extent cx="342900" cy="3429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Transparency</w:t>
      </w:r>
      <w:r>
        <w:rPr>
          <w:rFonts w:ascii="Arial" w:cs="Arial" w:eastAsia="Arial" w:hAnsi="Arial"/>
          <w:sz w:val="18"/>
          <w:szCs w:val="18"/>
          <w:color w:val="auto"/>
        </w:rPr>
        <w:t>. We aim to operate a transparent business model. We currently dedicate a portion of our website to describing how</w:t>
      </w:r>
      <w:r>
        <w:rPr>
          <w:rFonts w:ascii="Arial" w:cs="Arial" w:eastAsia="Arial" w:hAnsi="Arial"/>
          <w:sz w:val="18"/>
          <w:szCs w:val="18"/>
          <w:i w:val="1"/>
          <w:iCs w:val="1"/>
          <w:color w:val="auto"/>
        </w:rPr>
        <w:t xml:space="preserve"> </w:t>
      </w:r>
      <w:r>
        <w:rPr>
          <w:rFonts w:ascii="Arial" w:cs="Arial" w:eastAsia="Arial" w:hAnsi="Arial"/>
          <w:sz w:val="18"/>
          <w:szCs w:val="18"/>
          <w:color w:val="auto"/>
        </w:rPr>
        <w:t>we make money and we will continue to keep our customers informed about how we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Products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products can transform the relationship people have with the financial system. We began by offering our customers the ability to buy and sell equities on a mobile-first platform and have since continued to expand our offerings to add products and features that our customers try and love. Each capability we have added has been the result of a continuous focus on our customers’ needs and feedback, which has guided our product development decisions throughout our history.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be the single money app to serve all of our customers’ financial needs.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Solutions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allows our customers to invest commission-free in stocks, ETFs and options—all from their smartphone. We believe we have designed an elegant, intuitive investing interface that provides our customers with trading functionality and market information such as historical prices, valuation multiples, recent news, analyst ratings, and more. Stock and ETF trading is immediately available following our simple account onboarding process and funding. Through Robinhood Gold, our monthly paid subscription service, our customers can access premium features such as enhanced instant access to deposits, professional research, Nasdaq Level II market data and, upon approval, access to margin investing, as further described under “—Robinhood Gold” below. Buying and selling of select cryptocurrencies is also available through RHC, as further described under “—Robinhood Crypto” below.</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review eligibility for our customers who wish to trade options, including disclosure of investment experience and 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 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w:t>
      </w:r>
    </w:p>
    <w:p>
      <w:pPr>
        <w:spacing w:after="0" w:line="16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we have built out our offerings, we have also added fractional shares, recurring investments and IPO Access to help our customers diversify their investments regardless of their portfolio size:</w:t>
      </w:r>
    </w:p>
    <w:p>
      <w:pPr>
        <w:spacing w:after="0" w:line="153" w:lineRule="exact"/>
        <w:rPr>
          <w:sz w:val="20"/>
          <w:szCs w:val="20"/>
          <w:color w:val="auto"/>
        </w:rPr>
      </w:pPr>
    </w:p>
    <w:p>
      <w:pPr>
        <w:jc w:val="both"/>
        <w:ind w:left="660" w:hanging="328"/>
        <w:spacing w:after="0" w:line="256"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Fractional share trading allows customers to invest in fractions of a share of stock, rather than requiring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buy and sell whole shares. We have seen rapid adoption of this offering and, in the first quarter of 2021 alone, over 40% of customer equity trades by number were fractional trades. This service enables customers to build a diversified portfolio regardless of their budget and removes a barrier to investing in higher-priced stocks, thereby providing access to a much greater selection of equities with as little as $1. From our launch of fractional shares in 2019 to March 31, 2021, approximately 11 million customers have placed a fractional trade on Robinhood.</w:t>
      </w:r>
    </w:p>
    <w:p>
      <w:pPr>
        <w:spacing w:after="0" w:line="146"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Recurring investments. </w:t>
      </w:r>
      <w:r>
        <w:rPr>
          <w:rFonts w:ascii="Arial" w:cs="Arial" w:eastAsia="Arial" w:hAnsi="Arial"/>
          <w:sz w:val="18"/>
          <w:szCs w:val="18"/>
          <w:color w:val="auto"/>
        </w:rPr>
        <w:t>Our recurring investment feature enables our customers to automatically buy shares of equities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ETFs on a set schedule, allowing them to build positions over time and establish regular investing habits, even with small contributions. Our customers can also elect to automatically reinvest dividend income back into the underlying respective shares.</w:t>
      </w:r>
    </w:p>
    <w:p>
      <w:pPr>
        <w:spacing w:after="0" w:line="135"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IPO Access</w:t>
      </w:r>
      <w:r>
        <w:rPr>
          <w:rFonts w:ascii="Arial" w:cs="Arial" w:eastAsia="Arial" w:hAnsi="Arial"/>
          <w:sz w:val="18"/>
          <w:szCs w:val="18"/>
          <w:color w:val="auto"/>
        </w:rPr>
        <w:t>. Our IPO Access feature enables our customers to buy shares in participating IPOs at the IPO price, before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begins on public exchanges. With IPO Access, our customers can participate with no account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Investing with Robinhood: How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3008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Crypto</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offer commission-free cryptocurrency trading through our subsidiary, RHC, using the same intuitive, mobile interface as our broader Investing Solutions platform. We originally launched our crypto trading product in February 2018 in five states and supported trading in two cryptocurrencies. As of March 31, 2021, we have expanded our coverage to 46 states and Washington D.C., and support trading in seven different cryptocurrencies: Bitcoin, Bitcoin Cash, Bitcoin SV, Dogecoin, Ethereum, Ethereum Classic and Litecoin. In addition, we support real-time market data for 10 cryptocurrencies, which is available to all customers. In the first quarter of 2021 alone, we saw over 9.5 million customers trade approximately $88 billion of cryptocurrency on our platform, and we held approximately $12 billion in cryptocurrency Assets Under Custody as of March 31, 2021, a 23-fold increase from March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does not currently permit customers to deposit and withdraw fiat and cryptocurrencies directly with RHC, and neither RHF nor RHS holds cryptocurrencies for RHC customers. Therefore, in order to participate in cryptocurrency trading on our platform, customers must have both a brokerage account with RHF and sufficient fiat funds available in such brokerage account to fund cryptocurrency purchases made through RHC; customers must also have a brokerage account into which proceeds from the sale of the customer’s cryptocurrency can be credited. RHC engages with third-party market makers to provide liquidity for customer crypto trading and all orders placed on RHC are routed to market makers for execution. Specifically, when an RHC customer places an order to purchase cryptocurrency, the customer authorizes the transfer of funds from their RHF brokerage account to an RHC-owned account at RHS, RHS takes the customer's instructions and causes the customer's cash funds to be transferred to the RHC-owned account at RHS, and RHC relies on this cash transfer to place the cryptocurrency trade with a third-party market maker. The fiat in the customer account at RHF and in the RHC-owned account at RHS is custodied by RHS at the same third-party national bank. Similarly, if a customer instructs RHC to sell a cryptocurrency, RHC sends the customer order to a third-party market maker for execution. The proceeds from the sale of the cryptocurrency are deposited by RHC to the customer's RHF brokerage account custodied by RHS while RHC separately settles with its market makers through the RHC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settlement bank. Accordingly, to facilitate fiat settlement with market makers, RHC and its market makers each have banking relationships with third-party banks. For more information about RHC’s relationships with third-party banks and trading venues, see “Risk Factors—Risks Related to Our Cryptocurrency Products and Services—</w:t>
      </w:r>
      <w:r>
        <w:rPr>
          <w:rFonts w:ascii="Arial" w:cs="Arial" w:eastAsia="Arial" w:hAnsi="Arial"/>
          <w:sz w:val="18"/>
          <w:szCs w:val="18"/>
          <w:i w:val="1"/>
          <w:iCs w:val="1"/>
          <w:color w:val="auto"/>
        </w:rPr>
        <w:t>Any inability to maintain adequate relationships with affiliates, third-party banks and</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venues with respect to, and any inability to settle customer trades related to, RHC’s cryptocurrency offerings, may adversely affect our business, financial condition and results of operations</w:t>
      </w:r>
      <w:r>
        <w:rPr>
          <w:rFonts w:ascii="Arial" w:cs="Arial" w:eastAsia="Arial" w:hAnsi="Arial"/>
          <w:sz w:val="18"/>
          <w:szCs w:val="18"/>
          <w:color w:val="auto"/>
        </w:rPr>
        <w:t>.”</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status as one of the largest retail cryptocurrency platforms, as well as our customer-centric approach to new product development, positions us well to further build out our suite of features and capabilities. We continue to invest in our cryptocurrency trading offering, evaluating new features and product capabilities as the cryptocurrency landscape develops. For example, we intend to provide our customers with the ability to deposit or withdraw our seven traded cryptocurrencies into or from our platform, and, relatedly, to allow customer transfers of fiat to and from RHC other than via their RHF brokerage accounts as described above, in the future. We are working on building the administrative, technical and physical safeguards and money transmitter policies and procedures and investing in the key personnel necessary to implement these new product features. Enabling deposits and withdrawals of cryptocurrencies on our platform is primarily a technology build involving a cross-functional team of employees spanning our technology, product, legal, risk and compliance departments. We have increased hiring across engineering, security, and compliance to support the RHC business and appointed a new Chief Operating Officer of RHC. We cannot currently predict an exact timeline for when we will be able to offer these new features and any unexpected difficulty we encounter in implementing such features could result in a delay. For more information about the risks associated with RHC’s existing and potential future cryptocurrency offerings, including heightened risks related to potential violations of trade sanctions, including OFAC regulations, and anti-money laundering and counter-terrorist financing laws, see “—Legal Proceedings—RHC Anti-Money Laundering, Cybersecurity and Other Issues” and “Risk Factors—Risks Related to Our Cryptocurrency Products and Services—</w:t>
      </w:r>
      <w:r>
        <w:rPr>
          <w:rFonts w:ascii="Arial" w:cs="Arial" w:eastAsia="Arial" w:hAnsi="Arial"/>
          <w:sz w:val="18"/>
          <w:szCs w:val="18"/>
          <w:i w:val="1"/>
          <w:iCs w:val="1"/>
          <w:color w:val="auto"/>
        </w:rPr>
        <w:t>If in the future we were to</w:t>
      </w:r>
      <w:r>
        <w:rPr>
          <w:rFonts w:ascii="Arial" w:cs="Arial" w:eastAsia="Arial" w:hAnsi="Arial"/>
          <w:sz w:val="18"/>
          <w:szCs w:val="18"/>
          <w:color w:val="auto"/>
        </w:rPr>
        <w:t xml:space="preserve"> </w:t>
      </w:r>
      <w:r>
        <w:rPr>
          <w:rFonts w:ascii="Arial" w:cs="Arial" w:eastAsia="Arial" w:hAnsi="Arial"/>
          <w:sz w:val="18"/>
          <w:szCs w:val="18"/>
          <w:i w:val="1"/>
          <w:iCs w:val="1"/>
          <w:color w:val="auto"/>
        </w:rPr>
        <w:t>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r>
        <w:rPr>
          <w:rFonts w:ascii="Arial" w:cs="Arial" w:eastAsia="Arial" w:hAnsi="Arial"/>
          <w:sz w:val="18"/>
          <w:szCs w:val="18"/>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2991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Gold</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Gold is a monthly subscription service that grants our customers access to a number of premium features. After the initial 30-day free trial, customers pay a flat monthly rate. As of March 31, 2021, we had approximately 1.4 million customers subscribed to Robinhood Gold on our platform. Our premium features offered to Gold subscribers include:</w:t>
      </w:r>
    </w:p>
    <w:p>
      <w:pPr>
        <w:spacing w:after="0" w:line="143" w:lineRule="exact"/>
        <w:rPr>
          <w:sz w:val="20"/>
          <w:szCs w:val="20"/>
          <w:color w:val="auto"/>
        </w:rPr>
      </w:pPr>
    </w:p>
    <w:p>
      <w:pPr>
        <w:ind w:left="660" w:hanging="328"/>
        <w:spacing w:after="0" w:line="282"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Enhanced instant access to deposits. </w:t>
      </w:r>
      <w:r>
        <w:rPr>
          <w:rFonts w:ascii="Arial" w:cs="Arial" w:eastAsia="Arial" w:hAnsi="Arial"/>
          <w:sz w:val="18"/>
          <w:szCs w:val="18"/>
          <w:color w:val="auto"/>
        </w:rPr>
        <w:t>Subscribers can instantly access $5,000 to $50,000 upon making a deposit, depending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value.</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research. </w:t>
      </w:r>
      <w:r>
        <w:rPr>
          <w:rFonts w:ascii="Arial" w:cs="Arial" w:eastAsia="Arial" w:hAnsi="Arial"/>
          <w:sz w:val="18"/>
          <w:szCs w:val="18"/>
          <w:color w:val="auto"/>
        </w:rPr>
        <w:t>Subscribers have unlimited access to in-depth stock research reports on approximately 1,000 stocks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Morningstar.</w:t>
      </w:r>
    </w:p>
    <w:p>
      <w:pPr>
        <w:spacing w:after="0" w:line="13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Nasdaq Level II market data. </w:t>
      </w:r>
      <w:r>
        <w:rPr>
          <w:rFonts w:ascii="Arial" w:cs="Arial" w:eastAsia="Arial" w:hAnsi="Arial"/>
          <w:sz w:val="18"/>
          <w:szCs w:val="18"/>
          <w:color w:val="auto"/>
        </w:rPr>
        <w:t>Subscribers have the ability to see greater depth of orders for any given stock or option.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multiple buy and sell requests helps subscribers understand the availability or desire for a stock at a certain price.</w:t>
      </w:r>
    </w:p>
    <w:p>
      <w:pPr>
        <w:spacing w:after="0" w:line="107" w:lineRule="exact"/>
        <w:rPr>
          <w:rFonts w:ascii="Arial" w:cs="Arial" w:eastAsia="Arial" w:hAnsi="Arial"/>
          <w:sz w:val="18"/>
          <w:szCs w:val="18"/>
          <w:color w:val="auto"/>
        </w:rPr>
      </w:pPr>
    </w:p>
    <w:p>
      <w:pPr>
        <w:jc w:val="both"/>
        <w:ind w:left="660" w:hanging="328"/>
        <w:spacing w:after="0" w:line="225"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Access to investing on margin. </w:t>
      </w:r>
      <w:r>
        <w:rPr>
          <w:rFonts w:ascii="Arial" w:cs="Arial" w:eastAsia="Arial" w:hAnsi="Arial"/>
          <w:sz w:val="18"/>
          <w:szCs w:val="18"/>
          <w:color w:val="auto"/>
        </w:rPr>
        <w:t>Subject to approval upon meeting eligibility criteria set by Robinhood, subscribers can invest 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at highly competitive interest rates. This allows eligible subscribers to borrow a limited amount of funds, depending on account size, to use as additional investing capital. The first $1,000 in margin borrowed by each user is included in their monthly Gold subscription fee, meaning that no interest is charged on that initial $1,000 (but that initial $1,000 remains subject to ordinary margin collateral requirements). If the subscriber chooses to borrow more funds, the subscriber will be charged 2.5% annual interest on any margin used above $1,000, which interest is calculated daily and charged to the subscriber’s account at the end of each billing cycle. Robinhood decides whether to extend margin to each customer who applies for access based on information regarding customer activity, portfolio equity or net worth criteria, investment objectives and investing experience reported by the customer, and does not run third-party credit checks on applicants.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Robinhood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5006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500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Management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Cash Management product is available on our platform for customers with a Robinhood brokerage account. It provides additional value to our brokerage customers by allowing them to earn interest on idle cash swept to our partner banks and spend cash through an optional Robinhood-branded Mastercard debit card (available in either physical or virtual form). As of March 31, 2021, we had more than 3.4 million debit card holders under our Cash Management product. There are no hidden fees—no maintenance fees or minimum balances, no overdraft fees, no transfer fees, no foreign transaction fees, and no monthly fees. Our customers are able to fund their accounts through either a bank transfer or direct deposit and have free access to their funds from over 75,000 ATMs. Our customers who opt in to Cash Management elect to participate in a deposit sweep program—the IntraFi Network Deposit Sweep Service—and will have their uninvested cash automatically swept, or moved, into deposits at a network of program banks. Through Cash Management, cash deposited at these banks is eligible for FDIC insurance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1440" w:right="339" w:bottom="1440" w:gutter="0" w:footer="0" w:header="0"/>
          <w:type w:val="continuous"/>
        </w:sectPr>
      </w:pPr>
    </w:p>
    <w:bookmarkStart w:id="204" w:name="page205"/>
    <w:bookmarkEnd w:id="20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 to a total maximum of $1.25 million (up to $250,000 per program bank, inclusive of any deposits a customer may already hold at the bank in the same ownership capacity).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3008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Learning &amp; Education Solutions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Investing, while an opportunity to partake in the broader financial ecosystem, can also be complex and confusing for those who are new to it. While we do not provide investment advice or recommendations to our customers, we are committed to helping our customers build sustainable, long-term financial success and to offering a variety of educational tools and resources to help them achieve their goals and maximize their financial well-being, including:</w:t>
      </w:r>
    </w:p>
    <w:p>
      <w:pPr>
        <w:spacing w:after="0" w:line="145" w:lineRule="exact"/>
        <w:rPr>
          <w:sz w:val="20"/>
          <w:szCs w:val="20"/>
          <w:color w:val="auto"/>
        </w:rPr>
      </w:pPr>
    </w:p>
    <w:p>
      <w:pPr>
        <w:jc w:val="both"/>
        <w:ind w:left="660" w:hanging="328"/>
        <w:spacing w:after="0" w:line="266"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Robinhood Snacks (32 million subscribers as of March 31, 2021)</w:t>
      </w:r>
      <w:r>
        <w:rPr>
          <w:rFonts w:ascii="Arial" w:cs="Arial" w:eastAsia="Arial" w:hAnsi="Arial"/>
          <w:sz w:val="18"/>
          <w:szCs w:val="18"/>
          <w:color w:val="auto"/>
        </w:rPr>
        <w:t>. “Snacks” is a curated digest of business news stories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both daily and weekly. Snacks can be accessed in written, audio or video formats, including via a podcast and newsletter, and allows subscribers to start their days with the top business news of the day in an accessible, digestible format.</w:t>
      </w:r>
    </w:p>
    <w:p>
      <w:pPr>
        <w:spacing w:after="0" w:line="13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Robinhood Learn (more than 7 million cumulative views as of March 31, 2021)</w:t>
      </w:r>
      <w:r>
        <w:rPr>
          <w:rFonts w:ascii="Arial" w:cs="Arial" w:eastAsia="Arial" w:hAnsi="Arial"/>
          <w:sz w:val="18"/>
          <w:szCs w:val="18"/>
          <w:color w:val="auto"/>
        </w:rPr>
        <w:t>. We aim to make finance not only more accessible,</w:t>
      </w:r>
      <w:r>
        <w:rPr>
          <w:rFonts w:ascii="Arial" w:cs="Arial" w:eastAsia="Arial" w:hAnsi="Arial"/>
          <w:sz w:val="18"/>
          <w:szCs w:val="18"/>
          <w:i w:val="1"/>
          <w:iCs w:val="1"/>
          <w:color w:val="auto"/>
        </w:rPr>
        <w:t xml:space="preserve"> </w:t>
      </w:r>
      <w:r>
        <w:rPr>
          <w:rFonts w:ascii="Arial" w:cs="Arial" w:eastAsia="Arial" w:hAnsi="Arial"/>
          <w:sz w:val="18"/>
          <w:szCs w:val="18"/>
          <w:color w:val="auto"/>
        </w:rPr>
        <w:t>but more understandable as well. Robinhood Learn is a collection of over 650 articles, including guides, feature tutorials and an extensive financial dictionary available to anyone. It is designed to provide everyone with access to a breadth of financial education, and is continually updated to provide relevant information for our customers to learn and grow.</w:t>
      </w:r>
    </w:p>
    <w:p>
      <w:pPr>
        <w:spacing w:after="0" w:line="152"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Newsfeeds (6.4 million users in 2020)</w:t>
      </w:r>
      <w:r>
        <w:rPr>
          <w:rFonts w:ascii="Arial" w:cs="Arial" w:eastAsia="Arial" w:hAnsi="Arial"/>
          <w:sz w:val="18"/>
          <w:szCs w:val="18"/>
          <w:color w:val="auto"/>
        </w:rPr>
        <w:t>. Within our newsfeeds, we provide access to free premium news from sites such as</w:t>
      </w:r>
      <w:r>
        <w:rPr>
          <w:rFonts w:ascii="Arial" w:cs="Arial" w:eastAsia="Arial" w:hAnsi="Arial"/>
          <w:sz w:val="18"/>
          <w:szCs w:val="18"/>
          <w:i w:val="1"/>
          <w:iCs w:val="1"/>
          <w:color w:val="auto"/>
        </w:rPr>
        <w:t xml:space="preserve"> Barron’s</w:t>
      </w:r>
      <w:r>
        <w:rPr>
          <w:rFonts w:ascii="Arial" w:cs="Arial" w:eastAsia="Arial" w:hAnsi="Arial"/>
          <w:sz w:val="18"/>
          <w:szCs w:val="18"/>
          <w:color w:val="auto"/>
        </w:rPr>
        <w:t>,</w:t>
      </w:r>
      <w:r>
        <w:rPr>
          <w:rFonts w:ascii="Arial" w:cs="Arial" w:eastAsia="Arial" w:hAnsi="Arial"/>
          <w:sz w:val="18"/>
          <w:szCs w:val="18"/>
          <w:i w:val="1"/>
          <w:iCs w:val="1"/>
          <w:color w:val="auto"/>
        </w:rPr>
        <w:t xml:space="preserve"> Reuters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Wall Street Journal </w:t>
      </w:r>
      <w:r>
        <w:rPr>
          <w:rFonts w:ascii="Arial" w:cs="Arial" w:eastAsia="Arial" w:hAnsi="Arial"/>
          <w:sz w:val="18"/>
          <w:szCs w:val="18"/>
          <w:color w:val="auto"/>
        </w:rPr>
        <w:t>to keep our customers informed of the latest news and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53" w:lineRule="exact"/>
        <w:rPr>
          <w:sz w:val="20"/>
          <w:szCs w:val="20"/>
          <w:color w:val="auto"/>
        </w:rPr>
      </w:pPr>
    </w:p>
    <w:p>
      <w:pPr>
        <w:ind w:left="660" w:right="20" w:hanging="328"/>
        <w:spacing w:after="0" w:line="282"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Robinhood lists (9.5 million users in 2020)</w:t>
      </w:r>
      <w:r>
        <w:rPr>
          <w:rFonts w:ascii="Arial" w:cs="Arial" w:eastAsia="Arial" w:hAnsi="Arial"/>
          <w:sz w:val="18"/>
          <w:szCs w:val="18"/>
          <w:color w:val="auto"/>
        </w:rPr>
        <w:t>. Our customers are able to create custom watchlists to monitor securities, ETFs or</w:t>
      </w:r>
      <w:r>
        <w:rPr>
          <w:rFonts w:ascii="Arial" w:cs="Arial" w:eastAsia="Arial" w:hAnsi="Arial"/>
          <w:sz w:val="18"/>
          <w:szCs w:val="18"/>
          <w:i w:val="1"/>
          <w:iCs w:val="1"/>
          <w:color w:val="auto"/>
        </w:rPr>
        <w:t xml:space="preserve"> </w:t>
      </w:r>
      <w:r>
        <w:rPr>
          <w:rFonts w:ascii="Arial" w:cs="Arial" w:eastAsia="Arial" w:hAnsi="Arial"/>
          <w:sz w:val="18"/>
          <w:szCs w:val="18"/>
          <w:color w:val="auto"/>
        </w:rPr>
        <w:t>cryptocurrencies they are interested in following.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Robinhood Learn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89535</wp:posOffset>
            </wp:positionV>
            <wp:extent cx="5349240" cy="3008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auto"/>
        </w:rPr>
        <w:t>Our Technology</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technology and underlying design principles are critical to our success. The Robinhood mobile app is the core front-end pathway through which our customers engage with us. Our self-clearing platform, order routing system, data platform, and other back-end infrastructure deliver the capabilities that allow our customers to focus on investing, saving and spending, while also enabling us to rapidly develop products that our customers love to use. We believe our technology is a key differentiator that has enabled our growth, and positions us well to continue on that path in the years to come.</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core priority in product development is to build offerings that customers love. We begin by continuously taking in substantial amounts of customer input and developing technological solutions that we believe will improve their experience. These developments are done in conjunction with broad, cross-functional teams across engineering, design and legal and compliance to ensure that our products will delight our customers, while simultaneously incorporating any appropriate safeguards. Where possible, we prioritize maintaining total control over our product, which helps ensure that we can provide an experience that our customers will love and can institute rapid development cycles. Our products are built on a continuous cycle of iteration, feedback and refinement, with each new development backed by customer research.</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All of our technology is built with the long term in mind and our core infrastructure is designed to support meaningful operational scale. We are also focused on implementing advanced automation techniques, which allows us to minimize manual or labor-intensive processes. For example, during the three months ended March 31, 2021, almost 50% of our customer service cases were solved using intelligent automation. Other practices, such as frequent software deployments and an emphasis on real-time capabilities (where possible), have also contributed to our success.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40"/>
          </w:cols>
          <w:pgMar w:left="320" w:top="1440" w:right="339" w:bottom="1440" w:gutter="0" w:footer="0" w:header="0"/>
          <w:type w:val="continuous"/>
        </w:sectPr>
      </w:pPr>
    </w:p>
    <w:bookmarkStart w:id="206" w:name="page207"/>
    <w:bookmarkEnd w:id="206"/>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our most critical technologies include:</w:t>
      </w:r>
    </w:p>
    <w:p>
      <w:pPr>
        <w:spacing w:after="0" w:line="180" w:lineRule="exact"/>
        <w:rPr>
          <w:sz w:val="20"/>
          <w:szCs w:val="20"/>
          <w:color w:val="auto"/>
        </w:rPr>
      </w:pPr>
    </w:p>
    <w:p>
      <w:pPr>
        <w:jc w:val="both"/>
        <w:ind w:left="660" w:hanging="328"/>
        <w:spacing w:after="0" w:line="258"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Core infrastructure and data platform</w:t>
      </w:r>
      <w:r>
        <w:rPr>
          <w:rFonts w:ascii="Arial" w:cs="Arial" w:eastAsia="Arial" w:hAnsi="Arial"/>
          <w:sz w:val="18"/>
          <w:szCs w:val="18"/>
          <w:color w:val="auto"/>
        </w:rPr>
        <w:t>. Robinhood has built an infrastructure platform for resilient, scalable microservices. Our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 and data infrastructure are all built on Amazon Web Services, and our platform enables application developers to define their microservices in a simple, standardized manner while also providing built-in scalability and resiliency. Our systems handle inbound traffic of over 5 million queries per second (QPS), process tens of terabytes of data per day and store and query more than 16 petabytes of data in our data lake. Our infrastructure is cost-effective and scalable as we grow.</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Self-clearing system</w:t>
      </w:r>
      <w:r>
        <w:rPr>
          <w:rFonts w:ascii="Arial" w:cs="Arial" w:eastAsia="Arial" w:hAnsi="Arial"/>
          <w:sz w:val="18"/>
          <w:szCs w:val="18"/>
          <w:color w:val="auto"/>
        </w:rPr>
        <w:t>. Our self-clearing services are administered through our clearing broker, RHS. This allows us to clear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trades across stocks, ETFs and options without relying on a third-party clearing firm, an approach that provides increased internal visibility over clearing and settlement. We anticipate that our self-clearing platform will position us well to further innovate for customers. While the up-front build process was highly onerous—taking over two years and requiring regulatory approvals from FINRA, the DTC and the OCC—our strategic foresight to invest our resources at an early stage in our life cycle has positioned us for continued growth without relying on third-party clearing.</w:t>
      </w:r>
    </w:p>
    <w:p>
      <w:pPr>
        <w:spacing w:after="0" w:line="14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and we do not consider transaction fees when routing orders. For cryptocurrency orders, we route to various market makers that we believe offer competitive pricing, and we do not consider Transaction Rebates when routing cryptocurrency orders.</w:t>
      </w:r>
    </w:p>
    <w:p>
      <w:pPr>
        <w:spacing w:after="0" w:line="16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platform. </w:t>
      </w:r>
      <w:r>
        <w:rPr>
          <w:rFonts w:ascii="Arial" w:cs="Arial" w:eastAsia="Arial" w:hAnsi="Arial"/>
          <w:sz w:val="18"/>
          <w:szCs w:val="18"/>
          <w:color w:val="auto"/>
        </w:rPr>
        <w:t>Our machine learning models are highly advanced and contribute to multiple capabilities across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example, we use machine learning as part of our fraud detection systems and customer support workflows,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cycle, we’ve built a proprietary experiments infrastructure that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product changes through the build process and validate research hypotheses. The iterative, customer-centric product development approach that is so core to our success is enabled by this robust internal technology.</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continue to invest across our entire technology stack. As of March 31, 2021, we have approximately 550 engineers that work closely with customers, product teams, support, legal and compliance personnel to ensure we maintain our high standard of building market-leading technology that customers love to use in their financial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Harnessing Our Platform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strong brand and grown our customer base primarily through customers joining organically or through the Robinhood Referral Program, and we have achieved significant scale with relatively little investment in sales and marketing. We have historically grown awareness of our platform by delivering products and features that our customers love, which has led our customers to share Robinhood with their friends and family. As a result, historically, the majority of our customers has joined organically or through the Robinhood Referral Program, with over 80% of our customers with new Funded Accounts in 2020 and in the three months ended March 31, 2021 coming to us through these channels. In the future, we plan to increase our marketing efforts to drive further brand awareness, but expect that these historical channels will continue to be a primary driver for us over the near to medium term.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Support</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investing heavily in customer support in an effort to deliver the best possible experience to our customers and we are committed to continuously improving our support functions as we scale. We have implemented a number of technology solutions to further improve support tools and outcomes, including building new channels to connect with our customers.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primarily rely on providing customer support through email. We outsource some of our support functions to third parties and rely on licensed customer support representatives. In order to better serve our growing customer base and in response to customer feedback about longer wait times for support, in 2020, we began a roll-out of our live, phone-based voice support option to serve customers with their most immediate needs with respect to certain time-sensitive options trading issues. In February 2021, we expanded phone-based voice support to customers needing assistance with account security. We expect to continue to expand phone-based voice support to more use cases as we grow. Additionally, we have made product enhancements in order to deliver an advanced, personalized customer service experience in-app, as well as product automations for options exercise and account activations and deactivations.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been focused on expanding Robinhood’s overall support resources. From December 31, 2019 to December 31, 2020, we more than tripled the number of our dedicated customer support professionals. We plan to continue this investment into customer support professionals in 2021, and expect to more than double the number of customer support professionals we had at the end of 2020 by the end of 2021. As of March 31, 2021, we had added approximately 20% of the expected additional headcount of our customer service professionals. Additionally, in 2020 and continuing into 2021, we expanded our locations for better support coverage by adding hundreds of registered financial representatives at new or existing dedicated customer experience sites in Colorado, Florida, Texas and Arizona, and we expect to open a new customer experience site in Charlotte, North Carolina by the end of 2021.</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Employees and Culture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employees are key to achieving our company mission. We offer a wide range of benefits designed to attract the best talent and to ensure Robinhood employees are taken care of both at and outside of work. We provide tools, opportunities and support for career and personal growth, as well as ongoing company initiatives to maintain high employee engagement.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seek to champion a culture that is open and honest. We hold weekly all-hands meetings, during which any employee has the opportunity to ask a question of our senior leadership. We use a company-wide surveying tool to facilitate regular check-ins with employees and to provide critical input for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decisions on how to best improve productivity, happiness and retention. Inclusivity is core to our culture and we seek to create an environment where all viewpoints, including opposing ones, are welcomed.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professional growth of our people is essential to the growth of our business and we aim to empower every Robinhood employee to reach their full potential. We support job-specific capabilities and training to help develop behavioral and leadership capabilities for all employees. All full -time employees are offered an ongoing education stipend to support skill-building both in current and for future roles, and we offer a variety of formal and informal development and skills-building opportunities to our managers. For example, Robinhood’s Leader Labs, hosted by internal and external experts, supports the continuous growth of managers in areas such as mentorship, career conversations, and effective performance reviews.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We’re proud to share that we received the following recognitions in 2020 and so far in 2021:</w:t>
      </w:r>
    </w:p>
    <w:p>
      <w:pPr>
        <w:spacing w:after="0" w:line="18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certified as a Great Place to Work in the United States.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#3 on LinkedIn’s Top Startups list for 2020, the fourth year in a row that Robinhood was recognized as a Top Startup by LinkedIn and the third consecutive year placing in the top 10.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were named a Glassdoor Best Place to Work in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#1 on CNBC’s 2021 Disruptor 50 list (and were #46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approximately 2,100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3566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Diversity and Belonging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mission is to democratize finance for all, and that starts with building a diverse and inclusive environment internally. We have made this a priority at Robinhood and we continue to invest in recruiting and fostering diverse talent, supporting our employees and speaking out for our community.</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build a talented and diverse workforce, we have a dedicated University Program with a mission to attract and retain exceptional interns and new graduate talent to fuel the growth of our most strategic business areas. We utilize the Code Signal assessment tool to conduct unbiased automated engineering screens, whereby applicants who achieve a specific score automatically qualify for a technical phone screen. In 2020, we used a third party to review all job descriptions to remove any gender bias language. We have also built partnerships with a number of historically black colleges and universities and we actively participate in recruiting across a number of core campuses by investing in marketing the Robinhood brand, and building relationships with professors and career center teams.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approximately 60% of Robinhood employees participated in our Employee Resource Groups (“ERGs”), which are voluntary, identity or experience-based groups led by members and allies who join together to support the creation of an inclusive workplace. In addition to providing a supportive, safe space for many team members, a number of Robinhood ERGs support specific business objectives that can include recruiting, employee engagement, career support, and more. We also utilize ERGs to create a welcoming environment for new employees by designating Robinhood Ambassadors, leaders within our ERGs who are available to candidates and new employees who want to learn more about working at Robinhood.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Robinhood Employee Resource Groups include:</w:t>
      </w:r>
    </w:p>
    <w:p>
      <w:pPr>
        <w:spacing w:after="0" w:line="185"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Asianhood;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Black Excellence;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Brain, Body, Heart;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Divergent;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Latinhood;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Rainbowhood;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Sisterhood;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Robinhood Veterans.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Competitive Landscape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8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product features, quality and functionality;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mobile-first platform and focus on accessibility, customer experience and trust. We believe that our ability to innovate quickly further differentiates our platform from our competition. We believe we compete favorably across all key competitive factors and that we have developed a business model that is difficult to replicate.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Our Facilities and Environmental Impact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executive offices are located in Menlo Park, California. In addition to our Menlo Park office, we have offices primarily located in Denver, Colorado; Lake Mary, Florida; Westlake, Texas; Tempe, Arizona; Charlotte, North Carolina; Chicago, Illinois; Washington, D.C.; and London, the U.K. We lease or rent each of our offices.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understanding and reducing the environmental footprint of our business, and in particular, our use of energy and related emissions to manage climate change.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start, in 2020 we followed the Greenhouse Gas Protocol to develop our first emissions footprint, using our 2019 fiscal year. We found that the majority of our emissions are from our use of third-party service providers. Therefore, our biggest opportunity is to understand and manage our energy use where we can control it, and to evaluate and work with environmentally responsible third-party providers.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we build on this initial assessment, it is our intention to set goals, develop an emissions reduction strategy, take action to address our impact and continue reporting our progress.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Intellectual Property</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and ability to compete are significantly dependent on our core technology and intellectual property. We rely on trademarks, patents, copyrights, trade secrets, know-how and expertise, registered domain names, license agreements, intellectual property assignment agreements, confidentiality procedures and non-disclosure agreements to establish and protect our intellectual property and proprietary rights.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owned in total approximately 55 issued design patents and three pending design patent applications across the United States and certain other jurisdictions related to our platform’s graphic user interface, as well as our Cash Management product card designs.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owned in total 60 issued trademarks registrations and 24 pending trademark applications across the United States and certain other jurisdictions. We have an ongoing trademark and service mark registration program pursuant to which we register our brand names and solution names, taglines and logos in the United States and certain other jurisdictions to the extent we determine appropriate and cost-effective. We are the registered holder of a variety of U.S. and international trademarks and domain names that include the primary brand “Robinhood,” including variations thereof, as well as brands for other Robinhood products and services, such as our Snacks podcast and newsletter. We also have common law rights in certain unregistered trademarks that were established over years of use. We are the authorized user of a variety of social media handles, pages and profiles that reflect our primary brand. In addition, we have a suite of defensively registered domains.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Despite our efforts to protect our intellectual property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and our intellectual property rights may not be respected in the future or may be invalidated, circumvented or challenged. We intend to pursue additional intellectual property protection to the extent we believe it would be beneficial and cost-effective. In addition, we intend to expand our international operations, and effective patent, copyright, trademark, and trade secret protection may not be available or may be limited in foreign countries. We believe that competitors will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have in the past and may in the future assert claims of infringement, misappropriation and other violations of intellectual property rights against us or our customers, and our agreements with such customers may obligate us to indemnify them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Additionally, we use open source software in our products and services and anticipate using open source software in the future. The terms of various open source licenses have not been interpreted by United States courts, and there is a risk that such licenses could be construed in a manner that imposes unanticipated conditions or restrictions on our services. See “Risk Factors—Risks Related to Our Intellectual Property” for a more comprehensive description of risks related to our intellectual property and proprietary rights.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Regulation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“Risk Factors—Risks Related to Regulation and Litigation” and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Cybersecurity and Data Privacy</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collects, stores, shares, discloses, transfers, uses and otherwise processes the personal data of individuals across the U.S., in every state. As a result, compliance with data protection, privacy and security laws, rules, regulations, policies, industry standards and other legal obligations regulating the collection, storage, sharing, disclosure, transfer, use, protection and other processing of personal data is core to our strategy and integral to the creation of trust in our platform. We take a variety of technical and organizational security measures and other procedures and protocols to protect our data and information, including personal data and other data pertaining to customers, employees and other users. Despite measures we put in place, we may be unable to anticipate or prevent unauthorized access to such data, including personal data.</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United States, the Federal Trade Commission and the Department of Commerce continue to call for greater regulation of the collection of personal data, as well as restrictions for certain targeted advertising practices. Additionally, RHS and RHF are each subject to SEC Regulation S-P, which requires registered broker-dealers to, among other things, adopt written policies and procedures that address administrative, technical, and physical safeguards for the protection of customer records and information. Numerous states have enacted or are in the process of enacting state-level data privacy laws and regulations governing the collection, use and processing of state residents’ personal data. For example, the CCPA, which went into effect in California on January 1, 2020 established a new privacy framework for covered businesses such as ours. Among other things, the CCPA requires companies covered by the legislation to provide new disclosures to California residents and afford such residents new rights, including the right to access and delete certain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voters passed the CPRA, which will become effective in most material respects beginning on January 1, 2023. The CPRA further expands the CCPA with additional data privacy compliance requirements and obligations and establishes a regulatory agency dedicated to enforcing the CCPA and CPRA. In addition, the NYDFS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are currently and may in the future be subject to investigations and examinations by the NYDFS regarding, among other things, our cybersecurity practices. For more information, see “—Legal Proceedings—RHC Anti-Money Laundering, Cybersecurity and Other Issues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The CCPA has prompted the enactment of several new state laws or amendments of existing state laws, such as in New York and Nevada. The CCPA has also prompted a number of proposals for new federal and state-level privacy legislation, such as in Washington, Maryland, New York, Illinois and Nebraska.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Regulators around the world continue to propose more stringent data protection, security and privacy laws, rules and regulations, and these laws, rules and regulations are rapidly increasing in number, complexity, enforcement, fines and penalties. For example, the GDPR became effective on May 25, 2018 and has resulted and will continue to result in significantly greater compliance burdens and costs for companies with users and operations in the EU and European Economic Area. The GDPR regulates a broad array of personal data that can directly or indirectly identify an individual and imposes stringent data protection requirements with significant penalties for noncompliance. Furthermore, as of January 2021, we are required to comply with the GDPR as well as the U.K. equivalent to the extent of our operations in the U.K. The relationship between the U.K. and the EU in relation to certain aspects of data protection law remains unclear, for example, how data transfers between EU member states and the U.K. will be treated and the role of the U.K.’s Information Commissioner’s Office with respect to the EU following the end of the transitional period. These changes may lead to additional costs and increase our overall risk exposure.</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and other data protection, security and privacy laws, rules and regulations and their interpretations continue to develop and may be inconsistent from jurisdiction to jurisdiction. Non-compliance with these laws could result in significant penalties or legal liability. Although we take steps to comply with applicable laws, rules and regulations, we have been and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See “Risk Factors—Risks Related to Cybersecurity and Data Privacy”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Brokerage Regulation and Regulatory Capital and Deposit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Registrations and Licenses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two broker-dealers, Robinhood Financial LLC (“RHF”) and Robinhood Securities, LLC (“RHS”). RHF is an introducing broker and introduces its customer accounts to RHS on a fully disclosed basis. RHS is a clearing and carrying broker which currently carries customer accounts only for RHF. RHF and RHS are each registered as broker-dealers with the SEC, each is a member of FINRA, and each is licensed as a securities broker-dealer in all 50 U.S. states, the District of Columbia, Puerto Rico and the U.S. Virgin Islands. Neither RHF nor RHS is licensed or authorized to conduct business in any other country. RHS is a member of Nasdaq, and RHF is not currently a member of any U.S. national securities exchange. RHS, in addition to its memberships in FINRA and Nasdaq, is a member of the OCC, DTC and the NSCC. RHF and RHS are both subject to regulation by the SEC, FINRA, other SROs of which they are or may become members, and the U.S. states and territories in which they operate.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Regulation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purpose of regulating broker-dealers is the protection of clients and securities markets. The regulations cover all aspects of the broker-dealer business and operations, including,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a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Capital and Deposit Requirements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and RHF are each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defined criteria, or when withdrawals of capital exceed certain thresholds. These rules also dictate the ratio of debt to equity in the regulatory capital composition of a broker-dealer. If either RHS or RHF fails to maintain specified levels of net capital, they could be subject to immediate suspension or revocation of registration, and suspension or expulsion could ultimately lead to the liquidation of either entity or to their broker-dealer business being wound down. In addition, the SEC and FINRA may place restrictions on RHF’s or RHS’s ability to expand their existing business or to commence new businesses in the event of such failure. Such failure could also constitute a default by us of certain debt covenants under our credit agreements. The Uniform Net Capital Rule and FINRA requirements prohibit RHS and RHF from paying cash dividends, making unsecured advances or loans to affiliates or repaying subordinated loans if such payment would result in a net capital amount of less than 5% of aggregate debit balances or less than 120% of its applicable minimum dollar requirement. The minimum dollar requirement for RHF was $250,000 as of March 31, 2021; the minimum dollar requirement for RHS varies based on the total amount of customer debits.</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w:t>
      </w:r>
      <w:r>
        <w:rPr>
          <w:rFonts w:ascii="Arial" w:cs="Arial" w:eastAsia="Arial" w:hAnsi="Arial"/>
          <w:sz w:val="18"/>
          <w:szCs w:val="18"/>
          <w:i w:val="1"/>
          <w:iCs w:val="1"/>
          <w:color w:val="auto"/>
        </w:rPr>
        <w:t>.</w:t>
      </w:r>
      <w:r>
        <w:rPr>
          <w:rFonts w:ascii="Arial" w:cs="Arial" w:eastAsia="Arial" w:hAnsi="Arial"/>
          <w:sz w:val="18"/>
          <w:szCs w:val="18"/>
          <w:color w:val="auto"/>
        </w:rPr>
        <w:t>, predominantly buys or predominantly sells) or if the stock is volatile. RHS, as a clearing and carrying broker, must meet clearinghouse deposit requirements to support customer trades and, if it fails to meet any such deposit requirements, its ability to settle trades through the clearinghouse may be suspended or the broker-dealer may restrict trading in certain stocks in order to limit clearinghouse deposit requirements. In such case, RHS may be exposed to significant losses or disruptions in customers’ ability to trade. For example, in January 2021, in response to highly volatile market conditions, unusually high trading volume and a high concentration of net buying in particular stocks, such deposit requirements increased significantly in a short period of time. As a result, RHS temporarily limited customer purchases for certain volatile securities from January 28 to February 5, 2021 in order to comply with its deposit requirements. Furthermore, in the event that a significant amount of customers’ open trades fail to settle, RHS may be exposed to potential loss of the deposits and capital expended to meet its deposit requirements. In a worst-case scenario, if RHS is unable to satisfy its deposit requirements, the NSCC may cease to act for RHS and liquidate its unsettled clearing portfolio. See “Business—Legal Proceedings—Early 2021 Trading Restrictions Matters” and “Risk Factors— Risks Related to Regulation and Litigation—</w:t>
      </w:r>
      <w:r>
        <w:rPr>
          <w:rFonts w:ascii="Arial" w:cs="Arial" w:eastAsia="Arial" w:hAnsi="Arial"/>
          <w:sz w:val="18"/>
          <w:szCs w:val="18"/>
          <w:i w:val="1"/>
          <w:iCs w:val="1"/>
          <w:color w:val="auto"/>
        </w:rPr>
        <w:t>We are involved in numerous litigation matters that are expensive and time consuming, and, if</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adversely, could harm our reputation, business, financial condition or results of operations</w:t>
      </w:r>
      <w:r>
        <w:rPr>
          <w:rFonts w:ascii="Arial" w:cs="Arial" w:eastAsia="Arial" w:hAnsi="Arial"/>
          <w:sz w:val="18"/>
          <w:szCs w:val="18"/>
          <w:color w:val="auto"/>
        </w:rPr>
        <w:t>” for more information about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2021 Trading Restrictions, and see “Risk Factors—Risks Related to Our Brokerage Products and Services—</w:t>
      </w:r>
      <w:r>
        <w:rPr>
          <w:rFonts w:ascii="Arial" w:cs="Arial" w:eastAsia="Arial" w:hAnsi="Arial"/>
          <w:sz w:val="18"/>
          <w:szCs w:val="18"/>
          <w:i w:val="1"/>
          <w:iCs w:val="1"/>
          <w:color w:val="auto"/>
        </w:rPr>
        <w:t>If we do not maintain the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ultimately lead to our broker-dealer business being liquidated or wound down</w:t>
      </w:r>
      <w:r>
        <w:rPr>
          <w:rFonts w:ascii="Arial" w:cs="Arial" w:eastAsia="Arial" w:hAnsi="Arial"/>
          <w:sz w:val="18"/>
          <w:szCs w:val="18"/>
          <w:color w:val="auto"/>
        </w:rPr>
        <w:t>” for more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risks associated with our capital and deposit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15c3-3 Reserve and Custody Requirements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RHS is subject to Rule 15c3-3 under the Exchange Act (“Rule 15c3-3”), which includes cash and securities segregation protection requirements. Pursuant to Rule 15c3-3, RHS is required to maintain on deposit, based on weekly computations completed in a manner specified by the rule, an amount that is generally the difference between the amount of money RHS owes customers and the amount of money RHS customers owe it. RHS is also required daily to determine the amount of customer fully-paid securities and excess margin securities over which it is required to maintain possession or control and, in the event of deficits, RHS must take action specified by regulation. RHF operates pursuant to an exemption from Rule 15c3-3 because it introduces all of its customer accounts to RHS. Pursuant to this exemption, RHF does not maintain custody of customer cash 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Requirements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RHS’s margin lending activities are subject to limitations imposed by the rules and regulations of the Board of Governors of the Federal Reserve and FINRA. In general, these margin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The minimum initial margin requirement for common stock is 50% of the value of marginable securities purchased in a margin account; different requirements apply to short sales, options and other non-equity securities. In addition, broker-dealers are required to impose certain maintenance requirements on the amount of securities and cash held in margin accounts. FINRA rules specify additional rules for customers who are “pattern day traders” as defined under FINRA rules. RHS may also impose more stringent requirements on positions that, in its sole discretion, involve higher levels of risk, at any time and without notice. RHS retains absolute discretion to determine whether, when and in what amounts it will require additional collateral. In some situations, RHS may find it necessary to require a higher level of equity in a customer’s margin account based upon their margin account holdings, market conditions, and financial resources. We notify customers immediately when they are in a maintenance deficit, and require them to meet their maintenance calls within one to two days depending on the level of equity in their account. If the customer does not meet their maintenance call on time, we liquidate available assets as necessary to meet the call. If a customer has a balance below zero, we liquidate all customer assets available the next business day. Additionally, we monitor over-leveraged accounts using intraday risk alerts to review potentially risky portfolios and take action as needed.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registered broker-dealers, RHS and RHF are also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RHF routes its customers’ orders to RHS, which routes orders to certain market makers for execution based on our order routing system, which uses an algorithm to determine which market maker is most likely to provide the best price for each customer’s order based on the market maker’s historical performance. RHF and RHS review the quality of execution they receive from the market makers and choose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customer receives a worse price at execution than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RHS regularly monitors executions to test for whether such improvement, if available, was provided. In addition, RHS routes orders to market makers and, in exchange, receives consideration. With respect to equities and options trading, such fees are known as PFOF. With respect to cryptocurrency trading, we receive “Transaction Rebates.” As of March 31, 2021, RHS had relationships with five equity market makers and four option market makers. For the year ended December 31, 2020, revenue derived from PFOF and Transaction Rebates represented 75% of our total revenues, and for the three months ended March 31, 2021, represented 81% of our total revenues. The consideration RHS earns through these PFOF practices are identical among all market makers. RHS routes orders to participating market makers that are most likely to give our customers the best execution, based on historical performance, and does not consider such transaction fees when routing orders. Market-makers can frequently provide retail orders with some degree of price improvement, meaning they can execute the orders inside the spread of the national best bid and national best offer quoted on national securities exchanges. Market-makers may also be able to provide retail orders with size improvement (i.e., more shares at a single price point than may be available at the national best bid or national best offer quoted on national securities exchanges). These PFOF arrangements are permitted under SEC guidelines and FINRA rules, provided that best execution principles are met and, in the case of the SEC, we make certain disclosures regarding our PFOF arrangements. However, PFOF practices have drawn heightened scrutiny from the U.S. Congress, the SEC and other regulatory and legislative authorities and there is no guarantee that they will not adopt additional regulation relating to PFOF practices as a result of such heightened scrutiny or otherwise or pursue additional inquiries or investigations relating to PFOF practices. For example, in May 2019, the SEC’s Division of Enforcement commenced an investigation into our best execution and PFOF practices, which resulted in a settlement and payment by RHF of a $65.0 million fine and a requirement to retain an independent consultant. See “Risk Factors—Risks Related to Our Business—</w:t>
      </w:r>
      <w:r>
        <w:rPr>
          <w:rFonts w:ascii="Arial" w:cs="Arial" w:eastAsia="Arial" w:hAnsi="Arial"/>
          <w:sz w:val="18"/>
          <w:szCs w:val="18"/>
          <w:i w:val="1"/>
          <w:iCs w:val="1"/>
          <w:color w:val="auto"/>
        </w:rPr>
        <w:t>Because a majority of our revenue is transaction-based</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Cryptocurrency</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RHC, provides users with the ability to buy, hold and sell a limited number of cryptocurrencies on our platform. Both U.S. and non-U.S. regulators and governments are increasingly focused on the regulation of cryptocurrencies. In the United States, cryptocurrencies are regulated by both federal and state authorities, depending on the context of their usage. Regulation of cryptocurrencies continues to evolve. RHC is registered as a money services business with FinCEN and is licensed to operate as a money transmitter or its equivalent in states where such requirements are applicable, and has also obtained a license under the NYDFS’s Virtual Currency Business Activity regime, commonly referred to as a BitLicense.</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RHC currently permits trading of a limited number of cryptocurrencies that we have analyzed under applicable internal policies and procedures and do not believe are securities under the U.S. securities laws, our policies and procedures do not constitute a legal standard, and, regardless of our conclusions, we could be subject to legal or regulatory action in the event the SEC or a court were to determine that a cryptocurrency currently traded on our platform is a “security” under U.S. law. The SEC has not asserted that all cryptocurrencies are securities, but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with the offer, sale, trading and clearing of such assets.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It may further result in us determining that it is advisable to remove other cryptocurrencies from our platform that have similar characteristics to the cryptocurrency the SEC or a court determined was a security. In addition, state laws and regulations impose various compliance requirements including operational limitations related to the manner and extent to which customer crypto assets can be held under our custody, net worth requirements, anti-money laundering program requirements, notice and reporting requirements, and generally require compliance with all applicable federal and state laws, rules and regulations, including The Bank Secrecy Act, as amended by the USA PATRIOT ACT of 2001. For example, on an annual basis, RHC is required to submit a certification of compliance with certain requirements of the NYDFS in connection with its BitLicense. We have in the past, are currently and may in the future be subject to investigations and examinations by the NYDFS regarding, among other things, our anti-money laundering and cybersecurity programs. For more information, see “—Legal Proceedings—RHC Anti-Money Laundering, Cybersecurity and Other Issues.”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laws, rules, and regulations evolve frequently and may be modified, interpreted, and applied in an inconsistent manner by a particular jurisdiction as well as from one jurisdiction to another, and may conflict with one another. Moreover, the complexity and evolving nature of RHC’s business and the significant uncertainty surrounding the regulation of the cryptoeconomy, requires us to exercise our judgment as to whether certain laws, rules, and regulations apply to us. It is possible that regulators may disagree with our conclusions. See “Risk Factors—Risks Related to Our Cryptocurrency Products and Services—</w:t>
      </w:r>
      <w:r>
        <w:rPr>
          <w:rFonts w:ascii="Arial" w:cs="Arial" w:eastAsia="Arial" w:hAnsi="Arial"/>
          <w:sz w:val="18"/>
          <w:szCs w:val="18"/>
          <w:i w:val="1"/>
          <w:iCs w:val="1"/>
          <w:color w:val="auto"/>
        </w:rPr>
        <w:t>Regulation of the cryptocurrency industry continues to evolve</w:t>
      </w:r>
      <w:r>
        <w:rPr>
          <w:rFonts w:ascii="Arial" w:cs="Arial" w:eastAsia="Arial" w:hAnsi="Arial"/>
          <w:sz w:val="18"/>
          <w:szCs w:val="18"/>
          <w:color w:val="auto"/>
        </w:rPr>
        <w:t xml:space="preserve"> </w:t>
      </w:r>
      <w:r>
        <w:rPr>
          <w:rFonts w:ascii="Arial" w:cs="Arial" w:eastAsia="Arial" w:hAnsi="Arial"/>
          <w:sz w:val="18"/>
          <w:szCs w:val="18"/>
          <w:i w:val="1"/>
          <w:iCs w:val="1"/>
          <w:color w:val="auto"/>
        </w:rPr>
        <w:t>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Consumer Financial Protection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Consumer Financial Protection Bureau and other federal, local, state (such as the NYDFS) and foreign regulatory agencies regulate financial products, including credit, deposit, and payments services, and other similar services. These agencies have broad consumer protection mandates, and they promulgate, interpret and enforce rules and regulations that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Anti-Money Laundering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Secrecy Act, as amended by the USA PATRIOT ACT of 2001 (the “BSA/USA PATRIOT Act”), applies to RHF, RHS and RHC and requires them to develop anti-money laundering (“AML”) programs to assist in the prevention and detection of money laundering and combating terrorism. The AML program includes policies and procedures, employee training, customer identity requirements, the designation of an AML compliance officer and periodic independent audits. To comply with the BSA/USA PATRIOT Act and related FINRA rules applicable to RHF and RHS, we have an AML department that is responsible for developing and implementing our enterprise-wide programs for compliance with the various AML and counter-terrorist financing laws and regulations. RHF, RHS and RHC also are subject to U.S. sanctions laws administered by the Office of Foreign Assets Control and we have policies and procedures in place to comply with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“Risk Factors—Risks Related to Regulation and Litigation,” “Risk Factors—Risks Related to Cybersecurity and Data Privacy” and “Risk Factors—Risks Related to Our Brokerage Products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Legal Proceedings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arbitrations, class actions and other litigation, some of which include claims for substantial or unspecified damages. In addition, we operate in a highly regulated industry and many aspects of our business involve substantial risk of liability, and we are regularly the subject of actions, inquiries, investigations, examinations and proceedings by regulatory and other governmental agencies. 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 See Note 14 to our consolidated financial statements included elsewhere in this prospectus for more information on legal proceedings that we are subject to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 Matters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Approximately 19 of the putative class actions also name other broker-dealers or market makers as defendants. On April 1, 2021, the Judicial Panel on Multidistrict Litigation entered an order centralizing the federal cases identified in a motion filed by certain plaintiffs to transfer and coordinate or consolidate the actions filed in connection with the Early 2021 Trading Restrictions in the United States District Court for the Southern District of Florida captioned </w:t>
      </w:r>
      <w:r>
        <w:rPr>
          <w:rFonts w:ascii="Arial" w:cs="Arial" w:eastAsia="Arial" w:hAnsi="Arial"/>
          <w:sz w:val="18"/>
          <w:szCs w:val="18"/>
          <w:i w:val="1"/>
          <w:iCs w:val="1"/>
          <w:color w:val="auto"/>
        </w:rPr>
        <w:t>In re: January 2021 Short Squeeze Trading Litigation</w:t>
      </w:r>
      <w:r>
        <w:rPr>
          <w:rFonts w:ascii="Arial" w:cs="Arial" w:eastAsia="Arial" w:hAnsi="Arial"/>
          <w:sz w:val="18"/>
          <w:szCs w:val="18"/>
          <w:color w:val="auto"/>
        </w:rPr>
        <w:t>, Case No. 21-2989-MDL-ALTONAGA/Torres (the “MDL”). On May 18, 2021, the court appointed interim lead plaintiffs’ counsel for certain claims. The federal securities claims, which are governed by the procedures under the Private Securities Litigation Reform Act of 1995, will proceed separately.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number of state securities regulators. Also, a related search warrant was executed by the USAO to obtain Mr. Tenev’s cell phone. There have been several inquiries based on specific customer complaints. We have also received inquiries related to employee trading. In addition, we have received information and testimony requests from certain committees and members of the U.S. Congress and Mr. Tenev, among others, has provided or will provide testimony with respect to the Early 2021 Trading Restrictions. We are cooperating with these investigations and examinations.</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Massachusetts Securities Division Matter</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MSD filed an administrative complaint against RHF, which stems from an investigation initiated by the MSD on or around July 21, 2020. The complaint alleges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On January 29, 2021, RHF filed an answer to this complaint denying each of the alleged securities law violations. On April 15, 2021, RHF filed a complaint and motion for preliminary injunction and declaratory relief in Massachusetts state court seeking to enjoin the MSD administrative proceeding and challenging the legality of the Massachusetts fiduciary duty standard. RHF responded to the MSD’s motion to amend its complaint on April 29, 2021. On May 27, 2021, the state court denied RHF’s motion for a preliminary injunction, finding that RHF would not suffer irreparable harm if MSD proceeded with the pending administrative action, but determined that RHF may seek a declaration that the disputed regulation is unlawful without first exhausting its remedies in the administrative action. On June 14, 2021, the state court declined to stay the entire matter pending resolution of the administrative proceeding, finding that RHF is entitled to have the state court decide certain of its challenges to the Massachusetts fiduciary standard without waiting for the MSD to complete its administrative proceeding.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RHC Anti-Money Laundering, Cybersecurity and Other Issues</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On July 24, 2020, the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the NYDFS, and</w:t>
      </w:r>
    </w:p>
    <w:p>
      <w:pPr>
        <w:spacing w:after="0" w:line="2" w:lineRule="exact"/>
        <w:rPr>
          <w:sz w:val="20"/>
          <w:szCs w:val="20"/>
          <w:color w:val="auto"/>
        </w:rPr>
      </w:pPr>
    </w:p>
    <w:p>
      <w:pPr>
        <w:jc w:val="both"/>
        <w:ind w:firstLine="8"/>
        <w:spacing w:after="0" w:line="254" w:lineRule="auto"/>
        <w:tabs>
          <w:tab w:leader="none" w:pos="3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will pay a monetary penalty and engage a monitor.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 Takeovers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1, 2021, RHF has received requests for documents and information from the SEC’s Division of Enforcement (the “Enforcement Division”) in connection with its investigation into account takeovers at certain online brokers. Additionally, state regulators, including the NYDFS and the New York Attorney General’s Office, have opened inquiries into RHM, RHF and RHC related to account takeovers. RHM, RHF and RHC are cooperating with these investigations and inquiries. The SEC’s Division of Examinations (the “Examinations Division”) also conducted an examination and identified deficiencies, to which RHF responded, with respect to, among other things, account takeovers and identity theft in connection with new account opening. See “—Options Trading and Related Customer Communications and Displays” below for more information.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March 2020 Outages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15 putative class actions and one individual action were filed against RHM, RHF and RHS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Robinhood 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w:t>
      </w:r>
      <w:r>
        <w:rPr>
          <w:rFonts w:ascii="Arial" w:cs="Arial" w:eastAsia="Arial" w:hAnsi="Arial"/>
          <w:sz w:val="18"/>
          <w:szCs w:val="18"/>
          <w:color w:val="auto"/>
        </w:rPr>
        <w:t>, pending in the Superior Court of the State of California, County of San Mateo, has been stayed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with leave to amend. The court also denied our motion to strike the class allegations, and ordered the parties to select a mediator within 14 days. On June 30, 2021, the plaintiffs filed a second amended complaint naming RHF, RHS and RHM as defendants. A mediation is scheduled for July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Fact discovery has been completed and expert discovery is scheduled to be completed by August 27, 2021.</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 Examinations Division conducted an examination and identified a deficiency, to which RHF responded, with respect to RHF’s creation of a reasonably designed business continuity plan pursuant to FINRA Rule 4370. In addition, FINRA conducted an investigation and certain state regulatory authorities are conducting investigations, regarding the March 2020 Outages and related procedures. RHF and RHS are cooperating with the requests from these regulators and RHF has reached a settlement with FINRA with respect to certain matters as described below in “—FINRA Multi-Matter Settlement.”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Multi-Matter Settlement</w:t>
      </w:r>
    </w:p>
    <w:p>
      <w:pPr>
        <w:spacing w:after="0" w:line="21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RHF and RHS are subject to FINRA investigations and enforcement matters, including those described elsewhere in this section as well as investigations regarding certain other matters, such as RHF’s margin call procedures, customer support procedures, customer arbitration agreements, processing of corporate actions and displays of historical performance data. On June 30, 2021, RHF resolved with FINRA, on a no admit, no deny basis, certain of these investigations and examinations, including investigations into systems outages, RHF’s options product offering, and margin-related communications with customers, among others. The resolution does not address all the matters FINRA is investigating, including those relating to the Early 2021 Trading Restrictions, account takeovers, customer support procedures or customer arbitration agreements described elsewhere in this prospectus. RHF and RHS will continue to cooperate with FINRA on these matters. The resolution involved the following components: (i) charges of violations of FINRA Rules 2010, 2210, 2220, 2360, 3110, 3310, 4370, and 4530;</w:t>
      </w:r>
    </w:p>
    <w:p>
      <w:pPr>
        <w:spacing w:after="0" w:line="3" w:lineRule="exact"/>
        <w:rPr>
          <w:sz w:val="20"/>
          <w:szCs w:val="20"/>
          <w:color w:val="auto"/>
        </w:rPr>
      </w:pPr>
    </w:p>
    <w:p>
      <w:pPr>
        <w:jc w:val="both"/>
        <w:ind w:firstLine="8"/>
        <w:spacing w:after="0" w:line="253" w:lineRule="auto"/>
        <w:tabs>
          <w:tab w:leader="none" w:pos="2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fine of $57.0 million; (iii) customer restitution of approximately $12.6 million, of which approximately $8.1 million already has been paid, $0.75 million has been offered to be paid, and the remaining $3.75 million is to be paid; (iv) a censure; and (v) engagement of an independent consultant to, among other things, review and make recommendations with respect to RHF’s relevant supervisory, customer communications, compliance, and other policies and procedures. As of March 31, 2021, we had accrued the $57.0 million fine as well as $4.5 million of customer restitution to be paid.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Best Execution, Payment for Order Flow and Sources of Revenue Matters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SEC Enforcement Division commenced an investigation into RHF’s best execution and PFOF practices,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“Risks Related to Regulation and Litigation—</w:t>
      </w:r>
      <w:r>
        <w:rPr>
          <w:rFonts w:ascii="Arial" w:cs="Arial" w:eastAsia="Arial" w:hAnsi="Arial"/>
          <w:sz w:val="18"/>
          <w:szCs w:val="18"/>
          <w:i w:val="1"/>
          <w:iCs w:val="1"/>
          <w:color w:val="auto"/>
        </w:rPr>
        <w:t>As a result of our recent settlement with the SEC, we are currently considered an ‘ineligible issuer,’ which limits our ability to use</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free writing prospectuses in securities offerings and will delay our ability to qualify as a ‘well-known seasoned issuer’ in the future</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about the impact of our “ineligible issuer” status.</w:t>
      </w:r>
    </w:p>
    <w:p>
      <w:pPr>
        <w:spacing w:after="0" w:line="18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Beginning on December 23, 2020, six putative securities fraud class action lawsuits were filed against RHM, RHF and/or RHS. The lawsuits generally allege that we violated the duty of best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misled putative class members by publishing misleading statements and omissions in customer communications relating to the execution of trades and revenue sources (including payment for order flow). Five of the complaints asserted claims for violations of Section 10(b) of the Exchange Act.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w:t>
      </w:r>
      <w:r>
        <w:rPr>
          <w:rFonts w:ascii="Arial" w:cs="Arial" w:eastAsia="Arial" w:hAnsi="Arial"/>
          <w:sz w:val="18"/>
          <w:szCs w:val="18"/>
          <w:i w:val="1"/>
          <w:iCs w:val="1"/>
          <w:color w:val="auto"/>
        </w:rPr>
        <w:t>In re Robinhood Order Flow Litigation</w:t>
      </w:r>
      <w:r>
        <w:rPr>
          <w:rFonts w:ascii="Arial" w:cs="Arial" w:eastAsia="Arial" w:hAnsi="Arial"/>
          <w:sz w:val="18"/>
          <w:szCs w:val="18"/>
          <w:color w:val="auto"/>
        </w:rPr>
        <w:t xml:space="preserve"> in the United States District Court for the Northern District of California. An amended consolidated complaint was filed on May 17, 2021. On June 29, 2021, we filed a motion to dismiss the amended consolidated complaint and a motion to deny class 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Best Execution Matter</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19, 2019, without admitting or denying the findings, RHF consented to sanctions and the entry of findings by FINRA relating to RHF’s consideration of alternative markets for order routing, internal written procedures, and the need for additional review of certain order types executed from 2016 to 2017. The settlement censured RHF and required it to pay a $ 1.25 million fine and to retain an independent consultant. RHF paid the $1.25 million fine in cash, which was recorded as general and administrative expenses in our consolidated statements of operations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 Trading and Related Customer Communications and Displays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 Examinations Division conducted an examination and identified deficiencies, to which RHF responded, with respect to account takeovers, identity theft in connection with new account opening, processes for approving or rejecting certain accounts for options trading, and customer support response times. Certain state regulatory authorities are conducting investigations regarding RHF’s options trading and related customer communications and displays. The staff of such state regulatory authorities are reviewing, among other things, how RHF displays cash and buying power to customers and its options trading approval processes. RHF is cooperating with the regulators’ requests. FINRA also conducted an investigation and reached a settlement with RHF regarding the same options trading and related customer communications and displays issues. See “—FINRA Multi-Matter Settlement” above.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asserted claims for wrongful death, negligent infliction of emotional distress and unfair business practices under a California statute, and sought damages and other relief. This matter was dismissed with prejudice following a settlement between the parties.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Pinchasov v. Robinhood Financial LLC</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will now proceed to fact discovery, which is scheduled to close on December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Gordon v. Robinhood Financial LLC</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On May 26, 2021, the court granted RHF’s motion to stay the proceeding, including all deadlines, class discovery and class notice, while RHF conducts discovery into the allegation that the plaintiff and class counsel Brian Cameron orchestrated the text messages at issue. On June 25, 2021, RHF filed a motion to decertify the class and disqualify class counsel.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You” Document Request</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May 26, 2021, the SEC’s Enforcement Division issued a request to RHM and RHF seeking documents and information related to the “For You” feature, which was available in the past on our website only and is not currently an active product offering on our website or platform, and other features displaying lists of securities to customers. Robinhood is cooperating with the Staff’s investigation.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Dansberger v. Robinhood Securities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On June 11, 2021, RHS was sued by Thomas Dansberger on behalf of a putative class in the Circuit Court for Seminole County in Florida. Mr. Dansberger purports to represent “All Florida residents who purchased Robinhood Gold on or by January 21, 2021 and (b) who were not able to buy or sell cryptocurrencies on January 21, 2021.” The plaintiff alleges one count of violating the Florida Deceptive and Unfair Trade Practices Act, Fla. Stat. § 510.201, </w:t>
      </w:r>
      <w:r>
        <w:rPr>
          <w:rFonts w:ascii="Arial" w:cs="Arial" w:eastAsia="Arial" w:hAnsi="Arial"/>
          <w:sz w:val="18"/>
          <w:szCs w:val="18"/>
          <w:i w:val="1"/>
          <w:iCs w:val="1"/>
          <w:color w:val="auto"/>
        </w:rPr>
        <w:t>et seq</w:t>
      </w:r>
      <w:r>
        <w:rPr>
          <w:rFonts w:ascii="Arial" w:cs="Arial" w:eastAsia="Arial" w:hAnsi="Arial"/>
          <w:sz w:val="18"/>
          <w:szCs w:val="18"/>
          <w:color w:val="auto"/>
        </w:rPr>
        <w:t>. and alleges that RHS engaged in unfair and deceptive trade practices by advertising and marketing that Robinhood Gold would provide access for customers to buy and sell cryptocurrencies but failed to do so on January 28, 2021 when it halted the buying and selling of 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MANAGEMENT</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Executive Officers and Non-Employee Directors Upon Completion of the Offering</w:t>
      </w:r>
    </w:p>
    <w:p>
      <w:pPr>
        <w:spacing w:after="0" w:line="18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information as of July 1, 2021 regarding individuals who are expected to serve as our executive officers and directors following the completion of this offering: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Age</w:t>
            </w:r>
          </w:p>
        </w:tc>
        <w:tc>
          <w:tcPr>
            <w:tcW w:w="3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Position</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Committees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Date of Appointment</w:t>
            </w:r>
          </w:p>
        </w:tc>
      </w:tr>
      <w:tr>
        <w:trPr>
          <w:trHeight w:val="223"/>
        </w:trPr>
        <w:tc>
          <w:tcPr>
            <w:tcW w:w="2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32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Vladimir Tenev</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Executive Officer,</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President and 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Baiju Bhatt</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Creative Officer and</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Aparna Chennapragada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Product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April 2021</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Daniel Gallagher</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Legal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2020</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Gretchen Howard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80" w:type="dxa"/>
            <w:vAlign w:val="bottom"/>
          </w:tcPr>
          <w:p>
            <w:pPr>
              <w:spacing w:after="0"/>
              <w:rPr>
                <w:sz w:val="19"/>
                <w:szCs w:val="19"/>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Operating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July 2019</w:t>
            </w: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Christina Smedley</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Chief Marketing and Communications</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rPr>
              <w:t>September 2020</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Officer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Jason Warnick</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Financial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December 2018</w:t>
            </w:r>
          </w:p>
        </w:tc>
      </w:tr>
      <w:tr>
        <w:trPr>
          <w:trHeight w:val="229"/>
        </w:trPr>
        <w:tc>
          <w:tcPr>
            <w:tcW w:w="2840" w:type="dxa"/>
            <w:vAlign w:val="bottom"/>
            <w:gridSpan w:val="2"/>
            <w:shd w:val="clear" w:color="auto" w:fill="DBDBDB"/>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Jan Hammer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rPr>
              <w:t>August 2014</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Paula Loop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2021</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Jonathan Rubinstein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Scott Sandell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2016</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Robert Zoellick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ind w:right="5680" w:firstLine="8"/>
        <w:spacing w:after="0" w:line="241" w:lineRule="auto"/>
        <w:tabs>
          <w:tab w:leader="none" w:pos="176" w:val="left"/>
        </w:tabs>
        <w:numPr>
          <w:ilvl w:val="0"/>
          <w:numId w:val="99"/>
        </w:numPr>
        <w:rPr>
          <w:rFonts w:ascii="Arial" w:cs="Arial" w:eastAsia="Arial" w:hAnsi="Arial"/>
          <w:sz w:val="14"/>
          <w:szCs w:val="14"/>
          <w:color w:val="auto"/>
        </w:rPr>
      </w:pPr>
      <w:r>
        <w:rPr>
          <w:rFonts w:ascii="Arial" w:cs="Arial" w:eastAsia="Arial" w:hAnsi="Arial"/>
          <w:sz w:val="14"/>
          <w:szCs w:val="14"/>
          <w:color w:val="auto"/>
        </w:rPr>
        <w:t>= Considered by our board of directors to be independent under Nasdaq listing rules A = Member of the Audit Committee</w:t>
      </w:r>
    </w:p>
    <w:p>
      <w:pPr>
        <w:spacing w:after="0"/>
        <w:rPr>
          <w:rFonts w:ascii="Arial" w:cs="Arial" w:eastAsia="Arial" w:hAnsi="Arial"/>
          <w:sz w:val="14"/>
          <w:szCs w:val="14"/>
          <w:color w:val="auto"/>
        </w:rPr>
      </w:pPr>
      <w:r>
        <w:rPr>
          <w:rFonts w:ascii="Arial" w:cs="Arial" w:eastAsia="Arial" w:hAnsi="Arial"/>
          <w:sz w:val="14"/>
          <w:szCs w:val="14"/>
          <w:color w:val="auto"/>
        </w:rPr>
        <w:t>C = Member of the People and Compensation Committee</w:t>
      </w:r>
    </w:p>
    <w:p>
      <w:pPr>
        <w:spacing w:after="0" w:line="1" w:lineRule="exact"/>
        <w:rPr>
          <w:rFonts w:ascii="Arial" w:cs="Arial" w:eastAsia="Arial" w:hAnsi="Arial"/>
          <w:sz w:val="14"/>
          <w:szCs w:val="14"/>
          <w:color w:val="auto"/>
        </w:rPr>
      </w:pPr>
    </w:p>
    <w:p>
      <w:pPr>
        <w:ind w:right="6700"/>
        <w:spacing w:after="0" w:line="241" w:lineRule="auto"/>
        <w:rPr>
          <w:rFonts w:ascii="Arial" w:cs="Arial" w:eastAsia="Arial" w:hAnsi="Arial"/>
          <w:sz w:val="14"/>
          <w:szCs w:val="14"/>
          <w:color w:val="auto"/>
        </w:rPr>
      </w:pPr>
      <w:r>
        <w:rPr>
          <w:rFonts w:ascii="Arial" w:cs="Arial" w:eastAsia="Arial" w:hAnsi="Arial"/>
          <w:sz w:val="14"/>
          <w:szCs w:val="14"/>
          <w:color w:val="auto"/>
        </w:rPr>
        <w:t>N = Member of the Nominating and Corporate Governance Committee R = Member of the Safety, Risk and Regulatory Committee</w:t>
      </w:r>
    </w:p>
    <w:p>
      <w:pPr>
        <w:spacing w:after="0"/>
        <w:rPr>
          <w:rFonts w:ascii="Arial" w:cs="Arial" w:eastAsia="Arial" w:hAnsi="Arial"/>
          <w:sz w:val="14"/>
          <w:szCs w:val="14"/>
          <w:color w:val="auto"/>
        </w:rPr>
      </w:pPr>
      <w:r>
        <w:rPr>
          <w:rFonts w:ascii="Arial" w:cs="Arial" w:eastAsia="Arial" w:hAnsi="Arial"/>
          <w:sz w:val="14"/>
          <w:szCs w:val="14"/>
          <w:color w:val="auto"/>
        </w:rPr>
        <w:t>* =  Chair of the applicable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 and Employee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Vladimir Tenev </w:t>
      </w:r>
      <w:r>
        <w:rPr>
          <w:rFonts w:ascii="Arial" w:cs="Arial" w:eastAsia="Arial" w:hAnsi="Arial"/>
          <w:sz w:val="18"/>
          <w:szCs w:val="18"/>
          <w:color w:val="auto"/>
        </w:rPr>
        <w:t>is a Co-Founder of Robinhood and, since November 2020, has served as Chief Executive Officer (“CEO”) and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Robinhood. Mr. Tenev has also served as a member of our board of directors since our founding, and in March 2021 was appointed as the Chair of our board of directors. In 2013, Mr. Tenev co-founded Robinhood with Mr. Bhatt to democratize finance. From 2013 to November 2020, Mr. Tenev served alongside Mr. Bhatt as our co-CEO and co-President. Before Robinhood, Mr. Tenev started two finance companies in New York City. Mr. Tenev holds a B.S. in Mathematics from Stanford University and an M.S. in Mathematics from UCLA.</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Tenev is qualified to serve as a member of our board of directors based on the perspective and experience he brings as our Co-Founder and CEO.</w:t>
      </w:r>
    </w:p>
    <w:p>
      <w:pPr>
        <w:spacing w:after="0" w:line="1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Baiju Bhatt </w:t>
      </w:r>
      <w:r>
        <w:rPr>
          <w:rFonts w:ascii="Arial" w:cs="Arial" w:eastAsia="Arial" w:hAnsi="Arial"/>
          <w:sz w:val="18"/>
          <w:szCs w:val="18"/>
          <w:color w:val="auto"/>
        </w:rPr>
        <w:t>is a Co-Founder of Robinhood and, in March 2021, was named our Chief Creative Officer. Mr. Bhatt has also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since our founding. In 2013, Mr. Bhatt co-founded Robinhood with Mr. Tenev to democratize finance. From 2013 to November 2020,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Bhatt served alongside Mr. Tenev as our co-CEO and co-President. Before Robinhood, Mr. Bhatt started two finance companies in New York City. Mr. Bhatt holds a B.S. in Physics and an M.S. in Mathematics from Stanford University.</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Bhatt is qualified to serve as a member of our board of directors based on the perspective and experience he brings as our Co-Founder and Chief Creative Officer.</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Aparna Chennapragada </w:t>
      </w:r>
      <w:r>
        <w:rPr>
          <w:rFonts w:ascii="Arial" w:cs="Arial" w:eastAsia="Arial" w:hAnsi="Arial"/>
          <w:sz w:val="18"/>
          <w:szCs w:val="18"/>
          <w:color w:val="auto"/>
        </w:rPr>
        <w:t>has served as our Chief Product Officer since April 2021. Prior to joining Robinhood, Ms. Chennapragada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Vice President and General Manager at Google, where she held various leadership roles over 12 years. Most recently, Ms. Chennapragada led consumer shopping platforms and experiences across Google and also drove Google's visual search and augmented reality efforts. Ms. Chennapragada also previously worked as a Senior Director and Technical Assistant to the CEO of Google, led Google Now and worked on many areas in Google Search and YouTube. Ms. Chennapragada previously served on the board of directors of Capital One. Ms. Chennapragada holds an M.S. in Management and Engineering from the Massachusetts Institute of Technology, an M.S. in Computer Science from the University of Texas at Austin and a B.Tech in Computer Science from the Indian Institute of Technology, Madras.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Daniel Gallagher </w:t>
      </w:r>
      <w:r>
        <w:rPr>
          <w:rFonts w:ascii="Arial" w:cs="Arial" w:eastAsia="Arial" w:hAnsi="Arial"/>
          <w:sz w:val="18"/>
          <w:szCs w:val="18"/>
          <w:color w:val="auto"/>
        </w:rPr>
        <w:t>has served as our Chief Legal Officer since May 2020. Before joining Robinhood, Mr. Gallagher was a Partner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Deputy Chair of the Securities Department at Wilmer Cutler Pickering Hale and Dorr LLP from 2019 to 2020. Mr. Gallagher’s previous experience includes serving as the Chief Legal Officer at Mylan N.V., a leading global pharmaceutical company, from 2017 to 2019, and as a President of a financial services consulting firm from 2016 to 2017. Mr. Gallagher served as a Commissioner of the SEC from 2011 to 2015, and held several other positions on the SEC staff prior to being appointed Commissioner. Mr. Gallagher holds a J.D. from The Catholic University of America, Columbus School of Law and a B.A. from Georgetown University.</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Gretchen Howard </w:t>
      </w:r>
      <w:r>
        <w:rPr>
          <w:rFonts w:ascii="Arial" w:cs="Arial" w:eastAsia="Arial" w:hAnsi="Arial"/>
          <w:sz w:val="18"/>
          <w:szCs w:val="18"/>
          <w:color w:val="auto"/>
        </w:rPr>
        <w:t>has served as our Chief Operating Officer since July 2019 and as our Vice President of Operations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July 2019. Before joining Robinhood, Ms. Howard was a Partner with CapitalG, Alphabet’s Growth Equity fund from 2014 to 2019. Prior to CapitalG, Ms. Howard held various positions at Google, including the co-site lead of the Google San Francisco office and a Managing Director in Sales &amp; Business Operations. Prior to joining Google in 2006, Ms. Howard served as Vice President of Market Development and Field Sales for Fidelity Investments. She started her career working in consulting, helping companies implement new technology strategies. Ms. Howard serves as a director on the board of directors of Macondray Capital Acquisition Corp I. Ms. Howard holds an M.B.A. from Harvard Business School and a B.A. from Williams College.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Christina Smedley </w:t>
      </w:r>
      <w:r>
        <w:rPr>
          <w:rFonts w:ascii="Arial" w:cs="Arial" w:eastAsia="Arial" w:hAnsi="Arial"/>
          <w:sz w:val="18"/>
          <w:szCs w:val="18"/>
          <w:color w:val="auto"/>
        </w:rPr>
        <w:t>has served as our Chief Marketing and Communications Officer since September 2020. Before joining Robinhood,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Smedley held various positions, most recently as a Vice President at Facebook from 2015 to 2020, where she worked with the Messenger, Diem (previously known as Libra) and Novi teams. Ms. Smedley joined Facebook from PayPal where she was Vice President of Brand and Communications from 2012 to 2015. In past roles, she led Edelman’s global consumer practice and Amazon’s worldwide communications team. She holds a B.A. from the University of Kent, Canterbury, United Kingdom.</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Jason Warnick </w:t>
      </w:r>
      <w:r>
        <w:rPr>
          <w:rFonts w:ascii="Arial" w:cs="Arial" w:eastAsia="Arial" w:hAnsi="Arial"/>
          <w:sz w:val="18"/>
          <w:szCs w:val="18"/>
          <w:color w:val="auto"/>
        </w:rPr>
        <w:t>has served as our Chief Financial Officer since December 2018. Prior to joining Robinhood, Mr. Warnick held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strategy and compliance leadership positions at Amazon.com, where he most recently served as Vice President, Finance from 2011 to 2018. Mr. Warnick holds a B.A. in Accounting from Western Washington University.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Directors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Jan Hammer </w:t>
      </w:r>
      <w:r>
        <w:rPr>
          <w:rFonts w:ascii="Arial" w:cs="Arial" w:eastAsia="Arial" w:hAnsi="Arial"/>
          <w:sz w:val="18"/>
          <w:szCs w:val="18"/>
          <w:color w:val="auto"/>
        </w:rPr>
        <w:t>has served as a member of our board of directors since August 2014. Mr. Hammer is a Partner at Index Ventures,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which he joined in 2010. At Index, he focuses on financial, information/data services and software as a service across all stages. Prior to joining Index,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Hammer worked at General Atlantic in London. Mr. Hammer started his career working in mergers and acquisitions and capital markets at Morgan Stanley. Mr. Hammer holds an M.B.A. from INSEAD and an M.A. from Oxford University.</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Hammer is qualified to serve as a member of our board of directors based on the perspective and extensive experience he brings as an investor in technology companies.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Paula Loop </w:t>
      </w:r>
      <w:r>
        <w:rPr>
          <w:rFonts w:ascii="Arial" w:cs="Arial" w:eastAsia="Arial" w:hAnsi="Arial"/>
          <w:sz w:val="18"/>
          <w:szCs w:val="18"/>
          <w:color w:val="auto"/>
        </w:rPr>
        <w:t>has served as a member of our board of directors since June 17, 2021. Ms. Loop was previously a Partner at PwC,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most recently led PwC’s Governance Insights Center, a position from which she retired on June 16, 2021. Ms. Loop has extensive experience in governance, technical accounting and SEC and financial reporting matters. Ms. Loop previously served as PwC’s New York Metro Regional Assurance Leader and prior to that as the U.S. and Global Talent Leader. She also served on PwC’s Board of Partners and on the firm’s Governance, Risk and Quality and Executive Compensation Committees. Ms. Loop is a Certified Public Accountant and also serves on the board of the Value Reporting Foundation. Ms. Loop holds a B.S. from the University of California at Berkeley.</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Ms. Loop is qualified to serve as a member of our board of directors based on her extensive audit, financial and governance experience.</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Jonathan Rubinstein </w:t>
      </w:r>
      <w:r>
        <w:rPr>
          <w:rFonts w:ascii="Arial" w:cs="Arial" w:eastAsia="Arial" w:hAnsi="Arial"/>
          <w:sz w:val="18"/>
          <w:szCs w:val="18"/>
          <w:color w:val="auto"/>
        </w:rPr>
        <w:t>has served as a member of our board of directors since May 28, 2021. He has held several prominent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technology and financial services over the course of his career. Mr. Rubinstein was Co-CEO at Bridgewater Associates, LP, from 2016 to 2017; Senior Vice President, Product Innovation, for the Personal Systems Group at Hewlett-Packard Company; the Chairman and CEO of Palm, Inc.; and a Senior Vice President and also General Manager of the iPod Division at Apple Inc. Mr. Rubinstein is a member of the National Academy of Engineering and a senior member of the Institute of Electrical and Electronics Engineers. He currently serves as the lead director of the board of directors of Amazon and previously served as a director on the board of directors of Qualcomm. Mr. Rubinstein is also a Senior Advisor at PDT Partners. Mr. Rubinstein holds an M.Eng. and a B.S. in electrical engineering from Cornell University. Mr. Rubinstein also holds an M.S. in computer science from Colorado State University.</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Rubinstein is qualified to serve as a member of our board of directors based on the perspective and extensive experience he brings as a leader of and an investor in technology companies and his experience serving on public company boards.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Scott Sandell </w:t>
      </w:r>
      <w:r>
        <w:rPr>
          <w:rFonts w:ascii="Arial" w:cs="Arial" w:eastAsia="Arial" w:hAnsi="Arial"/>
          <w:sz w:val="18"/>
          <w:szCs w:val="18"/>
          <w:color w:val="auto"/>
        </w:rPr>
        <w:t>has served as a member of our board of directors since June 2016. He has served as Managing General Partner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Associates (“NEA”), a venture capital firm, since 2017, Co-Managing General Partner from 2015 to 2017, and as a General Partner since September 2000. Mr. Sandell joined NEA in 1996. Mr. Sandell is currently the lead independent director of Cloudflare and is a director of Bloom Energy and Tuya. Mr. Sandell previously served on the board of directors of Fusion-io, Tableau Software, Workday and Spreadtrum Communications. Mr. Sandell holds an M.B.A. from Stanford University and an A.B. in Engineering Sciences from Dartmouth College.</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Sandell is qualified to serve as a member of our board of directors based on the perspective and extensive experience he brings as an investor in technology companies and his experience serving on private and public company boards.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Robert Zoellick </w:t>
      </w:r>
      <w:r>
        <w:rPr>
          <w:rFonts w:ascii="Arial" w:cs="Arial" w:eastAsia="Arial" w:hAnsi="Arial"/>
          <w:sz w:val="18"/>
          <w:szCs w:val="18"/>
          <w:color w:val="auto"/>
        </w:rPr>
        <w:t>has served as a member of our board of directors since May 28, 2021. Mr. Zoellick is a Senior Fellow of the Belfer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 for Science and International Affairs at Harvard University and Senior Counselor at the Brunswick Group. He served in various posts in the public sector, including President of the World Bank from 2007 to 2012, U.S. Trade Representative from 2001 to 2005, Deputy Secretary of State from 2005 to 2006, Counselor to the Secretary of the Treasury, and Deputy Chief of Staff at the White House from 1992 to 1993. Mr. Zoellick has also chaired the board at AllianceBernstein and held senior posts at Goldman Sachs, Fannie Mae and the U.S. Naval Academy. He serves on the boards of Temasek, Singapore's sovereign wealth fund, and Twitter, Inc. Mr. Zoellick also chairs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International Advisory Council of Standard Chartered Bank and serves on the Strategic Council of Swiss Re. He is a member of the boards of the Carnegie Endowment, the Peterson Institute for International Economics, and the Wildlife Conservation Society. Mr. Zoellick holds a J.D. from Harvard Law School, an M.P.P. from Harvard's John F. Kennedy School of Government and a B.A. from Swarthmore College.</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Zoellick is qualified to serve as a member of our board of directors based on the perspective and extensive experience he brings from serving in the government and in the private and public sectors.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Appointment of Officers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Composition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and affairs are managed under the direction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Current Board of Directors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authorized number of members on our board of directors is currently seven. Pursuant to our amended and restated certificate of incorporation, dated as of February 12, 2021, as amended and as in effect prior to the completion of this offering (our “Pre-IPO Charter”), and the Amended and Restated Voting Agreement, dated as of August 13, 2020, as amended (the “Pre-IPO Voting Agreement”), by and among us and certain holders of our capital stock, Messrs. Bhatt, Hammer, Rubinstein, Sandell, Tenev and Zoellick and Ms. Loop have been designated to serve as members of our board of directors. Pursuant to the Pre-IPO Voting Agreement, (i) the seat occupied by Mr. Hammer is elected by the holders of a majority of our outstanding Series A redeemable convertible preferred stock; (ii) the seat occupied by Mr. Sandell is elected by the holders of a majority of our outstanding Series B redeemable convertible preferred stock; (iii) the seats occupied by Mr. Bhatt and Mr. Tenev are elected by the holders of a majority of the outstanding shares of our common stock; (iv) the seats occupied by Mr. Rubinstein and Mr. Zoellick are elected by the holders of a majority of the outstanding shares of our common stock and may not be affiliates of ours and must also be reasonably acceptable to either Mr. Hammer or Mr. Sandell (or their successors); and (v) the seat to be occupied by Ms. Loop is elected by the holders of a majority of our common stock, Series A redeemable convertible preferred stock and Series B redeemable convertible preferred stock, voting together as a single class on an as-converted basis, and also may not be an affiliate of ours.</w:t>
      </w:r>
    </w:p>
    <w:p>
      <w:pPr>
        <w:spacing w:after="0" w:line="1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Pursuant to our Pre-IPO Charter and the Pre-IPO Voting Agreement, the maximum authorized number of members on our board of directors is seven.</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provisions of our Pre-IPO Charter and the Pre-IPO Voting Agreement by which the directors are currently elected will terminate in connection with this offering and we will not be party to any contractual obligations regarding the election of our directors following this offering.</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this offering, the authorized number of directors will be fixed by our board of directors, subject to the terms of our Charter and Bylaws, each of which will become effective immediately prior to the completion of this offering. Each of our current directors will continue to serve until his or her successor is duly elected and qualified, or until his or her earlier death, resignation, retirement, disqualification or removal from office.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Classified Board of Directors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Charter will provide that, immediately upon the effectiveness of our Charter, our board of directors will be divided into three classes (Class I, Class II and Class III), one class of which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elected each year by our stockholders. Our Charter will provide that our board of directors will be fully declassified by the third annual meeting of stockholders following the effectiveness of our Charter, which is expected to occur in 2024. Our directors will be divided among the three classes as follows: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220"/>
              <w:spacing w:after="0"/>
              <w:rPr>
                <w:sz w:val="20"/>
                <w:szCs w:val="20"/>
                <w:color w:val="auto"/>
              </w:rPr>
            </w:pPr>
            <w:r>
              <w:rPr>
                <w:rFonts w:ascii="Arial" w:cs="Arial" w:eastAsia="Arial" w:hAnsi="Arial"/>
                <w:sz w:val="18"/>
                <w:szCs w:val="18"/>
                <w:color w:val="auto"/>
              </w:rPr>
              <w:t>and</w:t>
            </w:r>
          </w:p>
        </w:tc>
        <w:tc>
          <w:tcPr>
            <w:tcW w:w="7100" w:type="dxa"/>
            <w:vAlign w:val="bottom"/>
          </w:tcPr>
          <w:p>
            <w:pPr>
              <w:jc w:val="right"/>
              <w:spacing w:after="0"/>
              <w:rPr>
                <w:sz w:val="20"/>
                <w:szCs w:val="20"/>
                <w:color w:val="auto"/>
              </w:rPr>
            </w:pPr>
            <w:r>
              <w:rPr>
                <w:rFonts w:ascii="Arial" w:cs="Arial" w:eastAsia="Arial" w:hAnsi="Arial"/>
                <w:sz w:val="18"/>
                <w:szCs w:val="18"/>
                <w:color w:val="auto"/>
              </w:rPr>
              <w:t>, and their terms will expire at the first annual meeting of stockholders following the</w:t>
            </w:r>
          </w:p>
        </w:tc>
      </w:tr>
      <w:tr>
        <w:trPr>
          <w:trHeight w:val="217"/>
        </w:trPr>
        <w:tc>
          <w:tcPr>
            <w:tcW w:w="18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effectiveness of our Charter;</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3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ind w:left="60"/>
              <w:spacing w:after="0"/>
              <w:rPr>
                <w:sz w:val="20"/>
                <w:szCs w:val="20"/>
                <w:color w:val="auto"/>
              </w:rPr>
            </w:pPr>
            <w:r>
              <w:rPr>
                <w:rFonts w:ascii="Arial" w:cs="Arial" w:eastAsia="Arial" w:hAnsi="Arial"/>
                <w:sz w:val="18"/>
                <w:szCs w:val="18"/>
                <w:color w:val="auto"/>
              </w:rPr>
              <w:t>and</w:t>
            </w:r>
          </w:p>
        </w:tc>
        <w:tc>
          <w:tcPr>
            <w:tcW w:w="7100" w:type="dxa"/>
            <w:vAlign w:val="bottom"/>
          </w:tcPr>
          <w:p>
            <w:pPr>
              <w:jc w:val="right"/>
              <w:spacing w:after="0"/>
              <w:rPr>
                <w:sz w:val="20"/>
                <w:szCs w:val="20"/>
                <w:color w:val="auto"/>
              </w:rPr>
            </w:pPr>
            <w:r>
              <w:rPr>
                <w:rFonts w:ascii="Arial" w:cs="Arial" w:eastAsia="Arial" w:hAnsi="Arial"/>
                <w:sz w:val="18"/>
                <w:szCs w:val="18"/>
                <w:color w:val="auto"/>
              </w:rPr>
              <w:t>, and their terms will expire at the second annual meeting of stockholders following the</w:t>
            </w:r>
          </w:p>
        </w:tc>
      </w:tr>
      <w:tr>
        <w:trPr>
          <w:trHeight w:val="217"/>
        </w:trPr>
        <w:tc>
          <w:tcPr>
            <w:tcW w:w="180" w:type="dxa"/>
            <w:vAlign w:val="bottom"/>
          </w:tcPr>
          <w:p>
            <w:pPr>
              <w:spacing w:after="0"/>
              <w:rPr>
                <w:sz w:val="18"/>
                <w:szCs w:val="18"/>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auto"/>
              </w:rPr>
              <w:t>effectiveness of our Charter; and</w:t>
            </w:r>
          </w:p>
        </w:tc>
        <w:tc>
          <w:tcPr>
            <w:tcW w:w="72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3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and</w:t>
            </w:r>
          </w:p>
        </w:tc>
        <w:tc>
          <w:tcPr>
            <w:tcW w:w="7100" w:type="dxa"/>
            <w:vAlign w:val="bottom"/>
          </w:tcPr>
          <w:p>
            <w:pPr>
              <w:jc w:val="right"/>
              <w:spacing w:after="0"/>
              <w:rPr>
                <w:sz w:val="20"/>
                <w:szCs w:val="20"/>
                <w:color w:val="auto"/>
              </w:rPr>
            </w:pPr>
            <w:r>
              <w:rPr>
                <w:rFonts w:ascii="Arial" w:cs="Arial" w:eastAsia="Arial" w:hAnsi="Arial"/>
                <w:sz w:val="18"/>
                <w:szCs w:val="18"/>
                <w:color w:val="auto"/>
              </w:rPr>
              <w:t>, and their terms will expire at the third annual meeting of stockholders following the</w:t>
            </w:r>
          </w:p>
        </w:tc>
      </w:tr>
      <w:tr>
        <w:trPr>
          <w:trHeight w:val="217"/>
        </w:trPr>
        <w:tc>
          <w:tcPr>
            <w:tcW w:w="18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effectiveness of our Charter.</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100" w:type="dxa"/>
            <w:vAlign w:val="bottom"/>
          </w:tcPr>
          <w:p>
            <w:pPr>
              <w:spacing w:after="0"/>
              <w:rPr>
                <w:sz w:val="18"/>
                <w:szCs w:val="18"/>
                <w:color w:val="auto"/>
              </w:rPr>
            </w:pPr>
          </w:p>
        </w:tc>
      </w:tr>
    </w:tbl>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will provide that our board of directors will be fully declassified by the third annual meeting of stockholders following the effectiveness of our Charter, so that as of and after such meeting, all directors will be elected for one-year terms and will be up for election at each successive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as well as information otherwise obtained by or available to us, our board of directors has determined that Mr. Hammer, Mr. Rubinstein, Mr. Sandell, Mr. Zoellick and Ms. Loop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the transactions involving them described in the section titled “Certain Relationships and Related Person Transactions,” and other transactions or relationships between our company, on the one hand, and other companies at which the director serves as an executive officer or in another leadership role, on the other hand, including other companies in which our investors or directors have also invested.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Lead Independent Director</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the completion of this offering, our corporate governance guidelines will provide that one of our independent directors will serve as the lead independent director at any time when the chair of our board of directors is a member of management or is otherwise not independent. Our board of directors has appointed Jonathan Rubinstein to serve as our lead independent director. As lead independent director, Mr. Rubinstein will preside over all meetings of the board of directors at which the chair is not present, including any executive sessions of the independent directors, consult with the chair to approve schedules and agendas for the meetings of our board of directors and act as liaison between the independent directors and our management and the chair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Role of Our Board in Risk Oversight</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in this prospectus. Our board of directors will play an active role in overseeing management of our risks. Upon completion of this offering, the committees of our board of directors will assist our full board in risk oversight by addressing specific matters within the purview of each committee. Our audit committee will oversee our financial, reporting and disclosure risks, our people and compensation committee will oversee risks relating to executive compensation plans and arrangements, our nominating and corporate governance committee will oversee our corporate governance framework and our safety,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regulatory committee will oversee our enterprise risk management and regulatory compliance programs as well as management of material risks not allocated to the full board of directors or another committee. While each committee will be responsible for evaluating certain risks and overseeing the management of such risks, our full board of directors will be regularly informed of such risks through committee reports and otherwise. While the board oversees our risk management, management is responsible for day-to-day risk management processes. We believe this division of responsibilities is the most effective approach for addressing our risks and that our board leadership structure supports this approach.</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Committees of the Board of Directors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will establish an audit committee, a people and compensation committee, a nominating and corporate governance committee and a safety, risk and regulatory committee, with each having the composition and responsibilities described below. Our board of directors may establish other committees to facilitate the management of our business. Members will serve on these committees until their resignation or until as otherwise determined by our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our audit committee will consist of Paula Loop, Jan Hammer and Robert Zoellick, with Paula Loop serving as Chair. Our board of directors has determined that all members are independent under the listing standards of the Nasdaq and SEC rules and regulations. Our board of directors has also determined that Paula Loop is an audit committee financial expert as such term is currently defined in Item 407(d)(5) of Regulation S-K. Each member of our audit committee can read and understand fundamental consolidated financial statements, in accordance with applicable requirements. Following the completion of this offering, our audit committee will, among other matters:</w:t>
      </w:r>
    </w:p>
    <w:p>
      <w:pPr>
        <w:spacing w:after="0" w:line="168" w:lineRule="exact"/>
        <w:rPr>
          <w:sz w:val="20"/>
          <w:szCs w:val="20"/>
          <w:color w:val="auto"/>
        </w:rPr>
      </w:pPr>
    </w:p>
    <w:p>
      <w:pPr>
        <w:ind w:left="660" w:right="2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appoint and oversee an independent registered public accounting firm to audit our consolidated financial statements, including determining the engagement, compensation and retention of the independent registered public accounting firm;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 the independent registered public accounting firm’s qualifications, independence and performance;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and discuss the scope and results of the audit with the independent registered public accounting firm, and review, with management and the independent registered public accounting firm, our interim and year-end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pre-approve all audit and all permissible non-audit services to be performed by the independent registered public accounting firm;</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 and monitor the design, implementation, adequacy and effectiveness of internal control over financial reporting with management and the independent registered public accounting firm;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 our compliance with legal and regulatory requirements as they relate to financial statements or accounting matters;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our consolidated financial statements and our critical accounting policies and estimates;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processes and procedures relating to the assessment and management of financial, disclosure and reporting risks;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 and approve related persons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71" w:lineRule="exact"/>
        <w:rPr>
          <w:sz w:val="20"/>
          <w:szCs w:val="20"/>
          <w:color w:val="auto"/>
        </w:rPr>
      </w:pPr>
    </w:p>
    <w:p>
      <w:pPr>
        <w:ind w:left="66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any complaints received by us regarding accounting, internal accounting controls or auditing matters.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 and Compensation Committee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completion of this offering, our people and compensation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people and compensation committee will, among other matters:</w:t>
      </w:r>
    </w:p>
    <w:p>
      <w:pPr>
        <w:spacing w:after="0" w:line="177" w:lineRule="exact"/>
        <w:rPr>
          <w:sz w:val="20"/>
          <w:szCs w:val="20"/>
          <w:color w:val="auto"/>
        </w:r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 including our CEO;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 the performance, or assist in the evaluation of the performance, of our CEO;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and make recommendations regarding non-employee director compensation to our full board of directors;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administer our equity and non-equity incentive compensation plans;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oversee and review risk exposures associated with our compensation programs, policies and practices and the mitigation thereof;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establish and review general policies and plans relating to compensation and benefits of our employees;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 and discuss annually with management the risks arising from our compensation philosophy and practices to determine whether they encourage excessive risk-taking.</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people and compensation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Nominating and Corporate Governance Committee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completion of this offering, our nominating and corporate governance committee will consist of Scott Sandell and Jonathan Rubinstein, with Scott Sandell serving as Chair. Our board of directors has determined that all members are independent under the listing standards of the Nasdaq and SEC rules and regulations. Following the completion of this offering, our nominating and corporate governance committee will, among other matters:</w:t>
      </w:r>
    </w:p>
    <w:p>
      <w:pPr>
        <w:spacing w:after="0" w:line="163" w:lineRule="exact"/>
        <w:rPr>
          <w:sz w:val="20"/>
          <w:szCs w:val="20"/>
          <w:color w:val="auto"/>
        </w:rPr>
      </w:pPr>
    </w:p>
    <w:p>
      <w:pPr>
        <w:ind w:left="66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director independence determinations;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oversee management’s strategy and reporting efforts with respect to environmental, social and governance (“ESG”) matters and with respect to the publication of any ESG, corporate social responsibility or sustainability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develop and evaluate the adequacy of our corporate governance guidelines and policies;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advise our board of directors on corporate governance matters and board of directors performance matters, including recommendations regarding the size, structure and composition of our board of directors and committees thereof.</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nominating and corporate governance committee will operate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Safety, Risk and Regulatory Committee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Following the completion of this offering, our safety, risk and regulatory committee will consist of Robert Zoellick, Jan Hammer and Paula Loop, with Robert Zoellick serving as Chair. Our board of directors has determined that all members are independent under the listing standards of the Nasdaq and SEC rules and regulations. Following the completion of this offering, our safety, risk and regulatory committee will be the primary committee that assists the board of directors with its oversight of the Company’s risk management. The charter of this committee will require that all members be independent under the listing standards of the Nasdaq and SEC rules and regulations, and we believe the independence of this committee is an important feature of both our risk oversight and of our board leadership structure. The safety, risk and regulatory committee will, among other things:</w:t>
      </w:r>
    </w:p>
    <w:p>
      <w:pPr>
        <w:spacing w:after="0" w:line="166" w:lineRule="exact"/>
        <w:rPr>
          <w:sz w:val="20"/>
          <w:szCs w:val="20"/>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 and discuss with management our significant financial, strategic, operational and compliance risk exposures, risk trends in our major risk concentrations, and the steps management has taken to assess, monitor, and manage such risk exposures, trends and concentrations;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 our enterprise risk management framework, infrastructure, and controls implemented by management to help identify, assess, manage and monitor material risks;</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 management’s exercise of its responsibility to identify, assess and manage material risks not allocated to the board or another committee, including, for example, data privacy, cybersecurity, business continuity, liquidity and capital adequacy, new product risk and compliance with financial regulations;</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 our enterprise-wide compliance program and its financial crimes framework policies, including reports from management regarding ongoing enhancements to, and overall effectiveness of, those programs and policies, as appropriate;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 and discuss compliance risks, the level of compliance risk, management actions on significant compliance matters and reports concerning our compliance with applicable laws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Diversity</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Our board will adopt diversity standards, to be reflected in our corporate governance guidelines with respect to the evaluation of director candidates. In its evaluation of director candidates, our nominating and corporate governance committee will consider factors including issues of character, integrity, judgment, potential conflicts of interest, other commitments and diversity, and with respect to diversity, such factors as gender, race, ethnicity and experience, area of expertise, as well as other individual qualities and attributes that contribute to the total diversity of viewpoints and experience represented on the board of directors. In addition, as a public company with our principal executive offices in California, we will be required by California law to immediately have at least one female director on our board of directors. By the end of 2021, we will be required by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7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California law to have at least three female directors, assuming our Board has six or more members. We will also be required by California law to have at least one director by the end of 2021 who is from an underrepresented community, defined as “an individual who self</w:t>
      </w:r>
      <w:r>
        <w:rPr>
          <w:rFonts w:ascii="MS PGothic" w:cs="MS PGothic" w:eastAsia="MS PGothic" w:hAnsi="MS PGothic"/>
          <w:sz w:val="18"/>
          <w:szCs w:val="18"/>
          <w:color w:val="auto"/>
        </w:rPr>
        <w:t>‑</w:t>
      </w:r>
      <w:r>
        <w:rPr>
          <w:rFonts w:ascii="Arial" w:cs="Arial" w:eastAsia="Arial" w:hAnsi="Arial"/>
          <w:sz w:val="18"/>
          <w:szCs w:val="18"/>
          <w:color w:val="auto"/>
        </w:rPr>
        <w:t>identifies as Black, African American, Hispanic, Latino, Asian, Pacific Islander, Native American, Native Hawaiian, or Alaska Native, or who self</w:t>
      </w:r>
      <w:r>
        <w:rPr>
          <w:rFonts w:ascii="MS PGothic" w:cs="MS PGothic" w:eastAsia="MS PGothic" w:hAnsi="MS PGothic"/>
          <w:sz w:val="18"/>
          <w:szCs w:val="18"/>
          <w:color w:val="auto"/>
        </w:rPr>
        <w:t>‑</w:t>
      </w:r>
      <w:r>
        <w:rPr>
          <w:rFonts w:ascii="Arial" w:cs="Arial" w:eastAsia="Arial" w:hAnsi="Arial"/>
          <w:sz w:val="18"/>
          <w:szCs w:val="18"/>
          <w:color w:val="auto"/>
        </w:rPr>
        <w:t>identifies as gay, lesbian, bisexual, or transgender,” and two such directors by the end of 2022 (assuming our board size remains between five and eight directors). Fines for violating these provisions of California law range in the hundreds of thousands of dollars per year.</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People and Compensation Committee Interlocks and Insider Participation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members of our people and compensation committee is or has been an officer or employee of our company. None of our executive officers currently serves, or in the past year has served, as a member of the board of directors or people and compensation committee (or other board committee performing equivalent functions) of any entity that has one or more of its executive officers serving as a member of our board of directors or people and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Code of Conduct</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has adopted a Code of Conduct that applies to all of our officers, directors, employees and contingent workers, including our CEO, Chief Financial Officer, and other executive and senior officers. The board has also adopted a Code of Ethics for Senior Financial Executives. The full text of both our Code of Conduct and our Code of Ethics for Senior Financial Executives will be posted on the investor relations page on our website. We intend to promptly disclose any future amendments to either the Code of Conduct or the Code of Ethics for Senior Financial Executives, as well as any waivers under either code, on our website or in a current or periodic report filed with the SEC within four days of the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EXECUTIVE COMPENSATION</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This section provides an overview of the compensation awarded to, earned by, or paid to each individual who served as a principal executive officer during fiscal year 2020 and our next two most highly compensated executive officers in respect of their service to our company during fiscal year 2020. We refer to these individuals as our named executive officers (“NEOs”). Our NEOs for fiscal year 2020 were:</w:t>
      </w:r>
    </w:p>
    <w:p>
      <w:pPr>
        <w:spacing w:after="0" w:line="16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Vladimir Tenev, Co-Founder, Chief Executive Officer and President;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Baiju Bhatt, Co-Founder and Chief Creative Officer and, prior to November 2020, Co-Chief Executive Officer and co-President;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Jason Warnick, Chief Financial Officer;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Daniel Gallagher, Chief Legal Officer.</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summarizes information regarding the compensation awarded to, earned by, or paid to our NEOs during fiscal year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vMerge w:val="restart"/>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Bonus</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 Awards ($)</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60" w:type="dxa"/>
            <w:vAlign w:val="bottom"/>
            <w:tcBorders>
              <w:bottom w:val="single" w:sz="8" w:color="auto"/>
            </w:tcBorders>
          </w:tcPr>
          <w:p>
            <w:pPr>
              <w:jc w:val="right"/>
              <w:ind w:right="362"/>
              <w:spacing w:after="0" w:line="12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ind w:right="322"/>
              <w:spacing w:after="0" w:line="12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9"/>
                <w:szCs w:val="9"/>
                <w:b w:val="1"/>
                <w:bCs w:val="1"/>
                <w:color w:val="auto"/>
              </w:rPr>
              <w:t>(3)</w:t>
            </w: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422"/>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Vladimir Tenev</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367,908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767,923</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i w:val="1"/>
                <w:iCs w:val="1"/>
                <w:color w:val="auto"/>
              </w:rPr>
              <w:t>Co-Founder and Chief Executive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Baiju Bhatt</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495,796</w:t>
            </w:r>
          </w:p>
        </w:tc>
        <w:tc>
          <w:tcPr>
            <w:tcW w:w="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895,811</w:t>
            </w:r>
          </w:p>
        </w:tc>
        <w:tc>
          <w:tcPr>
            <w:tcW w:w="0" w:type="dxa"/>
            <w:vAlign w:val="bottom"/>
          </w:tcPr>
          <w:p>
            <w:pPr>
              <w:spacing w:after="0"/>
              <w:rPr>
                <w:sz w:val="1"/>
                <w:szCs w:val="1"/>
                <w:color w:val="auto"/>
              </w:rPr>
            </w:pPr>
          </w:p>
        </w:tc>
      </w:tr>
      <w:tr>
        <w:trPr>
          <w:trHeight w:val="168"/>
        </w:trPr>
        <w:tc>
          <w:tcPr>
            <w:tcW w:w="2880" w:type="dxa"/>
            <w:vAlign w:val="bottom"/>
          </w:tcPr>
          <w:p>
            <w:pPr>
              <w:ind w:left="240"/>
              <w:spacing w:after="0" w:line="168" w:lineRule="exact"/>
              <w:rPr>
                <w:sz w:val="20"/>
                <w:szCs w:val="20"/>
                <w:color w:val="auto"/>
              </w:rPr>
            </w:pPr>
            <w:r>
              <w:rPr>
                <w:rFonts w:ascii="Arial" w:cs="Arial" w:eastAsia="Arial" w:hAnsi="Arial"/>
                <w:sz w:val="16"/>
                <w:szCs w:val="16"/>
                <w:i w:val="1"/>
                <w:iCs w:val="1"/>
                <w:color w:val="auto"/>
              </w:rPr>
              <w:t>Co-Founder, Chief Creative Officer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400"/>
              <w:spacing w:after="0" w:line="162" w:lineRule="exact"/>
              <w:rPr>
                <w:sz w:val="20"/>
                <w:szCs w:val="20"/>
                <w:color w:val="auto"/>
              </w:rPr>
            </w:pPr>
            <w:r>
              <w:rPr>
                <w:rFonts w:ascii="Arial" w:cs="Arial" w:eastAsia="Arial" w:hAnsi="Arial"/>
                <w:sz w:val="16"/>
                <w:szCs w:val="16"/>
                <w:i w:val="1"/>
                <w:iCs w:val="1"/>
                <w:color w:val="auto"/>
              </w:rPr>
              <w:t>and Former Co-Chief Executive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Jason Warnick</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17,166,078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50,247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18,066,340</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Daniel Gallagher</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257,436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4,200,000</w:t>
            </w:r>
          </w:p>
        </w:tc>
        <w:tc>
          <w:tcPr>
            <w:tcW w:w="100" w:type="dxa"/>
            <w:vAlign w:val="bottom"/>
          </w:tcPr>
          <w:p>
            <w:pPr>
              <w:spacing w:after="0"/>
              <w:rPr>
                <w:sz w:val="18"/>
                <w:szCs w:val="18"/>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24,619,577</w:t>
            </w:r>
          </w:p>
        </w:tc>
        <w:tc>
          <w:tcPr>
            <w:tcW w:w="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990,901</w:t>
            </w: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30,067,914</w:t>
            </w:r>
          </w:p>
        </w:tc>
        <w:tc>
          <w:tcPr>
            <w:tcW w:w="0" w:type="dxa"/>
            <w:vAlign w:val="bottom"/>
          </w:tcPr>
          <w:p>
            <w:pPr>
              <w:spacing w:after="0"/>
              <w:rPr>
                <w:sz w:val="1"/>
                <w:szCs w:val="1"/>
                <w:color w:val="auto"/>
              </w:rPr>
            </w:pPr>
          </w:p>
        </w:tc>
      </w:tr>
      <w:tr>
        <w:trPr>
          <w:trHeight w:val="221"/>
        </w:trPr>
        <w:tc>
          <w:tcPr>
            <w:tcW w:w="2880" w:type="dxa"/>
            <w:vAlign w:val="bottom"/>
          </w:tcPr>
          <w:p>
            <w:pPr>
              <w:ind w:left="240"/>
              <w:spacing w:after="0" w:line="221" w:lineRule="exact"/>
              <w:rPr>
                <w:sz w:val="20"/>
                <w:szCs w:val="20"/>
                <w:color w:val="auto"/>
              </w:rPr>
            </w:pPr>
            <w:r>
              <w:rPr>
                <w:rFonts w:ascii="Arial" w:cs="Arial" w:eastAsia="Arial" w:hAnsi="Arial"/>
                <w:sz w:val="16"/>
                <w:szCs w:val="16"/>
                <w:i w:val="1"/>
                <w:iCs w:val="1"/>
                <w:color w:val="auto"/>
              </w:rPr>
              <w:t>Chief Legal Officer</w:t>
            </w:r>
            <w:r>
              <w:rPr>
                <w:rFonts w:ascii="Arial" w:cs="Arial" w:eastAsia="Arial" w:hAnsi="Arial"/>
                <w:sz w:val="21"/>
                <w:szCs w:val="21"/>
                <w:i w:val="1"/>
                <w:iCs w:val="1"/>
                <w:color w:val="auto"/>
                <w:vertAlign w:val="superscript"/>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20"/>
                <w:szCs w:val="20"/>
                <w:color w:val="auto"/>
              </w:rPr>
            </w:pPr>
            <w:r>
              <w:rPr>
                <w:rFonts w:ascii="Arial" w:cs="Arial" w:eastAsia="Arial" w:hAnsi="Arial"/>
                <w:sz w:val="18"/>
                <w:szCs w:val="18"/>
                <w:color w:val="auto"/>
              </w:rPr>
              <w:t>_____________</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Mr. Gallagher joined us as Chief Legal Officer on May 12, 2020.</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For Mr. Warnick, the bonus amount includes a retention bonus of $100,000 paid in December 2020 and a one-time discretionary bonus of $350,000 also paid in December 2020. For Mr. Gallagher, the bonus amount includes (i) a prepaid retention bonus of $2.1 million paid in connection with the commencement of his employment on May 12, 2020 and (ii) an additional prepaid retention bonus of $2.1 million paid in December 2020. The terms of Messrs. Warnick’s and Gallagher’s retention bonuses are further described in detail below under “—Narrative Description of Executive Compensation Arrangements—Offer Letters.”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RSUs calculated in accordance with FASB ASC Topic 718. For additional information, see Note 1 to our consolidated financial statements included elsewhere in this prospectus. The assumptions used in calculating the grant date fair value of the RSUs reported in this table are set forth in the section titled “Management’s Discussion and Analysis of Financial Condition and Results of Operations—Critical Accounting Policies and Estimates—Share-based Compensation.”</w:t>
      </w:r>
    </w:p>
    <w:p>
      <w:pPr>
        <w:spacing w:after="0" w:line="1" w:lineRule="exact"/>
        <w:rPr>
          <w:rFonts w:ascii="Arial" w:cs="Arial" w:eastAsia="Arial" w:hAnsi="Arial"/>
          <w:sz w:val="14"/>
          <w:szCs w:val="14"/>
          <w:color w:val="auto"/>
        </w:rPr>
      </w:pPr>
    </w:p>
    <w:p>
      <w:pPr>
        <w:jc w:val="both"/>
        <w:ind w:left="340" w:right="20" w:hanging="332"/>
        <w:spacing w:after="0" w:line="247" w:lineRule="auto"/>
        <w:tabs>
          <w:tab w:leader="none" w:pos="32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stock options calculated in accordance with FASB ASC Topic 718. For additional information, see Note 1 to our consolidated financial statements included elsewhere in this prospectus. The assumptions used in calculating the grant date fair value of the stock options reported in this table are set forth in the section titled “Management’s Discussion and Analysis of Financial Condition and Results of Operations— Critical Accounting Policies and Estimates—Share-based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6" w:lineRule="exact"/>
        <w:rPr>
          <w:sz w:val="20"/>
          <w:szCs w:val="20"/>
          <w:color w:val="auto"/>
        </w:rPr>
      </w:pPr>
    </w:p>
    <w:p>
      <w:pPr>
        <w:jc w:val="both"/>
        <w:ind w:left="340" w:hanging="332"/>
        <w:spacing w:after="0" w:line="249" w:lineRule="auto"/>
        <w:tabs>
          <w:tab w:leader="none" w:pos="32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For Mr. Tenev, the amount reflects executive medical plan premiums and $343,584 in personal security costs. For Mr. Bhatt, the amount reflects executive medical plan premiums and $472,653 in personal security costs. For Mr. Warnick, the amount reflects executive medical plan premiums, health reimbursements, including the reimbursement of taxes associated with such reimbursements, and $8,195 in company matching contributions to his 401(k) plan account.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as of December 31, 2020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regarding outstanding equity awards held by our NEOs as of December 31, 2020.</w:t>
      </w:r>
    </w:p>
    <w:p>
      <w:pPr>
        <w:spacing w:after="0" w:line="211" w:lineRule="exact"/>
        <w:rPr>
          <w:sz w:val="20"/>
          <w:szCs w:val="20"/>
          <w:color w:val="auto"/>
        </w:rPr>
      </w:pPr>
    </w:p>
    <w:p>
      <w:pPr>
        <w:ind w:left="3620"/>
        <w:spacing w:after="0"/>
        <w:tabs>
          <w:tab w:leader="none" w:pos="8780" w:val="left"/>
        </w:tabs>
        <w:rPr>
          <w:sz w:val="20"/>
          <w:szCs w:val="20"/>
          <w:color w:val="auto"/>
        </w:rPr>
      </w:pPr>
      <w:r>
        <w:rPr>
          <w:rFonts w:ascii="Arial" w:cs="Arial" w:eastAsia="Arial" w:hAnsi="Arial"/>
          <w:sz w:val="11"/>
          <w:szCs w:val="11"/>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10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Equity Incentive</w:t>
            </w:r>
          </w:p>
        </w:tc>
        <w:tc>
          <w:tcPr>
            <w:tcW w:w="7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7"/>
              </w:rPr>
              <w:t>Equity Incentive</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Plan Awards: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w w:val="98"/>
              </w:rPr>
              <w:t>Number of</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Market Value of</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Securities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4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Underlying</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Option</w:t>
            </w:r>
          </w:p>
        </w:tc>
        <w:tc>
          <w:tcPr>
            <w:tcW w:w="9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720" w:type="dxa"/>
            <w:vAlign w:val="bottom"/>
            <w:vMerge w:val="continue"/>
          </w:tcPr>
          <w:p>
            <w:pPr>
              <w:spacing w:after="0"/>
              <w:rPr>
                <w:sz w:val="9"/>
                <w:szCs w:val="9"/>
                <w:color w:val="auto"/>
              </w:rPr>
            </w:pPr>
          </w:p>
        </w:tc>
        <w:tc>
          <w:tcPr>
            <w:tcW w:w="96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5"/>
              </w:rPr>
              <w:t>Option</w:t>
            </w: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104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99"/>
              </w:rPr>
              <w:t>Units or Other</w:t>
            </w: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Grant Date</w:t>
            </w: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Options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Options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 Options</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Exercise</w:t>
            </w:r>
          </w:p>
        </w:tc>
        <w:tc>
          <w:tcPr>
            <w:tcW w:w="960" w:type="dxa"/>
            <w:vAlign w:val="bottom"/>
            <w:vMerge w:val="continue"/>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Have Not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Have Not</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Rights That Have</w:t>
            </w: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7"/>
              </w:rPr>
              <w:t>Exercisable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6"/>
              </w:rPr>
              <w:t>Unexercisable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6"/>
              </w:rPr>
              <w:t>Price ($)</w:t>
            </w:r>
          </w:p>
        </w:tc>
        <w:tc>
          <w:tcPr>
            <w:tcW w:w="960" w:type="dxa"/>
            <w:vAlign w:val="bottom"/>
          </w:tcPr>
          <w:p>
            <w:pPr>
              <w:jc w:val="center"/>
              <w:ind w:left="66"/>
              <w:spacing w:after="0"/>
              <w:rPr>
                <w:sz w:val="20"/>
                <w:szCs w:val="20"/>
                <w:color w:val="auto"/>
              </w:rPr>
            </w:pPr>
            <w:r>
              <w:rPr>
                <w:rFonts w:ascii="Arial" w:cs="Arial" w:eastAsia="Arial" w:hAnsi="Arial"/>
                <w:sz w:val="11"/>
                <w:szCs w:val="11"/>
                <w:b w:val="1"/>
                <w:bCs w:val="1"/>
                <w:color w:val="auto"/>
                <w:w w:val="99"/>
              </w:rPr>
              <w:t>Expiration Date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Vested (#)</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Vested ($)</w:t>
            </w:r>
            <w:r>
              <w:rPr>
                <w:rFonts w:ascii="Arial" w:cs="Arial" w:eastAsia="Arial" w:hAnsi="Arial"/>
                <w:sz w:val="7"/>
                <w:szCs w:val="7"/>
                <w:b w:val="1"/>
                <w:bCs w:val="1"/>
                <w:color w:val="auto"/>
                <w:w w:val="98"/>
              </w:rPr>
              <w:t>(1)</w:t>
            </w:r>
          </w:p>
        </w:tc>
        <w:tc>
          <w:tcPr>
            <w:tcW w:w="104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Not Vested(#)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Equity Incentive</w:t>
      </w:r>
    </w:p>
    <w:p>
      <w:pPr>
        <w:jc w:val="center"/>
        <w:ind w:right="20"/>
        <w:spacing w:after="0" w:line="204" w:lineRule="auto"/>
        <w:rPr>
          <w:sz w:val="20"/>
          <w:szCs w:val="20"/>
          <w:color w:val="auto"/>
        </w:rPr>
      </w:pPr>
      <w:r>
        <w:rPr>
          <w:rFonts w:ascii="Arial" w:cs="Arial" w:eastAsia="Arial" w:hAnsi="Arial"/>
          <w:sz w:val="11"/>
          <w:szCs w:val="11"/>
          <w:b w:val="1"/>
          <w:bCs w:val="1"/>
          <w:color w:val="auto"/>
        </w:rPr>
        <w:t>Plan Awards:</w:t>
      </w:r>
    </w:p>
    <w:p>
      <w:pPr>
        <w:jc w:val="center"/>
        <w:ind w:right="20"/>
        <w:spacing w:after="0" w:line="217" w:lineRule="auto"/>
        <w:rPr>
          <w:sz w:val="20"/>
          <w:szCs w:val="20"/>
          <w:color w:val="auto"/>
        </w:rPr>
      </w:pPr>
      <w:r>
        <w:rPr>
          <w:rFonts w:ascii="Arial" w:cs="Arial" w:eastAsia="Arial" w:hAnsi="Arial"/>
          <w:sz w:val="10"/>
          <w:szCs w:val="10"/>
          <w:b w:val="1"/>
          <w:bCs w:val="1"/>
          <w:color w:val="auto"/>
        </w:rPr>
        <w:t>Market or Payout Value of Unearned Shares, Units or Other Rights That Have Not Vested ($)</w:t>
      </w:r>
    </w:p>
    <w:p>
      <w:pPr>
        <w:ind w:left="460"/>
        <w:spacing w:after="0"/>
        <w:rPr>
          <w:sz w:val="20"/>
          <w:szCs w:val="20"/>
          <w:color w:val="auto"/>
        </w:rPr>
      </w:pPr>
      <w:r>
        <w:rPr>
          <w:rFonts w:ascii="Arial" w:cs="Arial" w:eastAsia="Arial" w:hAnsi="Arial"/>
          <w:sz w:val="7"/>
          <w:szCs w:val="7"/>
          <w:b w:val="1"/>
          <w:bCs w:val="1"/>
          <w:color w:val="auto"/>
        </w:rPr>
        <w:t>(1)</w:t>
      </w:r>
    </w:p>
    <w:p>
      <w:pPr>
        <w:spacing w:after="0" w:line="31" w:lineRule="exact"/>
        <w:rPr>
          <w:sz w:val="20"/>
          <w:szCs w:val="20"/>
          <w:color w:val="auto"/>
        </w:rPr>
      </w:pPr>
    </w:p>
    <w:p>
      <w:pPr>
        <w:sectPr>
          <w:pgSz w:w="11900" w:h="16838" w:orient="portrait"/>
          <w:cols w:equalWidth="0" w:num="2">
            <w:col w:w="10000" w:space="200"/>
            <w:col w:w="10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Vladimir Tenev</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Baiju Bhatt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Jason Warnick</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12/15/2018</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rPr>
              <w:t>350,000</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right="226"/>
              <w:spacing w:after="0"/>
              <w:rPr>
                <w:sz w:val="20"/>
                <w:szCs w:val="20"/>
                <w:color w:val="auto"/>
              </w:rPr>
            </w:pPr>
            <w:r>
              <w:rPr>
                <w:rFonts w:ascii="Arial" w:cs="Arial" w:eastAsia="Arial" w:hAnsi="Arial"/>
                <w:sz w:val="11"/>
                <w:szCs w:val="11"/>
                <w:color w:val="auto"/>
              </w:rPr>
              <w:t>350,000</w:t>
            </w:r>
            <w:r>
              <w:rPr>
                <w:rFonts w:ascii="Arial" w:cs="Arial" w:eastAsia="Arial" w:hAnsi="Arial"/>
                <w:sz w:val="7"/>
                <w:szCs w:val="7"/>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5.93</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12/14/2028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700,000</w:t>
            </w:r>
            <w:r>
              <w:rPr>
                <w:rFonts w:ascii="Arial" w:cs="Arial" w:eastAsia="Arial" w:hAnsi="Arial"/>
                <w:sz w:val="7"/>
                <w:szCs w:val="7"/>
                <w:color w:val="auto"/>
                <w:w w:val="99"/>
              </w:rPr>
              <w:t>(5)</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11,431,000</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1/13/2020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699,432</w:t>
            </w:r>
            <w:r>
              <w:rPr>
                <w:rFonts w:ascii="Arial" w:cs="Arial" w:eastAsia="Arial" w:hAnsi="Arial"/>
                <w:sz w:val="7"/>
                <w:szCs w:val="7"/>
                <w:color w:val="auto"/>
                <w:w w:val="99"/>
              </w:rPr>
              <w:t>(6)</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11,421,725</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645,160</w:t>
            </w:r>
            <w:r>
              <w:rPr>
                <w:rFonts w:ascii="Arial" w:cs="Arial" w:eastAsia="Arial" w:hAnsi="Arial"/>
                <w:sz w:val="7"/>
                <w:szCs w:val="7"/>
                <w:color w:val="auto"/>
                <w:w w:val="99"/>
              </w:rPr>
              <w:t>(7)</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10,535,463</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203"/>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2"/>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Daniel Gallagher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10,013</w:t>
            </w:r>
            <w:r>
              <w:rPr>
                <w:rFonts w:ascii="Arial" w:cs="Arial" w:eastAsia="Arial" w:hAnsi="Arial"/>
                <w:sz w:val="7"/>
                <w:szCs w:val="7"/>
                <w:color w:val="auto"/>
                <w:w w:val="94"/>
              </w:rPr>
              <w:t>(8)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163,512</w:t>
            </w: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6/16/2020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308,419</w:t>
            </w:r>
            <w:r>
              <w:rPr>
                <w:rFonts w:ascii="Arial" w:cs="Arial" w:eastAsia="Arial" w:hAnsi="Arial"/>
                <w:sz w:val="7"/>
                <w:szCs w:val="7"/>
                <w:color w:val="auto"/>
                <w:w w:val="99"/>
              </w:rPr>
              <w:t>(9)</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5,036,482</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7/6/2020</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right="206"/>
              <w:spacing w:after="0"/>
              <w:rPr>
                <w:sz w:val="20"/>
                <w:szCs w:val="20"/>
                <w:color w:val="auto"/>
              </w:rPr>
            </w:pPr>
            <w:r>
              <w:rPr>
                <w:rFonts w:ascii="Arial" w:cs="Arial" w:eastAsia="Arial" w:hAnsi="Arial"/>
                <w:sz w:val="11"/>
                <w:szCs w:val="11"/>
                <w:color w:val="auto"/>
              </w:rPr>
              <w:t>264,360</w:t>
            </w:r>
            <w:r>
              <w:rPr>
                <w:rFonts w:ascii="Arial" w:cs="Arial" w:eastAsia="Arial" w:hAnsi="Arial"/>
                <w:sz w:val="7"/>
                <w:szCs w:val="7"/>
                <w:color w:val="auto"/>
              </w:rPr>
              <w:t>(10)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10.24</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rPr>
              <w:t>7/5/2030</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9/3/2020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1,332,014</w:t>
            </w:r>
            <w:r>
              <w:rPr>
                <w:rFonts w:ascii="Arial" w:cs="Arial" w:eastAsia="Arial" w:hAnsi="Arial"/>
                <w:sz w:val="7"/>
                <w:szCs w:val="7"/>
                <w:color w:val="auto"/>
                <w:w w:val="97"/>
              </w:rPr>
              <w:t>(9)</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21,751,789</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0"/>
        </w:trPr>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270,968</w:t>
            </w:r>
            <w:r>
              <w:rPr>
                <w:rFonts w:ascii="Arial" w:cs="Arial" w:eastAsia="Arial" w:hAnsi="Arial"/>
                <w:sz w:val="7"/>
                <w:szCs w:val="7"/>
                <w:color w:val="auto"/>
                <w:w w:val="99"/>
              </w:rPr>
              <w:t>(11)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4,424,907</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2"/>
        </w:trPr>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$16.33, the fair market value of our common stock as of December 31, 2020, as determined by our board of directors.</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One-fourth of these Time-Based RSUs time vested on August 1, 2019 and an additional one-sixteenth time vest on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These 2019 Market-Based RSUs vest based upon achievement of specified prices for the shares of our Class A common stock and multi-year service vesting requirements. The terms of these awards are further described below under “—Narrative Description of Executive Compensation Arrangements—Market-Based RSUs.”</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 forty-eighth of these stock options vest monthly on the fourth day of each month through December 4, 2022, in each case, subject to continued service through the applicable vesting date.</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4, 2019 and an additional one forty-eighth time vest monthly thereafter, in each case, subject to continued service through the applicable vesting date and the occurrence of a Liquidity Event (as defined below).</w:t>
      </w:r>
    </w:p>
    <w:p>
      <w:pPr>
        <w:ind w:left="340" w:right="2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1, 2020 and an additional one-sixteenth time vest quarterly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Half of these Time-Based RSUs time vest one-sixteenth each quarter, commencing on January 1, 2021, and the remaining half time vest one-eighth each quarter, commencing on January 1, 2023,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These Time-Based RSUs were granted to Mr. Gallagher in connection with his prior service as a member of our board of directors. The time-based vesting conditions for these Time-Based RSUs have been satisfied, but they remain subject to the occurrence of a Liquidity Event (as defined below).</w:t>
      </w:r>
    </w:p>
    <w:p>
      <w:pPr>
        <w:ind w:left="340" w:right="2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Three-sixteenths of these Time-Based RSUs time vested on March 10, 2021, one-sixteenth time vested on May 12, 2021 and an additional one-sixteenth time vests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39"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One-fourth of these stock options time vested on May 12, 2021 and an additional one-sixteenth time vest on each quarterly anniversary thereafter, in each case, subject to continued service through the applicable vesting date.</w:t>
      </w:r>
    </w:p>
    <w:p>
      <w:pPr>
        <w:ind w:left="340" w:right="20" w:hanging="332"/>
        <w:spacing w:after="0" w:line="258" w:lineRule="auto"/>
        <w:tabs>
          <w:tab w:leader="none" w:pos="339"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One-twelfth of these Time-Based RSUs time vested on January 1, 2021 and the remaining Time-Based RSUs time vest in equal quarterly installments beginning on the first day of our second fiscal quarter in 2021 and then on each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type w:val="continuous"/>
        </w:sectPr>
      </w:pPr>
    </w:p>
    <w:bookmarkStart w:id="236" w:name="page237"/>
    <w:bookmarkEnd w:id="236"/>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anniversary thereafter, subject to continued service through the applicable vesting date and the occurrence of a Liquidity Event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Narrative Description of Executive Compensation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NEOs. Base salaries are reviewed periodically and adjusted from time to time to realign salaries with market levels after taking into account individual responsibilities, performance and experience. On April 22, 2021, our board of directors approved, effective upon completion of this offering, an adjustment to each of Mr. Tenev’s and Mr. Bhatt’s annual base salary from $400,000 to $34,248, which was the 2019 median wage for individuals in the U.S. (as reported by the Social Security Administration), representing both the board’s and our co-founders’ desire to more heavily weight our co-founders’ compensation following this offering toward equity-based compensation, subject to continued review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Bonuses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historically utilized retention bonuses to retain and compensate certain employees, including certain of our NEOs. We have not historically maintained an annual bonus program for our NEOs.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Awards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NEOs and from time to time may grant equity incentive awards to them. Our equity awards have been primarily in the form of RSUs that require continued employment over a multi-year vesting period and the occurrence of a liquidity event (the earlier of (i) this initial public offering and (ii) an acquisition, including a change in ownership, effective control or sale of substantially all of our assets) (a “Liquidity Event”). The terms of the equity awards held by our NEOs are described under “—Outstanding Equity Awards as of December 31, 2020” above and further described below.</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10, 2021, our board of directors modified the time-vesting schedule of certain outstanding RSUs to replace the one-year cliff vesting schedule applicable to one-quarter of certain RSU awards with a simplified quarterly vesting schedule. The time-vesting schedule applicable to outstanding RSUs held by our employees, including our NEOs, for which the original one-year time-based cliff vesting condition had not yet been satisfied as of March 10, 2021, was amended such that, on March 10, 2021, one-sixteenth of such RSUs vested for each full fiscal quarter that elapsed between the vesting commencement date and March 10, 2021, and the remaining RSUs will vest quarterly thereafter on quarterly vesting dates.</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terms described below, on March 10, 2021, our board of directors adopted a policy intended to provide our employees, including our NEOs, with additional financial security in the event of loss and hardship in recognition of the significant weight we place on equity incentive compensation. In the event that an employee’s (including any NEO’s) employment terminates due to death or permanent disability, a portion of such employee’s RSUs that are subject to time-based vesting conditions and would have otherwise vested within the two years following such termination will vest and become exercisable; provided, that the maximum value of RSUs that will vest and become exercisable may not exceed $10 million in the aggregate. Any RSUs that time vest in accordance with this policy will continue to be subject to any liquidity or performance-based vesting conditions,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Market-Based RSUs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Market-Based RSUs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2019, each of our Co-Founders was granted an award of 13,831,829 Market-Based RSUs under our 2013 Stock Plan (the “2019 Market-Based RSUs”). This award was designed to incentivize the Co-Founders toward growing our share price and is subject to both challenging share price goals and multi-year service vesting requirements. The following table sets forth the percentage of the 2019 Market-Based RSUs eligible to vest based on our share price (the “2019 Market-Based RSU Share Price Condition”):</w:t>
      </w:r>
    </w:p>
    <w:p>
      <w:pPr>
        <w:spacing w:after="0" w:line="171" w:lineRule="exact"/>
        <w:rPr>
          <w:sz w:val="20"/>
          <w:szCs w:val="20"/>
          <w:color w:val="auto"/>
        </w:rPr>
      </w:pPr>
    </w:p>
    <w:tbl>
      <w:tblPr>
        <w:tblLayout w:type="fixed"/>
        <w:tblInd w:w="1750" w:type="dxa"/>
        <w:tblCellMar>
          <w:top w:w="0" w:type="dxa"/>
          <w:left w:w="0" w:type="dxa"/>
          <w:bottom w:w="0" w:type="dxa"/>
          <w:right w:w="0" w:type="dxa"/>
        </w:tblCellMar>
      </w:tblPr>
      <w:tr>
        <w:trPr>
          <w:trHeight w:val="264"/>
        </w:trPr>
        <w:tc>
          <w:tcPr>
            <w:tcW w:w="39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8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14"/>
                <w:szCs w:val="14"/>
                <w:b w:val="1"/>
                <w:bCs w:val="1"/>
                <w:color w:val="auto"/>
              </w:rPr>
              <w:t>Eligible Market-Based RSUs</w:t>
            </w:r>
          </w:p>
        </w:tc>
      </w:tr>
      <w:tr>
        <w:trPr>
          <w:trHeight w:val="243"/>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$30.45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$30.45 to less than $50.75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$50.75 to less than $101.50</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$101.50 or more</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Once the number of 2019 Market-Based RSUs eligible to vest has been determined based on the satisfaction of the 2019 Market-Based RSU Share Price Condition (the “Eligible 2019 Market-Based RSUs”), half of those Eligible 2019 Market-Based RSUs will immediately vest and be settled and the remaining half vest according to a quarterly time-based vesting condition, which is satisfied based on three-month service periods retroactive to August 1, 2018 through August 1, 2024, subject to continued service on each such vesting date during that period except as specified below.</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2019 Market-Based RSU Share Price Condition will initially be tested based on our initial public offering price, with half of the Eligible 2019 Market-Based RSUs vesting and settling immediately at the time of this offering, the remaining half of the Eligible 2019 Market-Based RSUs for which the three-month service periods have been satisfied as of this offering also vesting and settling immediately and any Eligible 2019 Market-Based RSUs for which the three-month service period has not yet been satisfied as of this offering vesting over time, subject to continued service on the remaining quarterly vesting dates.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share price targets and number of RSUs eligible for vesting will be adjusted to reflect any stock splits, stock dividends, combinations, reorganizations, reclassifications or similar event under the 2013 Stock Plan. Except as specified below, there will be no partial vesting of tranches between the applicable share price goals.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sale event (as defined in the 2013 Stock Plan) before the award expires, the 2019 Market-Based RSUs may be eligible to vest in additional tranche(s) of RSUs if the per share deal price in the sale event results in the achievement of an additional price goal that has not previously been achieved, in which case the tranche(s) of RSUs corresponding to that price target will be eligible for vesting immediately prior to the closing of the sale event.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a Co-Founder is terminated without cause or resigns for good reason (each as defined in the Co-Founder’s award agreement) within 30 days prior to a sale event, he will be eligible to vest in any 2019 Market-Based RSUs that would have otherwise vested as a result of the transaction. In addition, in the event of any such termination within 30 days prior to a sale event or 18 months following a sale event, any Eligible 2019 Market-Based RSUs for which the service-based vesting requirement has not been satisfied will vest and be settled.</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to maintain the incentives of the 2019 Market-Based RSUs, on May 25 and May 26, 2021, respectively, the independent members of our board of directors and a majority of our disinterested stockholders approved an amendment to the 2019 Market-Based RSUs to provide that any 2019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RSUs for which the 2019 Market-Based RSU Share Price Condition is not satisfied as of this offering will continue to be eligible for vesting subject to achievement of the same price hurdles based on our public trading prices following this offering through December 31, 2025. For this purpose, achievement of the price hurdles will be based on the average of the daily volume weighted average of our stock prices for each day over a consecutive 60-day trading period. Upon vesting and settlement of the 2019 Market-Based RSUs, any tax withholding obligations will be satisfied either through net settlement or selling to cover. Any vested shares of our Class A common stock issued to the Co-Founders in settlement of 2019 Market-Based RSUs may be exchanged by them for shares of our Class B common stock pursuant to their Equity Exchange Rights.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the amendment to the 2019 Market-based RSUs was determined to be a modification of a market condition, we estimated the pre-modification and post-modification fair value of the awards in order to determine the incremental fair value generated by the modification. To value the awards, we used a model based on multiple stock price paths developed through the use of a Monte Carlo simulation that incorporates into the valuation the possibility that the price targets may not be satisfied. The weighted average incremental fair value of the modification was estimated to be $20.57 per RSU. Approximately $133.2 million of the incremental share-based compensation expense will be recognized upon this offering based on past service. The remaining incremental share-based compensation expense of approximately $435.9 million will be recognized over a weighted average requisite service period of 1.49 years, 50% of which is based on an explicit service period and 50% of which is based on a derived service period based on the median of the passage of time it takes to achieve the price target in the Monte Carlo simulations. If the price targets are met sooner than the derived service period, we will adjust our share-based compensation expense to reflect the cumulative expense associated with the vested award.</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currently anticipate that a total of of the 2019 Market-Based RSUs (or RSUs per Co-Founder) will become Eligible 2019 Market-Based RSUs in connection with this offering (based on an assumed initial public offering price of our Class A common stock of $</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 with a total of (or per Co-Founder) vesting in connection with this offering and a total of (or per Co-Founder) subject to vesting in equal installments on each August 1, November 1, February 1 and May 1 through August 1,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Market-Based RSUs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May 25 and May 26, 2021, respectively, the independent members of our board of directors and a majority of our disinterested stockholders, approved awards of 22,200,000 and 13,320,000 RSUs to Messrs. Tenev and Bhatt, respectively, under our 2020 Plan (the “2021 Market-Based RSUs”). The 2021 Market-Based RSUs are designed to incentivize the Co-Founders toward further growing our share price over and above the price hurdles applicable to the 2019 Market-Based RSUs and are subject to both challenging share price goals and service vesting requirements.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independent directors, in consultation with Compensia, their independent compensation consultant, considered several factors in determining whether to grant the 2021 Market-Based RSUs and the size and terms of the awards, including market data for similarly situated executives at comparable companies, the Co-Founders’ past and expected future contributions to us, and the desire to provide meaningful incentives to grow the Company for the benefit of all stockholders. It is intended that the Co-Founders will not be granted any other equity awards through the eighth anniversary of the grant date of the 2021 Market-Based RSUs, unless there are changes in circumstance or our business that our board of directors determines would merit granting additional equity awards to the Co-Founders.</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2021 Market-Based RSUs are eligible to vest based on our stock price trading performance over a performance period beginning on the first trading day following this offering and ending on the eighth anniversary of the grant date. The 2021 Market-Based RSUs are divided into seven tranches that are eligible to vest based on the achievement of specified stock price goals, measured based on the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the volume weighted average of our stock prices for each day over a consecutive 60-day trading period during the performance period as set forth below. The measurement period was selected to reward the Co-Founders only if we achieve sustained share price growth.</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929292"/>
              <w:left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74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Tenev Eligible RSUs</w:t>
            </w:r>
          </w:p>
        </w:tc>
        <w:tc>
          <w:tcPr>
            <w:tcW w:w="376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Bhatt Eligible RSUs</w:t>
            </w:r>
          </w:p>
        </w:tc>
      </w:tr>
      <w:tr>
        <w:trPr>
          <w:trHeight w:val="243"/>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$120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$150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$180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$210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$240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$270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$300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bl>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If our share price fails to reach $120 during the performance period, no portion of the 2021 Market-Based RSUs will vest. The share price targets and number of RSUs eligible for vesting will be adjusted to reflect any stock splits, stock dividends, combinations, reorganizations, reclassifications or similar event under the 2020 Plan. Except as specified below, there will be no partial vesting of tranches between the applicable share price goals.</w:t>
      </w:r>
    </w:p>
    <w:p>
      <w:pPr>
        <w:spacing w:after="0" w:line="163"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In the event of a change in control of the Company following the closing of this offering but before the end of the performance period, the 2021 Market-Based RSUs may be eligible to vest in additional tranche(s) of RSUs if the per share deal price in the change in control results in the achievement of an additional price goal that has not previously been achieved, in which case the tranche(s) of RSUs corresponding to that price target will vest immediately prior to the closing of the change in control.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81"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8"/>
          <w:szCs w:val="18"/>
          <w:color w:val="auto"/>
        </w:rPr>
        <w:t>Mr. Tenev and Mr. Bhatt must be employed as of the applicable achievement date to be eligible for vesting in a particular tranche. However, in the event Mr. Tenev or Mr. Bhatt is terminated without cause (as defined in the award agreement) within 30 days prior to a change in control, he will be eligible to vest in any 2021 Market-Based RSUs that would have otherwise vested as a result of the transaction. In the event Mr. Tenev remains employed as a member of management but does not serve as our Chief Executive Officer or Executive Chairman, the RSUs that may vest following the date he ceases to serve in those roles will be reduced by 40%. Each vested RSU under the 2021 Market-Based RSUs will be settled in a share of our Class A common stock on the tenth trading day of the month following the applicable achievement date. Upon vesting and settlement of the 2021 Market-Based RSUs, any tax withholding obligations will be satisfied either through net settlement or selling to cover. Any vested shares of our Class A common stock issued to Mr. Tenev or Mr. Bhatt in settlement of 2021 Market-Based RSUs may be exchanged by them for shares of our Class B common stock pursuant to their Equity Exchange Rights.</w:t>
      </w:r>
    </w:p>
    <w:p>
      <w:pPr>
        <w:spacing w:after="0" w:line="171"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We estimated the grant date fair value of the 2021 Market-Based RSUs using a model based on multiple stock price paths developed through the use of a Monte Carlo simulation that incorporates into the valuation the possibility that the price targets may not be satisfied. The weighted average grant date fair value of the 2021 Market-Based RSUs was estimated to be $16.41 per RSU, and we will recognize total share-based compensation expense of approximately $583 million over a weighted average derived requisite service period of 4.96 years, considering Monte Carlo simulation median time to achieve each of the seven separate tranches. If the price targets are met sooner than the derived service period, we will adjust our share-based compensation expense to reflect the cumulative expense associated with the vested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60"/>
          </w:cols>
          <w:pgMar w:left="320" w:top="1440" w:right="319" w:bottom="1440" w:gutter="0" w:footer="0" w:header="0"/>
        </w:sectPr>
      </w:pPr>
    </w:p>
    <w:bookmarkStart w:id="240" w:name="page241"/>
    <w:bookmarkEnd w:id="24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 Letters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not entered into offer letters or employment agreements with Mr. Tenev or Mr. Bhatt.</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into offer letters with each of Mr. Warnick and Mr. Gallagher. These offer letters provide for at-will employment and generally include the NEO’s initial base salary, initial equity awards, eligibility to participate in our employee benefit plans generally and, for Mr. Gallagher, severance payments and other benefits in the event of termination of employment by us without “cause” or by the executive for “good reason” (each, as defined in the applicable offer letter or award agreement) (a “Qualifying Termination”).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Jason Warnick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entered into an offer letter with Mr. Warnick, dated November 8, 2019 (the “Warnick Offer Letter”). Pursuant to the Warnick Offer Letter, Mr. Warnick’s initial base salary was $300,000 and Mr. Warnick received a retention bonus opportunity of $300,000, the last installment of which was paid on the second anniversary following the commencement of his employment.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Warnick Offer Letter, Mr. Warnick received an initial grant of 700,000 Time-Based RSUs and 700,000 stock options (the “Warnick Sign-On Grants”). One-fourth of the Warnick Sign-On Grants vested on December 4, 2019, and the remaining vest in equal monthly installments thereafter, subject to continued service though the applicable vesting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Gallagher</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an amended and restated offer letter with Mr. Gallagher, dated December 15, 2020 (the “Gallagher Offer Letter”). Pursuant to the Gallagher Offer Letter, Mr. Gallagher’s initial base salary was $400,000 and Mr. Gallagher received an initial prepaid retention bonus of $2.1 million, which was paid following the commencement of his employment (the “First Retention Bonus”), and an additional prepaid retention bonus of $2.1 million, which was paid in December 2020 (the “Second Retention Bonus”). One-twelfth of the First Retention Bonus vests on each monthly anniversary of May 12, 2020 (his employment commencement date) and one-twelfth of the Second Retention Bonus vests on each monthly anniversary of May 12, 2021 (the first anniversary of his employment commencement date). In the event of Mr. Gallagher’s termination of employment, other than a Qualifying Termination, prior to May 12, 2022, Mr. Gallagher will be required to repay any then-unvested portion of the First Retention Bonus and Second Retention Bonus.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the Gallagher Offer Letter, Mr. Gallagher received two separate grants of Time-Based RSUs (308,419 Time-Based RSUs and 1,332,014 Time-Based RSUs, respectively (the “Gallagher Sign-On RSUs”)) and 264,360 stock options. Pursuant to the amendment approved by our board of directors on March 10, 2021, three-sixteenths of the Gallagher Sign-On RSUs vested on March 10, 2021, one-sixteenth vested on May 12, 2021 and an additional one-sixteenth will vest on each quarterly anniversary thereafter, subject to continued service through the applicable vesting date and the occurrence of a Liquidity Event (as defined below). Pursuant to the Gallagher Offer Letter, one-fourth of Mr. Gallagher’s stock options vested on May 12, 2021 and an additional one-sixteenth vest on each quarterly anniversary thereafter, subject to continued service through the applicable vesting date. In addition, pursuant to the Gallagher Offer Letter, Mr. Gallagher received an additional grant of 270,968 Time-Based RSUs (the “Gallagher Supplemental RSUs”), one-twelfth of which vested on January 1, 2021, with the remainder vesting in equal quarterly installments beginning on the first day of our second fiscal quarter in 2021 and on each quarterly anniversary thereafter, subject to continued service through the applicable vesting date and, in each case, the occurrence of a Liquidity Event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and Change in Control</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did not have a formal plan with respect to severance payments and benefits payable to our NEOs. In March 2021, our board of directors adopted our CIC and Severance Plan (as defined below), which provides severance payments and benefits in the event of certain terminations, as described in more detail below under “—Employee Benefits and Stock Plans—Change in Control and Severance Plan.” From time to time, we granted equity awards to our NEOs subject to accelerated vesting in the event of such NEO’s Qualifying Termination and entered into employment offer letters with certain key employees, including the Gallagher Offer Letter, that provide for certain severance payments and benefits in the event of a Qualifying Termination. In addition, as described in more detail above under “—Narrative Description of Executive Compensation Arrangements—Equity Awards,” in the event an NEO’s employment terminates due to death or permanent disability, the portion of the NEO’s outstanding RSUs that are subject to time-based vesting conditions and would have otherwise vested within the two years following such termination will vest and become exercisable, subject to an aggregate cap and certain other conditions.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Vladimir Tenev</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Tenev as of December 31, 2020, in the event Mr. Tenev incurs a Qualifying Termination from the date that is 30 days prior to a “sale event” (as defined in the applicable award agreement)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Tenev, in the event Mr. Tenev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Baiju Bhatt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Bhatt as of December 31, 2020, in the event Mr. Bhatt incurs a Qualifying Termination from the date that is 30 days prior to a sale event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Bhatt, in the event Mr. Bhatt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Jason Warnick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terms of outstanding Time-Based RSUs and stock options held by Mr. Warnick, (i) in the event of a “corporate transaction,” in the case of stock options, or a “change in control” (as defined in the applicable award agreement), in the case of Time-Based RSUs, in which the acquirer does not assume, substitute or continue such awards, then all such awards will immediately vest, subject to Mr. Warnick’s continued employment through such date, and (ii) in the event Mr. Warnick incurs a Qualifying Termination from the date that is three months prior to a “change in control” (as defined in the applicable award agreement) to the date that is 18 months following such change in control in which the acquirer assumes, substitutes or continues such awards, then all such awards will immediately vest on the later of such termination and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Daniel Gallagher</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Gallagher Offer Letter, in the event Mr. Gallagher incurs a Qualifying Termination prior to the first anniversary of his employment commencement date, he will be entitled to the following severance payments and benefits, subject to his execution of a release of claims within 60 days following such termination:</w:t>
      </w:r>
    </w:p>
    <w:p>
      <w:pPr>
        <w:spacing w:after="0" w:line="161"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lump-sum cash severance payment equal to his base salary (the “Gallagher Severance Amount”);</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Mr. Gallagher elects continued health coverage under the Consolidated Omnibus Reconciliation Act of 1985 as amended (“COBRA”), payment of COBRA premiums for Mr. Gallagher and his covered dependents until (i) 12 months following such termination and (ii) the date Mr. Gallagher and his covered dependent become eligible for coverage under another employer’s plans; and</w:t>
      </w:r>
    </w:p>
    <w:p>
      <w:pPr>
        <w:spacing w:after="0" w:line="1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accelerated vesting of the portion of the Gallagher Sign-On Grants that would have otherwise vested through and including May 12,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in the event Mr. Gallagher incurs a Qualifying Termination from the date that is three months prior to a “change in control” (as defined in the Gallagher Offer Letter) to the date that is 18 months following such change in control, he will be entitled to receive, subject to his execution of a release of claims within 60 days following such termination, (i) the Gallagher Severance Amount and (ii) accelerated vesting of the Gallagher Sign-On Grants and the Gallagher Supplemental RSUs.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Employee Benefits and Stock Plans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principal features of certain other benefit plans and policies are summarized below. These summaries are qualified in their entirety by reference to the actual text of the plans, which, other than our 401(k) plan and policies, are or will be filed as exhibits to the registration statement of which this prospectus is a part.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Control and Severance Plan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2021, our board of directors adopted our Change in Control and Severance Plan for Key Employees (our “CIC and Severance Plan”). Our board of directors (or a committee thereof), or, solely with respect to employees who are not our executive officers, our CEO, administers our CIC and Severance Plan. Each of our executive officers and each of our other employees at the level of vice president or above is eligible to participate in our CIC and Severance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Non-Change in Control Severance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the event of a Qualifying Termination that occurs outside of the change in control period (as described below), a participant will be eligible for the following payments and benefits:</w:t>
      </w:r>
    </w:p>
    <w:p>
      <w:pPr>
        <w:spacing w:after="0" w:line="157" w:lineRule="exact"/>
        <w:rPr>
          <w:sz w:val="20"/>
          <w:szCs w:val="20"/>
          <w:color w:val="auto"/>
        </w:rPr>
      </w:pPr>
    </w:p>
    <w:p>
      <w:pPr>
        <w:jc w:val="both"/>
        <w:ind w:left="660" w:hanging="328"/>
        <w:spacing w:after="0" w:line="256"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$1,500,000 and 18 months’ base salary, (y) in the case of our other executive officers, 12 months’ base salary and (z) in the case of our other employees at the level of vice president or above, nine months’ base salary;</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lump sum payment equal to the participant’s target annual bonus, prorated based on the number of days the participant was employed with us during the year of termination;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the Consolidated Omnibus Reconciliation Act of 1985 as amended, or COBRA, on an after-tax basis, for a period of (x) in the case of our CEO, 18 months, (y) in the case of our other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71" w:lineRule="exact"/>
        <w:rPr>
          <w:sz w:val="20"/>
          <w:szCs w:val="20"/>
          <w:color w:val="auto"/>
        </w:rPr>
      </w:pPr>
    </w:p>
    <w:p>
      <w:pPr>
        <w:ind w:right="1480" w:firstLine="648"/>
        <w:spacing w:after="0" w:line="461" w:lineRule="auto"/>
        <w:rPr>
          <w:sz w:val="20"/>
          <w:szCs w:val="20"/>
          <w:color w:val="auto"/>
        </w:rPr>
      </w:pPr>
      <w:r>
        <w:rPr>
          <w:rFonts w:ascii="Arial" w:cs="Arial" w:eastAsia="Arial" w:hAnsi="Arial"/>
          <w:sz w:val="18"/>
          <w:szCs w:val="18"/>
          <w:color w:val="auto"/>
        </w:rPr>
        <w:t xml:space="preserve">officers, 12 months and (z) in the case of our other employees at the level of vice president or above, nine months. </w:t>
      </w:r>
      <w:r>
        <w:rPr>
          <w:rFonts w:ascii="Arial" w:cs="Arial" w:eastAsia="Arial" w:hAnsi="Arial"/>
          <w:sz w:val="18"/>
          <w:szCs w:val="18"/>
          <w:i w:val="1"/>
          <w:iCs w:val="1"/>
          <w:color w:val="auto"/>
        </w:rPr>
        <w:t>Change-in-Control Severance</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of a Qualifying Termination that occurs within a period beginning three months prior to and ending 18 months following a “change in control” (as defined in our CIC and Severance Plan) (such period, the “change in control period”), the participant will be eligible for the following payments and benefits:</w:t>
      </w:r>
    </w:p>
    <w:p>
      <w:pPr>
        <w:spacing w:after="0" w:line="161" w:lineRule="exact"/>
        <w:rPr>
          <w:sz w:val="20"/>
          <w:szCs w:val="20"/>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$2,000,000 and 24 months’ base salary, (y) in the case of our other executive officers, 18 months’ base salary and (z) in the case of our other employees at the level of vice president or above, 12 months’ base salary;</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lump sum payment equal to the sum of (x) the participant’s target annual bonus at the time of termination and (y) the participant’s target annual bonus, prorated based on the number of days the participant was employed with us during the year of termination;</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COBRA, on an after-tax basis, for a period of (x) in the case of our CEO, 24 months, (y) in the case of our other executive officers, 18 months or (z) in the case of our other employees at the level of vice president or above, 12 months; and</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accelerated vesting of all outstanding equity awards held by the participant, with all applicable performance goals or other vesting criteria deemed achieved at 100% of target levels for the relevant performance period(s), excluding any performance-based award granted prior to this offering.</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a participant is party to an agreement providing for severance payments and benefits, such participant will be entitled to receive the greater of the cash severance payments and benefits and accelerated vesting of equity awards provided under such agreement and those provided under our CIC and Severance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receipt of the payments and benefits provided for under our CIC and Severance Plan described above is conditioned on the participant signing and not revoking a separation and release of claims satisfactory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280G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if any of the payments or benefits provided for under our CIC and Severance Plan or otherwise payable to a participant would constitute “parachute payments” within the meaning of Section 280G of the Code and could be subject to the related excise tax, the participant will receive either the full payments and benefits under our CIC and Severance Plan (and be subject to the applicable excise tax) or such lesser amount that would result in no portion of the payments and benefits being subject to the excise tax, whichever results in the greater after-tax benefit to the participant. Our CIC and Severance Plan does not require us to provide any tax gross-up payments to the participants.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of directors may amend or terminate our CIC and Severance Plan at any time prior to a change in control. Following a change in control, our CIC and Severance Plan may not be amended or terminated in any way that would prevent the participant from becoming eligible for the payments and benefits described above or reduce or alter such payments and benefits to the detriment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 No amendment or termination will affect the rights of any participant to claim benefits under our CIC and Severance Plan for events occurring prior to the effective date of such amendment or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Omnibus Incentive Plan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2021, our board of directors and our stockholders approved and adopted our 2021 Plan. Our 2021 Plan will be effective immediately prior to the effective date of this prospectus. Upon effectiveness of our 2021 Plan, no new awards will be granted under our 2020 Plan, but any awards outstanding under our 2020 Plan will remain in effect pursuant to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2021 Plan provides for the grant of stock options, including incentive stock options (“ISOs”) and nonstatutory stock options (“NQSOs”), stock appreciation rights (“SARs”), restricted stock, RSUs, performance units, other equity-based awards and cash-based awards. ISOs may be granted only to our employees, including employees of any parent entity. All other awards may be granted to our and our affiliates’ employees and consultants and members of our board of directors. As of the date of this prospectus, we have approximately 2,800 employees and consultants and seven members of our board of directors, each of whom will be eligible to receive awards under our 2021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shares of our Class A common stock that will be reserved for issuance pursuant to our 2021 Plan will include an initial share reserve equal to approximately (i) 11% of the number of shares of our common stock (of all classes) that will be outstanding immediately after the closing of this offering plus (ii)(A)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when our 2021 Plan becomes effective (and after giving effect to the shares entering the pool on the date of this prospectus under clause (ii)(B) above in connection with the net settlement of RSUs granted under our 2020 Plan or 2013 Plan), the aggregate number of shares reserved for issuance under our 2021 Plan will be equal to approximately 14% of the number of shares of our common stock (of all classes) that will be outstanding immediately after the closing of this offering.</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number of shares available under our 2021 Plan will automatically increase on the first day of each calendar year beginning on January 1, 2022 and ending with (and including) January 1, 2031. Such annual increase will equal the lesser of (i) 5% of the outstanding shares of all classes of our common stock on the last day of the immediately preceding fiscal year and (ii) such number of shares determined by the administrator.</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maximum number of shares of our Class A common stock that may be issued with respect to ISOs under our 2021 Plan is equal to 400,000,000. The maximum amount that may be paid, issued or granted to any non-employee director under our 2021 Plan in any calendar year, taken together with any other cash compensation paid during the calendar year to the non-employee director in respect of the non-employee director’s service as a member of our board of directors (including service as a member or chair of any committee thereof) is $1,000,000 (with the value of each equity award based on its grant date fair value (determined in accordance with U.S. generally accepted accounting principles) and counted toward this limit for the year in which it was granted). Any cash compensation paid or equity awards granted to a non-employee director for his or her services as an employee or a consultant (other than as a non-employee director), or any cash compensation paid or equity awards granted to a non-employee director prior to the effective date of our 2021 Plan, in each case, will not count for purposes of this non-employee director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an award granted under our 2021 Plan is forfeited, or otherwise expires, terminates or is canceled, without the delivery of shares subject to the award or we repurchase the shares subject to such award, then, in each case, the number of shares subject to such award that were not issued or that were repurchased, as applicable, will remain available for future grant or sale under our 2021 Plan. With respect to SARs, only the net shares actually issued will cease to be available under our 2021 Plan and all remaining shares under SARs will remain available for future grant or sale under our 2021 Plan. Shares used to pay the exercise price of an award or to satisfy tax withholding obligations related to an award will remain or become available for future grant or sale under our 2021 Plan. To the extent an award is paid out in cash rather than shares, such cash payment will not result in a reduction in the number of shares available for issuance under our 2021 Plan.</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Shares issued under our 2021 Plan may be previously authorized but unissued shares, repurchased shares, forfeited shares or treasury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and/or a committee appointed by our board of directors will administer our 2021 Plan. The administrator has the authority to, among other things: (i) determine the fair market value of shares; (ii) select eligible persons to receive awards; (iii) determine the number and class of shares to be covered by each award; (iv) approve forms of award agreement; (v) determine, modify and amend the terms and conditions of, and all other matters relating to, awards; (vi) determine the vesting, exercisability, transferability and payment of awards, including the authority to accelerate the vesting of awards or waiving of applicable restrictions or limitations, including pausing vesting of awards during a participant’s approved leave of absence; (vii) construe and interpret the terms of our 2021 Plan and awards; (viii) prescribe, amend and rescind rules and regulations relating to our 2021 Plan, including adopting sub-plans; (ix) allow a participant to defer the receipt of the payment of cash or the delivery of shares that would otherwise be due to such participant under an award; and (x) make all other determinations deemed necessary or advisable for administering our 2021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Capitalization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 reorganization, merger, consolidation, split-up, spin-off, combination, repurchase, exchange of shares of our Class A common stock or our other securities or other change in our corporate structure affecting our Class A common stock, the administrator will equitably adjust any or all of the following in order to prevent diminution or enlargement of benefits under our 2021 Plan: (i) the number and class of shares reserved for issuance under our 2021 Plan; (ii) share and other limits under our 2021 Plan; (iii) the number and class of shares covered by awards then outstanding under our 2021 Plan; (iv) the terms of any outstanding awards; and (v) to the extent applicable, the exercise price with respect to any award and any performance goal, target or measure. The administrator will determine the method and manner in which to effect such equitable adjustment.</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upon any reorganization, merger, consolidation, combination, repurchase, or exchange of shares of our Class A common stock or our other securities, issuance of warrants or other rights to purchase our Class A common stock or other securities, or other similar corporate transaction or event affecting our securities or our financial statements or any of our affiliates (including a change in control), or any changes in applicable rules, rulings, regulations or other requirements of any governmental body or securities exchange, accounting principles or law, then the administrator may, in such manner as it may deem appropriate or desirable: (i) make any equitable adjustments described above; (ii) provide for a cash payment to the holder of an outstanding award in consideration for the cancellation of such award, including, in the case of any outstanding stock option or SAR, a cash payment to the holder of such outstanding award in consideration for the cancellation of such award in an amount equal to the excess, if any, of the fair market value of our Class A common stock subject to such award over the aggregate exercise price of such stock option or SAR; (iii) provide for the cancellation and termination of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 or SAR that has a per share exercise price equal to, or in excess of, the fair market value of a security subject to such award without any payment or consideration for the cancellation and termination of such award; or (iv) provide for the substitution, assumption, acceleration of vesting, lapse of restrictions or termination of any award or prior exercise of any award.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Unless otherwise determined by the administrator or provided in an award agreement, in the event of a “change in control” (as defined in our 2021 Plan) in which no provision is made for the acquirer’s assumption of or substitution for awards (with appropriate adjustments as to the number and kinds of shares and the exercise prices), if applicable, then:</w:t>
      </w:r>
    </w:p>
    <w:p>
      <w:pPr>
        <w:spacing w:after="0" w:line="161" w:lineRule="exact"/>
        <w:rPr>
          <w:sz w:val="20"/>
          <w:szCs w:val="20"/>
          <w:color w:val="auto"/>
        </w:rPr>
      </w:pPr>
    </w:p>
    <w:p>
      <w:pPr>
        <w:jc w:val="both"/>
        <w:ind w:left="660" w:hanging="328"/>
        <w:spacing w:after="0" w:line="256"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immediately prior to such change of control, and the administrator will have authority to cancel such stock option or SARs in exchange for cash payment equal to the applicable spread value, if any;</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immediately prior to such change in control, at either the target or actual level of performance (as determined by the administrator), and will be paid out as soon as practicable following such change in control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will lapse as of immediately prior to such change in control, and the award will be paid out within 30 days following such change in control or such later date as may be required to comply with Section 409A of the Code.</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otherwise determined by the administrator or provided in an award agreement or a service provider’s employment or service agreement with us or any of our affiliates, if within 12 months following a change of control in which the acquirer assumes or substitutes awards in accordance with our 2021 Plan, a participant’s employment or service is terminated by us (or our successor) without “cause” (as defined in our 2021 Plan), then:</w:t>
      </w:r>
    </w:p>
    <w:p>
      <w:pPr>
        <w:spacing w:after="0" w:line="177" w:lineRule="exact"/>
        <w:rPr>
          <w:sz w:val="20"/>
          <w:szCs w:val="20"/>
          <w:color w:val="auto"/>
        </w:rPr>
      </w:pPr>
    </w:p>
    <w:p>
      <w:pPr>
        <w:jc w:val="both"/>
        <w:ind w:left="660" w:hanging="328"/>
        <w:spacing w:after="0" w:line="256"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the date of such termination, and will remain exercisable until the earlier of the expiration of the existing term and 90 days following the date of such termination;</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the date of such termination, at either the target or actual level of performance (as determined by the administrator), and such deemed earned amount will be paid out as soon as practicable following such termination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related thereto will lapse as of the date of such termination, and the award will be paid out as soon as practicable following such date of termination or such later date as may be required to comply with Section 409A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Awards granted under our 2021 Plan generally may not be transferred or assigned in any manner other than by will, by the laws of descent and distribution or by beneficiary designation, unless otherwise permitted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2021 Plan will have a term of 10 years, unless it is terminated earlier by our board of directors. Our board of directors may amend or terminate our 2021 Plan at any time without stockholder approval, unless stockholder approval for such action is required under applicable laws. No amendment, modification or termination will materially and adversely affect the rights of any holder of any award without the consent of such holder.</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administrator may waive any conditions or rights under, amend any terms of, or alter, suspend, discontinue, cancel or terminate, any award granted or the applicable award agreement, prospectively or retroactively, provided that, unless permitted by the applicable award agreement or as necessary to comply with tax laws, any such waiver, amendment, alteration, suspension, discontinuance, cancellation or termination that would materially and adversely affect the rights of any participant or any holder or beneficiary of any award granted will not be effective without the consent of the affected participant, holder or beneficiary. Without stockholder approval, the administrator may (i) reprice any stock option or SAR, including reduce the exercise price of any stock option or SAR with notice to the affected participants and (ii) with the consent of the respective participants (if required under our 2021 Plan), pay cash or issue new awards in exchange for the cancellation of any or all outstanding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Awards under our 2021 Plan will be subject to our clawback or recoupment policy as may be established and/or amended from time to time. The administrator may require a participant to forfeit, return or reimburse us for all or a portion of the award and any amounts paid under our 2021 Plan pursuant to the terms of our clawback policy or to comply with applicable laws.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Employee Share Purchase Plan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2021, our board of directors and our stockholders approved and adopted our ESPP. Our ESPP will be effective immediately prior to the effective date of this prospectus. The purpose of our ESPP is to enable eligible employees to purchase shares of our Class A common stock at a discount following the date of this offering. Our ESPP is intended to qualify as an employee stock purchase plan under Section 423 of the Code (“423 Component”) and also authorizes the grant of purchase rights under a component that is not intended to meet the requirements of Section 423 of the Code.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Generally, employees, including executive officers, employed by us or by any of our designated affiliates may participate in our ESPP, provided that the administrator, in its discretion, may exclude certain employees from participating. Notwithstanding the foregoing, for purposes of the 423 Component of our ESPP, no employee who owns (or is deemed to own through attribution) 5% or more of the combined voting power or value of all our classes of stock or of any of our affiliates will be permitted to purchase shares of our Class A common stock under our ESPP and no employee may purchase more than $25,000 worth of shares of our Class A common stock, valued at the start of the offering period, under our ESPP for each calendar year in which a purchase right is outstanding. As of the date of this prospectus, we have approximately 2,800 employees who will be eligible to participate in our ESPP.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that, when the ESPP becomes effective, the aggregate number of shares reserved for issuance under the ESPP will be equal to approximately 2% of the number of shares of our common stock (of all classes) that will be outstanding immediately after the closing of this offering. The number of shares available under our ESPP will automatically increase on the first day of each calendar year beginning on January 1, 2022 and ending with (and including) January 1, 2031. Such annual increase will equal to the lesser of (i) 1% of the outstanding shares of all classes of our common stock on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immediately preceding calendar year and (ii) such number of shares determined by the administrator. No more than 200,000,000 shares of Class A common stock may be issued under our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or a committee appointed by our board of directors will administer our ESPP. The administrator will have full and exclusive discretionary authority to construe, interpret and apply the terms of our ESPP, to delegate ministerial duties to any of our employees, to designate separate offerings under our ESPP, to designate our subsidiaries and affiliates as participating in our ESPP, to determine eligibility, to adjudicate all disputed claims filed under our ESPP and to establish procedures that it deems necessary or advisable for the administration of our ESPP, including adopting such procedures, sub-plans and appendices to the enrollment agreement as are necessary or appropriate to permit participation in our ESPP by employees who are foreign nationals or employed outside the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ESPP will be implemented through a series of discrete offerings with durations designated by the administrator (not to exceed 27 months). Our Class A common stock may be purchased for the accounts of participants at a price per share determined under the terms of the applicable offering, which may be at a discount from the trading price of our Class A common stock on the date of purchase. Unless otherwise determined by the administrator, purchases will be made at a price equal to 85% of the fair market value of a share of our Class A common stock on the first date of an offering or the date of purchase, whichever is lower. We may hold concurrent or overlapping offerings under our ESPP. Each offering may consist of one or more purchase periods. We expect that the first offering and first purchase period will commence on the effective date of this prospectus. An offering under our ESPP may be terminated under certain circumstances as determined by the administrator. In addition, in the event the fair market value on any purchase date in an offering is less than the fair market value on the offering start date, such offering will automatically terminate immediately after the then-current purchase period and all participants in such offering will automatically be re-enrolled in the immediately following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ESPP permits participants to purchase shares of our Class A common stock through contributions (in the form of payroll deductions or otherwise to the extent permitted by the administrator) of up to 15% of their eligible compensation. During each purchase period, a participant may not purchase more shares of our Class A common stock than the limit determined by the administrator prior to the commencement of the applicable offering.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Amounts contributed and accumulated by the participant during any offering period will be used to purchase shares of our Class A common stock at the end of each purchase period.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Rights granted under our ESPP may not be transferred other than by will, by the laws of descent and distribution or by beneficiary designation, or as otherwise provided under our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reorganization, merger, consolidation, split-up, split-off, spin-off, combination, repurchase or exchange of shares of our Class A common stock or our other securities or other change in our corporate structure affecting our Class A common stock, the administrator will equitably adjust any or all of the following in order to prevent dilution or enlargement of benefits under our ESPP: (i) the number and shares of class of shares that may be delivered under our ESPP, (ii) the number of shares and purchase price of each option under our ESPP that has not yet been exercised and (iii) the maximum number and/or class of shares reserved under our ESPP.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provides that in the event of a merger or “change in control” (as defined in our ESPP), a successor corporation may assume or substitute each outstanding purchase right. If the successor corporation refuses to assume or substitute the outstanding purchase rights or in the event of our proposed dissolution or liquidation, the offering period then in progress will be shortened, and a new purchase date will be set that will be before the date of such change in control. The administrator will notify each participant that the purchase date has been changed and that the participant’s option will be exercised automatically on the new purchase date unless prior to such date the participant has withdrawn from the offering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has a term of 20 years, unless it is terminated earlier by our board of directors. The administrator, in its sole discretion, has the authority, among other things, to amend, suspend or terminate our ESPP, or any part of it, at any time and for any reason. If our ESPP is terminated, the administrator has the authority to terminate all outstanding offerings or permit offerings to expire in accordance with their terms. The administrator also has the authority, without stockholder consent, to change offering or purchase periods, designate separate offerings, limit the frequency and/or number of changes in the amount withheld during an offering period, establish the exchange ratio, permit contributions in excess of the amount designated by a participant, establish reasonable waiting and adjustment periods and/or accounting and crediting procedures, and establish any other limitations or procedures as the administrator determines in its sole discretion advisable and that are consistent with our ESPP.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Equity Incentive Plan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2020 Plan was adopted by our board of directors and our stockholders in April 2020. As of March 31, 2021, we had 27,799,737 shares of our Class A common stock available for issuance under our 2020 Plan, which was subsequently increased by 35,520,000 shares of our Class A common stock on May 26, 2021. As of March 31, 2021, we had outstanding under our 2020 Plan (i) options to purchase 264,360 shares of our Class A common stock, with a weighted-average exercise price of $10.24 per share, and (ii) RSUs (all of which were Time-Based RSUs) representing the right to receive 30,216,141 shares of our Class A common stock. In addition, in May 2021, our founders were granted the 2021 Market-Based RSUs representing the right to receive up to an aggregate of 35,520,000 shares of our Class A common stock subject to the achievement of market-based vesting conditions following this offering and certain other conditions. Upon effectiveness of our 2021 Plan, no new awards will be granted under our 2020 Plan, but any awards outstanding thereunder will remain in effect pursuant to their terms and pursuant to the terms of our 2020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provides for the grant of stock options, including ISOs and NQSOs, restricted stock, RSUs and SARs. ISOs may be granted only to our employees, including employees of any parent or subsidiary. All other awards may be granted to our employees, non-employee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2020 Plan may be previously unissued shares, reacquired shares or canceled, forfeited or terminated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is currently administered by our board of directors. The administrator has the authority to construe and interpret our 2020 Plan and any agreement or document executed pursuant to the plan, grant awards and make all other determinations necessary or advisable for the administration of our 2020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of a stock dividend, recapitalization, stock split, subdivision, combination, reclassification or other change in our corporate structure affecting our common stock, appropriate adjustments will be made to (i) the number and/or class of shares reserved for issuance under our 2020 Plan, (ii) the exercise price or purchase price of, if applicable, outstanding stock options and SARs and (iii) the purchase price of and/or number of class of shares subject to other outstanding awards under our 2020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or Other Combination</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 “acquisition” or “other combination” (each, as defined in our 2020 Plan), our 2020 Plan provides that awards may be continued, assumed, substituted, settled by payment (in cash or securities of the surviving corporation or its parent) of the full value of the award, accelerated (in full or in part), or canceled without consideration, and awards would terminate upon the consummation of the acquisition or other combination unless they are continued, assumed or substituted. Our board of directors, in its sole discretion, may provide for the accelerated vesting of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Awards granted under our 2020 Plan generally may not be transferred or assignable in any manner other than by will, by the laws of descent and distribution or by beneficiary designation, unless otherwise permitted by the administrator.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will have a term of 10 years, unless it is terminated earlier by our board of directors. Our board of directors may amend or terminate our 2020 Plan at any time, but any amendment that applies to ISOs will require a stockholder approval. Otherwise, stockholder approval of the amendment will not be required unless required by applicable law.</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2013 Stock Plan</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2013 Plan was adopted by our board of directors and our stockholders in December 2013, and was last amended and restated on December 15, 2018. Our 2013 Plan was terminated in connection with adoption of our 2020 Plan. As of March 31, 2021, we had outstanding under our 2013 Plan (i) options to purchase 17,831,767 shares of our Class A common stock, with a weighted-average exercise price of $2.11 per share, (ii) 187,885 restricted shares of Class A common stock and (iii) RSUs (comprised of 23,940,361 Time-Based RSUs and 27,663,658 Market-Based RSUs) representing the right to receive 51,604,019 shares of our Class A common stock. Awards granted under our 2013 Plan are generally subject to the terms similar to those described above with respect to awards granted under our 2020 Plan. No new awards may be granted under our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2013 Plan provided for the grant of stock options, including ISOs and NQSOs, restricted stock and RSUs. ISOs may be granted only to our employees, including employees of any parent or subsidiary. All other awards may be granted to our employees, non-employee directors and consultants.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2013 Plan is currently administered by our people and compensation committee or by our board of directors acting in place of the committees. The administrator has full authority and discretion to take any actions it deems necessary or advisable for the administration of our 2013 Plan and with respect to awards granted to participants outside of the U.S. and the administrator may take actions that vary from our 2013 Plan terms if it deems necessary and appropriate, provided that such actions may not vary from the plan terms requiring stockholder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“corporate transaction” (as defined in our 2013 Plan), our 2013 Plan provides that awards may be continued, assumed or substituted, terminated without consideration (provided that a participant is given an opportunity to exercise vested stock options prior to the consummation of the transaction) or settled by payment (in cash, securities or other property) for a payment equal to the per-share value in the transaction, multiplied by the number of vested shares subject to the stock option minus the aggregate exercise price. Our board of directors, in its sole discretion, may provide for the accelerated vesting and exercisability, in whole or in part, of awards in connection with a corporate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 options granted under our 2013 Plan generally may not be transferred or assignable in any manner other than by will, by the laws of descent and distribution or by beneficiary designation, or, if the applicable stock option award agreement so provides, an NQSO may not be transferred or assignable in any manner other than by gift or domestic relations order to a “family member” (as defined in our 2013 Plan).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401(k) Plan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tax-advantaged basis. Eligible employees are able to defer eligible compensation up to certain Code limits, which are updated annually. We match 100% of the first 3% of employee contributions.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2021, we adopted director and executive officer stock ownership guidelines, which provide that (i) each of our non-employee directors must hold qualifying securities with a value equal to five times his or her annual cash retainer, (ii) our CEO must hold qualifying securities with a value equal to at least the greater of $5 million and six times his annual base salary and (iii) each of our other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must hold qualifying securities with a value equal to three times his or her annual base salary. Each of our non-employee directors and executive officers generally will have five years from the later of the date of his or her initial appointment or election and the date of this initial public offering to comply with the minimum stock ownership requirement. For purposes of our stock ownership guidelines, qualifying securities include shares of our common stock and vested restricted stock units and performance units.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2021, our board of directors adopted a clawback policy effective upon the closing of this offering. Under our clawback policy, our board of directors may recover incentive compensation from an executive officer in the event of (i) a restatement of our financial statements or a material error in the calculation of one or more performance-based measures used to determine the amount of such compensation or (ii) the executive officer’s “detrimental conduct” (as defined in our clawback policy) that results in an excess performance payout, results in legal proceedings or causes us material financial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DIRECTOR COMPENSATION</w:t>
      </w:r>
    </w:p>
    <w:p>
      <w:pPr>
        <w:spacing w:after="0" w:line="20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None of our non-employee directors were awarded or paid any compensation from us for the year ended December 31, 2020 for their service as directors. We reimburse our non-employee directors for necessary and reasonable expenses associated with attending meetings of our board of directors or its committees. In connection with joining our board of directors, Mr. Rubinstein, Mr. Zoellick and Ms. Loop were granted RSUs in respect of 72,446, 36,223 and 36,223 shares of our Class A common stock, respectively, which will vest over four years following the grant date.</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in connection with this offering, we adopted, and in June 2021 we amended, our Non-Employee Director Compensation Program. The Non-Employee Director Compensation Program will govern compensation paid to our non-employee directors beginning on the closing of this offering and is intended to attract and retain, on a long-term basis, exceptional directors. As we transition to become a publicly traded company, we intend to periodically evaluate our Non-Employee Director Compensation Program as part of our regular reviews of our overall compensation strategy.</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Non-Employee Director Compensation Program, following this offering, each non-employee director will receive cash and equity compensation for services on our board of directors. We will also continue to reimburse our non-employee directors for reasonable out-of-pocket and documented expenses incurred in attending meetings of the board of directors or any committee thereof. Each non-employee director will be entitled to receive an annual retainer fee of $50,000, payable quarterly in arrears. In addition, the non-executive chair of our board of directors, lead independent director, committee chairs and committee members will be entitled to receive the following annual retainers, payable quarterly in arrears:</w:t>
      </w:r>
    </w:p>
    <w:p>
      <w:pPr>
        <w:spacing w:after="0" w:line="167"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$50,000 for the non-executive chair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$30,000 for the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$25,000 for the chair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$20,000 for the chair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$12,000 for the chair of our nominating and corporate governance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$20,000 for the chair of our safety, risk and regulatory committee;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$10,000 for each other member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$8,500 for each other member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$5,000 for each other member of our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$8,500 for each other member of our safety, risk and regulatory committee.</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person who becomes a non-employee director following the effective date of the registration statement of which this prospectus forms a part will receive an automatic initial award of a number of RSUs determined by dividing $225,000 by the grant date closing price of our Class A common stock. This initial award will vest in equal quarterly installments over three years, subject to the non-employee director providing services through each applicable vesting date. Additionally, on the date of each annual meeting of our stockholders following the effective date of the Non-Employee Director Compensation Program, each non-employee director continuing in service after the meeting will automatically be granted a number of RSUs determined by dividing $225,000 by the grant date closing price of our Class A common stock. Any non-employee director who joins our board of directors between annual meetings will automatically be granted a prorated annual award of RSUs for the first partial year of service. Annual grants will vest in equal quarterly installments over one year, subject to the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providing services through each applicable vesting date (with the final tranche scheduled to vest the day before the next annual meeting, and with prorated annual grants vesting in tandem with the full-year annual grants).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by no later than December 31 of the applicable year (or, in the case of a newly elected non-employee director, by the 30th day after such director’s election) or, solely in the case of 2021, the 30th day after the Non-Employee Director Compensation Program takes effect, each non-employee director may elect to defer the receipt or settlement of certain compensation payable to such non-employee director in respect of services as a director by completing and filing a deferral election form. Any such deferred compensation will be paid or settled, as applicable at the time specified in the director’s deferral election form.</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non-employee director may elect to have his or her retainers that would otherwise be paid in cash converted into an equity award. Elections need to be made in advance, and awards are immediately vested upon grant. Each director who elects equity in lieu of cash will automatically be granted a number of RSUs each quarter equal to the amount of his or her quarterly retainer divided by the closing price per share of our Class A common stock on the grant date, which is generally the last day of the calendar quarter for which the retainer would otherwise have been paid. However, if no deferral election is in effect with respect to such RSUs, the award will instead automatically be made in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PRINCIPAL AND SELLING STOCKHOLDERS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information with respect to the beneficial ownership of our voting securities (which, after this offering, will consist of our Class A common stock and our Class B common stock) as of May 31, 2021 (i) on an actual basis and (ii) as adjusted to reflect the sale of our Class A common stock in this offering, assuming no exercise of the underwriters’ option to purchase additional shares of our Class A common stock, for:</w:t>
      </w:r>
    </w:p>
    <w:p>
      <w:pPr>
        <w:spacing w:after="0" w:line="163"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voting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selling stockholder, who are our founders and our Chief Financial Officer.</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our Class A common stock subject to options, warrants or other rights held by such person that are currently exercisable or will become exercisable within 60 days of May 31, 2021 (including our outstanding convertible notes, which will automatically convert upon this offering, and our outstanding warrants to purchase shares of our Class A common stock or other equity securities, which will become exercisable following this offering), as well as RSUs that are subject to vesting conditions expected to be satisfied within 60 days of May 31, 2021 (for which the liquidity-based vesting condition or market-based vesting condition, as applicable, will</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 satisfied in connection with this offering, assuming an initial public offering price of our Class A common stock of $ per share, which is the midpoint of the estimated offering price range set forth on the cover page of this prospectus), are considered outstanding, although these shares are not considered outstanding for purposes of computing the percentage ownership of any other person. We have also assumed the exchange, pursuant to the Equity Exchange Rights, of all shares of Class A common stock received upon the vesting and settlement of Time-Based RSUs and Market-Based RSUs held by our founders, Mr. Tenev and Mr. Bhatt, which RSUs are either not subject to a time-based vesting condition or are subject to time-based vesting conditions expected to be satisfied within 60 days of May 31, 2021 (for which the liquidity-based vesting condition or market-based vesting condition, as applicable, will be satisfied in connection with this offering,</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assuming an initial public offering price of our Class A common stock of $ per share, which is the midpoint of the estimated offering price range set forth on the cover page of this prospectus), for an equivalent number of shares of Class B common stock. In addition, the number of shares beneficially owned by our founders has been computed after giving effect to the entry by our founders and certain of their respective related entities (including estate planning vehicles) into the Founder Voting Agreement, pursuant to which certain of those related entities will grant proxies to Mr. Tenev or to Mr. Bhatt, as further described under “Certain Relationships and Related Party Transactions— Voting Agreements—Founder Voting Agreement” and in the footnotes accompanying the table below.</w:t>
      </w:r>
    </w:p>
    <w:p>
      <w:pPr>
        <w:spacing w:after="0" w:line="16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have based our calculation of the applicable percentage of beneficial ownership prior to this offering on shares of our Class A common stock, shares of our Class B common stock and no shares of our Class C common stock outstanding as of March 31, 2021,</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assuming (i) the Preferred Share Conversion, (ii) the Convertible Note Conversion, (iii) the IPO-Vesting Time-Based RSU Settlement, (iv) the IPO-Vesting Market-Based RSU Settlement, (v) the filing and effectiveness of our Charter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Delaware, which will occur immediately prior to the completion of this offering and will effect the Reclassification, (vi) the Class B Exchange and (vii) the exercise of all outstanding warrants to purchase shares of our equity securities, $379.8 million aggregate maximum purchase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amount of which was outstanding as of March 31, 2021, by the holders thereof, for an aggregate of shares of our Class A common stock, assuming an exercise price of $ (which is the lower of (A) 70% of the assumed initial public offering price of our Class A common stock of $ per share, which is the midpoint of the estimated offering price range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(B) $38.29), as if such exercise had occurred on March 31, 2021. We have based our calculation of the applicable percentage of</w:t>
      </w: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beneficial ownership after this offering on shares of our Class A common stock issued by us in this offering, the sale by the selling stockholders of shares of our Class A common stock in this offering, and shares of our Class A common stock, shares of our</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Class B common stock and no shares of our Class C common stock outstanding immediately after the completion of this offering, giving effect to the foregoing assumptions (i) through (vii) and assuming that the underwriters will not exercise their option to purchase additional shares of our Class A common stock from us.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table and accompanying footnotes below have been prepared based upon information furnished to us by our stockholders. Unless otherwise indicated, the address of all listed stockholders is c/o Robinhood Markets, Inc., 85 Willow Road in Menlo Park, California 94025. Based on the information furnished to us, we believe that each of the stockholders listed has sole voting and investment power with respect to the shares beneficially owned by the stockholder unless noted otherwise, subject to community property laws where applicable.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8"/>
          </w:tcPr>
          <w:p>
            <w:pPr>
              <w:jc w:val="right"/>
              <w:ind w:right="486"/>
              <w:spacing w:after="0"/>
              <w:rPr>
                <w:sz w:val="20"/>
                <w:szCs w:val="20"/>
                <w:color w:val="auto"/>
              </w:rPr>
            </w:pPr>
            <w:r>
              <w:rPr>
                <w:rFonts w:ascii="Arial" w:cs="Arial" w:eastAsia="Arial" w:hAnsi="Arial"/>
                <w:sz w:val="11"/>
                <w:szCs w:val="11"/>
                <w:b w:val="1"/>
                <w:bCs w:val="1"/>
                <w:color w:val="auto"/>
              </w:rPr>
              <w:t>Shares Beneficially Owned Before the Offering</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gridSpan w:val="8"/>
          </w:tcPr>
          <w:p>
            <w:pPr>
              <w:jc w:val="right"/>
              <w:ind w:right="506"/>
              <w:spacing w:after="0"/>
              <w:rPr>
                <w:sz w:val="20"/>
                <w:szCs w:val="20"/>
                <w:color w:val="auto"/>
              </w:rPr>
            </w:pPr>
            <w:r>
              <w:rPr>
                <w:rFonts w:ascii="Arial" w:cs="Arial" w:eastAsia="Arial" w:hAnsi="Arial"/>
                <w:sz w:val="11"/>
                <w:szCs w:val="11"/>
                <w:b w:val="1"/>
                <w:bCs w:val="1"/>
                <w:color w:val="auto"/>
              </w:rPr>
              <w:t>Shares Beneficially Owned After the Offering</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3"/>
          </w:tcPr>
          <w:p>
            <w:pPr>
              <w:ind w:left="260"/>
              <w:spacing w:after="0"/>
              <w:rPr>
                <w:sz w:val="20"/>
                <w:szCs w:val="20"/>
                <w:color w:val="auto"/>
              </w:rPr>
            </w:pPr>
            <w:r>
              <w:rPr>
                <w:rFonts w:ascii="Arial" w:cs="Arial" w:eastAsia="Arial" w:hAnsi="Arial"/>
                <w:sz w:val="11"/>
                <w:szCs w:val="11"/>
                <w:b w:val="1"/>
                <w:bCs w:val="1"/>
                <w:color w:val="auto"/>
              </w:rPr>
              <w:t>Class A Common Stock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3"/>
          </w:tcPr>
          <w:p>
            <w:pPr>
              <w:ind w:left="200"/>
              <w:spacing w:after="0"/>
              <w:rPr>
                <w:sz w:val="20"/>
                <w:szCs w:val="20"/>
                <w:color w:val="auto"/>
              </w:rPr>
            </w:pPr>
            <w:r>
              <w:rPr>
                <w:rFonts w:ascii="Arial" w:cs="Arial" w:eastAsia="Arial" w:hAnsi="Arial"/>
                <w:sz w:val="11"/>
                <w:szCs w:val="11"/>
                <w:b w:val="1"/>
                <w:bCs w:val="1"/>
                <w:color w:val="auto"/>
              </w:rPr>
              <w:t>Class B Common Stock</w:t>
            </w:r>
          </w:p>
        </w:tc>
        <w:tc>
          <w:tcPr>
            <w:tcW w:w="80" w:type="dxa"/>
            <w:vAlign w:val="bottom"/>
          </w:tcPr>
          <w:p>
            <w:pPr>
              <w:spacing w:after="0"/>
              <w:rPr>
                <w:sz w:val="23"/>
                <w:szCs w:val="2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1560" w:type="dxa"/>
            <w:vAlign w:val="bottom"/>
            <w:gridSpan w:val="3"/>
          </w:tcPr>
          <w:p>
            <w:pPr>
              <w:ind w:left="240"/>
              <w:spacing w:after="0"/>
              <w:rPr>
                <w:sz w:val="20"/>
                <w:szCs w:val="20"/>
                <w:color w:val="auto"/>
              </w:rPr>
            </w:pPr>
            <w:r>
              <w:rPr>
                <w:rFonts w:ascii="Arial" w:cs="Arial" w:eastAsia="Arial" w:hAnsi="Arial"/>
                <w:sz w:val="11"/>
                <w:szCs w:val="11"/>
                <w:b w:val="1"/>
                <w:bCs w:val="1"/>
                <w:color w:val="auto"/>
              </w:rPr>
              <w:t>Class A Common Stock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gridSpan w:val="3"/>
          </w:tcPr>
          <w:p>
            <w:pPr>
              <w:ind w:left="220"/>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Percentage of</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5"/>
              </w:rPr>
              <w:t>% of Class A</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 of Class B</w:t>
            </w:r>
          </w:p>
        </w:tc>
        <w:tc>
          <w:tcPr>
            <w:tcW w:w="80" w:type="dxa"/>
            <w:vAlign w:val="bottom"/>
          </w:tcPr>
          <w:p>
            <w:pPr>
              <w:spacing w:after="0"/>
              <w:rPr>
                <w:sz w:val="9"/>
                <w:szCs w:val="9"/>
                <w:color w:val="auto"/>
              </w:rPr>
            </w:pP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Shares of Class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8"/>
              </w:rPr>
              <w:t>% of Class A</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 of Class B</w:t>
            </w: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A Common</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Total Voting</w:t>
            </w:r>
          </w:p>
        </w:tc>
        <w:tc>
          <w:tcPr>
            <w:tcW w:w="0" w:type="dxa"/>
            <w:vAlign w:val="bottom"/>
          </w:tcPr>
          <w:p>
            <w:pPr>
              <w:spacing w:after="0"/>
              <w:rPr>
                <w:sz w:val="1"/>
                <w:szCs w:val="1"/>
                <w:color w:val="auto"/>
              </w:rPr>
            </w:pPr>
          </w:p>
        </w:tc>
      </w:tr>
      <w:tr>
        <w:trPr>
          <w:trHeight w:val="108"/>
        </w:trPr>
        <w:tc>
          <w:tcPr>
            <w:tcW w:w="22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9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jc w:val="center"/>
              <w:ind w:left="86"/>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80" w:type="dxa"/>
            <w:vAlign w:val="bottom"/>
          </w:tcPr>
          <w:p>
            <w:pPr>
              <w:spacing w:after="0"/>
              <w:rPr>
                <w:sz w:val="9"/>
                <w:szCs w:val="9"/>
                <w:color w:val="auto"/>
              </w:rPr>
            </w:pPr>
          </w:p>
        </w:tc>
        <w:tc>
          <w:tcPr>
            <w:tcW w:w="10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Stock Sold in the</w:t>
            </w:r>
          </w:p>
        </w:tc>
        <w:tc>
          <w:tcPr>
            <w:tcW w:w="9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jc w:val="center"/>
              <w:ind w:left="86"/>
              <w:spacing w:after="0" w:line="108" w:lineRule="exact"/>
              <w:rPr>
                <w:sz w:val="20"/>
                <w:szCs w:val="20"/>
                <w:color w:val="auto"/>
              </w:rPr>
            </w:pPr>
            <w:r>
              <w:rPr>
                <w:rFonts w:ascii="Arial" w:cs="Arial" w:eastAsia="Arial" w:hAnsi="Arial"/>
                <w:sz w:val="11"/>
                <w:szCs w:val="11"/>
                <w:b w:val="1"/>
                <w:bCs w:val="1"/>
                <w:color w:val="auto"/>
                <w:w w:val="96"/>
              </w:rPr>
              <w:t>Common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7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10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Power After the</w:t>
            </w:r>
          </w:p>
        </w:tc>
        <w:tc>
          <w:tcPr>
            <w:tcW w:w="0" w:type="dxa"/>
            <w:vAlign w:val="bottom"/>
          </w:tcPr>
          <w:p>
            <w:pPr>
              <w:spacing w:after="0"/>
              <w:rPr>
                <w:sz w:val="1"/>
                <w:szCs w:val="1"/>
                <w:color w:val="auto"/>
              </w:rPr>
            </w:pPr>
          </w:p>
        </w:tc>
      </w:tr>
      <w:tr>
        <w:trPr>
          <w:trHeight w:val="142"/>
        </w:trPr>
        <w:tc>
          <w:tcPr>
            <w:tcW w:w="2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20" w:type="dxa"/>
            <w:vAlign w:val="bottom"/>
          </w:tcPr>
          <w:p>
            <w:pPr>
              <w:jc w:val="center"/>
              <w:ind w:left="86"/>
              <w:spacing w:after="0"/>
              <w:rPr>
                <w:sz w:val="20"/>
                <w:szCs w:val="20"/>
                <w:color w:val="auto"/>
              </w:rPr>
            </w:pPr>
            <w:r>
              <w:rPr>
                <w:rFonts w:ascii="Arial" w:cs="Arial" w:eastAsia="Arial" w:hAnsi="Arial"/>
                <w:sz w:val="11"/>
                <w:szCs w:val="11"/>
                <w:b w:val="1"/>
                <w:bCs w:val="1"/>
                <w:color w:val="auto"/>
                <w:w w:val="93"/>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Offering</w:t>
            </w:r>
          </w:p>
        </w:tc>
        <w:tc>
          <w:tcPr>
            <w:tcW w:w="920" w:type="dxa"/>
            <w:vAlign w:val="bottom"/>
            <w:gridSpan w:val="2"/>
            <w:vMerge w:val="continue"/>
          </w:tcPr>
          <w:p>
            <w:pPr>
              <w:spacing w:after="0"/>
              <w:rPr>
                <w:sz w:val="12"/>
                <w:szCs w:val="12"/>
                <w:color w:val="auto"/>
              </w:rPr>
            </w:pPr>
          </w:p>
        </w:tc>
        <w:tc>
          <w:tcPr>
            <w:tcW w:w="640" w:type="dxa"/>
            <w:vAlign w:val="bottom"/>
          </w:tcPr>
          <w:p>
            <w:pPr>
              <w:jc w:val="center"/>
              <w:ind w:left="86"/>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Offering (%)</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i w:val="1"/>
                <w:iCs w:val="1"/>
                <w:color w:val="auto"/>
              </w:rPr>
              <w:t>Named Executive Officers and</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i w:val="1"/>
                <w:iCs w:val="1"/>
                <w:color w:val="auto"/>
              </w:rPr>
              <w:t>directors: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Vladimir Tenev</w:t>
            </w:r>
            <w:r>
              <w:rPr>
                <w:rFonts w:ascii="Arial" w:cs="Arial" w:eastAsia="Arial" w:hAnsi="Arial"/>
                <w:sz w:val="16"/>
                <w:szCs w:val="16"/>
                <w:color w:val="auto"/>
                <w:vertAlign w:val="superscript"/>
              </w:rPr>
              <w:t>(1)</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Baiju Bhatt</w:t>
            </w:r>
            <w:r>
              <w:rPr>
                <w:rFonts w:ascii="Arial" w:cs="Arial" w:eastAsia="Arial" w:hAnsi="Arial"/>
                <w:sz w:val="16"/>
                <w:szCs w:val="16"/>
                <w:color w:val="auto"/>
                <w:vertAlign w:val="superscript"/>
              </w:rPr>
              <w:t>(2)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Daniel Gallagher</w:t>
            </w:r>
            <w:r>
              <w:rPr>
                <w:rFonts w:ascii="Arial" w:cs="Arial" w:eastAsia="Arial" w:hAnsi="Arial"/>
                <w:sz w:val="16"/>
                <w:szCs w:val="16"/>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1"/>
                <w:szCs w:val="11"/>
                <w:color w:val="auto"/>
              </w:rPr>
              <w:t>334,414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334,414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Jason Warnick</w:t>
            </w:r>
            <w:r>
              <w:rPr>
                <w:rFonts w:ascii="Arial" w:cs="Arial" w:eastAsia="Arial" w:hAnsi="Arial"/>
                <w:sz w:val="16"/>
                <w:szCs w:val="16"/>
                <w:color w:val="auto"/>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867,164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Jan Hammer</w:t>
            </w:r>
            <w:r>
              <w:rPr>
                <w:rFonts w:ascii="Arial" w:cs="Arial" w:eastAsia="Arial" w:hAnsi="Arial"/>
                <w:sz w:val="16"/>
                <w:szCs w:val="16"/>
                <w:color w:val="auto"/>
                <w:vertAlign w:val="superscript"/>
              </w:rPr>
              <w:t>(5)</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Paula Loop</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Jonathan Rubinstein</w:t>
            </w:r>
            <w:r>
              <w:rPr>
                <w:rFonts w:ascii="Arial" w:cs="Arial" w:eastAsia="Arial" w:hAnsi="Arial"/>
                <w:sz w:val="16"/>
                <w:szCs w:val="16"/>
                <w:color w:val="auto"/>
                <w:vertAlign w:val="superscript"/>
              </w:rPr>
              <w:t>(6)</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2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3"/>
                <w:szCs w:val="13"/>
                <w:color w:val="auto"/>
              </w:rPr>
              <w:t>Scott Sandell</w:t>
            </w:r>
            <w:r>
              <w:rPr>
                <w:rFonts w:ascii="Arial" w:cs="Arial" w:eastAsia="Arial" w:hAnsi="Arial"/>
                <w:sz w:val="16"/>
                <w:szCs w:val="16"/>
                <w:color w:val="auto"/>
                <w:vertAlign w:val="superscript"/>
              </w:rPr>
              <w:t>(7)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Robert Zoellick</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2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i w:val="1"/>
                <w:iCs w:val="1"/>
                <w:color w:val="auto"/>
              </w:rPr>
              <w:t>All executive officers and</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180"/>
              <w:spacing w:after="0" w:line="175" w:lineRule="exact"/>
              <w:rPr>
                <w:sz w:val="20"/>
                <w:szCs w:val="20"/>
                <w:color w:val="auto"/>
              </w:rPr>
            </w:pPr>
            <w:r>
              <w:rPr>
                <w:rFonts w:ascii="Arial" w:cs="Arial" w:eastAsia="Arial" w:hAnsi="Arial"/>
                <w:sz w:val="13"/>
                <w:szCs w:val="13"/>
                <w:b w:val="1"/>
                <w:bCs w:val="1"/>
                <w:i w:val="1"/>
                <w:iCs w:val="1"/>
                <w:color w:val="auto"/>
              </w:rPr>
              <w:t>directors as a group (n=12):</w:t>
            </w:r>
            <w:r>
              <w:rPr>
                <w:rFonts w:ascii="Arial" w:cs="Arial" w:eastAsia="Arial" w:hAnsi="Arial"/>
                <w:sz w:val="16"/>
                <w:szCs w:val="16"/>
                <w:b w:val="1"/>
                <w:bCs w:val="1"/>
                <w:i w:val="1"/>
                <w:iCs w:val="1"/>
                <w:color w:val="auto"/>
                <w:vertAlign w:val="superscript"/>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2,017,868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&gt;5% stockholders: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3"/>
                <w:szCs w:val="13"/>
                <w:color w:val="auto"/>
              </w:rPr>
              <w:t>Entities affiliated with DST Global</w:t>
            </w:r>
            <w:r>
              <w:rPr>
                <w:rFonts w:ascii="Arial" w:cs="Arial" w:eastAsia="Arial" w:hAnsi="Arial"/>
                <w:sz w:val="16"/>
                <w:szCs w:val="16"/>
                <w:color w:val="auto"/>
                <w:vertAlign w:val="superscript"/>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58,102,765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58,102,765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Entities affiliated with Index</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gridSpan w:val="2"/>
          </w:tcPr>
          <w:p>
            <w:pPr>
              <w:ind w:left="180"/>
              <w:spacing w:after="0" w:line="168" w:lineRule="exact"/>
              <w:rPr>
                <w:sz w:val="20"/>
                <w:szCs w:val="20"/>
                <w:color w:val="auto"/>
              </w:rPr>
            </w:pPr>
            <w:r>
              <w:rPr>
                <w:rFonts w:ascii="Arial" w:cs="Arial" w:eastAsia="Arial" w:hAnsi="Arial"/>
                <w:sz w:val="13"/>
                <w:szCs w:val="13"/>
                <w:color w:val="auto"/>
              </w:rPr>
              <w:t>Ventures</w:t>
            </w:r>
            <w:r>
              <w:rPr>
                <w:rFonts w:ascii="Arial" w:cs="Arial" w:eastAsia="Arial" w:hAnsi="Arial"/>
                <w:sz w:val="16"/>
                <w:szCs w:val="16"/>
                <w:color w:val="auto"/>
                <w:vertAlign w:val="superscript"/>
              </w:rPr>
              <w:t>(10)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Entities affiliated with New Enterprise</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3"/>
                <w:szCs w:val="13"/>
                <w:color w:val="auto"/>
              </w:rPr>
              <w:t>Associates</w:t>
            </w:r>
            <w:r>
              <w:rPr>
                <w:rFonts w:ascii="Arial" w:cs="Arial" w:eastAsia="Arial" w:hAnsi="Arial"/>
                <w:sz w:val="16"/>
                <w:szCs w:val="16"/>
                <w:color w:val="auto"/>
                <w:vertAlign w:val="superscript"/>
              </w:rPr>
              <w:t>(11)</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Entities affiliated with Ribbit</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00" w:type="dxa"/>
            <w:vAlign w:val="bottom"/>
            <w:gridSpan w:val="2"/>
          </w:tcPr>
          <w:p>
            <w:pPr>
              <w:ind w:left="180"/>
              <w:spacing w:after="0" w:line="174" w:lineRule="exact"/>
              <w:rPr>
                <w:sz w:val="20"/>
                <w:szCs w:val="20"/>
                <w:color w:val="auto"/>
              </w:rPr>
            </w:pPr>
            <w:r>
              <w:rPr>
                <w:rFonts w:ascii="Arial" w:cs="Arial" w:eastAsia="Arial" w:hAnsi="Arial"/>
                <w:sz w:val="13"/>
                <w:szCs w:val="13"/>
                <w:color w:val="auto"/>
              </w:rPr>
              <w:t>Capital</w:t>
            </w:r>
            <w:r>
              <w:rPr>
                <w:rFonts w:ascii="Arial" w:cs="Arial" w:eastAsia="Arial" w:hAnsi="Arial"/>
                <w:sz w:val="16"/>
                <w:szCs w:val="16"/>
                <w:color w:val="auto"/>
                <w:vertAlign w:val="superscript"/>
              </w:rPr>
              <w:t>(12)</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ind w:left="340" w:hanging="252"/>
        <w:spacing w:after="0" w:line="222"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1" w:lineRule="exact"/>
        <w:rPr>
          <w:sz w:val="20"/>
          <w:szCs w:val="20"/>
          <w:color w:val="auto"/>
        </w:rPr>
      </w:pPr>
    </w:p>
    <w:p>
      <w:pPr>
        <w:jc w:val="both"/>
        <w:ind w:left="340" w:hanging="332"/>
        <w:spacing w:after="0" w:line="221" w:lineRule="auto"/>
        <w:tabs>
          <w:tab w:leader="none" w:pos="32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our Class A common stock in this offering, (i) 51,584,956 shares of Class B common stock held of record by Vladimir Tenev, (ii) 1,098,084 shares of our Class B common stock issuable to Mr. Tenev (following exercise of the Equity Exchange Rights) upon net settlement of Time-</w:t>
      </w:r>
    </w:p>
    <w:p>
      <w:pPr>
        <w:spacing w:after="0" w:line="1" w:lineRule="exact"/>
        <w:rPr>
          <w:sz w:val="20"/>
          <w:szCs w:val="20"/>
          <w:color w:val="auto"/>
        </w:rPr>
      </w:pPr>
    </w:p>
    <w:p>
      <w:pPr>
        <w:jc w:val="both"/>
        <w:ind w:left="340"/>
        <w:spacing w:after="0" w:line="230" w:lineRule="auto"/>
        <w:rPr>
          <w:sz w:val="20"/>
          <w:szCs w:val="20"/>
          <w:color w:val="auto"/>
        </w:rPr>
      </w:pPr>
      <w:r>
        <w:rPr>
          <w:rFonts w:ascii="Arial" w:cs="Arial" w:eastAsia="Arial" w:hAnsi="Arial"/>
          <w:sz w:val="14"/>
          <w:szCs w:val="14"/>
          <w:color w:val="auto"/>
        </w:rPr>
        <w:t>Based RSUs for which the time-based vesting condition is expected to be satisfied within 60 days of May 31, 2021, (iii) shares of our Class B common stock issuable to Mr. Tenev (following exercise of the Equity Exchange Rights) upon net settlement of 2019 Market-Based RSUs not subject to a time-based vesting condition, or for which the time-based vesting condition is expected to be satisfied within 60 days of May 31, 2021, and for which the market-based vesting condition will be satisfied in connection with this offering and (iv) 565,079 shares of our Class B common stock held of record by Baiju Bhatt and Adrienne Sussman as Individual Trustees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63" w:lineRule="exact"/>
        <w:rPr>
          <w:sz w:val="20"/>
          <w:szCs w:val="20"/>
          <w:color w:val="auto"/>
        </w:rPr>
      </w:pPr>
    </w:p>
    <w:p>
      <w:pPr>
        <w:jc w:val="both"/>
        <w:ind w:left="340"/>
        <w:spacing w:after="0" w:line="221" w:lineRule="auto"/>
        <w:rPr>
          <w:sz w:val="20"/>
          <w:szCs w:val="20"/>
          <w:color w:val="auto"/>
        </w:rPr>
      </w:pPr>
      <w:r>
        <w:rPr>
          <w:rFonts w:ascii="Arial" w:cs="Arial" w:eastAsia="Arial" w:hAnsi="Arial"/>
          <w:sz w:val="14"/>
          <w:szCs w:val="14"/>
          <w:color w:val="auto"/>
        </w:rPr>
        <w:t>First Republic Trust Company of Delaware LLC as Administrative Trustee of The Baiju P. Bhatt 2021 Family Trust, dated April 1, 2021. Mr. Tenev has voting and investment power over the shares described in the foregoing clause (iv) pursuant to a proxy granted by the recordholder of such shares (which recordholder is an entity related to Mr. Bhatt) 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Agreements—Founder Voting Agreement.” Parties to the Founder Voting Agreement may be deemed to constitute a group for purposes of Rule 13d-3 under the Exchange Act. Except as set forth in this footnote, Mr. Tenev has no voting or investment power over the securities beneficially owned by the other parties to the Founder Voting Agreement (including the shares described in clauses (vi) through (viii) of footnote (2) below), and disclaims beneficial ownership of such securities.</w:t>
      </w:r>
    </w:p>
    <w:p>
      <w:pPr>
        <w:spacing w:after="0" w:line="2" w:lineRule="exact"/>
        <w:rPr>
          <w:sz w:val="20"/>
          <w:szCs w:val="20"/>
          <w:color w:val="auto"/>
        </w:rPr>
      </w:pPr>
    </w:p>
    <w:p>
      <w:pPr>
        <w:jc w:val="both"/>
        <w:ind w:left="340" w:hanging="332"/>
        <w:spacing w:after="0" w:line="221" w:lineRule="auto"/>
        <w:tabs>
          <w:tab w:leader="none" w:pos="32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our Class A common stock in this offering, (i) 1,098,084 shares of our Class B common stock issuable to Baiju Bhatt (following exercise of the Equity Exchange Rights) upon net settlement of Time-Based RSUs for which the time-based vesting condition is expected to be satisfied</w:t>
      </w:r>
    </w:p>
    <w:p>
      <w:pPr>
        <w:jc w:val="both"/>
        <w:ind w:left="340"/>
        <w:spacing w:after="0" w:line="222" w:lineRule="auto"/>
        <w:rPr>
          <w:rFonts w:ascii="Arial" w:cs="Arial" w:eastAsia="Arial" w:hAnsi="Arial"/>
          <w:sz w:val="14"/>
          <w:szCs w:val="14"/>
          <w:color w:val="auto"/>
        </w:rPr>
      </w:pPr>
      <w:r>
        <w:rPr>
          <w:rFonts w:ascii="Arial" w:cs="Arial" w:eastAsia="Arial" w:hAnsi="Arial"/>
          <w:sz w:val="14"/>
          <w:szCs w:val="14"/>
          <w:color w:val="auto"/>
        </w:rPr>
        <w:t>within 60 days of May 31, 2021, (ii) shares of our Class B common stock issuable to Mr. Bhatt (following exercise of the Equity Exchange Rights) upon net settlement of 2019 Market-Based RSUs not subject to a time-based vesting condition, or for which the time-based vesting condition is expected to be satisfied within 60 days of May 31, 2021, and for which the market-based vesting condition will be satisfied in connection with this offering, (iii) 1,720,944 shares of our Class B common stock held of record by The Baiju Prafulkumar Bhatt Grantor Retained Annuity Trust, dated October 4, 2018, for which Mr. Bhatt serves as sole trustee, (iv) 60,791,600 shares of our Class B common stock held of record by The Baiju Prafulkumar Bhatt Living Trust, dated 11/30/17, for which Mr. Bhatt serves as sole trustee, (v) 2,000,000 shares of our Class B common stock held of record by the Baiju P. Bhatt 2021 GRAT Agreement, dated March 29, 2021, for which Mr. Bhatt serves as sole trustee, (vi) 1,408,450 shares of our Class B common stock held of record by Butterfly Management LLC, (vii) 2,414,875 shares of our Class B common stock held of record by Surfboard Management LLC and (viii) 9,669,342 shares of our Class B common stock held of record by The Tenev 2017 Irrevocable Trust. Mr. Bhatt has voting and investment power over the shares described in the foregoing clauses (vi) through (viii) pursuant to a proxy granted by the entities that are the recordholders of such shares (which entities are related to Mr. Tenev) under the Founder Voting Agreement, but does not have an economic interest in such shares. All of the shares identified in this footnote will be subject to the Founder Voting Agreement, which is further described under “Certain Relationships and Related Party Transactions—Voting Agreements—Founder Voting Agreement.” Except as set forth in this footnote, Mr. Bhatt has no voting or investment power over the securities beneficially owned by the other parties to the Founder Voting Agreement (including the shares described in clause (iv) of footnote (1) above), and disclaims beneficial ownership of such securities.</w:t>
      </w:r>
    </w:p>
    <w:p>
      <w:pPr>
        <w:spacing w:after="0" w:line="8"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Consists of (i) 66,090 shares of our Class A common stock subject to stock options exercisable within 60 days of May 31, 2021 and (ii) 268,324 shares of our Class A common stock issuable upon net settlement of Time-Based RSUs for which the time-based vesting condition is expected to be satisfied within 60 days of May 31, 2021.</w:t>
      </w:r>
    </w:p>
    <w:p>
      <w:pPr>
        <w:jc w:val="both"/>
        <w:ind w:left="340" w:hanging="332"/>
        <w:spacing w:after="0" w:line="241" w:lineRule="auto"/>
        <w:tabs>
          <w:tab w:leader="none" w:pos="32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Class A common stock in this offering, (i) 452,083 shares of our Class A common stock subject to stock options exercisable within 60 days of May 31, 2021 and (ii) 415,081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Mr. Hammer, who is a member of our board of directors and a Partner at Index Ventures, has no voting or investment control over any of the shares held by Index</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Ventures.</w:t>
      </w:r>
    </w:p>
    <w:p>
      <w:pPr>
        <w:sectPr>
          <w:pgSz w:w="11900" w:h="16838" w:orient="portrait"/>
          <w:cols w:equalWidth="0" w:num="1">
            <w:col w:w="11240"/>
          </w:cols>
          <w:pgMar w:left="320" w:top="1440" w:right="339" w:bottom="1440" w:gutter="0" w:footer="0" w:header="0"/>
        </w:sectPr>
      </w:pPr>
    </w:p>
    <w:p>
      <w:pPr>
        <w:spacing w:after="0" w:line="1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(6)</w:t>
        <w:tab/>
        <w:t>Mr. Rubinstein has expressed an interest in purchasing up to $2.0 million worth of shares of our Class A common stock in this offering, which is equal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w:t>
      </w:r>
    </w:p>
    <w:p>
      <w:pPr>
        <w:spacing w:after="0" w:line="1" w:lineRule="exact"/>
        <w:rPr>
          <w:sz w:val="20"/>
          <w:szCs w:val="20"/>
          <w:color w:val="auto"/>
        </w:rPr>
      </w:pPr>
    </w:p>
    <w:p>
      <w:pPr>
        <w:sectPr>
          <w:pgSz w:w="11900" w:h="16838" w:orient="portrait"/>
          <w:cols w:equalWidth="0" w:num="2">
            <w:col w:w="10160" w:space="480"/>
            <w:col w:w="6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Class A common stock, based upon an assumed initial public offering price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which is the midpoint of the price range set forth on the cover page of this</w:t>
      </w:r>
    </w:p>
    <w:p>
      <w:pPr>
        <w:spacing w:after="0" w:line="1" w:lineRule="exact"/>
        <w:rPr>
          <w:sz w:val="20"/>
          <w:szCs w:val="20"/>
          <w:color w:val="auto"/>
        </w:rPr>
      </w:pPr>
    </w:p>
    <w:p>
      <w:pPr>
        <w:sectPr>
          <w:pgSz w:w="11900" w:h="16838" w:orient="portrait"/>
          <w:cols w:equalWidth="0" w:num="2">
            <w:col w:w="5620" w:space="580"/>
            <w:col w:w="5040"/>
          </w:cols>
          <w:pgMar w:left="320" w:top="1440" w:right="339" w:bottom="1440" w:gutter="0" w:footer="0" w:header="0"/>
          <w:type w:val="continuous"/>
        </w:sectPr>
      </w:pPr>
    </w:p>
    <w:p>
      <w:pPr>
        <w:ind w:left="340" w:right="20"/>
        <w:spacing w:after="0" w:line="233" w:lineRule="auto"/>
        <w:rPr>
          <w:sz w:val="20"/>
          <w:szCs w:val="20"/>
          <w:color w:val="auto"/>
        </w:rPr>
      </w:pPr>
      <w:r>
        <w:rPr>
          <w:rFonts w:ascii="Arial" w:cs="Arial" w:eastAsia="Arial" w:hAnsi="Arial"/>
          <w:sz w:val="14"/>
          <w:szCs w:val="14"/>
          <w:color w:val="auto"/>
        </w:rPr>
        <w:t>prospectus. The table above does not give effect to any such participation by Mr. Rubinstein in the offering. See “Certain Relationships and Related Person Transactions— Director Participation in this Offering” for more information.</w:t>
      </w:r>
    </w:p>
    <w:p>
      <w:pPr>
        <w:spacing w:after="0" w:line="1" w:lineRule="exact"/>
        <w:rPr>
          <w:sz w:val="20"/>
          <w:szCs w:val="20"/>
          <w:color w:val="auto"/>
        </w:rPr>
      </w:pPr>
    </w:p>
    <w:p>
      <w:pPr>
        <w:jc w:val="both"/>
        <w:ind w:left="340" w:hanging="332"/>
        <w:spacing w:after="0" w:line="241" w:lineRule="auto"/>
        <w:tabs>
          <w:tab w:leader="none" w:pos="32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Mr. Sandell, who is a member of our board of directors and the Managing General Partner at New Enterprise Associates, Inc., has no voting or investment power over the shares owned by NEA Ventures (as defined below) and disclaims beneficial ownership of all shares except to the extent of his actual pecuniary interest in such shares, as further described in footnote (11) below.</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2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before giving effect to the sale of shares of Class A common stock in this offering, (i) 172,064 shares of Class A common stock, (ii) 558,809 shares of our Class A common stock subject to stock options exercisable within 60 days of May 31, 2021 and (iii) 1,286,995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39,320 shares of our Class A common stock held of record by Apoletto Investments IV L.P., (ii) 1,478,561 shares of our Class A common stock held of record by DST Global V Co-Invest L.P., (iii) 28,115,625 shares of our Class A common stock held of record by DST Global V L.P., (iv) 10,013,859 shares of our Class A common stock held of record by DST Global VI L.P., (v) 8,996,319 shares of our Class A common stock held of record by DST Global VII L.P. and (vi) 9,459,081 shares of our Class A common stock held of record by DST Investments XIX L.P. The address of the entities mentioned in this footnote is c/o Tulloch &amp; Co., 4 Hill Street, London WIJ 5NE, United Kingdom.</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10,296,520 shares of our Class A common stock held of record by Index Ventures Growth III (Jersey) L.P. (“Index Growth III”), (ii) 70,022,080 shares of our Class A common stock held of record by Index Ventures VI (Jersey) L.P. (“Index Ventures VI”), (iii) 1,413,380 shares of our Class A common stock held of record by Index</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820" w:type="dxa"/>
            <w:vAlign w:val="bottom"/>
            <w:gridSpan w:val="4"/>
          </w:tcPr>
          <w:p>
            <w:pPr>
              <w:spacing w:after="0"/>
              <w:rPr>
                <w:sz w:val="20"/>
                <w:szCs w:val="20"/>
                <w:color w:val="auto"/>
              </w:rPr>
            </w:pPr>
            <w:r>
              <w:rPr>
                <w:rFonts w:ascii="Arial" w:cs="Arial" w:eastAsia="Arial" w:hAnsi="Arial"/>
                <w:sz w:val="14"/>
                <w:szCs w:val="14"/>
                <w:color w:val="auto"/>
              </w:rPr>
              <w:t>Ventures VI Parallel Entrepreneur Fund (Jersey) L.P. (“Index Ventures Parallel VI”), (iv)</w:t>
            </w:r>
          </w:p>
        </w:tc>
        <w:tc>
          <w:tcPr>
            <w:tcW w:w="5080" w:type="dxa"/>
            <w:vAlign w:val="bottom"/>
            <w:gridSpan w:val="3"/>
          </w:tcPr>
          <w:p>
            <w:pPr>
              <w:jc w:val="right"/>
              <w:spacing w:after="0"/>
              <w:rPr>
                <w:sz w:val="20"/>
                <w:szCs w:val="20"/>
                <w:color w:val="auto"/>
              </w:rPr>
            </w:pPr>
            <w:r>
              <w:rPr>
                <w:rFonts w:ascii="Arial" w:cs="Arial" w:eastAsia="Arial" w:hAnsi="Arial"/>
                <w:sz w:val="14"/>
                <w:szCs w:val="14"/>
                <w:color w:val="auto"/>
              </w:rPr>
              <w:t>shares of our Class A common stock held of record by Yucca (Jersey) SLP</w:t>
            </w: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(“Yucca”) (which includes</w:t>
            </w:r>
          </w:p>
        </w:tc>
        <w:tc>
          <w:tcPr>
            <w:tcW w:w="5560" w:type="dxa"/>
            <w:vAlign w:val="bottom"/>
            <w:gridSpan w:val="3"/>
          </w:tcPr>
          <w:p>
            <w:pPr>
              <w:jc w:val="center"/>
              <w:spacing w:after="0"/>
              <w:rPr>
                <w:sz w:val="20"/>
                <w:szCs w:val="20"/>
                <w:color w:val="auto"/>
              </w:rPr>
            </w:pPr>
            <w:r>
              <w:rPr>
                <w:rFonts w:ascii="Arial" w:cs="Arial" w:eastAsia="Arial" w:hAnsi="Arial"/>
                <w:sz w:val="14"/>
                <w:szCs w:val="14"/>
                <w:color w:val="auto"/>
              </w:rPr>
              <w:t>shares to be issued upon conversion of our Tranche I convertible notes and</w:t>
            </w: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shares issuable upon exercise of warrants) and</w:t>
            </w:r>
          </w:p>
        </w:tc>
      </w:tr>
      <w:tr>
        <w:trPr>
          <w:trHeight w:val="162"/>
        </w:trPr>
        <w:tc>
          <w:tcPr>
            <w:tcW w:w="460" w:type="dxa"/>
            <w:vAlign w:val="bottom"/>
          </w:tcPr>
          <w:p>
            <w:pPr>
              <w:spacing w:after="0"/>
              <w:rPr>
                <w:sz w:val="20"/>
                <w:szCs w:val="20"/>
                <w:color w:val="auto"/>
              </w:rPr>
            </w:pPr>
            <w:r>
              <w:rPr>
                <w:rFonts w:ascii="Arial" w:cs="Arial" w:eastAsia="Arial" w:hAnsi="Arial"/>
                <w:sz w:val="14"/>
                <w:szCs w:val="14"/>
                <w:color w:val="auto"/>
              </w:rPr>
              <w:t>(v)</w:t>
            </w:r>
          </w:p>
        </w:tc>
        <w:tc>
          <w:tcPr>
            <w:tcW w:w="8480" w:type="dxa"/>
            <w:vAlign w:val="bottom"/>
            <w:gridSpan w:val="5"/>
          </w:tcPr>
          <w:p>
            <w:pPr>
              <w:jc w:val="center"/>
              <w:spacing w:after="0"/>
              <w:rPr>
                <w:sz w:val="20"/>
                <w:szCs w:val="20"/>
                <w:color w:val="auto"/>
              </w:rPr>
            </w:pPr>
            <w:r>
              <w:rPr>
                <w:rFonts w:ascii="Arial" w:cs="Arial" w:eastAsia="Arial" w:hAnsi="Arial"/>
                <w:sz w:val="14"/>
                <w:szCs w:val="14"/>
                <w:color w:val="auto"/>
              </w:rPr>
              <w:t>shares of our Class A common stock held by Index Ventures Growth V (Jersey) L.P. (“Index Growth V”) (which consists of</w:t>
            </w:r>
          </w:p>
        </w:tc>
        <w:tc>
          <w:tcPr>
            <w:tcW w:w="1960" w:type="dxa"/>
            <w:vAlign w:val="bottom"/>
          </w:tcPr>
          <w:p>
            <w:pPr>
              <w:jc w:val="right"/>
              <w:spacing w:after="0"/>
              <w:rPr>
                <w:sz w:val="20"/>
                <w:szCs w:val="20"/>
                <w:color w:val="auto"/>
              </w:rPr>
            </w:pPr>
            <w:r>
              <w:rPr>
                <w:rFonts w:ascii="Arial" w:cs="Arial" w:eastAsia="Arial" w:hAnsi="Arial"/>
                <w:sz w:val="14"/>
                <w:szCs w:val="14"/>
                <w:color w:val="auto"/>
              </w:rPr>
              <w:t>shares to be issued upon</w:t>
            </w:r>
          </w:p>
        </w:tc>
      </w:tr>
      <w:tr>
        <w:trPr>
          <w:trHeight w:val="162"/>
        </w:trPr>
        <w:tc>
          <w:tcPr>
            <w:tcW w:w="3600" w:type="dxa"/>
            <w:vAlign w:val="bottom"/>
            <w:gridSpan w:val="3"/>
          </w:tcPr>
          <w:p>
            <w:pPr>
              <w:spacing w:after="0"/>
              <w:rPr>
                <w:sz w:val="20"/>
                <w:szCs w:val="20"/>
                <w:color w:val="auto"/>
              </w:rPr>
            </w:pPr>
            <w:r>
              <w:rPr>
                <w:rFonts w:ascii="Arial" w:cs="Arial" w:eastAsia="Arial" w:hAnsi="Arial"/>
                <w:sz w:val="14"/>
                <w:szCs w:val="14"/>
                <w:color w:val="auto"/>
              </w:rPr>
              <w:t>conversion of our Tranche I convertible notes and</w:t>
            </w:r>
          </w:p>
        </w:tc>
        <w:tc>
          <w:tcPr>
            <w:tcW w:w="7300" w:type="dxa"/>
            <w:vAlign w:val="bottom"/>
            <w:gridSpan w:val="4"/>
          </w:tcPr>
          <w:p>
            <w:pPr>
              <w:jc w:val="right"/>
              <w:spacing w:after="0"/>
              <w:rPr>
                <w:sz w:val="20"/>
                <w:szCs w:val="20"/>
                <w:color w:val="auto"/>
              </w:rPr>
            </w:pPr>
            <w:r>
              <w:rPr>
                <w:rFonts w:ascii="Arial" w:cs="Arial" w:eastAsia="Arial" w:hAnsi="Arial"/>
                <w:sz w:val="14"/>
                <w:szCs w:val="14"/>
                <w:color w:val="auto"/>
              </w:rPr>
              <w:t>shares issuable upon exercise of warrants). Index Venture Growth Associates III Limited (“IVGA III”) is the</w:t>
            </w:r>
          </w:p>
        </w:tc>
      </w:tr>
    </w:tbl>
    <w:p>
      <w:pPr>
        <w:jc w:val="both"/>
        <w:ind w:left="340"/>
        <w:spacing w:after="0" w:line="253" w:lineRule="auto"/>
        <w:rPr>
          <w:sz w:val="20"/>
          <w:szCs w:val="20"/>
          <w:color w:val="auto"/>
        </w:rPr>
      </w:pPr>
      <w:r>
        <w:rPr>
          <w:rFonts w:ascii="Arial" w:cs="Arial" w:eastAsia="Arial" w:hAnsi="Arial"/>
          <w:sz w:val="14"/>
          <w:szCs w:val="14"/>
          <w:color w:val="auto"/>
        </w:rPr>
        <w:t>managing general partner of Index Growth III and may be deemed to have voting and dispositive power over the shares held by such fund. Index Venture Associates VI Limited (“IVA VI”) is the managing general partner of Index Ventures VI and Index Ventures Parallel VI and may be deemed to have voting and dispositive power over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type w:val="continuous"/>
        </w:sectPr>
      </w:pPr>
    </w:p>
    <w:bookmarkStart w:id="258" w:name="page259"/>
    <w:bookmarkEnd w:id="258"/>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held by such funds. Index Venture Growth Associates V Limited (“IVGA V”) is the managing general partner of Index Growth V and may be deemed to have voting and dispositive power over the shares held by such fund. Yucca is the administrator of the Index co-investment vehicles that are contractually required to mirror the relevant Index funds’ investment, and IVGA III, IVA VI and IVGA V may be deemed to have voting and dispositive power over their respective allocation of shares held by Yucca. The address of the entities mentioned in this footnote is 44 Esplanade, 5th Floor, St. Helier, Jersey JE1 3FG, Channel Islands.</w:t>
      </w:r>
    </w:p>
    <w:p>
      <w:pPr>
        <w:spacing w:after="0" w:line="1" w:lineRule="exact"/>
        <w:rPr>
          <w:sz w:val="20"/>
          <w:szCs w:val="20"/>
          <w:color w:val="auto"/>
        </w:rPr>
      </w:pPr>
    </w:p>
    <w:p>
      <w:pPr>
        <w:spacing w:after="0"/>
        <w:tabs>
          <w:tab w:leader="none" w:pos="1780" w:val="left"/>
          <w:tab w:leader="none" w:pos="9960" w:val="left"/>
        </w:tabs>
        <w:rPr>
          <w:sz w:val="20"/>
          <w:szCs w:val="20"/>
          <w:color w:val="auto"/>
        </w:rPr>
      </w:pPr>
      <w:r>
        <w:rPr>
          <w:rFonts w:ascii="Arial" w:cs="Arial" w:eastAsia="Arial" w:hAnsi="Arial"/>
          <w:sz w:val="14"/>
          <w:szCs w:val="14"/>
          <w:color w:val="auto"/>
        </w:rPr>
        <w:t>(11) Consists of (i)</w:t>
      </w:r>
      <w:r>
        <w:rPr>
          <w:sz w:val="20"/>
          <w:szCs w:val="20"/>
          <w:color w:val="auto"/>
        </w:rPr>
        <w:tab/>
      </w:r>
      <w:r>
        <w:rPr>
          <w:rFonts w:ascii="Arial" w:cs="Arial" w:eastAsia="Arial" w:hAnsi="Arial"/>
          <w:sz w:val="14"/>
          <w:szCs w:val="14"/>
          <w:color w:val="auto"/>
        </w:rPr>
        <w:t>shares of our Class A common stock held of record by New Enterprise Associates 17, L.P. (“NEA 17”) (which consists of</w:t>
      </w:r>
      <w:r>
        <w:rPr>
          <w:sz w:val="20"/>
          <w:szCs w:val="20"/>
          <w:color w:val="auto"/>
        </w:rPr>
        <w:tab/>
      </w:r>
      <w:r>
        <w:rPr>
          <w:rFonts w:ascii="Arial" w:cs="Arial" w:eastAsia="Arial" w:hAnsi="Arial"/>
          <w:sz w:val="14"/>
          <w:szCs w:val="14"/>
          <w:color w:val="auto"/>
        </w:rPr>
        <w:t>shares to be issued</w:t>
      </w:r>
    </w:p>
    <w:p>
      <w:pPr>
        <w:spacing w:after="0" w:line="1" w:lineRule="exact"/>
        <w:rPr>
          <w:sz w:val="20"/>
          <w:szCs w:val="20"/>
          <w:color w:val="auto"/>
        </w:rPr>
      </w:pPr>
    </w:p>
    <w:p>
      <w:pPr>
        <w:ind w:left="340"/>
        <w:spacing w:after="0"/>
        <w:tabs>
          <w:tab w:leader="none" w:pos="4400" w:val="left"/>
          <w:tab w:leader="none" w:pos="7920" w:val="left"/>
        </w:tabs>
        <w:rPr>
          <w:sz w:val="20"/>
          <w:szCs w:val="20"/>
          <w:color w:val="auto"/>
        </w:rPr>
      </w:pPr>
      <w:r>
        <w:rPr>
          <w:rFonts w:ascii="Arial" w:cs="Arial" w:eastAsia="Arial" w:hAnsi="Arial"/>
          <w:sz w:val="14"/>
          <w:szCs w:val="14"/>
          <w:color w:val="auto"/>
        </w:rPr>
        <w:t>upon conversion of our Tranche I convertible notes and</w:t>
      </w:r>
      <w:r>
        <w:rPr>
          <w:sz w:val="20"/>
          <w:szCs w:val="20"/>
          <w:color w:val="auto"/>
        </w:rPr>
        <w:tab/>
      </w:r>
      <w:r>
        <w:rPr>
          <w:rFonts w:ascii="Arial" w:cs="Arial" w:eastAsia="Arial" w:hAnsi="Arial"/>
          <w:sz w:val="14"/>
          <w:szCs w:val="14"/>
          <w:color w:val="auto"/>
        </w:rPr>
        <w:t>shares issuable upon exercise of warrants), (ii)</w:t>
      </w:r>
      <w:r>
        <w:rPr>
          <w:sz w:val="20"/>
          <w:szCs w:val="20"/>
          <w:color w:val="auto"/>
        </w:rPr>
        <w:tab/>
      </w:r>
      <w:r>
        <w:rPr>
          <w:rFonts w:ascii="Arial" w:cs="Arial" w:eastAsia="Arial" w:hAnsi="Arial"/>
          <w:sz w:val="14"/>
          <w:szCs w:val="14"/>
          <w:color w:val="auto"/>
        </w:rPr>
        <w:t>shares of our Class A common stock held of record</w:t>
      </w:r>
    </w:p>
    <w:p>
      <w:pPr>
        <w:spacing w:after="0" w:line="1" w:lineRule="exact"/>
        <w:rPr>
          <w:sz w:val="20"/>
          <w:szCs w:val="20"/>
          <w:color w:val="auto"/>
        </w:rPr>
      </w:pPr>
    </w:p>
    <w:p>
      <w:pPr>
        <w:ind w:left="340"/>
        <w:spacing w:after="0"/>
        <w:tabs>
          <w:tab w:leader="none" w:pos="5220" w:val="left"/>
          <w:tab w:leader="none" w:pos="10780" w:val="left"/>
        </w:tabs>
        <w:rPr>
          <w:sz w:val="20"/>
          <w:szCs w:val="20"/>
          <w:color w:val="auto"/>
        </w:rPr>
      </w:pPr>
      <w:r>
        <w:rPr>
          <w:rFonts w:ascii="Arial" w:cs="Arial" w:eastAsia="Arial" w:hAnsi="Arial"/>
          <w:sz w:val="14"/>
          <w:szCs w:val="14"/>
          <w:color w:val="auto"/>
        </w:rPr>
        <w:t>by New Enterprise Associates 15, L.P. (“NEA 15”) (which includes</w:t>
      </w:r>
      <w:r>
        <w:rPr>
          <w:sz w:val="20"/>
          <w:szCs w:val="20"/>
          <w:color w:val="auto"/>
        </w:rPr>
        <w:tab/>
      </w:r>
      <w:r>
        <w:rPr>
          <w:rFonts w:ascii="Arial" w:cs="Arial" w:eastAsia="Arial" w:hAnsi="Arial"/>
          <w:sz w:val="14"/>
          <w:szCs w:val="14"/>
          <w:color w:val="auto"/>
        </w:rPr>
        <w:t>shares to be issued upon conversion of our Tranche I convertible notes and</w:t>
      </w:r>
      <w:r>
        <w:rPr>
          <w:sz w:val="20"/>
          <w:szCs w:val="20"/>
          <w:color w:val="auto"/>
        </w:rPr>
        <w:tab/>
      </w:r>
      <w:r>
        <w:rPr>
          <w:rFonts w:ascii="Arial" w:cs="Arial" w:eastAsia="Arial" w:hAnsi="Arial"/>
          <w:sz w:val="13"/>
          <w:szCs w:val="13"/>
          <w:color w:val="auto"/>
        </w:rPr>
        <w:t>shares</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issuable upon exercise of warrants) and (iii) 27,540 shares of our Class A common stock held of record by NEA Ventures 2015, L.P. (“NEA Ventures”). The shares directly held by NEA 17 are indirectly held by NEA Partners 17, L.P. (“NEA Partners 17”) the sole general partner of NEA 17, NEA 17 GP, LLC (“NEA 17 LLC”), the sole general partner of NEA Partners 17 and each of the individual managers of NEA 17 LLC. The individual managers, or collectively, the NEA 17 Managers, of NEA 17 LLC are Forest Baskett, Ali Behbahani, Carmen Chang, Anthony A. Florence, Jr., Edward Mathers, Mohamad Makhzoumi, Joshua Makower, Scott Sandell, Paul Walker, Rick Yang, Liza Landsman and Peter Sonsini. The NEA 17 Managers share voting and dispositive power with regard to the shares held by NEA 17. The shares directly held by NEA 15 are indirectly held by NEA Partners 15, L.P. (“NEA Partners 15”) the sole general partner of NEA 15, NEA 15 GP, LLC (“NEA 15 LLC”), the sole general partner of NEA Partners 15 and each of the individual managers of NEA 15 LLC. The individual managers, or collectively, the NEA 15 Managers, of NEA 15 LLC are Forest Baskett, Anthony A. Florence, Jr., Mohamad Makhzoumi, Joshua Makower, Scott Sandell and Peter Sonsini. The NEA 15 Managers share voting and dispositive power with regard to the shares held by NEA 15. Karen P. Welsh, the general partner of NEA Ventures, has sole voting and dispositive power with regard to the shares held by NEA Ventures. Scott Sandell, a member of our board of directors and the Managing General Partner at New Enterprise Associates, Inc., has no voting or investment power over the shares owned of record by NEA Ventures, and disclaims beneficial ownership of all shares except to the extent of his actual pecuniary interest in such shares. All indirect owners of the above referenced shares disclaim beneficial ownership of all applicable shares except to the extent of their actual pecuniary interest in such shares. The address of New Enterprise Associates 17, L.P., New Enterprise Associates 15, L.P., and NEA Ventures is c/o New Enterprise Associates, 1954 Greenspring Drive, Suite 600, Timonium, Maryland 21093.</w:t>
      </w:r>
    </w:p>
    <w:p>
      <w:pPr>
        <w:spacing w:after="0" w:line="166" w:lineRule="exact"/>
        <w:rPr>
          <w:sz w:val="20"/>
          <w:szCs w:val="20"/>
          <w:color w:val="auto"/>
        </w:rPr>
      </w:pPr>
    </w:p>
    <w:p>
      <w:pPr>
        <w:spacing w:after="0"/>
        <w:tabs>
          <w:tab w:leader="none" w:pos="1720" w:val="left"/>
          <w:tab w:leader="none" w:pos="8380" w:val="left"/>
        </w:tabs>
        <w:rPr>
          <w:sz w:val="20"/>
          <w:szCs w:val="20"/>
          <w:color w:val="auto"/>
        </w:rPr>
      </w:pPr>
      <w:r>
        <w:rPr>
          <w:rFonts w:ascii="Arial" w:cs="Arial" w:eastAsia="Arial" w:hAnsi="Arial"/>
          <w:sz w:val="14"/>
          <w:szCs w:val="14"/>
          <w:color w:val="auto"/>
        </w:rPr>
        <w:t>(12) Consists of (i)</w:t>
      </w:r>
      <w:r>
        <w:rPr>
          <w:sz w:val="20"/>
          <w:szCs w:val="20"/>
          <w:color w:val="auto"/>
        </w:rPr>
        <w:tab/>
      </w:r>
      <w:r>
        <w:rPr>
          <w:rFonts w:ascii="Arial" w:cs="Arial" w:eastAsia="Arial" w:hAnsi="Arial"/>
          <w:sz w:val="14"/>
          <w:szCs w:val="14"/>
          <w:color w:val="auto"/>
        </w:rPr>
        <w:t>shares of our Class A common stock held of record by Bullfrog Capital, L.P. (which includes</w:t>
      </w:r>
      <w:r>
        <w:rPr>
          <w:sz w:val="20"/>
          <w:szCs w:val="20"/>
          <w:color w:val="auto"/>
        </w:rPr>
        <w:tab/>
      </w:r>
      <w:r>
        <w:rPr>
          <w:rFonts w:ascii="Arial" w:cs="Arial" w:eastAsia="Arial" w:hAnsi="Arial"/>
          <w:sz w:val="14"/>
          <w:szCs w:val="14"/>
          <w:color w:val="auto"/>
        </w:rPr>
        <w:t>shares to be issued upon conversion of our</w:t>
      </w:r>
    </w:p>
    <w:p>
      <w:pPr>
        <w:spacing w:after="0" w:line="1" w:lineRule="exact"/>
        <w:rPr>
          <w:sz w:val="20"/>
          <w:szCs w:val="20"/>
          <w:color w:val="auto"/>
        </w:rPr>
      </w:pPr>
    </w:p>
    <w:p>
      <w:pPr>
        <w:ind w:left="340"/>
        <w:spacing w:after="0"/>
        <w:tabs>
          <w:tab w:leader="none" w:pos="3100" w:val="left"/>
        </w:tabs>
        <w:rPr>
          <w:sz w:val="20"/>
          <w:szCs w:val="20"/>
          <w:color w:val="auto"/>
        </w:rPr>
      </w:pPr>
      <w:r>
        <w:rPr>
          <w:rFonts w:ascii="Arial" w:cs="Arial" w:eastAsia="Arial" w:hAnsi="Arial"/>
          <w:sz w:val="14"/>
          <w:szCs w:val="14"/>
          <w:color w:val="auto"/>
        </w:rPr>
        <w:t>Tranche I convertible notes and</w:t>
      </w:r>
      <w:r>
        <w:rPr>
          <w:sz w:val="20"/>
          <w:szCs w:val="20"/>
          <w:color w:val="auto"/>
        </w:rPr>
        <w:tab/>
      </w:r>
      <w:r>
        <w:rPr>
          <w:rFonts w:ascii="Arial" w:cs="Arial" w:eastAsia="Arial" w:hAnsi="Arial"/>
          <w:sz w:val="14"/>
          <w:szCs w:val="14"/>
          <w:color w:val="auto"/>
        </w:rPr>
        <w:t>shares issuable upon exercise of warrants), (ii) 3,220,080 shares of our Class A common stock held of record by RH Ribbit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Opportunity II, LLC, (iii) 2,556,431 shares of our Class A common stock held of record by RH-D Ribbit Opportunity II, LLC, (iv) 2,363,270 shares of our Class A common</w:t>
      </w:r>
    </w:p>
    <w:p>
      <w:pPr>
        <w:spacing w:after="0" w:line="1" w:lineRule="exact"/>
        <w:rPr>
          <w:sz w:val="20"/>
          <w:szCs w:val="20"/>
          <w:color w:val="auto"/>
        </w:rPr>
      </w:pPr>
    </w:p>
    <w:p>
      <w:pPr>
        <w:jc w:val="both"/>
        <w:ind w:left="340"/>
        <w:spacing w:after="0" w:line="241" w:lineRule="auto"/>
        <w:rPr>
          <w:sz w:val="20"/>
          <w:szCs w:val="20"/>
          <w:color w:val="auto"/>
        </w:rPr>
      </w:pPr>
      <w:r>
        <w:rPr>
          <w:rFonts w:ascii="Arial" w:cs="Arial" w:eastAsia="Arial" w:hAnsi="Arial"/>
          <w:sz w:val="14"/>
          <w:szCs w:val="14"/>
          <w:color w:val="auto"/>
        </w:rPr>
        <w:t>stock held of record by RH-E Ribbit Opportunity II, LLC, (v) shares of our Class A common stock held of record by RH-N Bullfrog Opportunity I, LLC (which consists of shares to be issued upon conversion of our Tranche I convertible notes and shares issuable upon exercise of warrants), (vi) 26,481,814 shares of Class A</w:t>
      </w:r>
    </w:p>
    <w:p>
      <w:pPr>
        <w:spacing w:after="0" w:line="1" w:lineRule="exact"/>
        <w:rPr>
          <w:sz w:val="20"/>
          <w:szCs w:val="20"/>
          <w:color w:val="auto"/>
        </w:rPr>
      </w:pPr>
    </w:p>
    <w:p>
      <w:pPr>
        <w:ind w:left="340"/>
        <w:spacing w:after="0" w:line="258" w:lineRule="auto"/>
        <w:rPr>
          <w:sz w:val="20"/>
          <w:szCs w:val="20"/>
          <w:color w:val="auto"/>
        </w:rPr>
      </w:pPr>
      <w:r>
        <w:rPr>
          <w:rFonts w:ascii="Arial" w:cs="Arial" w:eastAsia="Arial" w:hAnsi="Arial"/>
          <w:sz w:val="14"/>
          <w:szCs w:val="14"/>
          <w:color w:val="auto"/>
        </w:rPr>
        <w:t>common stock held of record by Ribbit Capital II, L.P. and (vii) 4,554,560 shares of our Class A common stock held of record by Ribbit Capital III, L.P. The address of the entities mentioned in this footnote is 364 University Avenue,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CERTAIN RELATIONSHIPS AND RELATED PERSON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TRANSACTIONS</w:t>
      </w:r>
    </w:p>
    <w:p>
      <w:pPr>
        <w:spacing w:after="0" w:line="2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Other than compensation arrangements for our executive officers and directors which are described elsewhere in this prospectus, below we describe transactions since January 1, 2018 to which we were or will be a participant and in which:</w:t>
      </w:r>
    </w:p>
    <w:p>
      <w:pPr>
        <w:spacing w:after="0" w:line="157"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Preferred Stock Financings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D Redeemable Convertible Preferred Stock Financing</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April 2018, we sold an aggregate of 35,774,761 shares of our Series D redeemable convertible preferred stock at a purchase price of $10.145 per share, for an aggregate purchase price of $362.9 million, pursuant to our Series D redeemable convertible preferred stock financing. The following table summarizes purchases of our Series D redeemable convertible preferred stock by holders of more than 5% of our capital stock and their affiliated entities. None of our executive officers purchased shares of Series D redeemable convertible preferred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492,853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Consists of DST Global V Co-Invest, L.P., DST Global V L.P. and DST Investments XIX,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Consists of New Enterprise Associates 15, L.P. Scott Sandell, a member of our board of directors, is affiliated with New Enterprise Associates 15, L.P. See the footnotes to the table in the section titled “Principal and Selling Stockholders” for more information.</w:t>
      </w: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Consists of RH-D Ribbit Opportunity II, LLC.</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E Redeemable Convertible Preferred Stock Financing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The following table summarizes purchases of our Series E redeemable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 by holders of more than 5% of our capital stock and their affiliated entities. None of our executive officers purchased shares of Series E redeemable convertible preferred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6,007,513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DST Global VI, L.P. and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RH-E Ribbit Opportunity II, LLC and Ribbit Capital II, L.P.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F Redeemable Convertible Preferred Stock Financing</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The following table summarizes purchases of our Series F convertible preferred stock by holders of more than 5% of our capital stock and their affiliated entities. None of our executive officers purchased shares of Series F redeemable convertible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F</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24"/>
        </w:numPr>
        <w:rPr>
          <w:rFonts w:ascii="Arial" w:cs="Arial" w:eastAsia="Arial" w:hAnsi="Arial"/>
          <w:sz w:val="14"/>
          <w:szCs w:val="14"/>
          <w:color w:val="auto"/>
        </w:rPr>
      </w:pPr>
      <w:r>
        <w:rPr>
          <w:rFonts w:ascii="Arial" w:cs="Arial" w:eastAsia="Arial" w:hAnsi="Arial"/>
          <w:sz w:val="14"/>
          <w:szCs w:val="14"/>
          <w:color w:val="auto"/>
        </w:rPr>
        <w:t>Consists of New Enterprise Associates 17, L.P. Scott Sandell, a member of our board of directors, is affiliated with New Enterprise Associates 17, L.P. See the footnotes to the table in the section titled “Principal and Selling Stockholders” for more information.</w:t>
      </w:r>
    </w:p>
    <w:p>
      <w:pPr>
        <w:ind w:left="320" w:hanging="312"/>
        <w:spacing w:after="0"/>
        <w:tabs>
          <w:tab w:leader="none" w:pos="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Consists of Ribbit Capital II, L.P.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G Redeemable Convertible Preferred Stock Financing</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The following table summarizes purchases of our Series G redeemable convertible preferred stock by holders of more than 5% of our capital stock and their affiliated entities. None of our executive officers purchased shares of Series G redeemable convertible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01"/>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3,225,806</w:t>
            </w:r>
          </w:p>
        </w:tc>
        <w:tc>
          <w:tcPr>
            <w:tcW w:w="100" w:type="dxa"/>
            <w:vAlign w:val="bottom"/>
          </w:tcPr>
          <w:p>
            <w:pPr>
              <w:spacing w:after="0"/>
              <w:rPr>
                <w:sz w:val="24"/>
                <w:szCs w:val="24"/>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Consists of Bullfrog Capital L.P.</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Convertible Note and Warrant Financings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February 2021, we issued two tranches of convertible notes, consisting of $2,532.0 million aggregate principal amount of “Tranche I” convertible notes and $1,020.0 million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As of March 31, 2021, we had $2,551.7 million aggregate amount of Tranche I convertible notes and $1,028.0 million aggregate amount of Tranche II convertible notes, in each case including accrued interest.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 paid by investors in this offering and (ii) $38.29. The following table summarizes purchases of our convertible notes by holders of more than 5% of our capital stock and their affiliated entities. None of our executive officers purchased our convertible notes or related warrants.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Tranche I Convertible</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Tranche II Convertible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Notes (Principal</w:t>
            </w:r>
          </w:p>
        </w:tc>
        <w:tc>
          <w:tcPr>
            <w:tcW w:w="160" w:type="dxa"/>
            <w:vAlign w:val="bottom"/>
          </w:tcPr>
          <w:p>
            <w:pPr>
              <w:spacing w:after="0"/>
              <w:rPr>
                <w:sz w:val="11"/>
                <w:szCs w:val="11"/>
                <w:color w:val="auto"/>
              </w:rPr>
            </w:pPr>
          </w:p>
        </w:tc>
        <w:tc>
          <w:tcPr>
            <w:tcW w:w="14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Notes (Principal</w:t>
            </w: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Index Ventures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________________</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Consists of Index Ventures Growth V (Jersey), L.P. and Yucca (Jersey) SLP.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Consists of Bullfrog Capital L.P. and RH-N Bullfrog Opportunity I, L.P.</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convertible note and warrant financings, we entered into a Tranche I convertible note and warrant purchase agreement (the “Tranche I Purchase Agreement”) and a Tranche II convertible note purchase agreement (the “Tranche II Purchase Agreement”), each dated as of February 12, 2021. Pursuant to the Tranche I Purchase Agreement, the holders of our Tranche I convertible notes have the right to request that we file a registration statement, and/or request that the common shares issued upon conversion of the Tranche I convertible notes be covered by a registration statement that we are otherwise filing, in each case subject to certain exceptions. See the section titled “Description of Capital Stock—Registration Rights” for additional information regarding these registration rights. In addition, the purchasers of our convertible notes and warrants entered into market standoff agreements with us for the benefit of the underwriters, pursuant to which the holders of our convertible notes and warrants have entered into lockup agreements in connection with this offering. See “Shares Eligible for Future Sale—Lock-up and Market Standoff Agreements.”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5 - “Fair Value of Financial Instruments” in our unaudited condensed consolidated financial statements for more information about the accounting treatment of our convertible note and warrant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Third-Party Tender Offers and Secondary Sales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Tender Offer</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2019, we entered into a letter agreement with certain holders of our capital stock, pursuant to which we agreed to waive certain transfer restrictions in connection with, and assist in the administration of, a tender offer that such holders proposed to commence. From August 2019 through September 2019, these holders commenced a tender offer to purchase shares of our capital stock from certain of our employee stockholders, including our Co-Founder and CEO, Vladimir Tenev, and Co-Founder and Chief Creative Officer and then-co-CEO Baiju Bhatt. An aggregate of 5.4 million shares of our capital stock were tendered pursuant to the tender offer for an aggregate purchase price of $67.6 million, or $12.4827 per share.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Secondary Sales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3, 2018, our Co-Founder and CEO, Vladimir Tenev, our Co-Founder and Chief Creative Officer and then-co-CEO, Baiju Bhatt, our then-Chief Operating Officer, Nathan Rodland, and one other employee, each individually entered into common stock purchase agreements with certain other holders of our capital stock, including entities affiliated with DST Global, pursuant to which they sold shares of our common stock to the purchasing stockholders at a purchase price of $10.145 per share. In total, Mr. Bhatt sold 5,421,389 shares of common stock for an aggregate purchase price of $55.0 million; Mr. Rodland sold 295,712 shares of common stock for an aggregate purchase price of $ 3.0 million; and Mr. Tenev sold 5,421,389 shares of common stock for an aggregate purchase price of $55.0 million. As part of these sales, each of Mr. Bhatt and Mr. Tenev sold 739,280 shares of our common stock to entities affiliated with DST Global.</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Voting Agreements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Pre-IPO Voting Agreement</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party to the Pre-IPO Voting Agreement, pursuant to which certain holders of our capital stock, including entities affiliated with Index Ventures, New Enterprise Associates, DST Global and Ribbit Capital have agreed to the manner in which they will vote their shares on certain matters, including the election of directors. For more information about the Pre-IPO Voting Agreement, see “Management—Board of Directors Composition—Current Board of Directors.” In connection with this offering, the Pre-IPO Voting Agreement will terminate and none of our stockholders will have any special rights regarding the election or designation of members of our board of directors, the voting of our capital stock or restrictions on transfer of our capital stock pursuant to the Pre-IPO Voting Agreement.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Holder Voting Agreements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Co-Founder and CEO, Vladimir Tenev, and our Co-Founder and Chief Creative Officer, Baiju Bhatt, have individually entered into holder voting agreements with entities affiliated with DST Global, which agreements were effective as of May 1, 2017 and as of January 1, 2021 (each, a “Holder Voting Agreement”), which entitled each of Mr. Tenev and Mr. Bhatt individually to vote 50% of the redeemable convertible preferred stock owned by the DST Global entities at their own discretion, whether at a meeting of stockholders or through the solicitation of a written consent of stockholders, in respect of certain matters regarding liquidations, dividends, transfers of intellectual property, acquisitions and indebtedness, among other things. Each Holder Voting Agreement terminates in its entirety upon the earliest of (i) the completion of this offering, (ii) the event of a liquidation, dissolution or winding-up of Robinhood, (iii) the death or permanent and substantial incapacity of Mr. Tenev or Mr. Bhatt, as applicable, (iv) in the case of Mr. Tenev’s Holder Voting Agreements, the date on which Mr. Tenev is no longer serving as President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CEO of Robinhood or, in the case of Mr. Bhatt’s Holder Voting Agreements, the date on which Mr. Bhatt is no longer serving as an officer or director of Robinhood or (v) the date on which Mr. Tenev or Mr. Bhatt, as applicable, beneficially or indirectly transfers to any third party (individually or in the aggregate) more than 15% of capital stock of Robinhood owned by Mr. Tenev or Mr. Bhatt, respectively, as of April 17, 2017 or January 1, 2021, as applicable. All Holder Voting Agreements are expected to terminate on the completion of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 Voting Agreement</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connection with this offering, our founders and certain of their respective related entities will enter into a voting agreement, which will become effective prior to the completion of this offering (the “Founder Voting Agreement”), to which we will also be a party. Pursuant to the Founder Voting Agreement, each founder and certain of their respective entities (including estate planning vehicles) party to the Founder Voting Agreement (the “Founder Affiliates”) will agree, upon the terms and subject to the conditions set forth therein, to, among other things,</w:t>
      </w:r>
    </w:p>
    <w:p>
      <w:pPr>
        <w:spacing w:after="0" w:line="2" w:lineRule="exact"/>
        <w:rPr>
          <w:sz w:val="20"/>
          <w:szCs w:val="20"/>
          <w:color w:val="auto"/>
        </w:rPr>
      </w:pPr>
    </w:p>
    <w:p>
      <w:pPr>
        <w:jc w:val="both"/>
        <w:ind w:firstLine="8"/>
        <w:spacing w:after="0" w:line="251" w:lineRule="auto"/>
        <w:tabs>
          <w:tab w:leader="none" w:pos="2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will grant, effective upon completion of this offering,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Moreover, the Founder Voting Agreement will grant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 The Founder Voting Agreement will be in effect until the Final Conversion Date.</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Investors’ Rights Agreement</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party to an Amended and Restated Investors’ Rights Agreement, dated as of August 13, 2020 (“Investors’ Rights Agreement”),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including entities affiliated with Index Ventures, New Enterprise Associates, DST Global and Ribbit Capital. This agreement provides, among other things, that certain holders of our capital stock and warrants have the right to request that we file a registration statement, and/or request that their shares be covered by a registration statement that we are otherwise filing, subject to certain exceptions. See the section titled “Description of Capital Stock—Registration Rights” for additional information regarding these registration rights. Also under the Investors’ Rights Agreement, our stockholders party thereto have entered into market standoff agreements with us for the benefit of the underwriters, pursuant to which such stockholders have entered into lockup agreements in connection with this offering. See “Shares Eligible for Future Sale—Lock-up and Market Standoff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Right of First Refusal and Co-Sale Agreement</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dated as of August 13, 2020 (“Right of First Refusal and Co-Sale Agreement”), among us, Mr. Tenev and Mr. Bhatt and certain of their respective affiliates and certain of our other stockholders, including entities affiliated with Index Ventures, New Enterprise Associates, DST Global and Ribbit Capital, as well as two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Restriction Agreements, each dated December 4, 2013 (the “Stock Restriction Agreements”), one between us and Mr. Tenev, and one between us and Mr. Bhatt, we or our assignees have a right of first refusal to purchase shares of our common stock which certain of our stockholders, including Mr. Tenev and Mr. and Bhatt, propose to sell to other parties. The Right of First Refusal and Co-Sale Agreement also provides our stockholder investors party thereto with rights of first refusal and co-sale relating to shares of our common stock held and proposed to be transferred by either of Mr. Tenev or Mr. Bhatt or certain of their respective affiliates or permitted transferees. The Right of First Refusal and Co-Sale Agreement will terminate in connection with this offering, as will the Stock Restriction Agreements. Since January 1, 2018, we have waived our rights of first refusal in connection with the transfer or sale of certain shares of our capital stock, including the tender offer and secondary sale transactions described under “—Third-Party Tender Offers and Secondary Sales” above and other transfers by certain of our Co-Founders and other executive officers. See the section titled “Principal and Selling Stockholders” for additional information regarding beneficial ownership of our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Indemnification Agreements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party to and, in connection with this offering, we intend to enter into, an indemnification agreement with each of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 See “Description of Capital Stock—Limitations on Liability and Indemnification of Officers and Directors.”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of Mr. Tenev and Mr. Bhatt, two of our executive officers and members of our board of directors, is party to an indemnification agreement with us. In 2020, pursuant to such indemnification agreements, we made aggregate payments to counsel to Mr. Bhatt and Mr. Tenev of approximately $1,152,775 in connection with the SEC Enforcement Division’s investigation into RHF’s best execution and PFOF practices, as well as statements concerning its source of revenue. In December 2020, RHF, on a neither admit nor deny basis, consented to the entry of an SEC order, concluding the investigation. See “Business—Legal Proceedings—Best Execution, Payment for Order Flow and Sources of Revenue Matters” for more information about this investigation. We do not anticipate making additional payments to counsel for Mr. Bhatt or Mr. Tenev in connection with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Director Participation in this Offering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Jon Rubinstein, one of our directors, has expressed an interest in purchasing up to $2.0 million in shares of our Class A common stock in</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offering, which is equal to shares of Class A common stock, based upon an assumed initial public offering price of $ per share, which is the midpoint of the price range set forth on the cover page of this prospectus. At our request, the underwriters have reserved such shares for sale to Mr. Rubinstein. All such shares would be purchased at the initial public offering price and on the same terms as the other purchasers in this offering. Because there is no binding agreement obligating Mr. Rubinstein to purchase these shares, he may determine to purchase fewer shares than he has expressed an interest in purchasing, or not to purchase any shares at all, in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Class B Exchange Agreements</w:t>
      </w:r>
    </w:p>
    <w:p>
      <w:pPr>
        <w:spacing w:after="0" w:line="1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To facilitate the Class B Exchange, we will enter into exchange agreements with our founders and certain of their respective related entities, effective as of immediately following the effectiveness of the filing of our Charter (which is expected to occur immediately prior to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completion of this offering). Pursuant to these exchange agreements, an aggregate of shares of our Class A common stock beneficially owned by our founders and their related entities at the time of this offering (including shares to be issued upon vesting and settlement of IPO-Vesting Time-Based RSUs and IPO-Vesting Market-Based RSUs, assuming, for purposes of any market-based vesting conditions, an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will automatically be exchanged or an equivalent number of shares of our Class B common stock immediately prior to the completion of this offering. In addition, following the completion of this offering, and pursuant to certain equity exchange agreements to be entered into between us and each of our founders, each of our founders will have the Equity Exchange Rights, pursuant to which each founder will have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the effectiveness of our Charter, which will occur immediately prior to the completion of this offering. As of March 31, 2021, there were 5,808,048 shares of our Class A common stock subject to outstanding Time-Based RSUs and 27,663,658 shares of our Class A common stock subject to outstanding 2019 Market-Based RSUs, in each case held by our founders and that may be exchanged, upon vesting and settlement, for an equivalent number of shares of our Class B common stock following this offering pursuant to the Equity Exchange Rights. In addition, in May 2021, our founders were granted 2021 Market-Based RSUs in respect of 35,520,000 shares of our Class A common stock that may be exchanged, upon vesting and settlement, for an equivalent number of shares of our Class B common stock following this offering pursuant to the Equity Exchange Rights.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Policies and Procedures for Related Person Transactions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to be effective upon the completion of this offering, setting forth the policies and procedures for the identification,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interest. In reviewing and approving or disproving any such transactions, our audit committee considers all relevant facts and circumstances as appropriate, including, but not limited to, the purpose of the transaction, whether the transaction is on terms comparable to those that could be obtained in an arm’s-length transaction with an unrelated third party under the same or similar circumstances and the extent of the related person’s interest in the transaction. All such approved transactions must be ratified by the audit committee, taking into account the foregoing considerations.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DESCRIPTION OF CAPITAL STOCK</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summary describes the material terms of our capital stock and provisions of our Charter and our Bylaws as they will be in effect upon the consummation of this offering. This summary does not purport to be complete and is qualified in its entirety by reference to all of the provisions of our Charter and our Bylaws, the forms of which are filed as exhibits to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Our Capital Stock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Capital Stock</w:t>
      </w:r>
    </w:p>
    <w:p>
      <w:pPr>
        <w:spacing w:after="0" w:line="19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Upon the filing of our Charter, which is expected to occur immediately prior to this offering and will effect the Reclassification, and the completion of this offering, our authorized capital stock will consist of 28,910,000,000 shares of capital stock, of which:</w:t>
      </w:r>
    </w:p>
    <w:p>
      <w:pPr>
        <w:spacing w:after="0" w:line="157"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21,000,000,000 shares will be designated as Class A common stock, par value $0.0001 per share;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700,000,000 shares will be designated as Class B common stock, par value $0.0001 per share;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7,000,000,000 shares will be designated as Class C common stock, par value $0.0001 per share;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210,000,000 shares will be designated as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Assuming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as of March 31, 2021, there would have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been shares of Class A common stock outstanding held by 1,636 stockholders of record, shares of Class B common stock outstanding held by nine stockholders of record, which consist of our founders and their related entities, no shares of our Class C common stock outstanding and no shares of preferred stock outstanding. Pursuant to our Charter, our board of directors will have the authority, without stockholder approval except as required by the listing standards of the Nasdaq, to issue additional shares of our Class A common stock and Class C common stock. Until the Final Conversion Date, any issuance of additional shares of Class B common stock, subject to certain exceptions as set forth in our Charter, requires the approval of the holders of at least 80% of the outstanding shares of Class B common stock, voting as a separate class.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Holders of our Class A common stock will be entitled to one vote per share on all matters to be voted upon by our stockholders, holders of our Class B common stock will be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will vote together as a single class, unless otherwise required by our Charter or applicable law. Specifically, the DGCL could require either holders of our Class A common stock, our Class B common stock or our Class C common stock to vote separately as a single class in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71" w:lineRule="exact"/>
        <w:rPr>
          <w:sz w:val="20"/>
          <w:szCs w:val="20"/>
          <w:color w:val="auto"/>
        </w:rPr>
      </w:pPr>
    </w:p>
    <w:p>
      <w:pPr>
        <w:ind w:left="660" w:right="20" w:hanging="328"/>
        <w:spacing w:after="0" w:line="261"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or decrease the par value of a class of stock, then that class would be required to vote separately as a class to approve the proposed amendment; and</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w:t>
      </w:r>
    </w:p>
    <w:p>
      <w:pPr>
        <w:spacing w:after="0" w:line="16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under our Charter, until the Final Conversion Date, approval of at least 80% of the outstanding shares of Class B common stock, voting as a separate class, will be required to:</w:t>
      </w:r>
    </w:p>
    <w:p>
      <w:pPr>
        <w:spacing w:after="0" w:line="157"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increase the number of authorized shares of our Class B common stock;</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or repeal, or adopt any provision of our Charter inconsistent with, or otherwise alter, any provision of our Charter that modifies the voting, conversion, or other rights, powers, preferences, privileges or restrictions of our Class B common stock;</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reclassify any outstanding shares of our Class A common stock into shares having rights as to dividends or liquidation that are senior to our Class B common stock or the right to have more than one vote for each share thereof;</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issue any shares of our Class B common stock, including by dividend, distribution or otherwise, subject to certain exceptions as set forth in our Charter;</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authorize, or issue any shares of, any class or series of our capital stock having the right to more than one vote for each share thereof;</w:t>
      </w:r>
    </w:p>
    <w:p>
      <w:pPr>
        <w:spacing w:after="0" w:line="15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treat the shares of our Class B common stock differently in any payment of dividends to the holders of shares of our common stock, any subdivision or combination of the outstanding shares of our common stock, any distribution of assets of our Company to our stockholders in connection with any liquidation, dissolution or winding-up of our Company or any conversion of each share of our common stock into other securities as a result of a merger or consolidation of our Company with or into any other entity, or any other substantially similar transaction; or</w:t>
      </w:r>
    </w:p>
    <w:p>
      <w:pPr>
        <w:spacing w:after="0" w:line="16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 dividends or other distributions payable in shares of our common stock to holders of our common stock, unless holders of our Class A common stock receive such dividend or distribution in respect of their Class A common stock in shares of our Class A common stock, holders of our Class B common stock receive such dividend or distribution in respect of their Class B common stock in shares of our Class B common stock and holders of our Class C common stock receive such dividend or distribution in respect of their Class C common stock in shares of our Class C common stock.</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a different vote is required by applicable law or specifically required by our Charter or Bylaws, if a quorum exists at any meeting of stockholders, stockholders shall have approved any matter (other than the election of directors, which is described below) if (i) a majority of votes cast on such matter by stockholders and (ii) where a separate vote by a class or series or classes or series is required, a majority of the votes cast on such matter by stockholders of such class or series or classes or series, in each case present in person or represented by proxy at the meeting and entitled to vote on such matter are in favor of such matter.</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Subject to the rights of the holders of any series of our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which the number of candidates for election as directors exceeds the number of directors to be elected, with the determination thereof being made by the secretary of Robinhood.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except for certain permitted transfers described in our Charter, including transfers effected for estate planning or other transfers among our founders, their family members and certain of their related entities.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permanent and total disability of such natural person, or such later date not to exceed a total period of 18 months after such death or permanent and total disability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permanent and total disability.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outstanding share of Class B common stock will convert automatically into one share of Class A common stock upon the earliest of</w:t>
      </w:r>
    </w:p>
    <w:p>
      <w:pPr>
        <w:spacing w:after="0" w:line="9" w:lineRule="exact"/>
        <w:rPr>
          <w:sz w:val="20"/>
          <w:szCs w:val="20"/>
          <w:color w:val="auto"/>
        </w:rPr>
      </w:pPr>
    </w:p>
    <w:p>
      <w:pPr>
        <w:jc w:val="both"/>
        <w:ind w:firstLine="8"/>
        <w:spacing w:after="0" w:line="251" w:lineRule="auto"/>
        <w:tabs>
          <w:tab w:leader="none" w:pos="21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this offering (the “Final Conversion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ratably dividends, if any, as may be declared from time to time by our board of directors out of funds legally available for the payment of dividends. See the section titled “Dividend Policy”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common stock will have no preemptive or conversion rights or other subscription rights. No redemption or sinking fund provisions will be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March 31, 2021, we had 412,742,897 shares of redeemable convertible preferred stock outstanding held by 100 stockholders of record, all of which will, immediately prior to the effectiveness of our Charter, automatically convert into shares of our common stock on a one-to-one basis, which such shares of common stock will automatically be reclassified into shares of our Class A common stock pursuant to our Charter immediately prior to the completion of this offering. After the completion of this offering, no shares of our redeemable convertible preferred stock will be outstanding.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will have the power to issue our preferred stock with voting, 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Robinhood. Upon the completion of this offering, no shares of preferred stock will be outstanding, and we have no present plan to issue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options to purchase 18,096,127 shares of our Class A common stock were outstanding with a weighted-average exercise price of $2.23 per share, of which options to purchase 15,396,002 shares were vested and exercisable with a weighted-average exercise price of $1.62 per share.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RSUs representing the right to receive 81,820,160 shares of our common stock were outstanding, none of which were fully vested.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granted to each purchaser of our Tranche I convertible notes (of which we issued an aggregate principal amount of $2,532.0 million) a warrant to purchase a number of shares of equity securities equal to 15% of the aggregate proceeds invested by such purchaser in the Tranche I convertible notes (i.e., $379.8 million in aggregate maximum purchase amount). Following this offering and until the tenth anniversary of their issue date, outstanding warrants will be exercisable for shares of our Class A common stock at an exercise price equal to the lower of (i) 70% of the cash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paid by investors in this offering and (ii) $38.29. All such warrants were outstanding as of March 31, 2021. Unless earlier exercised, the warrants will expire on February 12, 2031.</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the completion of this offering, certain holders of our Class A common stock will be entitled to rights with respect to the registration of their shares under the Securities Act. These registration rights, which are described below, are contained in the Investors’ Rights Agreement and in the Tranche I Purchase Agreement.</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along with certain holders of our capital stock (which, as of the date of this prospectus, consists of holders of our redeemable convertible preferred stock, and may in the future include holders of shares of Class A common stock issued upon exercise of our warrants or conversion of our convertible notes), are parties to the Investors’ Rights Agreement. The registration rights set forth in the Investors’ Rights Agreement terminate upon the earlier of (i) a deemed liquidation event (such as (a) a merger or consolidation of us, (b) the sale, lease, transfer, exclusive license or other disposition by us or any of our subsidiaries of all or substantially all of our assets or intellectual property or</w:t>
      </w:r>
    </w:p>
    <w:p>
      <w:pPr>
        <w:spacing w:after="0" w:line="2" w:lineRule="exact"/>
        <w:rPr>
          <w:sz w:val="20"/>
          <w:szCs w:val="20"/>
          <w:color w:val="auto"/>
        </w:rPr>
      </w:pPr>
    </w:p>
    <w:p>
      <w:pPr>
        <w:jc w:val="both"/>
        <w:ind w:firstLine="8"/>
        <w:spacing w:after="0" w:line="251" w:lineRule="auto"/>
        <w:tabs>
          <w:tab w:leader="none" w:pos="2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lease, transfer or other disposition of at least 50% of the then-outstanding shares of our capital stock, subject to certain exceptions) where such stockholders receive proceeds solely in the form of cash and/or marketable securities, (ii) such time as Rule 144 or another similar exemption under the Securities Act is available for the sale of all of such stockholders’ shares without limitation during a three-month period without registration and (iii) the fifth anniversary of our initial public offering or direct listing (whichever occurs first). We will pay the registration expenses (other than any underwriting discounts and selling commissions) of the holders of the shares registered for sale pursuant to the registrations under the Investors’ Rights Agreement described below, including the reasonable fees of one counsel for such selling stockholders not to exceed $50,000. However, we will not be required to bear the expenses in connection with the exercise of the demand registration rights of a registration if the request is subsequently withdrawn at the request of the selling stockholders holding a majority of the securities to be registered (in which case all selling stockholders shall bear such expenses pro rata based upon the number of shares that were to be included in the withdrawn registration), subject to certain conditions. For more information about the Investors’ Rights Agreement, see “Certain Relationships and Related Person Transactions—Investors’ Rights Agreement.”</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along with the purchasers of our Tranche I convertible notes, are also party to the Tranche I Purchase Agreement. The registration rights set forth in the Tranche I Purchase Agreement will terminate upon the earlier of (i) such time as Rule 144 or another similar exemption under the Securities Act is available for the sale of all of such stockholders’ shares without limitation during a three-month period without registration and (ii) the later to occur of (a) the 12-month anniversary of this offering or (b) if applicable, the 12-month anniversary of certain financing events giving rise to a mandatory conversion of the Tranche I convertible notes (subject to a delay of up to 30 days in the event a suspension or deferral of registration was in effect during the 30-day period immediately prior to such later date). We will pay the registration expenses (other than any underwriting discounts and selling commissions) of the registrations under the Tranche I Purchase Agreement, but not the fees of counsel to the holders of the shares registered for sale pursuant to such registrations. We anticipate filing a resale registration statement on Form S-1 in respect of shares issuable or issued upon conversion of our Tranche I convertible notes shortly after the effectiveness of the registration statement of which this prospectus is a part. For more information about the Tranche I Purchase Agreement and related convertible notes issuance, see “Certain Relationships and Related Person Transactions—Convertible Note and Warrant Financings.”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S-1 Demand Registration Rights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the completion of this offering, the holders of up to shares of our Class A common stock will be entitled to certain Form S-1 demand registration rights pursuant to the Investors’ Rights Agreement. At a time beginning 180 days after the registration statement of which this prospectus forms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part is declared effective, the holders of at least a majority of these shares outstanding can request that we register the offer and sale of their shares on a registration statement on Form S-1, if we are eligible to file a registration statement on Form S-1, so long as the request covers at least that number of shares then outstanding with an anticipated aggregate offering price, net of underwriting discounts and selling commissions, of at least $20 million. We are obligated to effect only two such registrations. If we determine that it would be materially detrimental to us and our stockholders to effect such a demand registration, we have the right to defer such registration, not more than once in any 12-month period, for a period of up to 120 days. In addition, we will not be required to effect a demand registration during the period beginning 60 days prior to our good faith estimate of the date of the filing and ending on a date 180 days following the effectiveness of a registration statement initiated by us. In addition, in an underwritten public offering, the underwriters have the right, subject to specified conditions, to limit the number of shares such holders may include for registration.</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after the completion of this offering, the holders of up to shares of our Class A common stock issuable upon conversion of our Tranche I convertible notes will be entitled to certain Form S-1 demand registration rights pursuant to the Tranche I Purchase Agreement. We have agreed that, upon request from the holders of these shares outstanding, we will promptly (and in any event within 30 days) after the registration statement of which this prospectus forms a part is declared effective, use reasonable best efforts to promptly file a registration statement on Form S-1, registering the offer and sale of such shares; provided that, if we use such reasonable best efforts but such registration statement has not been filed by the 30th day following the effective date of the registration statement of which this prospectus forms a part, then we shall have an additional 15 days to file such registration statement on Form S-1. If we determine that it would be materially detrimental to us and our stockholders to effect such a demand registration, we have the right to defer such registration, or suspend the use of such registration statement by the selling stockholders, for a period of up to 30 days in any 90-day period.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S-3 Demand Registration Rights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the completion of this offering, the holders of up to approximately shares of our Class A common stock will be entitled to certain Form S-3 demand registration rights pursuant to the Investors’ Rights Agreement. The holders of at least 30%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$5 million. These stockholders may make an unlimited number of requests for registration on Form S-3; however, we will not be required to effect a registration on Form S-3 if we have effected one such registration within the 12-month period preceding the date of the request. In addition, if we determine that it would be materially detrimental to us and our stockholders to effect such a demand registration, we have the right to defer such registration, not more than once in any 12-month period, for a period of up to 120 days. Further, we will not be required to effect a demand registration during the period beginning 30 days prior to our good faith estimate of the filing of and ending on a date 90 days following the effectiveness of a registration statement initiated by us. In addition, in an underwritten public offering, the underwriters have the right, subject to specified conditions, to limit the number of shares that these stockholders may include for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Investors’ Rights Agreement provides and, after the completion of this offering, the Tranche I Purchase Agreement will provide, that, in the event that we propose to register the offer and sale of our common stock under the Securities Act, in connection with the public offering of such common stock (including, for purposes of the registration rights under the Investors’ Rights Agreement, this offering), the holders of</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up to approximately shares of our Class A common stock party to the Investors’ Rights Agreement and the holders of up to approximately shares of our Class A common stock issuable upon conversion of our Tranche I convertible notes who, prior to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offering, were holders of our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 convertible notes, will be entitled to certain “piggyback” registration rights allowing such stockholders to include their shares in such registration. Such registration rights will be subject to certain marketing and other limitations, which, in the case of an underwritten offering, will be in the sole discretion of the underwriters. As a result, whenever we propose to file a registration statement under the Securities Act (including, for this purpose, a registration statement effected by us for other stockholders), other than (i) a registration relating to the sale or grant of securities to our employees or one of our subsidiaries pursuant to a stock option, stock purchase, equity incentive or similar plan, (ii) a registration related to an SEC Rule 145 transaction, (iii) a registration on any form that does include substantially the same information as would be required to be included in a registration statement covering the sale of our Class A common stock, (iv) in the case of a registration pursuant to the Investors’ Rights Agreement, a registration in which the only Class A common stock being registered is Class A common stock issuable upon conversion of debt securities that are also being registered, (v) with respect to a selling stockholder, a registration for a direct listing that includes all of the Class A common stock held by such stockholder or (vi) in the case of a registration pursuant to the Tranche I Purchase Agreement, any registration in connection with this offering or any other initial public offering or a de-SPAC or direct listing, we shall, subject to certain conditions, cause to be registered all of the Class A common stock that each such stockholder has requested to be included in such registration. We shall have the right to terminate or withdraw any registration initiated pursuant to such “piggyback registration” rights described above before the effective date of such registration, whether or not any stockholder has elected to include shares of their Class A common stock in such registration. In addition, in an underwritten public offering, the underwriters have the right, subject to specified conditions, to limit the number of shares that these stockholders may include for registration.</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Anti-Takeover Effects of Various Provisions of Delaware Law and Our Charter and Our Bylaws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of the DGCL, our Charter and our Bylaws could make it more difficult to acquire us by means of a tender offer, a proxy contest or otherwise. These provisions, summarized below, would be expected to discourage certain types of coercive takeover practices and takeover bids our board of directors may consider inadequate and to encourage persons seeking to acquire control of our Company to first negotiate with us.</w:t>
      </w:r>
    </w:p>
    <w:p>
      <w:pPr>
        <w:spacing w:after="0" w:line="14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Multi-Class Structure. </w:t>
      </w:r>
      <w:r>
        <w:rPr>
          <w:rFonts w:ascii="Arial" w:cs="Arial" w:eastAsia="Arial" w:hAnsi="Arial"/>
          <w:sz w:val="18"/>
          <w:szCs w:val="18"/>
          <w:color w:val="auto"/>
        </w:rPr>
        <w:t>As described above under “—Common Stock—Voting Rights,” our Charter will provide for a multi-class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structure, as a result of which our founders will maintain, until the Final Conversion Date, significant influence over any matter requiring stockholder approval, including the election of directors, the adoption of any amendments to our Charter or the Bylaws and the approval of any merger, consolidation, sale of all or substantially all of our assets, or other major corporate transaction.</w:t>
      </w:r>
    </w:p>
    <w:p>
      <w:pPr>
        <w:spacing w:after="0" w:line="1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Board Classification. </w:t>
      </w:r>
      <w:r>
        <w:rPr>
          <w:rFonts w:ascii="Arial" w:cs="Arial" w:eastAsia="Arial" w:hAnsi="Arial"/>
          <w:sz w:val="18"/>
          <w:szCs w:val="18"/>
          <w:color w:val="auto"/>
        </w:rPr>
        <w:t>Until the third annual meeting of stockholders following the effectiveness of our Charter, our board of directors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divided into three classes (Class I, Class II and Class III), one class of which will be elected each year by our stockholders. The first term of office of the Class I directors will expire at the first annual meeting of stockholders following the effectiveness of our Charter, the first term of office of the Class II directors will expire at the second annual meeting of stockholders following the effectiveness of our Charter and the first term of office of the Class III directors will expire at the third annual meeting of stockholders following the effectiveness of our Charter. Our Charter will provide that our board of directors will be fully declassified by the third annual meeting of stockholders following the effectiveness of our Charter, which is expected to occur in 2024, so that:</w:t>
      </w:r>
    </w:p>
    <w:p>
      <w:pPr>
        <w:spacing w:after="0" w:line="164" w:lineRule="exact"/>
        <w:rPr>
          <w:sz w:val="20"/>
          <w:szCs w:val="20"/>
          <w:color w:val="auto"/>
        </w:rPr>
      </w:pPr>
    </w:p>
    <w:p>
      <w:pPr>
        <w:ind w:left="660" w:hanging="328"/>
        <w:spacing w:after="0" w:line="261"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the first annual meeting of stockholders following the effectiveness of our Charter, the Class I directors will be elected for a term of office to expire at the third annual meeting of stockholders following the effectiveness of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71" w:lineRule="exact"/>
        <w:rPr>
          <w:sz w:val="20"/>
          <w:szCs w:val="20"/>
          <w:color w:val="auto"/>
        </w:rPr>
      </w:pPr>
    </w:p>
    <w:p>
      <w:pPr>
        <w:ind w:left="660" w:hanging="328"/>
        <w:spacing w:after="0" w:line="261"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second annual meeting of stockholders following the effectiveness of our Charter, the Class II directors will be elected for a term of office to expire at the third annual meeting of stockholders following the effectiveness of our Charter;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of and after the third annual meeting of stockholders following the effectiveness of our Charter, all directors will be elected for one-year terms and will be up for election at each successive annual meeting.</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time that our board of directors is classified, a third party may be discouraged from making a tender offer or otherwise attempting to obtain control of our Company because it is more difficult and time-consuming for stockholders to replace a majority of the directors on a classified board.</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Pursuant to our Charter, our board of directors will have the power to issue preferred stock with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our Company.</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Board Vacancies to Be Filled by Remaining Directors and Not Stockholders. </w:t>
      </w:r>
      <w:r>
        <w:rPr>
          <w:rFonts w:ascii="Arial" w:cs="Arial" w:eastAsia="Arial" w:hAnsi="Arial"/>
          <w:sz w:val="18"/>
          <w:szCs w:val="18"/>
          <w:color w:val="auto"/>
        </w:rPr>
        <w:t>Our Charter will provide that any vacancies,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newly created directorships, on our board of directors will be filled by the affirmative vote of the majority of the remaining directors then in office, even if such directors constitute less than a quorum, or by a sole remaining director.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Our Bylaws will provide that special meetings of the stockholders may be called by (i) the chair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(ii) the lead independent director, if any, (iii) our board of directors pursuant to a resolution adopted by a majority of the total number of directors that we would have if all vacancies or unfilled directorships were filled, or (iv) subject to certain procedural requirements, the chair of our board of directors or the secretary of our Company at the written request of stockholders of record owning at least 25% of the voting power entitled to vote on the matter or matters entitled to vote at the meeting.</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Bylaws will not permit a special meeting to be held at the request of stockholders if (i) the business to be brought before the special meeting is not a proper subject for stockholder action under applicable law, our Charter or our Bylaws, (ii) our board of directors has called for or calls for an annual meeting to be held within 90 days after the special meeting request is delivered to the secretary of our Company and our board of directors determines that the business of the annual meeting includes an item of business that is identical or substantially similar (a “Similar Item”) to an item of business included in the special meeting request, (iii) the business conducted at the most recent annual meeting or any special meeting held within one year prior to the receipt of the special meeting request included a Similar Item or (iv) the special meeting request is delivered between 61 and 365 days after the earliest date of signature on a different request for a special meeting relating to a Similar Item.</w:t>
      </w:r>
    </w:p>
    <w:p>
      <w:pPr>
        <w:spacing w:after="0" w:line="1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Removal of Directors by Stockholders. </w:t>
      </w:r>
      <w:r>
        <w:rPr>
          <w:rFonts w:ascii="Arial" w:cs="Arial" w:eastAsia="Arial" w:hAnsi="Arial"/>
          <w:sz w:val="18"/>
          <w:szCs w:val="18"/>
          <w:color w:val="auto"/>
        </w:rPr>
        <w:t>Our Charter and our Bylaws will provide that directors may be removed by stockholders (i)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no longer classified, only for cause by the affirmative vote of the holders of a majority of the voting power of the outstanding capital stock entitled to vote, and (ii) from and after the date our board of directors is no longer classified, with or without cause, by the affirmative vote of the holders of a majority of the voting power of the outstanding capital stock entitled to vote.</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Stockholder Action. </w:t>
      </w:r>
      <w:r>
        <w:rPr>
          <w:rFonts w:ascii="Arial" w:cs="Arial" w:eastAsia="Arial" w:hAnsi="Arial"/>
          <w:sz w:val="18"/>
          <w:szCs w:val="18"/>
          <w:color w:val="auto"/>
        </w:rPr>
        <w:t>Our Charter will provide that our stockholders may not take action by written consent for any matter and will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able to take action at a duly called annual or special meeting of stockholders,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Advance Notice of Director Nominations and Stockholder Proposals. </w:t>
      </w:r>
      <w:r>
        <w:rPr>
          <w:rFonts w:ascii="Arial" w:cs="Arial" w:eastAsia="Arial" w:hAnsi="Arial"/>
          <w:sz w:val="18"/>
          <w:szCs w:val="18"/>
          <w:color w:val="auto"/>
        </w:rPr>
        <w:t>Our Bylaws will contain advance notice procedures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to make nominations of candidates for election as directors or to bring other business before annual or special meetings of stockholders, as the case may be, and will also specify certain requirements regarding the form, content and timing of such notice. These provisions might preclude our stockholders from making nominations for directors or bringing other business before our annual or special meetings of stockholders, as the case may be, if the specified requirements are not satisfied.</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Amendments to Our Charter and Our Bylaws. </w:t>
      </w:r>
      <w:r>
        <w:rPr>
          <w:rFonts w:ascii="Arial" w:cs="Arial" w:eastAsia="Arial" w:hAnsi="Arial"/>
          <w:sz w:val="18"/>
          <w:szCs w:val="18"/>
          <w:color w:val="auto"/>
        </w:rPr>
        <w:t>Under the DGCL, provisions of our Charter may not be adopted, altered, amended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repealed by stockholder action alone. Any such adoption, alteration, amendment or repeal to any provision of our Charter requires a board resolution approved by the majority of the outstanding capital stock entitled to vote. In addition, until the Final Conversion Date, an adoption, alteration, amendment or repeal of any provision of the Charter that affects the voting, conversion or other rights, powers, preferences, privileges or restrictions of the Class B common stock will require the approval of at least 80% of the outstanding shares of Class B common stock, voting as a separate class.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will provide that our stockholders may adopt, amend, alter or repeal any provision of our Bylaws upon the affirmative vote of the holders of a majority of the voting power of the outstanding capital stock entitled to vote. Subject to the right of stockholders as described in the immediately preceding sentence, our board of directors may also adopt, amend, alter or repeal any provision of our Bylaws.</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Delaware Anti-Takeover Statute. </w:t>
      </w:r>
      <w:r>
        <w:rPr>
          <w:rFonts w:ascii="Arial" w:cs="Arial" w:eastAsia="Arial" w:hAnsi="Arial"/>
          <w:sz w:val="18"/>
          <w:szCs w:val="18"/>
          <w:color w:val="auto"/>
        </w:rPr>
        <w:t>We will be subject to the provisions of Section 203 of the DGCL. In general, Section 203 prohibits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Delaware corporation from engaging in a “business combination” with an “interested stockholder” for a period of three years after the date of the transaction in which the person became an interested stockholder, unless:</w:t>
      </w:r>
    </w:p>
    <w:p>
      <w:pPr>
        <w:spacing w:after="0" w:line="166" w:lineRule="exact"/>
        <w:rPr>
          <w:sz w:val="20"/>
          <w:szCs w:val="20"/>
          <w:color w:val="auto"/>
        </w:rPr>
      </w:pPr>
    </w:p>
    <w:p>
      <w:pPr>
        <w:jc w:val="both"/>
        <w:ind w:left="660" w:hanging="328"/>
        <w:spacing w:after="0" w:line="256"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and by the affirmative vote of two-thirds of the outstanding voting stock which is not owned by the interested stockholder.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No Cumulative Voting. </w:t>
      </w:r>
      <w:r>
        <w:rPr>
          <w:rFonts w:ascii="Arial" w:cs="Arial" w:eastAsia="Arial" w:hAnsi="Arial"/>
          <w:sz w:val="18"/>
          <w:szCs w:val="18"/>
          <w:color w:val="auto"/>
        </w:rPr>
        <w:t>Our Charter will prohibit cumulative voting in the election of directors.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Exclusive Forum. </w:t>
      </w:r>
      <w:r>
        <w:rPr>
          <w:rFonts w:ascii="Arial" w:cs="Arial" w:eastAsia="Arial" w:hAnsi="Arial"/>
          <w:sz w:val="18"/>
          <w:szCs w:val="18"/>
          <w:color w:val="auto"/>
        </w:rPr>
        <w:t>Under our Charter, unless we consent to a different forum, (i) any derivative action or proceeding brought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may only be brought before the Court of Chancery of the State of Delaware (or, if the Court of Chancery does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In addition, any complaint asserting a cause of action arising under the Securities Act may only be brought before the federal district courts of the United States. Nothing in our Charter will preclude stockholders that assert claims under the Exchange Act from bringing such claims in any court, subject to applicable law.</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our securities shall be deemed to have notice of and consented to these exclusive forum provisions.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our Charter to be inapplicable or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Limitations on Liability and Indemnification of Officers and Directors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Charter and our Bylaws will include provisions that require us to indemnify, to the fullest extent allowable under the laws of the State of Delaware, any person who is or was a director or officer of our Company or serving at our request in any capacity at another corporation, partnership, joint venture, trust, employee benefit plan or other enterprise, as the case may be. Our Charter and our Bylaws will also provide that we must indemnify and advance reasonable expenses to such persons, subject to our receipt of an undertaking from the indemnified party to repay all amounts advanced if it is determined ultimately that the indemnified party is not entitled to be indemnified. We will also be expressly authorized to carry directors’ and officers’ insurance to protect us and our directors and officers for some liabilities.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limitation of liability and indemnification provisions in our Charter and our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these provisions do not limit or eliminate our rights, or those of any stockholder, to seek non-monetary relief such as an injunction or rescission if a director breaches his or her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Transfer Agent and Registrar</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transfer agent and registrar for the Class A common stock will be American Stock Transfer &amp; Trust Company, LLC. The transfer agent’s address is 6201 15th Avenue, Brooklyn, NY 11219.</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Listing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the Nasdaq under the symbol “HOOD”.</w:t>
      </w:r>
    </w:p>
    <w:p>
      <w:pPr>
        <w:spacing w:after="0" w:line="18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is more than just a name. It is a symbol of our inherent belief that participation is power. Community is part of everything we do at Robinhood. It starts with the community of customers we serve and it is enriched by the community of people who build our company.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mission to democratize finance for all is felt deep within our culture and driven by Robinhoodies, which is how employees refer to one another. Today, six years into our journey, our community is more important than ever. Our evolution as a business and a culture has stayed true to building a safe, diverse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welcoming place for all—employees, customers, those thinking about investing—anyone who wants to make a bold step forward.</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employee resource groups like Rainbowhood, Latinhood, Asianhood, Sisterhood, Parenthood, and of course, Veterans and Black Excellence—they are the Robinhood communities that drive the soul of everything we do. Whether we are producing our Under the Hood podcast or Under the Hood blog or launching a new campaign, Robinhoodies pave the way.</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Many of us benefit from the support of the communities that welcome us as we are. And if there is anything we know for certain, it is that we cannot be the company we are today without the people who helped make us Robinhood and the generation of new investors that embraced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SHARES ELIGIBLE FOR FUTURE SALE</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this offering, there was no public market for our Class A common stock. Future sales of substantial amounts of Class A common stock in the public market, or the perception that such sales may occur, could adversely affect the market price of the Class A common stock. Although we have applied to list our Class A common stock on the Nasdaq, we cannot assure you that there will be an active public market for the Class A common stock.</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based on the number of shares of our common stock outstanding as of March 31, 2021, we will</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have outstanding an aggregate of shares of Class A common stock, shares of Class B common stock and no shares of Class C common stock, assuming no exercise of the underwriters’ option to purchase additional shares of Class A common stock and after giving effect to (i) the Preferred Share Conversion, (ii) the Convertible Note Conversion, (iii) the IPO-Vesting Time-Based RSU Settlement, (iv) the IPO-Vesting Market-Based RSU Settlement, (v) the filing and effectiveness of our Charter in Delaware, which will occur immediately prior to the completion of this offering and will effect the Reclassification, and (vi) the Class B Exchange. Of these shares, all of the shares of Class A common stock sold in this offering by us or the selling stockholders, plus any shares sold by us upon exercise, if any, of the underwriters’ option to purchase additional shares of Class A common stock, will be freely tradable in the public market without restriction or further registration under the Securities Act, unless these shares are purchased by one of our “affiliates,” as that term is defined in Rule 144 under the Securities Act (“Rule 144”).</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remaining outstanding shares of Class A common stock (including any shares issuable upon conversion of our Class B common stock) will be, and, unless covered by a registration statement on Form S-8 or otherwise registered under the Securities Act, shares of Class A common stock underlying outstanding RSUs or subject to outstanding stock options will be on issuance, deemed to be “restricted securities” as defined in Rule 144. Restricted securities may be sold in the public market only if they are registered or if they qualify for an exemption from registration under Rule 144 or Rule 701 under the Securities Act (“Rule 701”), which rules are summarized below. Restricted securities may also be sold outside of the United States to non-U.S. persons in accordance with Rule 904 of Regulation S under the Securities Act. As a result of the lock-up and market standoff agreements described below, and subject to such agreements and the provisions of Rules 144 and 701 under the Securities Act (including, with respect to shares held by affiliates, Rule 144 volume limitations), these restricted securities will be available for sale in the public market as follows (assuming no exercise of outstanding stock options or settlement of outstanding RSUs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8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Earliest Date Available for Sale in Public Market</w:t>
      </w:r>
      <w:r>
        <w:rPr>
          <w:sz w:val="20"/>
          <w:szCs w:val="20"/>
          <w:color w:val="auto"/>
        </w:rPr>
        <w:tab/>
      </w:r>
      <w:r>
        <w:rPr>
          <w:rFonts w:ascii="Arial" w:cs="Arial" w:eastAsia="Arial" w:hAnsi="Arial"/>
          <w:sz w:val="18"/>
          <w:szCs w:val="18"/>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date of this prospectus.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Up to shares of Class A common stock, representing 50% of the shares of Class A common stock to be issued upon conversion of the Tranche I convertible notes in connection with this offering pursuant to the Tranche I Note Conversion. However, because the Tranche I convertible notes were issued less than one year prior to the date of this prospectus, such shares will generally not be eligible for sale in the public market until such sales have been registered under the Securities Act, including under the Form S-1 resale registration statement that we have agreed to file promptly (and in any event within 30 days) after the registration statement of which this prospectus forms a part is declared effective in respect of such shares as described under “Description of Capital Stock—Registration Rights —S-1 Demand Registration Rights,” or until the expiration of the applicable holding period under Rule 144 (as described below), if earlier.</w:t>
      </w:r>
    </w:p>
    <w:p>
      <w:pPr>
        <w:spacing w:after="0" w:line="43"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32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The first trading day on which our Class A common stock is traded on Up to</w:t>
            </w:r>
          </w:p>
        </w:tc>
        <w:tc>
          <w:tcPr>
            <w:tcW w:w="4920" w:type="dxa"/>
            <w:vAlign w:val="bottom"/>
            <w:tcBorders>
              <w:top w:val="single" w:sz="8" w:color="auto"/>
            </w:tcBorders>
          </w:tcPr>
          <w:p>
            <w:pPr>
              <w:ind w:left="260"/>
              <w:spacing w:after="0" w:line="201" w:lineRule="exact"/>
              <w:rPr>
                <w:sz w:val="20"/>
                <w:szCs w:val="20"/>
                <w:color w:val="auto"/>
              </w:rPr>
            </w:pPr>
            <w:r>
              <w:rPr>
                <w:rFonts w:ascii="Arial" w:cs="Arial" w:eastAsia="Arial" w:hAnsi="Arial"/>
                <w:sz w:val="18"/>
                <w:szCs w:val="18"/>
                <w:color w:val="auto"/>
              </w:rPr>
              <w:t>shares of Class A common stock, representing 15% of the</w:t>
            </w:r>
          </w:p>
        </w:tc>
      </w:tr>
      <w:tr>
        <w:trPr>
          <w:trHeight w:val="176"/>
        </w:trPr>
        <w:tc>
          <w:tcPr>
            <w:tcW w:w="4740" w:type="dxa"/>
            <w:vAlign w:val="bottom"/>
          </w:tcPr>
          <w:p>
            <w:pPr>
              <w:ind w:left="20"/>
              <w:spacing w:after="0" w:line="176" w:lineRule="exact"/>
              <w:rPr>
                <w:sz w:val="20"/>
                <w:szCs w:val="20"/>
                <w:color w:val="auto"/>
              </w:rPr>
            </w:pPr>
            <w:r>
              <w:rPr>
                <w:rFonts w:ascii="Arial" w:cs="Arial" w:eastAsia="Arial" w:hAnsi="Arial"/>
                <w:sz w:val="18"/>
                <w:szCs w:val="18"/>
                <w:color w:val="auto"/>
              </w:rPr>
              <w:t>Nasdaq.</w:t>
            </w:r>
          </w:p>
        </w:tc>
        <w:tc>
          <w:tcPr>
            <w:tcW w:w="650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shares of our outstanding Class A common stock and securities</w:t>
            </w:r>
          </w:p>
        </w:tc>
      </w:tr>
      <w:tr>
        <w:trPr>
          <w:trHeight w:val="175"/>
        </w:trPr>
        <w:tc>
          <w:tcPr>
            <w:tcW w:w="4740" w:type="dxa"/>
            <w:vAlign w:val="bottom"/>
          </w:tcPr>
          <w:p>
            <w:pPr>
              <w:spacing w:after="0"/>
              <w:rPr>
                <w:sz w:val="15"/>
                <w:szCs w:val="15"/>
                <w:color w:val="auto"/>
              </w:rPr>
            </w:pPr>
          </w:p>
        </w:tc>
        <w:tc>
          <w:tcPr>
            <w:tcW w:w="650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directly or indirectly convertible into or exchangeable or exercisable</w:t>
            </w:r>
          </w:p>
        </w:tc>
      </w:tr>
      <w:tr>
        <w:trPr>
          <w:trHeight w:val="176"/>
        </w:trPr>
        <w:tc>
          <w:tcPr>
            <w:tcW w:w="4740" w:type="dxa"/>
            <w:vAlign w:val="bottom"/>
          </w:tcPr>
          <w:p>
            <w:pPr>
              <w:spacing w:after="0"/>
              <w:rPr>
                <w:sz w:val="15"/>
                <w:szCs w:val="15"/>
                <w:color w:val="auto"/>
              </w:rPr>
            </w:pPr>
          </w:p>
        </w:tc>
        <w:tc>
          <w:tcPr>
            <w:tcW w:w="650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for our Class A common stock held, as of the date of this prospectus,</w:t>
            </w:r>
          </w:p>
        </w:tc>
      </w:tr>
      <w:tr>
        <w:trPr>
          <w:trHeight w:val="176"/>
        </w:trPr>
        <w:tc>
          <w:tcPr>
            <w:tcW w:w="4740" w:type="dxa"/>
            <w:vAlign w:val="bottom"/>
          </w:tcPr>
          <w:p>
            <w:pPr>
              <w:spacing w:after="0"/>
              <w:rPr>
                <w:sz w:val="15"/>
                <w:szCs w:val="15"/>
                <w:color w:val="auto"/>
              </w:rPr>
            </w:pPr>
          </w:p>
        </w:tc>
        <w:tc>
          <w:tcPr>
            <w:tcW w:w="650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by our General Employees and Directors (as defined below), , with</w:t>
            </w:r>
          </w:p>
        </w:tc>
      </w:tr>
      <w:tr>
        <w:trPr>
          <w:trHeight w:val="175"/>
        </w:trPr>
        <w:tc>
          <w:tcPr>
            <w:tcW w:w="4740" w:type="dxa"/>
            <w:vAlign w:val="bottom"/>
          </w:tcPr>
          <w:p>
            <w:pPr>
              <w:spacing w:after="0"/>
              <w:rPr>
                <w:sz w:val="15"/>
                <w:szCs w:val="15"/>
                <w:color w:val="auto"/>
              </w:rPr>
            </w:pPr>
          </w:p>
        </w:tc>
        <w:tc>
          <w:tcPr>
            <w:tcW w:w="6500" w:type="dxa"/>
            <w:vAlign w:val="bottom"/>
            <w:gridSpan w:val="2"/>
          </w:tcPr>
          <w:p>
            <w:pPr>
              <w:ind w:left="900"/>
              <w:spacing w:after="0" w:line="176" w:lineRule="exact"/>
              <w:rPr>
                <w:sz w:val="20"/>
                <w:szCs w:val="20"/>
                <w:color w:val="auto"/>
              </w:rPr>
            </w:pPr>
            <w:r>
              <w:rPr>
                <w:rFonts w:ascii="Arial" w:cs="Arial" w:eastAsia="Arial" w:hAnsi="Arial"/>
                <w:sz w:val="18"/>
                <w:szCs w:val="18"/>
                <w:color w:val="auto"/>
              </w:rPr>
              <w:t>such 15% calculated after excluding any shares withheld for taxes</w:t>
            </w:r>
          </w:p>
        </w:tc>
      </w:tr>
      <w:tr>
        <w:trPr>
          <w:trHeight w:val="217"/>
        </w:trPr>
        <w:tc>
          <w:tcPr>
            <w:tcW w:w="474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associated with IPO-Vesting Time-Based RSUs.</w:t>
            </w:r>
          </w:p>
        </w:tc>
      </w:tr>
      <w:tr>
        <w:trPr>
          <w:trHeight w:val="54"/>
        </w:trPr>
        <w:tc>
          <w:tcPr>
            <w:tcW w:w="47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r>
      <w:tr>
        <w:trPr>
          <w:trHeight w:val="182"/>
        </w:trPr>
        <w:tc>
          <w:tcPr>
            <w:tcW w:w="4740" w:type="dxa"/>
            <w:vAlign w:val="bottom"/>
          </w:tcPr>
          <w:p>
            <w:pPr>
              <w:ind w:left="20"/>
              <w:spacing w:after="0" w:line="182" w:lineRule="exact"/>
              <w:rPr>
                <w:sz w:val="20"/>
                <w:szCs w:val="20"/>
                <w:color w:val="auto"/>
              </w:rPr>
            </w:pPr>
            <w:r>
              <w:rPr>
                <w:rFonts w:ascii="Arial" w:cs="Arial" w:eastAsia="Arial" w:hAnsi="Arial"/>
                <w:sz w:val="18"/>
                <w:szCs w:val="18"/>
                <w:color w:val="auto"/>
              </w:rPr>
              <w:t>The Tranche I Release Date (as defined below).</w:t>
            </w:r>
          </w:p>
        </w:tc>
        <w:tc>
          <w:tcPr>
            <w:tcW w:w="1580" w:type="dxa"/>
            <w:vAlign w:val="bottom"/>
          </w:tcPr>
          <w:p>
            <w:pPr>
              <w:ind w:left="900"/>
              <w:spacing w:after="0" w:line="182" w:lineRule="exact"/>
              <w:rPr>
                <w:sz w:val="20"/>
                <w:szCs w:val="20"/>
                <w:color w:val="auto"/>
              </w:rPr>
            </w:pPr>
            <w:r>
              <w:rPr>
                <w:rFonts w:ascii="Arial" w:cs="Arial" w:eastAsia="Arial" w:hAnsi="Arial"/>
                <w:sz w:val="18"/>
                <w:szCs w:val="18"/>
                <w:color w:val="auto"/>
              </w:rPr>
              <w:t>Up to</w:t>
            </w:r>
          </w:p>
        </w:tc>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shares of Class A common stock, representing the</w:t>
            </w:r>
          </w:p>
        </w:tc>
      </w:tr>
    </w:tbl>
    <w:p>
      <w:pPr>
        <w:ind w:left="5640"/>
        <w:spacing w:after="0" w:line="203" w:lineRule="auto"/>
        <w:rPr>
          <w:sz w:val="20"/>
          <w:szCs w:val="20"/>
          <w:color w:val="auto"/>
        </w:rPr>
      </w:pPr>
      <w:r>
        <w:rPr>
          <w:rFonts w:ascii="Arial" w:cs="Arial" w:eastAsia="Arial" w:hAnsi="Arial"/>
          <w:sz w:val="18"/>
          <w:szCs w:val="18"/>
          <w:color w:val="auto"/>
        </w:rPr>
        <w:t>remaining 50% of the shares of Class A common stock to be issued</w:t>
      </w:r>
    </w:p>
    <w:p>
      <w:pPr>
        <w:ind w:left="5640"/>
        <w:spacing w:after="0" w:line="203" w:lineRule="auto"/>
        <w:rPr>
          <w:sz w:val="20"/>
          <w:szCs w:val="20"/>
          <w:color w:val="auto"/>
        </w:rPr>
      </w:pPr>
      <w:r>
        <w:rPr>
          <w:rFonts w:ascii="Arial" w:cs="Arial" w:eastAsia="Arial" w:hAnsi="Arial"/>
          <w:sz w:val="18"/>
          <w:szCs w:val="18"/>
          <w:color w:val="auto"/>
        </w:rPr>
        <w:t>upon conversion of the Tranche I convertible notes in connection with</w:t>
      </w:r>
    </w:p>
    <w:p>
      <w:pPr>
        <w:ind w:left="5640"/>
        <w:spacing w:after="0" w:line="204" w:lineRule="auto"/>
        <w:rPr>
          <w:sz w:val="20"/>
          <w:szCs w:val="20"/>
          <w:color w:val="auto"/>
        </w:rPr>
      </w:pPr>
      <w:r>
        <w:rPr>
          <w:rFonts w:ascii="Arial" w:cs="Arial" w:eastAsia="Arial" w:hAnsi="Arial"/>
          <w:sz w:val="18"/>
          <w:szCs w:val="18"/>
          <w:color w:val="auto"/>
        </w:rPr>
        <w:t>this offering pursuant to the Tranche I Note Conversion, which shares</w:t>
      </w:r>
    </w:p>
    <w:p>
      <w:pPr>
        <w:ind w:left="5640"/>
        <w:spacing w:after="0" w:line="203" w:lineRule="auto"/>
        <w:rPr>
          <w:sz w:val="20"/>
          <w:szCs w:val="20"/>
          <w:color w:val="auto"/>
        </w:rPr>
      </w:pPr>
      <w:r>
        <w:rPr>
          <w:rFonts w:ascii="Arial" w:cs="Arial" w:eastAsia="Arial" w:hAnsi="Arial"/>
          <w:sz w:val="18"/>
          <w:szCs w:val="18"/>
          <w:color w:val="auto"/>
        </w:rPr>
        <w:t>are subject to lock-up agreements during the period beginning on the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of this prospectus and ending on the Tranche I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91st day after the date of this prospectus.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80"/>
        <w:spacing w:after="0" w:line="210" w:lineRule="auto"/>
        <w:rPr>
          <w:sz w:val="20"/>
          <w:szCs w:val="20"/>
          <w:color w:val="auto"/>
        </w:rPr>
      </w:pPr>
      <w:r>
        <w:rPr>
          <w:rFonts w:ascii="Arial" w:cs="Arial" w:eastAsia="Arial" w:hAnsi="Arial"/>
          <w:sz w:val="18"/>
          <w:szCs w:val="18"/>
          <w:color w:val="auto"/>
        </w:rPr>
        <w:t>Up to shares of Class A common stock, representing an additional 15% of the shares of our outstanding Class A common stock and securities directly or indirectly convertible into or exchangeable or exercisable for our Class A common stock held, as of the date of this prospectus, by our General Employees and Directors, , with such 15% calculated after excluding any shares withheld for taxes associated with IPO-Vesting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35560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257</w:t>
      </w:r>
    </w:p>
    <w:p>
      <w:pPr>
        <w:sectPr>
          <w:pgSz w:w="11900" w:h="16838" w:orient="portrait"/>
          <w:cols w:equalWidth="0" w:num="1">
            <w:col w:w="11240"/>
          </w:cols>
          <w:pgMar w:left="320" w:top="1440" w:right="339" w:bottom="1440" w:gutter="0" w:footer="0" w:header="0"/>
          <w:type w:val="continuous"/>
        </w:sectPr>
      </w:pPr>
    </w:p>
    <w:bookmarkStart w:id="280" w:name="page281"/>
    <w:bookmarkEnd w:id="28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Earliest Date Available for Sale in Public Market</w:t>
            </w:r>
          </w:p>
        </w:tc>
        <w:tc>
          <w:tcPr>
            <w:tcW w:w="4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Number of Shares of Class A Common Stock</w:t>
            </w:r>
          </w:p>
        </w:tc>
        <w:tc>
          <w:tcPr>
            <w:tcW w:w="1340" w:type="dxa"/>
            <w:vAlign w:val="bottom"/>
            <w:tcBorders>
              <w:bottom w:val="single" w:sz="8" w:color="auto"/>
            </w:tcBorders>
          </w:tcPr>
          <w:p>
            <w:pPr>
              <w:spacing w:after="0"/>
              <w:rPr>
                <w:sz w:val="20"/>
                <w:szCs w:val="20"/>
                <w:color w:val="auto"/>
              </w:rPr>
            </w:pPr>
          </w:p>
        </w:tc>
      </w:tr>
      <w:tr>
        <w:trPr>
          <w:trHeight w:val="182"/>
        </w:trPr>
        <w:tc>
          <w:tcPr>
            <w:tcW w:w="5580" w:type="dxa"/>
            <w:vAlign w:val="bottom"/>
          </w:tcPr>
          <w:p>
            <w:pPr>
              <w:ind w:left="20"/>
              <w:spacing w:after="0" w:line="182" w:lineRule="exact"/>
              <w:rPr>
                <w:sz w:val="20"/>
                <w:szCs w:val="20"/>
                <w:color w:val="auto"/>
              </w:rPr>
            </w:pPr>
            <w:r>
              <w:rPr>
                <w:rFonts w:ascii="Arial" w:cs="Arial" w:eastAsia="Arial" w:hAnsi="Arial"/>
                <w:sz w:val="18"/>
                <w:szCs w:val="18"/>
                <w:color w:val="auto"/>
              </w:rPr>
              <w:t>The First Earnings-Related Release Date (as defined below),</w:t>
            </w:r>
          </w:p>
        </w:tc>
        <w:tc>
          <w:tcPr>
            <w:tcW w:w="5660" w:type="dxa"/>
            <w:vAlign w:val="bottom"/>
            <w:gridSpan w:val="4"/>
          </w:tcPr>
          <w:p>
            <w:pPr>
              <w:ind w:left="60"/>
              <w:spacing w:after="0" w:line="182" w:lineRule="exact"/>
              <w:rPr>
                <w:sz w:val="20"/>
                <w:szCs w:val="20"/>
                <w:color w:val="auto"/>
              </w:rPr>
            </w:pPr>
            <w:r>
              <w:rPr>
                <w:rFonts w:ascii="Arial" w:cs="Arial" w:eastAsia="Arial" w:hAnsi="Arial"/>
                <w:sz w:val="18"/>
                <w:szCs w:val="18"/>
                <w:color w:val="auto"/>
              </w:rPr>
              <w:t>If such reported closing price is at least 33%, but less than 50%,</w:t>
            </w:r>
          </w:p>
        </w:tc>
      </w:tr>
      <w:tr>
        <w:trPr>
          <w:trHeight w:val="175"/>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provided that the reported closing price of our Class A common stock</w:t>
            </w: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greater than the initial public offering price for the requisite days, up</w:t>
            </w:r>
          </w:p>
        </w:tc>
      </w:tr>
      <w:tr>
        <w:trPr>
          <w:trHeight w:val="176"/>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on Nasdaq is at least 33% greater than the initial public offering price</w:t>
            </w:r>
          </w:p>
        </w:tc>
        <w:tc>
          <w:tcPr>
            <w:tcW w:w="600" w:type="dxa"/>
            <w:vAlign w:val="bottom"/>
          </w:tcPr>
          <w:p>
            <w:pPr>
              <w:ind w:left="60"/>
              <w:spacing w:after="0" w:line="176" w:lineRule="exact"/>
              <w:rPr>
                <w:sz w:val="20"/>
                <w:szCs w:val="20"/>
                <w:color w:val="auto"/>
              </w:rPr>
            </w:pPr>
            <w:r>
              <w:rPr>
                <w:rFonts w:ascii="Arial" w:cs="Arial" w:eastAsia="Arial" w:hAnsi="Arial"/>
                <w:sz w:val="18"/>
                <w:szCs w:val="18"/>
                <w:color w:val="auto"/>
              </w:rPr>
              <w:t>to</w:t>
            </w:r>
          </w:p>
        </w:tc>
        <w:tc>
          <w:tcPr>
            <w:tcW w:w="506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shares of Class A common stock, representing 10% of the</w:t>
            </w:r>
          </w:p>
        </w:tc>
      </w:tr>
      <w:tr>
        <w:trPr>
          <w:trHeight w:val="176"/>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per share set forth on the cover page of this prospectus both (a) on</w:t>
            </w: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shares of our outstanding Class A common stock and securities</w:t>
            </w:r>
          </w:p>
        </w:tc>
      </w:tr>
      <w:tr>
        <w:trPr>
          <w:trHeight w:val="175"/>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the Pricing Condition Measurement Date (as defined below) and (b)</w:t>
            </w: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directly or indirectly convertible into or exchangeable or exercisable</w:t>
            </w:r>
          </w:p>
        </w:tc>
      </w:tr>
      <w:tr>
        <w:trPr>
          <w:trHeight w:val="176"/>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for at least nine of the 14 consecutive trading days immediately</w:t>
            </w: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for our Class A common stock (but excluding our Tranche I</w:t>
            </w:r>
          </w:p>
        </w:tc>
      </w:tr>
      <w:tr>
        <w:trPr>
          <w:trHeight w:val="175"/>
        </w:trPr>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preceding, but excluding, the Pricing Condition Measurement Date.</w:t>
            </w: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convertible notes, Tranche II convertible notes and warrants and</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shares issued or issuable upon conversion or exercise thereof) held,</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as of the date of this prospectus, by the parties to our Investors’</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Rights Agreement (which includes the holders of our preferred stock</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outstanding immediately prior to the completion of this offering) and</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certain other non-employee holders of our common stock outstanding</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immediately prior to the completion of this offering. Alternatively, if</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such reported closing price is at least 50% greater than the initial</w:t>
            </w:r>
          </w:p>
        </w:tc>
      </w:tr>
      <w:tr>
        <w:trPr>
          <w:trHeight w:val="176"/>
        </w:trPr>
        <w:tc>
          <w:tcPr>
            <w:tcW w:w="5580" w:type="dxa"/>
            <w:vAlign w:val="bottom"/>
          </w:tcPr>
          <w:p>
            <w:pPr>
              <w:spacing w:after="0"/>
              <w:rPr>
                <w:sz w:val="15"/>
                <w:szCs w:val="15"/>
                <w:color w:val="auto"/>
              </w:rPr>
            </w:pPr>
          </w:p>
        </w:tc>
        <w:tc>
          <w:tcPr>
            <w:tcW w:w="43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public offering price for the requisite days, up to</w:t>
            </w:r>
          </w:p>
        </w:tc>
        <w:tc>
          <w:tcPr>
            <w:tcW w:w="1340" w:type="dxa"/>
            <w:vAlign w:val="bottom"/>
          </w:tcPr>
          <w:p>
            <w:pPr>
              <w:ind w:left="20"/>
              <w:spacing w:after="0" w:line="176" w:lineRule="exact"/>
              <w:rPr>
                <w:sz w:val="20"/>
                <w:szCs w:val="20"/>
                <w:color w:val="auto"/>
              </w:rPr>
            </w:pPr>
            <w:r>
              <w:rPr>
                <w:rFonts w:ascii="Arial" w:cs="Arial" w:eastAsia="Arial" w:hAnsi="Arial"/>
                <w:sz w:val="18"/>
                <w:szCs w:val="18"/>
                <w:color w:val="auto"/>
              </w:rPr>
              <w:t>shares of Class</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A common stock, representing 20% of such shares and securities</w:t>
            </w:r>
          </w:p>
        </w:tc>
      </w:tr>
      <w:tr>
        <w:trPr>
          <w:trHeight w:val="217"/>
        </w:trPr>
        <w:tc>
          <w:tcPr>
            <w:tcW w:w="5580" w:type="dxa"/>
            <w:vAlign w:val="bottom"/>
          </w:tcPr>
          <w:p>
            <w:pPr>
              <w:spacing w:after="0"/>
              <w:rPr>
                <w:sz w:val="18"/>
                <w:szCs w:val="18"/>
                <w:color w:val="auto"/>
              </w:rPr>
            </w:pPr>
          </w:p>
        </w:tc>
        <w:tc>
          <w:tcPr>
            <w:tcW w:w="4320" w:type="dxa"/>
            <w:vAlign w:val="bottom"/>
            <w:gridSpan w:val="3"/>
          </w:tcPr>
          <w:p>
            <w:pPr>
              <w:ind w:left="60"/>
              <w:spacing w:after="0"/>
              <w:rPr>
                <w:sz w:val="20"/>
                <w:szCs w:val="20"/>
                <w:color w:val="auto"/>
              </w:rPr>
            </w:pPr>
            <w:r>
              <w:rPr>
                <w:rFonts w:ascii="Arial" w:cs="Arial" w:eastAsia="Arial" w:hAnsi="Arial"/>
                <w:sz w:val="18"/>
                <w:szCs w:val="18"/>
                <w:color w:val="auto"/>
                <w:w w:val="99"/>
              </w:rPr>
              <w:t>held by such parties as of the date of this prospectus.</w:t>
            </w:r>
          </w:p>
        </w:tc>
        <w:tc>
          <w:tcPr>
            <w:tcW w:w="1340" w:type="dxa"/>
            <w:vAlign w:val="bottom"/>
          </w:tcPr>
          <w:p>
            <w:pPr>
              <w:spacing w:after="0"/>
              <w:rPr>
                <w:sz w:val="18"/>
                <w:szCs w:val="18"/>
                <w:color w:val="auto"/>
              </w:rPr>
            </w:pPr>
          </w:p>
        </w:tc>
      </w:tr>
      <w:tr>
        <w:trPr>
          <w:trHeight w:val="188"/>
        </w:trPr>
        <w:tc>
          <w:tcPr>
            <w:tcW w:w="5580" w:type="dxa"/>
            <w:vAlign w:val="bottom"/>
          </w:tcPr>
          <w:p>
            <w:pPr>
              <w:spacing w:after="0"/>
              <w:rPr>
                <w:sz w:val="16"/>
                <w:szCs w:val="16"/>
                <w:color w:val="auto"/>
              </w:rPr>
            </w:pPr>
          </w:p>
        </w:tc>
        <w:tc>
          <w:tcPr>
            <w:tcW w:w="164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In addition, up to</w:t>
            </w:r>
          </w:p>
        </w:tc>
        <w:tc>
          <w:tcPr>
            <w:tcW w:w="402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shares of Class A common stock, representing</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5% of the shares of our outstanding Class A common stock and</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securities directly or indirectly convertible into or exchangeable or</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exercisable for our Class A common stock (including our Class B</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common stock) held, as of the date of this prospectus (but after giving</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effect to the sale of Class A common stock in this offering by the</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selling stockholders), by each of our founders and our Chief Financial</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Officer, , with such 5% calculated after excluding any shares withheld</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for taxes associated with IPO-Vesting Time-Based RSUs and any</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Market-Based RSUs for which all vesting conditions will be met in</w:t>
            </w:r>
          </w:p>
        </w:tc>
      </w:tr>
      <w:tr>
        <w:trPr>
          <w:trHeight w:val="217"/>
        </w:trPr>
        <w:tc>
          <w:tcPr>
            <w:tcW w:w="5580" w:type="dxa"/>
            <w:vAlign w:val="bottom"/>
          </w:tcPr>
          <w:p>
            <w:pPr>
              <w:spacing w:after="0"/>
              <w:rPr>
                <w:sz w:val="18"/>
                <w:szCs w:val="18"/>
                <w:color w:val="auto"/>
              </w:rPr>
            </w:pPr>
          </w:p>
        </w:tc>
        <w:tc>
          <w:tcPr>
            <w:tcW w:w="4320" w:type="dxa"/>
            <w:vAlign w:val="bottom"/>
            <w:gridSpan w:val="3"/>
          </w:tcPr>
          <w:p>
            <w:pPr>
              <w:ind w:left="60"/>
              <w:spacing w:after="0"/>
              <w:rPr>
                <w:sz w:val="20"/>
                <w:szCs w:val="20"/>
                <w:color w:val="auto"/>
              </w:rPr>
            </w:pPr>
            <w:r>
              <w:rPr>
                <w:rFonts w:ascii="Arial" w:cs="Arial" w:eastAsia="Arial" w:hAnsi="Arial"/>
                <w:sz w:val="18"/>
                <w:szCs w:val="18"/>
                <w:color w:val="auto"/>
              </w:rPr>
              <w:t>connection with this offering.</w:t>
            </w:r>
          </w:p>
        </w:tc>
        <w:tc>
          <w:tcPr>
            <w:tcW w:w="1340" w:type="dxa"/>
            <w:vAlign w:val="bottom"/>
          </w:tcPr>
          <w:p>
            <w:pPr>
              <w:spacing w:after="0"/>
              <w:rPr>
                <w:sz w:val="18"/>
                <w:szCs w:val="18"/>
                <w:color w:val="auto"/>
              </w:rPr>
            </w:pPr>
          </w:p>
        </w:tc>
      </w:tr>
      <w:tr>
        <w:trPr>
          <w:trHeight w:val="54"/>
        </w:trPr>
        <w:tc>
          <w:tcPr>
            <w:tcW w:w="5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gridSpan w:val="3"/>
          </w:tcPr>
          <w:p>
            <w:pPr>
              <w:spacing w:after="0"/>
              <w:rPr>
                <w:sz w:val="4"/>
                <w:szCs w:val="4"/>
                <w:color w:val="auto"/>
              </w:rPr>
            </w:pPr>
          </w:p>
        </w:tc>
      </w:tr>
      <w:tr>
        <w:trPr>
          <w:trHeight w:val="182"/>
        </w:trPr>
        <w:tc>
          <w:tcPr>
            <w:tcW w:w="5580" w:type="dxa"/>
            <w:vAlign w:val="bottom"/>
          </w:tcPr>
          <w:p>
            <w:pPr>
              <w:ind w:left="20"/>
              <w:spacing w:after="0" w:line="182" w:lineRule="exact"/>
              <w:rPr>
                <w:sz w:val="20"/>
                <w:szCs w:val="20"/>
                <w:color w:val="auto"/>
              </w:rPr>
            </w:pPr>
            <w:r>
              <w:rPr>
                <w:rFonts w:ascii="Arial" w:cs="Arial" w:eastAsia="Arial" w:hAnsi="Arial"/>
                <w:sz w:val="18"/>
                <w:szCs w:val="18"/>
                <w:color w:val="auto"/>
              </w:rPr>
              <w:t>The Second Earnings-Related Release Date (as defined below).</w:t>
            </w:r>
          </w:p>
        </w:tc>
        <w:tc>
          <w:tcPr>
            <w:tcW w:w="600" w:type="dxa"/>
            <w:vAlign w:val="bottom"/>
          </w:tcPr>
          <w:p>
            <w:pPr>
              <w:ind w:left="60"/>
              <w:spacing w:after="0" w:line="182" w:lineRule="exact"/>
              <w:rPr>
                <w:sz w:val="20"/>
                <w:szCs w:val="20"/>
                <w:color w:val="auto"/>
              </w:rPr>
            </w:pPr>
            <w:r>
              <w:rPr>
                <w:rFonts w:ascii="Arial" w:cs="Arial" w:eastAsia="Arial" w:hAnsi="Arial"/>
                <w:sz w:val="18"/>
                <w:szCs w:val="18"/>
                <w:color w:val="auto"/>
              </w:rPr>
              <w:t>Up to</w:t>
            </w:r>
          </w:p>
        </w:tc>
        <w:tc>
          <w:tcPr>
            <w:tcW w:w="5060" w:type="dxa"/>
            <w:vAlign w:val="bottom"/>
            <w:gridSpan w:val="3"/>
          </w:tcPr>
          <w:p>
            <w:pPr>
              <w:ind w:left="400"/>
              <w:spacing w:after="0" w:line="182" w:lineRule="exact"/>
              <w:rPr>
                <w:sz w:val="20"/>
                <w:szCs w:val="20"/>
                <w:color w:val="auto"/>
              </w:rPr>
            </w:pPr>
            <w:r>
              <w:rPr>
                <w:rFonts w:ascii="Arial" w:cs="Arial" w:eastAsia="Arial" w:hAnsi="Arial"/>
                <w:sz w:val="18"/>
                <w:szCs w:val="18"/>
                <w:color w:val="auto"/>
              </w:rPr>
              <w:t>shares of Class A common stock, representing shares of</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Class A common stock subject to lock-up or market standoff</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agreements during the restricted period beginning on the date of this</w:t>
            </w:r>
          </w:p>
        </w:tc>
      </w:tr>
      <w:tr>
        <w:trPr>
          <w:trHeight w:val="175"/>
        </w:trPr>
        <w:tc>
          <w:tcPr>
            <w:tcW w:w="5580" w:type="dxa"/>
            <w:vAlign w:val="bottom"/>
          </w:tcPr>
          <w:p>
            <w:pPr>
              <w:spacing w:after="0"/>
              <w:rPr>
                <w:sz w:val="15"/>
                <w:szCs w:val="15"/>
                <w:color w:val="auto"/>
              </w:rPr>
            </w:pPr>
          </w:p>
        </w:tc>
        <w:tc>
          <w:tcPr>
            <w:tcW w:w="43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prospectus as described below (which includes</w:t>
            </w:r>
          </w:p>
        </w:tc>
        <w:tc>
          <w:tcPr>
            <w:tcW w:w="1340" w:type="dxa"/>
            <w:vAlign w:val="bottom"/>
          </w:tcPr>
          <w:p>
            <w:pPr>
              <w:spacing w:after="0" w:line="176" w:lineRule="exact"/>
              <w:rPr>
                <w:sz w:val="20"/>
                <w:szCs w:val="20"/>
                <w:color w:val="auto"/>
              </w:rPr>
            </w:pPr>
            <w:r>
              <w:rPr>
                <w:rFonts w:ascii="Arial" w:cs="Arial" w:eastAsia="Arial" w:hAnsi="Arial"/>
                <w:sz w:val="18"/>
                <w:szCs w:val="18"/>
                <w:color w:val="auto"/>
              </w:rPr>
              <w:t>shares of Class</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A common stock issuable upon conversion of Class B common stock</w:t>
            </w:r>
          </w:p>
        </w:tc>
      </w:tr>
      <w:tr>
        <w:trPr>
          <w:trHeight w:val="175"/>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held by our founders), and not subject to early release from such lock-</w:t>
            </w:r>
          </w:p>
        </w:tc>
      </w:tr>
      <w:tr>
        <w:trPr>
          <w:trHeight w:val="176"/>
        </w:trPr>
        <w:tc>
          <w:tcPr>
            <w:tcW w:w="5580" w:type="dxa"/>
            <w:vAlign w:val="bottom"/>
          </w:tcPr>
          <w:p>
            <w:pPr>
              <w:spacing w:after="0"/>
              <w:rPr>
                <w:sz w:val="15"/>
                <w:szCs w:val="15"/>
                <w:color w:val="auto"/>
              </w:rPr>
            </w:pPr>
          </w:p>
        </w:tc>
        <w:tc>
          <w:tcPr>
            <w:tcW w:w="56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up restrictions pursuant to the release provisions described above</w:t>
            </w:r>
          </w:p>
        </w:tc>
      </w:tr>
      <w:tr>
        <w:trPr>
          <w:trHeight w:val="217"/>
        </w:trPr>
        <w:tc>
          <w:tcPr>
            <w:tcW w:w="5580" w:type="dxa"/>
            <w:vAlign w:val="bottom"/>
          </w:tcPr>
          <w:p>
            <w:pPr>
              <w:spacing w:after="0"/>
              <w:rPr>
                <w:sz w:val="18"/>
                <w:szCs w:val="18"/>
                <w:color w:val="auto"/>
              </w:rPr>
            </w:pPr>
          </w:p>
        </w:tc>
        <w:tc>
          <w:tcPr>
            <w:tcW w:w="5660" w:type="dxa"/>
            <w:vAlign w:val="bottom"/>
            <w:gridSpan w:val="4"/>
          </w:tcPr>
          <w:p>
            <w:pPr>
              <w:ind w:left="60"/>
              <w:spacing w:after="0"/>
              <w:rPr>
                <w:sz w:val="20"/>
                <w:szCs w:val="20"/>
                <w:color w:val="auto"/>
              </w:rPr>
            </w:pPr>
            <w:r>
              <w:rPr>
                <w:rFonts w:ascii="Arial" w:cs="Arial" w:eastAsia="Arial" w:hAnsi="Arial"/>
                <w:sz w:val="18"/>
                <w:szCs w:val="18"/>
                <w:color w:val="auto"/>
              </w:rPr>
              <w:t>and under “—Lock-up and Market Standoff Agreements” below.</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auto"/>
        </w:rPr>
        <w:t>Rule 144</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provided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least six months, including the holding period of any prior owner other than one of our “affiliates,” is entitled to sell those shares in the public market without complying with the manner of sale, volume limitation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(including before we have been subject to the public company reporting requirements of the Exchange Act for at least 90 days).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63" w:lineRule="exact"/>
        <w:rPr>
          <w:sz w:val="20"/>
          <w:szCs w:val="20"/>
          <w:color w:val="auto"/>
        </w:rPr>
      </w:pPr>
    </w:p>
    <w:p>
      <w:pPr>
        <w:ind w:left="660" w:hanging="328"/>
        <w:spacing w:after="0" w:line="261"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shares immediately after the completion of this offering;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such sale.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Rule 701</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Class A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Lock-up and Market Standoff Agreements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and all of our directors, executive officers and certain other record holders that together represent approximately % of our outstanding Class A common stock and securities directly or indirectly convertible into or exchangeable or exercisable for our Class A common stock (including our Class B common stock) are subject to lock-up agreements with the underwriters or market standoff agreements with us under our Investors’ Rights Agreement, the Tranche II Purchase Agreement, our warrants or certain stockholder agreements, as applicable, for the benefit of the underwriters agreeing that, without the prior written consent of Goldman Sachs &amp; Co. LLC and J.P. Morgan Securities LLC on behalf of the underwriters, we and they will not, in accordance with the terms of such agreements, during the period beginning on the date of this prospectus and ending on the earlier of (i) the second trading day after we publicly release earnings for the</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fiscal quarter ended , 2021 (which for this purpose does not include “flash” numbers or preliminary, partial earnings), which will be the second quarter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most recent period for which financial statements are included in this prospectus (or the day after the date of this prospectus, if later), and (ii) the 181st day after the date of this prospectus (such period, the “restricted period,” and such earlier date, the “Second Earnings-Related Release Date”):</w:t>
      </w:r>
    </w:p>
    <w:p>
      <w:pPr>
        <w:spacing w:after="0" w:line="175" w:lineRule="exact"/>
        <w:rPr>
          <w:sz w:val="20"/>
          <w:szCs w:val="20"/>
          <w:color w:val="auto"/>
        </w:rPr>
      </w:pPr>
    </w:p>
    <w:p>
      <w:pPr>
        <w:jc w:val="both"/>
        <w:ind w:left="660" w:hanging="328"/>
        <w:spacing w:after="0" w:line="256"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161"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66" w:lineRule="exact"/>
        <w:rPr>
          <w:rFonts w:ascii="Arial" w:cs="Arial" w:eastAsia="Arial" w:hAnsi="Arial"/>
          <w:sz w:val="18"/>
          <w:szCs w:val="18"/>
          <w:color w:val="auto"/>
        </w:rPr>
      </w:pPr>
    </w:p>
    <w:p>
      <w:pPr>
        <w:ind w:left="640" w:hanging="308"/>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publicly disclose the intention to take any of the actions restricted by clause (1) or (2) above.</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above, an additional approximately % of our outstanding Class A common stock and securities directly or indirectly convertible into or exchangeable or exercisable for our Class A common stock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 As a result of the foregoing, an aggregate of approximately % of our outstanding Class A common stock and securities directly or indirectly convertible into or exchangeable or exercisable for our Class A common stock is subject to a lock-up agreement or market standoff provisions during the restricted period.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53" w:lineRule="exact"/>
        <w:rPr>
          <w:sz w:val="20"/>
          <w:szCs w:val="20"/>
          <w:color w:val="auto"/>
        </w:rPr>
      </w:pPr>
    </w:p>
    <w:p>
      <w:pPr>
        <w:jc w:val="both"/>
        <w:ind w:left="660" w:hanging="328"/>
        <w:spacing w:after="0" w:line="226"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convertible into or exchangeable or exercisable for our Class A common stock (including our Class B common stock and the Market-Based RSUs) held, as of the date of this prospectus (but after giving effect to the sale of Class A common stock in this</w:t>
      </w:r>
    </w:p>
    <w:p>
      <w:pPr>
        <w:jc w:val="both"/>
        <w:ind w:left="660"/>
        <w:spacing w:after="0" w:line="219" w:lineRule="auto"/>
        <w:rPr>
          <w:sz w:val="20"/>
          <w:szCs w:val="20"/>
          <w:color w:val="auto"/>
        </w:rPr>
      </w:pPr>
      <w:r>
        <w:rPr>
          <w:rFonts w:ascii="Arial" w:cs="Arial" w:eastAsia="Arial" w:hAnsi="Arial"/>
          <w:sz w:val="18"/>
          <w:szCs w:val="18"/>
          <w:color w:val="auto"/>
        </w:rPr>
        <w:t>offering by the selling stockholders), by each of our founders and our Chief Financial Officer, with such 5% calculated after excluding any shares withheld for taxes associated with IPO-Vesting Time-Based RSUs and IPO-Vesting Market-Based RSUs, may be sold on</w:t>
      </w:r>
    </w:p>
    <w:p>
      <w:pPr>
        <w:jc w:val="both"/>
        <w:ind w:left="660"/>
        <w:spacing w:after="0"/>
        <w:rPr>
          <w:sz w:val="20"/>
          <w:szCs w:val="20"/>
          <w:color w:val="auto"/>
        </w:rPr>
      </w:pPr>
      <w:r>
        <w:rPr>
          <w:rFonts w:ascii="Arial" w:cs="Arial" w:eastAsia="Arial" w:hAnsi="Arial"/>
          <w:sz w:val="18"/>
          <w:szCs w:val="18"/>
          <w:color w:val="auto"/>
        </w:rPr>
        <w:t xml:space="preserve">or after the later of (i) the second trading after we publicly release earnings for the fiscal quarter ended ,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53"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left="1300" w:hanging="320"/>
        <w:spacing w:after="0" w:line="251" w:lineRule="auto"/>
        <w:tabs>
          <w:tab w:leader="none" w:pos="131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0" w:lineRule="exact"/>
        <w:rPr>
          <w:rFonts w:ascii="Arial" w:cs="Arial" w:eastAsia="Arial" w:hAnsi="Arial"/>
          <w:sz w:val="18"/>
          <w:szCs w:val="18"/>
          <w:color w:val="auto"/>
        </w:rPr>
      </w:pPr>
    </w:p>
    <w:p>
      <w:pPr>
        <w:jc w:val="both"/>
        <w:ind w:left="1300" w:hanging="320"/>
        <w:spacing w:after="0" w:line="254" w:lineRule="auto"/>
        <w:tabs>
          <w:tab w:leader="none" w:pos="129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14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67"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 As a result of the foregoing, in addition to the shares subject to lock-ups or market standoff provisions during the restricted period noted above, approximately % of our outstanding Class A common stock and securities directly or indirectly convertible into or exchangeable or exercisable for our Class A common stock is subject to lock-up agreements during the period beginning on the date of this prospectus and ending on the Tranche I Release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lock-up agreements and market standoff agreements described above are subject to a number of exceptions discussed in “Underwriting (Conflicts of Interest)”. Goldman Sachs &amp; Co. LLC and J.P. Morgan Securities LLC, in their sole discretion as representatives of the underwriters, may release the Class A common stock and other securities subject to the lock-up and market standoff agreements described above in whole or in part at any time. See “Underwriting (Conflicts of Interest)” for more information about these exceptions and a further description of these agreements.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waivers in which the recipient of such shares agreed to be bound by the same lock-up agreement, waivers for hardship and waivers in connection with a follow-on offering of our Class A common stock.</w:t>
      </w:r>
    </w:p>
    <w:p>
      <w:pPr>
        <w:spacing w:after="0" w:line="16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Upon the expiration of the restricted period, substantially all of the securities subject to such transfer restrictions will become eligible for sale, subject to the Rule 144 and Rule 701 limitations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Equity Plans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of the shares of our Class A common stock issuable or reserved for issuance under our employee benefit plans. We also intend to file one or more resale registration statements on Form S-8 under the Securities Act covering shares of Class A common stock issued prior to or upon this offering (including upon the settlement of IPO-Vesting Time-Based RSUs and IPO-Vesting Market-Based RSUs) pursuant to awards previously granted under our 2020 Plan and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For more information about our employee benefit plans, see “Executive Compensation— Employee Benefits and Stock Plans.”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our Investors’ Rights Agreement, stockholders party thereto (which, as of the date of this prospectus, consists of holders of our outstanding redeemable convertible preferred stock (which will automatically convert into shares of our Class A common stock immediately prior to the completion of this offering)) or their transferees will be entitled to certain rights with respect to the registration of the offer and sale of those shares of Class A common stock under the Securities Act. In addition, pursuant to the Tranche I Purchase Agreement, holders of our outstanding Tranche I convertible notes (which will automatically convert into shares of our Class A common stock immediately upon the completion of this offering) or their transferees will be entitled to certain rights with respect to the registration of the offer and sale of those shares of Class A common stock under the Securities Act. See the section titled “Description of Capital Stock— Registration Rights” for a description of these registration rights. If the offer and sale of these shares is registered, the shares will be freely tradable without restriction under the Securities Act, and a large number of shares may be sold into the public market, subject to the lock-up and market standoff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83" w:lineRule="exact"/>
        <w:rPr>
          <w:sz w:val="20"/>
          <w:szCs w:val="20"/>
          <w:color w:val="auto"/>
        </w:rPr>
      </w:pPr>
    </w:p>
    <w:p>
      <w:pPr>
        <w:jc w:val="center"/>
        <w:ind w:left="340" w:right="200"/>
        <w:spacing w:after="0" w:line="261" w:lineRule="auto"/>
        <w:rPr>
          <w:sz w:val="20"/>
          <w:szCs w:val="20"/>
          <w:color w:val="auto"/>
        </w:rPr>
      </w:pPr>
      <w:r>
        <w:rPr>
          <w:rFonts w:ascii="Arial" w:cs="Arial" w:eastAsia="Arial" w:hAnsi="Arial"/>
          <w:sz w:val="36"/>
          <w:szCs w:val="36"/>
          <w:color w:val="auto"/>
        </w:rPr>
        <w:t>MATERIAL U.S. FEDERAL INCOME TAX CONSIDERATIONS FOR NON-U.S. HOLDERS OF OUR CLASS A COMMON STOCK</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is no assurance that the IRS or a court will not take a contrary position to that discussed below regarding the tax consequences of the purchase, ownership and disposition of our Class A common stock.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77"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Class A common stock being taken into account on an applicable financial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Definition of a Non-U.S. Holder</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161"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Distributions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under “Dividend Policy” above, we do not currently expect to make distributions on our Class A common stock. In the event that we do make distributions of cash or other property,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a Non-U.S. Holder’s basis in our Class A common stock, but not below zero, and then will be treated as gain from the sale of our Class A common stock, as described below under “—Gain on Sale or Other Disposition of our Class A Common Stock.”</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Dividends paid to a Non-U.S. Holder generally will be subject to withholding tax at a 30% rate or a reduced rate specified by an applicable income tax treaty. In order to obtain a reduced rate of withholding (subject to the discussion below), a Non-U.S. Holder will be required to provide a properly executed applicable IRS Form W-8BEN or W-8BEN-E (or other applicable or successor form) certifying the Non-U.S. Holder’s entitlement to benefits under a treaty.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States), the Non-U.S. Holder will generally be taxed on the dividends on a net income basis at regular rates applicable to a U.S. person. In this case, the Non -U.S. Holder will be exempt from the withholding tax discussed in the preceding paragraph, although the Non-U.S. Holder will be required to provide a properly executed IRS Form W-8ECI in order to claim an exemption from withholding. Non-U.S. Holders should consult their tax advisors with respect to other U.S. tax consequences of the ownership and disposition of our Class A common stock, including the possible imposition of a branch profits tax at a rate of 30% (or a lower treaty rate) for corporations.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Gain on Sale or Other Disposition of our Class A Common Stock</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unless:</w:t>
      </w:r>
    </w:p>
    <w:p>
      <w:pPr>
        <w:spacing w:after="0" w:line="185" w:lineRule="exact"/>
        <w:rPr>
          <w:sz w:val="20"/>
          <w:szCs w:val="20"/>
          <w:color w:val="auto"/>
        </w:rPr>
      </w:pPr>
    </w:p>
    <w:p>
      <w:pPr>
        <w:jc w:val="both"/>
        <w:ind w:left="660" w:hanging="328"/>
        <w:spacing w:after="0" w:line="256"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a USRPHC in the future. Even if we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Informational Reporting and Backup Withholding</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Additional Withholding Tax on Payments Made to Foreign Accounts</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UNDERWRITING (CONFLICTS OF INTEREST)</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Goldman Sachs &amp; Co. LLC and J.P. Morgan Securities LLC are acting as representatives, have severally agreed to purchase, and we and the selling stockholders have agreed to sell to them, severally, the number of shares indicated below:</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Rosenblatt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Santander Investment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Loop Capital Markets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A. Ramirez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-1905</wp:posOffset>
            </wp:positionV>
            <wp:extent cx="994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22860</wp:posOffset>
            </wp:positionV>
            <wp:extent cx="9944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provides that the obligations of the several underwriters to pay for and accept delivery of the shares of Class A common stock offered by us and the selling stockholders are subject to the approval of certain legal matters by their counsel and to certain other conditions. The underwriters are obligated to take and pay for all of the shares of Class A common stock offered by us and the selling stockholders if any such shares are taken. However, the underwriters are not required to take or pay for the shares covered by the underwriters’ option to purchase additional shares described below.</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cover page of this prospectus and part to certain dealers at a price that represents a concession not in excess of per share under the public offering price.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6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shares of Class A common stock from us at the public offering price listed on the cover page of this prospectus, less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underwriting discounts and commissions. To the extent the option is exercised, each underwriter will become obligated, subject to certain conditions, to purchase about the same percentage of the additional shares of Class A common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number listed next to the underwriter’s name in the preceding table bears to the total number of shares of Class A common stock listed next to the names of all underwriters in the preceding table.</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Commissions and Discounts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option to purchase up to an additional</w:t>
            </w:r>
          </w:p>
        </w:tc>
        <w:tc>
          <w:tcPr>
            <w:tcW w:w="3020" w:type="dxa"/>
            <w:vAlign w:val="bottom"/>
          </w:tcPr>
          <w:p>
            <w:pPr>
              <w:ind w:left="320"/>
              <w:spacing w:after="0"/>
              <w:rPr>
                <w:sz w:val="20"/>
                <w:szCs w:val="20"/>
                <w:color w:val="auto"/>
              </w:rPr>
            </w:pPr>
            <w:r>
              <w:rPr>
                <w:rFonts w:ascii="Arial" w:cs="Arial" w:eastAsia="Arial" w:hAnsi="Arial"/>
                <w:sz w:val="18"/>
                <w:szCs w:val="18"/>
                <w:color w:val="auto"/>
              </w:rPr>
              <w:t>shares of Class A common stock.</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5"/>
        </w:trPr>
        <w:tc>
          <w:tcPr>
            <w:tcW w:w="3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560" w:type="dxa"/>
            <w:vAlign w:val="bottom"/>
            <w:tcBorders>
              <w:bottom w:val="single" w:sz="8" w:color="auto"/>
            </w:tcBorders>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w:t>
            </w: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No</w:t>
            </w:r>
          </w:p>
        </w:tc>
        <w:tc>
          <w:tcPr>
            <w:tcW w:w="156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Full</w:t>
            </w:r>
          </w:p>
        </w:tc>
      </w:tr>
      <w:tr>
        <w:trPr>
          <w:trHeight w:val="176"/>
        </w:trPr>
        <w:tc>
          <w:tcPr>
            <w:tcW w:w="3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560" w:type="dxa"/>
            <w:vAlign w:val="bottom"/>
          </w:tcPr>
          <w:p>
            <w:pPr>
              <w:jc w:val="right"/>
              <w:ind w:right="395"/>
              <w:spacing w:after="0"/>
              <w:rPr>
                <w:sz w:val="20"/>
                <w:szCs w:val="20"/>
                <w:color w:val="auto"/>
              </w:rPr>
            </w:pPr>
            <w:r>
              <w:rPr>
                <w:rFonts w:ascii="Arial" w:cs="Arial" w:eastAsia="Arial" w:hAnsi="Arial"/>
                <w:sz w:val="14"/>
                <w:szCs w:val="14"/>
                <w:b w:val="1"/>
                <w:bCs w:val="1"/>
                <w:color w:val="auto"/>
              </w:rPr>
              <w:t>Exercise</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30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Underwriting discounts and commissions to be paid by</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30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Selling stockholders</w:t>
            </w:r>
          </w:p>
        </w:tc>
        <w:tc>
          <w:tcPr>
            <w:tcW w:w="3020" w:type="dxa"/>
            <w:vAlign w:val="bottom"/>
          </w:tcPr>
          <w:p>
            <w:pPr>
              <w:spacing w:after="0"/>
              <w:rPr>
                <w:sz w:val="19"/>
                <w:szCs w:val="19"/>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30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Proceeds, before expenses, to selling stockholders</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 . We will agree to reimburse the underwriters for certain FINRA-related expenses incurred by them in connection with the offering in an</w:t>
      </w:r>
    </w:p>
    <w:p>
      <w:pPr>
        <w:spacing w:after="0" w:line="1"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amount not to exceed $</w:t>
      </w:r>
      <w:r>
        <w:rPr>
          <w:sz w:val="20"/>
          <w:szCs w:val="20"/>
          <w:color w:val="auto"/>
        </w:rPr>
        <w:tab/>
      </w:r>
      <w:r>
        <w:rPr>
          <w:rFonts w:ascii="Arial" w:cs="Arial" w:eastAsia="Arial" w:hAnsi="Arial"/>
          <w:sz w:val="18"/>
          <w:szCs w:val="18"/>
          <w:color w:val="auto"/>
        </w:rPr>
        <w:t>as set forth in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Listing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the Nasdaq under the symbol “HOOD”.</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Lock-Up Agreements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and all directors and officers and certain stockholders have agreed, subject to certain exceptions, that, without the prior written consent of Goldman Sachs &amp; Co. LLC and J.P. Morgan Securities LLC on behalf of the underwriters, we and they will not, during the period beginning on the date of this prospectus and ending on the earlier of (i) the second trading day after we publicly release earnings for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fiscal quarter ended , 2021 (which for this purpose does not include “flash” numbers or preliminary, partial earnings), which will be the second quarter following the most recent period for which financial statements are included in this prospectus (or the day after the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date of this prospectus, if later), and (ii) the 181st day after the date of this prospectus (such period, the “restricted period,” and such earlier date, the “Second Earnings-Related Release Date”):</w:t>
      </w:r>
    </w:p>
    <w:p>
      <w:pPr>
        <w:spacing w:after="0" w:line="157" w:lineRule="exact"/>
        <w:rPr>
          <w:sz w:val="20"/>
          <w:szCs w:val="20"/>
          <w:color w:val="auto"/>
        </w:rPr>
      </w:pPr>
    </w:p>
    <w:p>
      <w:pPr>
        <w:jc w:val="both"/>
        <w:ind w:left="660" w:hanging="328"/>
        <w:spacing w:after="0" w:line="256" w:lineRule="auto"/>
        <w:tabs>
          <w:tab w:leader="none" w:pos="65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71" w:lineRule="exact"/>
        <w:rPr>
          <w:sz w:val="20"/>
          <w:szCs w:val="20"/>
          <w:color w:val="auto"/>
        </w:rPr>
      </w:pPr>
    </w:p>
    <w:p>
      <w:pPr>
        <w:jc w:val="both"/>
        <w:ind w:left="328"/>
        <w:spacing w:after="0" w:line="253" w:lineRule="auto"/>
        <w:rPr>
          <w:sz w:val="20"/>
          <w:szCs w:val="20"/>
          <w:color w:val="auto"/>
        </w:rPr>
      </w:pPr>
      <w:r>
        <w:rPr>
          <w:rFonts w:ascii="Arial" w:cs="Arial" w:eastAsia="Arial" w:hAnsi="Arial"/>
          <w:sz w:val="18"/>
          <w:szCs w:val="18"/>
          <w:color w:val="auto"/>
        </w:rPr>
        <w:t>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color w:val="auto"/>
        </w:rPr>
        <w:t>(3) publicly disclose an intention to take any of the actions restricted by clause (1) or (2) above.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53" w:lineRule="exact"/>
        <w:rPr>
          <w:sz w:val="20"/>
          <w:szCs w:val="20"/>
          <w:color w:val="auto"/>
        </w:rPr>
      </w:pPr>
    </w:p>
    <w:p>
      <w:pPr>
        <w:ind w:left="328" w:hanging="328"/>
        <w:spacing w:after="0"/>
        <w:tabs>
          <w:tab w:leader="none" w:pos="328"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p>
    <w:p>
      <w:pPr>
        <w:jc w:val="both"/>
        <w:ind w:left="328"/>
        <w:spacing w:after="0" w:line="219" w:lineRule="auto"/>
        <w:rPr>
          <w:sz w:val="20"/>
          <w:szCs w:val="20"/>
          <w:color w:val="auto"/>
        </w:rPr>
      </w:pPr>
      <w:r>
        <w:rPr>
          <w:rFonts w:ascii="Arial" w:cs="Arial" w:eastAsia="Arial" w:hAnsi="Arial"/>
          <w:sz w:val="18"/>
          <w:szCs w:val="18"/>
          <w:color w:val="auto"/>
        </w:rPr>
        <w:t>indirectly convertible into or exchangeable or exercisable for our Class A common stock (including our Class B common stock and the Market-Based RSUs) held, as of the date of this prospectus (but after giving effect to the sale of Class A common stock in this offering by the selling stockholders), by each of our founders and our Chief Financial Officer, with such 5% calculated after excluding any shares withheld for taxes associated with IPO-Vesting Time-Based RSUs and IPO-Vesting Market-Based RSUs, may be sold on</w:t>
      </w:r>
    </w:p>
    <w:p>
      <w:pPr>
        <w:spacing w:after="0" w:line="1" w:lineRule="exact"/>
        <w:rPr>
          <w:sz w:val="20"/>
          <w:szCs w:val="20"/>
          <w:color w:val="auto"/>
        </w:rPr>
      </w:pPr>
    </w:p>
    <w:p>
      <w:pPr>
        <w:jc w:val="both"/>
        <w:ind w:left="328"/>
        <w:spacing w:after="0"/>
        <w:rPr>
          <w:sz w:val="20"/>
          <w:szCs w:val="20"/>
          <w:color w:val="auto"/>
        </w:rPr>
      </w:pPr>
      <w:r>
        <w:rPr>
          <w:rFonts w:ascii="Arial" w:cs="Arial" w:eastAsia="Arial" w:hAnsi="Arial"/>
          <w:sz w:val="18"/>
          <w:szCs w:val="18"/>
          <w:color w:val="auto"/>
        </w:rPr>
        <w:t xml:space="preserve">or after the later of (i) the second trading after we publicly release earnings for the fiscal quarter ended , 2021 (which for this purpose does not include “flash” numbers or preliminary, partial earnings), which will be the first quarter following the most recent period for which financial statements are included in this prospectus (our “First Earnings Release”), and (ii) the 91st day after the date of this prospectus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this prospectus both (a) on the date that is the later of (x) the first full trading day immediately following our First Earnings Release and (y) the 90th day after the date of this prospectus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212" w:lineRule="exact"/>
        <w:rPr>
          <w:sz w:val="20"/>
          <w:szCs w:val="20"/>
          <w:color w:val="auto"/>
        </w:rPr>
      </w:pPr>
    </w:p>
    <w:p>
      <w:pPr>
        <w:ind w:left="328" w:hanging="328"/>
        <w:spacing w:after="0"/>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968" w:hanging="320"/>
        <w:spacing w:after="0" w:line="251" w:lineRule="auto"/>
        <w:tabs>
          <w:tab w:leader="none" w:pos="9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date of this prospectus, by the parties to our Investors’ Rights Agreement (which includes the holders of our preferred stock outstanding immediately prior to the completion of this offering) and certain other non-employee holders of our common stock outstanding immediately prior to the completion of this offering may be sold beginning on the First Earnings-Related Release Date; or</w:t>
      </w:r>
    </w:p>
    <w:p>
      <w:pPr>
        <w:spacing w:after="0" w:line="170" w:lineRule="exact"/>
        <w:rPr>
          <w:rFonts w:ascii="Arial" w:cs="Arial" w:eastAsia="Arial" w:hAnsi="Arial"/>
          <w:sz w:val="18"/>
          <w:szCs w:val="18"/>
          <w:color w:val="auto"/>
        </w:rPr>
      </w:pPr>
    </w:p>
    <w:p>
      <w:pPr>
        <w:jc w:val="both"/>
        <w:ind w:left="968" w:hanging="320"/>
        <w:spacing w:after="0" w:line="254" w:lineRule="auto"/>
        <w:tabs>
          <w:tab w:leader="none" w:pos="96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this prospectus both (a) on the Pricing Condition Measurement Date and (b) for at least nine of the 14 consecutive trading days immediately preceding, but excluding, the Pricing Condition Measurement Date, then up to 20% of such shares and securities may be sold beginning on the First Earnings-Related Release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0908"/>
          </w:cols>
          <w:pgMar w:left="652" w:top="1440" w:right="339" w:bottom="1440" w:gutter="0" w:footer="0" w:header="0"/>
        </w:sectPr>
      </w:pPr>
    </w:p>
    <w:bookmarkStart w:id="292" w:name="page293"/>
    <w:bookmarkEnd w:id="292"/>
    <w:p>
      <w:pPr>
        <w:spacing w:after="0" w:line="153"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date of this prospectus,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may be sold beginning at the commencement of trading on the first trading day on which our Class A common stock is traded on Nasdaq; and</w:t>
      </w:r>
    </w:p>
    <w:p>
      <w:pPr>
        <w:spacing w:after="0" w:line="167"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date of this prospectus, by our General Employees and Directors, with such 15% calculated after excluding any shares withheld for taxes associated with IPO-Vesting Time-Based RSUs, may be sold beginning on the 91st day after the date of this prospectus.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pursuant to the Tranche I Purchase Agreement, holders of the shares of our Class A common stock to be issued upon the conversion of our Tranche I convertible notes in this offering have agreed that, during the period beginning on the date of this prospectus and ending 28 days after the effective date of the Form S-1 resale registration statement that we have agreed to file in respect of such shares (as described under “Description of Capital Stock—Registration Rights—S-1 Demand Registration Rights”) (the “Tranche I Release Date”), such holders will not take any of the actions described in the foregoing clauses (1)-(3) with respect to 50% of such shares (it being understood that the remaining 50% of such shares will not be subject to any such lock-up agreement).</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lock-up restrictions described in the foregoing paragraphs applicable to our directors, officers, certain securityholders and the selling stockholders are subject to specified exceptions, including the following:</w:t>
      </w:r>
    </w:p>
    <w:p>
      <w:pPr>
        <w:spacing w:after="0" w:line="157" w:lineRule="exact"/>
        <w:rPr>
          <w:sz w:val="20"/>
          <w:szCs w:val="20"/>
          <w:color w:val="auto"/>
        </w:rPr>
      </w:pPr>
    </w:p>
    <w:p>
      <w:pPr>
        <w:ind w:left="660" w:hanging="328"/>
        <w:spacing w:after="0" w:line="261" w:lineRule="auto"/>
        <w:tabs>
          <w:tab w:leader="none" w:pos="6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transfers as a bona fide gift or gifts, as charitable contributions or for bona fide estate planning, provided that any such transfer shall not involve a disposition for value;</w:t>
      </w:r>
    </w:p>
    <w:p>
      <w:pPr>
        <w:spacing w:after="0" w:line="157" w:lineRule="exact"/>
        <w:rPr>
          <w:rFonts w:ascii="Arial" w:cs="Arial" w:eastAsia="Arial" w:hAnsi="Arial"/>
          <w:sz w:val="18"/>
          <w:szCs w:val="18"/>
          <w:color w:val="auto"/>
        </w:rPr>
      </w:pPr>
    </w:p>
    <w:p>
      <w:pPr>
        <w:jc w:val="both"/>
        <w:ind w:left="660" w:hanging="328"/>
        <w:spacing w:after="0" w:line="254" w:lineRule="auto"/>
        <w:tabs>
          <w:tab w:leader="none" w:pos="65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transfers to any immediate family member (as defined below) of the lock-up party or to any trust, partnership, limited liability company or any other entity for the direct or indirect benefit of the lock-up party or an immediate family member of the lock-up party, or, if the lock-up party is a trust, to a trustor or beneficiary of the trust (including such beneficiary’s estate) of the lock-up party, provided that any such transfer shall not involve a disposition for value;</w:t>
      </w:r>
    </w:p>
    <w:p>
      <w:pPr>
        <w:spacing w:after="0" w:line="176" w:lineRule="exact"/>
        <w:rPr>
          <w:rFonts w:ascii="Arial" w:cs="Arial" w:eastAsia="Arial" w:hAnsi="Arial"/>
          <w:sz w:val="18"/>
          <w:szCs w:val="18"/>
          <w:color w:val="auto"/>
        </w:rPr>
      </w:pPr>
    </w:p>
    <w:p>
      <w:pPr>
        <w:ind w:left="660" w:hanging="328"/>
        <w:spacing w:after="0" w:line="261" w:lineRule="auto"/>
        <w:tabs>
          <w:tab w:leader="none" w:pos="65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transfers upon death or by will, testamentary document or intestate succession, provided that any such transfer shall not involve a disposition for value;</w:t>
      </w:r>
    </w:p>
    <w:p>
      <w:pPr>
        <w:spacing w:after="0" w:line="157" w:lineRule="exact"/>
        <w:rPr>
          <w:rFonts w:ascii="Arial" w:cs="Arial" w:eastAsia="Arial" w:hAnsi="Arial"/>
          <w:sz w:val="18"/>
          <w:szCs w:val="18"/>
          <w:color w:val="auto"/>
        </w:rPr>
      </w:pPr>
    </w:p>
    <w:p>
      <w:pPr>
        <w:jc w:val="both"/>
        <w:ind w:left="660" w:hanging="328"/>
        <w:spacing w:after="0" w:line="250" w:lineRule="auto"/>
        <w:tabs>
          <w:tab w:leader="none" w:pos="6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transfers in connection with the sale in an open market transaction (including, without limitation, through the establishment or amendment of trading plans pursuant to Rule 10b5-1 under the Exchange Act and any sales pursuant to such trading plans) or</w:t>
      </w:r>
    </w:p>
    <w:p>
      <w:pPr>
        <w:spacing w:after="0" w:line="1"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transfer of the lock-up party’s lock-up securities in each case to generate such amount of net proceeds from such sales in an aggregate amount up to the total amount of taxes or estimated taxes (as applicable), including any income, employment, or social tax withholding and remittance obligations of the lock-up party that become due as a result of the vesting and/or settlement of equity</w:t>
      </w:r>
    </w:p>
    <w:p>
      <w:pPr>
        <w:spacing w:after="0" w:line="1"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awards granted under the equity incentive plans described herein (we anticipate that the transfer of up to approximately million shares will be permitted pursuant to such exception in connection with the settlement of equity awards expected to occur 90 days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71" w:lineRule="exact"/>
        <w:rPr>
          <w:sz w:val="20"/>
          <w:szCs w:val="20"/>
          <w:color w:val="auto"/>
        </w:rPr>
      </w:pPr>
    </w:p>
    <w:p>
      <w:pPr>
        <w:jc w:val="both"/>
        <w:ind w:left="409" w:hanging="328"/>
        <w:spacing w:after="0" w:line="251" w:lineRule="auto"/>
        <w:tabs>
          <w:tab w:leader="none" w:pos="40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 405 as promulgated by the SEC under the Securities Act, and including the subsidiaries of the lock-up party) of the lock-up party, (b)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(c) as part of a distribution, transfer or disposition by the lock-up party to its stockholders, limited partners, general partners, limited liability company members or other equityholders or to the estate of any such stockholders, limited partners, general partners, limited liability company members or equityholders;</w:t>
      </w:r>
    </w:p>
    <w:p>
      <w:pPr>
        <w:spacing w:after="0" w:line="184" w:lineRule="exact"/>
        <w:rPr>
          <w:rFonts w:ascii="Arial" w:cs="Arial" w:eastAsia="Arial" w:hAnsi="Arial"/>
          <w:sz w:val="18"/>
          <w:szCs w:val="18"/>
          <w:color w:val="auto"/>
        </w:rPr>
      </w:pPr>
    </w:p>
    <w:p>
      <w:pPr>
        <w:jc w:val="both"/>
        <w:ind w:left="409" w:hanging="328"/>
        <w:spacing w:after="0" w:line="252" w:lineRule="auto"/>
        <w:tabs>
          <w:tab w:leader="none" w:pos="40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transfers in connection with (a) the surrender by the lock-up party to us of stock options in connection with the exercise of such stock options or restricted stock units or other equity awards in connection with the vesting and settlement of such restricted stock units or other equity awards granted under our equity incentive plans described herein, including the receipt by the lock-up party of lock-up securities in connection with such exercise or settlement, or (b) the disposition of lock-up securities to us, or the withholding of shares lock-up securities by us, in connection with the exercise of stock options, including “net” or “cashless” exercises, or the vesting and settlement of restricted stock units or other rights to purchase lock-up securities, for the payment of the exercise price, tax withholdings, or remittance payments due as a result of the exercise of any such stock options or vesting or settlement of such restricted stock units or other rights to purchase lock-up securities;</w:t>
      </w:r>
    </w:p>
    <w:p>
      <w:pPr>
        <w:spacing w:after="0" w:line="164" w:lineRule="exact"/>
        <w:rPr>
          <w:rFonts w:ascii="Arial" w:cs="Arial" w:eastAsia="Arial" w:hAnsi="Arial"/>
          <w:sz w:val="18"/>
          <w:szCs w:val="18"/>
          <w:color w:val="auto"/>
        </w:rPr>
      </w:pPr>
    </w:p>
    <w:p>
      <w:pPr>
        <w:jc w:val="both"/>
        <w:ind w:left="409" w:hanging="328"/>
        <w:spacing w:after="0" w:line="256" w:lineRule="auto"/>
        <w:tabs>
          <w:tab w:leader="none" w:pos="40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lock-up securities issued under our equity incentive plans described herein or pursuant to the agreements pursuant to which such lock-up securities were issued as described herein, in each case, upon termination of the lock-up party’s relationship with the us;</w:t>
      </w:r>
    </w:p>
    <w:p>
      <w:pPr>
        <w:spacing w:after="0" w:line="161" w:lineRule="exact"/>
        <w:rPr>
          <w:rFonts w:ascii="Arial" w:cs="Arial" w:eastAsia="Arial" w:hAnsi="Arial"/>
          <w:sz w:val="18"/>
          <w:szCs w:val="18"/>
          <w:color w:val="auto"/>
        </w:rPr>
      </w:pPr>
    </w:p>
    <w:p>
      <w:pPr>
        <w:ind w:left="389" w:hanging="389"/>
        <w:spacing w:after="0"/>
        <w:tabs>
          <w:tab w:leader="none" w:pos="38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by operation of law pursuant to a qualified domestic order or in connection with a divorce settlement;</w:t>
      </w:r>
    </w:p>
    <w:p>
      <w:pPr>
        <w:spacing w:after="0" w:line="198" w:lineRule="exact"/>
        <w:rPr>
          <w:rFonts w:ascii="Arial" w:cs="Arial" w:eastAsia="Arial" w:hAnsi="Arial"/>
          <w:sz w:val="18"/>
          <w:szCs w:val="18"/>
          <w:color w:val="auto"/>
        </w:rPr>
      </w:pPr>
    </w:p>
    <w:p>
      <w:pPr>
        <w:jc w:val="both"/>
        <w:ind w:left="409" w:hanging="328"/>
        <w:spacing w:after="0" w:line="254" w:lineRule="auto"/>
        <w:tabs>
          <w:tab w:leader="none" w:pos="40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to us in connection with the conversion or reclassification of the outstanding preferred stock or warrants to acquire our preferred stock into shares of Class A common stock or warrants to acquire shares of Class A common stock prior to or in connection with the consummation this offering, or the conversion of any shares of any class of our common stock into shares of Class A common stock;</w:t>
      </w:r>
    </w:p>
    <w:p>
      <w:pPr>
        <w:spacing w:after="0" w:line="163" w:lineRule="exact"/>
        <w:rPr>
          <w:rFonts w:ascii="Arial" w:cs="Arial" w:eastAsia="Arial" w:hAnsi="Arial"/>
          <w:sz w:val="18"/>
          <w:szCs w:val="18"/>
          <w:color w:val="auto"/>
        </w:rPr>
      </w:pPr>
    </w:p>
    <w:p>
      <w:pPr>
        <w:ind w:left="409" w:right="20" w:hanging="328"/>
        <w:spacing w:after="0" w:line="261" w:lineRule="auto"/>
        <w:tabs>
          <w:tab w:leader="none" w:pos="40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transfers to us in connection with the exercise of warrants to purchase shares of our Class A common stock that are outstanding as of the date hereof into shares of Class A common stock prior to, after or in connection with the consummation of this offering;</w:t>
      </w:r>
    </w:p>
    <w:p>
      <w:pPr>
        <w:spacing w:after="0" w:line="157" w:lineRule="exact"/>
        <w:rPr>
          <w:rFonts w:ascii="Arial" w:cs="Arial" w:eastAsia="Arial" w:hAnsi="Arial"/>
          <w:sz w:val="18"/>
          <w:szCs w:val="18"/>
          <w:color w:val="auto"/>
        </w:rPr>
      </w:pPr>
    </w:p>
    <w:p>
      <w:pPr>
        <w:ind w:left="409" w:hanging="328"/>
        <w:spacing w:after="0" w:line="261" w:lineRule="auto"/>
        <w:tabs>
          <w:tab w:leader="none" w:pos="40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transfers to us in connection with the conversion of our Tranche I convertible notes or Tranche II convertible notes that are outstanding as of the date hereof into shares of Class A common stock in connection with the consummation this offering;</w:t>
      </w:r>
    </w:p>
    <w:p>
      <w:pPr>
        <w:spacing w:after="0" w:line="170" w:lineRule="exact"/>
        <w:rPr>
          <w:rFonts w:ascii="Arial" w:cs="Arial" w:eastAsia="Arial" w:hAnsi="Arial"/>
          <w:sz w:val="18"/>
          <w:szCs w:val="18"/>
          <w:color w:val="auto"/>
        </w:rPr>
      </w:pPr>
    </w:p>
    <w:p>
      <w:pPr>
        <w:jc w:val="both"/>
        <w:ind w:left="409" w:hanging="328"/>
        <w:spacing w:after="0" w:line="254" w:lineRule="auto"/>
        <w:tabs>
          <w:tab w:leader="none" w:pos="40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transfers to us in connection with any other exchange, conversion or reclassification (or other means by which shares of on class or series can become another class or series) of any class or series of our capital stock for any other class or series of shares of our capital stock as described herein or as required pursuant to our Charter (including as a result of any automatic conversion of shares of Class B common stock to shares of Class A common stock pursuant to the provisions of the Charter);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0989"/>
          </w:cols>
          <w:pgMar w:left="571" w:top="1440" w:right="339" w:bottom="1440" w:gutter="0" w:footer="0" w:header="0"/>
        </w:sectPr>
      </w:pPr>
    </w:p>
    <w:bookmarkStart w:id="294" w:name="page295"/>
    <w:bookmarkEnd w:id="294"/>
    <w:p>
      <w:pPr>
        <w:spacing w:after="0" w:line="171" w:lineRule="exact"/>
        <w:rPr>
          <w:sz w:val="20"/>
          <w:szCs w:val="20"/>
          <w:color w:val="auto"/>
        </w:rPr>
      </w:pPr>
    </w:p>
    <w:p>
      <w:pPr>
        <w:jc w:val="both"/>
        <w:ind w:left="409" w:hanging="409"/>
        <w:spacing w:after="0" w:line="252" w:lineRule="auto"/>
        <w:tabs>
          <w:tab w:leader="none" w:pos="4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capital stock and approved by our board of directors, and the result of which is that any “person” (as defined in Section 13(d)(3) of the Exchange Act), or group of persons, becomes the beneficial owner (as defined in Rules 13d-3 and 13d-5 under the Exchange Act) of at least 50% of total voting power of our voting stock the surviving entity (a “Change of Control Transaction”); provided that in the event that the Change of Control Transaction is not completed, the lock-up party’s shares shall remain subject to the lock-up restrictions,</w:t>
      </w:r>
    </w:p>
    <w:p>
      <w:pPr>
        <w:spacing w:after="0" w:line="181" w:lineRule="exact"/>
        <w:rPr>
          <w:sz w:val="20"/>
          <w:szCs w:val="20"/>
          <w:color w:val="auto"/>
        </w:rPr>
      </w:pPr>
    </w:p>
    <w:p>
      <w:pPr>
        <w:ind w:left="89"/>
        <w:spacing w:after="0"/>
        <w:rPr>
          <w:sz w:val="20"/>
          <w:szCs w:val="20"/>
          <w:color w:val="auto"/>
        </w:rPr>
      </w:pPr>
      <w:r>
        <w:rPr>
          <w:rFonts w:ascii="Arial" w:cs="Arial" w:eastAsia="Arial" w:hAnsi="Arial"/>
          <w:sz w:val="18"/>
          <w:szCs w:val="18"/>
          <w:color w:val="auto"/>
        </w:rPr>
        <w:t>provided that:</w:t>
      </w:r>
    </w:p>
    <w:p>
      <w:pPr>
        <w:spacing w:after="0" w:line="185" w:lineRule="exact"/>
        <w:rPr>
          <w:sz w:val="20"/>
          <w:szCs w:val="20"/>
          <w:color w:val="auto"/>
        </w:rPr>
      </w:pPr>
    </w:p>
    <w:p>
      <w:pPr>
        <w:ind w:left="409" w:hanging="328"/>
        <w:spacing w:after="0" w:line="261" w:lineRule="auto"/>
        <w:tabs>
          <w:tab w:leader="none" w:pos="4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(ii), (v) and (viii) above, no filing under the Exchange Act or other public announcement would be required or be voluntarily made;</w:t>
      </w:r>
    </w:p>
    <w:p>
      <w:pPr>
        <w:spacing w:after="0" w:line="157" w:lineRule="exact"/>
        <w:rPr>
          <w:rFonts w:ascii="Arial" w:cs="Arial" w:eastAsia="Arial" w:hAnsi="Arial"/>
          <w:sz w:val="18"/>
          <w:szCs w:val="18"/>
          <w:color w:val="auto"/>
        </w:rPr>
      </w:pPr>
    </w:p>
    <w:p>
      <w:pPr>
        <w:ind w:left="409" w:hanging="328"/>
        <w:spacing w:after="0" w:line="261" w:lineRule="auto"/>
        <w:tabs>
          <w:tab w:leader="none" w:pos="4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any transfer pursuant to clauses (iv), (vi) and (vii) above, any filing under the Exchange Act or other public report or announcement would clearly indicate the nature and conditions of the transfer; and</w:t>
      </w:r>
    </w:p>
    <w:p>
      <w:pPr>
        <w:spacing w:after="0" w:line="170" w:lineRule="exact"/>
        <w:rPr>
          <w:rFonts w:ascii="Arial" w:cs="Arial" w:eastAsia="Arial" w:hAnsi="Arial"/>
          <w:sz w:val="18"/>
          <w:szCs w:val="18"/>
          <w:color w:val="auto"/>
        </w:rPr>
      </w:pPr>
    </w:p>
    <w:p>
      <w:pPr>
        <w:ind w:left="409" w:right="20" w:hanging="328"/>
        <w:spacing w:after="0" w:line="261" w:lineRule="auto"/>
        <w:tabs>
          <w:tab w:leader="none" w:pos="4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(iii), (v) and (viii) through (xii) above, each permitted transferee shall be bound by the lock-up restrictions applicable to the relevant transferor.</w:t>
      </w:r>
    </w:p>
    <w:p>
      <w:pPr>
        <w:spacing w:after="0" w:line="157" w:lineRule="exact"/>
        <w:rPr>
          <w:sz w:val="20"/>
          <w:szCs w:val="20"/>
          <w:color w:val="auto"/>
        </w:rPr>
      </w:pPr>
    </w:p>
    <w:p>
      <w:pPr>
        <w:ind w:left="89"/>
        <w:spacing w:after="0"/>
        <w:rPr>
          <w:sz w:val="20"/>
          <w:szCs w:val="20"/>
          <w:color w:val="auto"/>
        </w:rPr>
      </w:pPr>
      <w:r>
        <w:rPr>
          <w:rFonts w:ascii="Arial" w:cs="Arial" w:eastAsia="Arial" w:hAnsi="Arial"/>
          <w:sz w:val="18"/>
          <w:szCs w:val="18"/>
          <w:color w:val="auto"/>
        </w:rPr>
        <w:t>In addition, the lock-up restrictions applicable to us are subject to specified exceptions, including the following:</w:t>
      </w:r>
    </w:p>
    <w:p>
      <w:pPr>
        <w:spacing w:after="0" w:line="185" w:lineRule="exact"/>
        <w:rPr>
          <w:sz w:val="20"/>
          <w:szCs w:val="20"/>
          <w:color w:val="auto"/>
        </w:rPr>
      </w:pPr>
    </w:p>
    <w:p>
      <w:pPr>
        <w:ind w:left="409" w:hanging="328"/>
        <w:spacing w:after="0" w:line="261" w:lineRule="auto"/>
        <w:tabs>
          <w:tab w:leader="none" w:pos="4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issuance of shares of Class A common stock pursuant to the exercise of warrants to purchase our securities outstanding as of the date hereof;</w:t>
      </w:r>
    </w:p>
    <w:p>
      <w:pPr>
        <w:spacing w:after="0" w:line="170" w:lineRule="exact"/>
        <w:rPr>
          <w:rFonts w:ascii="Arial" w:cs="Arial" w:eastAsia="Arial" w:hAnsi="Arial"/>
          <w:sz w:val="18"/>
          <w:szCs w:val="18"/>
          <w:color w:val="auto"/>
        </w:rPr>
      </w:pPr>
    </w:p>
    <w:p>
      <w:pPr>
        <w:ind w:left="409" w:right="20" w:hanging="328"/>
        <w:spacing w:after="0" w:line="261" w:lineRule="auto"/>
        <w:tabs>
          <w:tab w:leader="none" w:pos="4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issuance of stock options, restricted stock units and ESPP purchase rights pursuant to the our equity incentive plans described herein;</w:t>
      </w:r>
    </w:p>
    <w:p>
      <w:pPr>
        <w:spacing w:after="0" w:line="157" w:lineRule="exact"/>
        <w:rPr>
          <w:rFonts w:ascii="Arial" w:cs="Arial" w:eastAsia="Arial" w:hAnsi="Arial"/>
          <w:sz w:val="18"/>
          <w:szCs w:val="18"/>
          <w:color w:val="auto"/>
        </w:rPr>
      </w:pPr>
    </w:p>
    <w:p>
      <w:pPr>
        <w:jc w:val="both"/>
        <w:ind w:left="409" w:hanging="328"/>
        <w:spacing w:after="0" w:line="256" w:lineRule="auto"/>
        <w:tabs>
          <w:tab w:leader="none" w:pos="40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issuance of shares of Class A common stock upon the exercise of stock options or ESPP purchase rights or upon the settlement of restricted stock units, in each case outstanding as of the date hereof or issued after the date hereof pursuant to our equity incentive plans described herein,</w:t>
      </w:r>
    </w:p>
    <w:p>
      <w:pPr>
        <w:spacing w:after="0" w:line="161" w:lineRule="exact"/>
        <w:rPr>
          <w:rFonts w:ascii="Arial" w:cs="Arial" w:eastAsia="Arial" w:hAnsi="Arial"/>
          <w:sz w:val="18"/>
          <w:szCs w:val="18"/>
          <w:color w:val="auto"/>
        </w:rPr>
      </w:pPr>
    </w:p>
    <w:p>
      <w:pPr>
        <w:ind w:left="389" w:hanging="308"/>
        <w:spacing w:after="0"/>
        <w:tabs>
          <w:tab w:leader="none" w:pos="38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issuance of shares of Class A common stock upon the conversion of shares of our Class B common stock;</w:t>
      </w:r>
    </w:p>
    <w:p>
      <w:pPr>
        <w:spacing w:after="0" w:line="198" w:lineRule="exact"/>
        <w:rPr>
          <w:rFonts w:ascii="Arial" w:cs="Arial" w:eastAsia="Arial" w:hAnsi="Arial"/>
          <w:sz w:val="18"/>
          <w:szCs w:val="18"/>
          <w:color w:val="auto"/>
        </w:rPr>
      </w:pPr>
    </w:p>
    <w:p>
      <w:pPr>
        <w:ind w:left="409" w:hanging="328"/>
        <w:spacing w:after="0" w:line="261" w:lineRule="auto"/>
        <w:tabs>
          <w:tab w:leader="none" w:pos="4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exchange or conversion (or other means by which shares of one class or series can become another class or series) of any class or series of our capital stock for any other class or series of shares of our capital stock as described herein;</w:t>
      </w:r>
    </w:p>
    <w:p>
      <w:pPr>
        <w:spacing w:after="0" w:line="157" w:lineRule="exact"/>
        <w:rPr>
          <w:rFonts w:ascii="Arial" w:cs="Arial" w:eastAsia="Arial" w:hAnsi="Arial"/>
          <w:sz w:val="18"/>
          <w:szCs w:val="18"/>
          <w:color w:val="auto"/>
        </w:rPr>
      </w:pPr>
    </w:p>
    <w:p>
      <w:pPr>
        <w:jc w:val="both"/>
        <w:ind w:left="409" w:hanging="328"/>
        <w:spacing w:after="0" w:line="252" w:lineRule="auto"/>
        <w:tabs>
          <w:tab w:leader="none" w:pos="40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issuance of shares of Class A common stock or securities convertible into, exchangeable for or that represent the right to receive Class A common stock in connection with (x) our acquisition of the securities, business, technology, property or other assets of one or more persons or entities (including our assumption of any employee benefit plans or equity incentive plans in connection with any such acquisition, and any issuance of securities pursuant to any such assumed plan), or (y) any joint ventures, commercial relationships and other strategic relationships; provided, that the aggregate number of shares of common stock that we may sell or issue or agree to sell or issue shall not exceed 5% of the total number of shares of our common stock outstanding immediately following the issuance of the lockup-securities;</w:t>
      </w:r>
    </w:p>
    <w:p>
      <w:pPr>
        <w:spacing w:after="0" w:line="166" w:lineRule="exact"/>
        <w:rPr>
          <w:rFonts w:ascii="Arial" w:cs="Arial" w:eastAsia="Arial" w:hAnsi="Arial"/>
          <w:sz w:val="18"/>
          <w:szCs w:val="18"/>
          <w:color w:val="auto"/>
        </w:rPr>
      </w:pPr>
    </w:p>
    <w:p>
      <w:pPr>
        <w:ind w:left="409" w:right="20" w:hanging="328"/>
        <w:spacing w:after="0" w:line="261" w:lineRule="auto"/>
        <w:tabs>
          <w:tab w:leader="none" w:pos="40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filing of any registration statement(s) on Form S-8 relating to the lock-up securities (or the shares underlying such lock-up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0989"/>
          </w:cols>
          <w:pgMar w:left="571" w:top="1440" w:right="339" w:bottom="1440" w:gutter="0" w:footer="0" w:header="0"/>
        </w:sectPr>
      </w:pPr>
    </w:p>
    <w:bookmarkStart w:id="295" w:name="page296"/>
    <w:bookmarkEnd w:id="295"/>
    <w:p>
      <w:pPr>
        <w:spacing w:after="0" w:line="171" w:lineRule="exact"/>
        <w:rPr>
          <w:sz w:val="20"/>
          <w:szCs w:val="20"/>
          <w:color w:val="auto"/>
        </w:rPr>
      </w:pPr>
    </w:p>
    <w:p>
      <w:pPr>
        <w:jc w:val="both"/>
        <w:ind w:left="660" w:right="20" w:hanging="409"/>
        <w:spacing w:after="0" w:line="256"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filing of any registration statement(s) on Form S-1 relating to the Class A common stock issuable or issued upon the conversion of any of our convertible notes or of any securities previously issued upon the conversion of such convertible notes as described herein.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we have agreed that, without the prior written consent of Goldman Sachs &amp; Co. LLC and J.P. Morgan Securities LLC on behalf of the underwriters, we will not, during the restricted period (or, if applicable, the period beginning on the date of this prospectus and ending on the Tranche I Release Date), initiate the registration of any shares of Class A common stock or any security convertible into or exercisable or exchangeable for shares of Class A common stock, other than the Form S-1 resale registration statement that we have agreed to file in respect of shares issuable or issued upon conversion of our Tranche I convertible notes. which we anticipate filing shortly after the consummation of this offering (as described under “Description of Capital Stock—Registration Rights—S-1 Demand Registration Rights”).</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None of our other stockholders is subject to any such restrictions and, accordingly, Class A common stock or other securities held by these other stockholders may be transferred or disposed of, to or through any broker-dealer, at any time during or following this offering, subject to such stockholder’s compliance with applicable securities laws.</w:t>
      </w:r>
    </w:p>
    <w:p>
      <w:pPr>
        <w:spacing w:after="0" w:line="16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Goldman Sachs &amp; Co. LLC and J.P. Morgan Securities LLC, in their sole discretion as representatives of the underwriters, may release the Class A common stock and other securities subject to the lock-up and market standoff agreements described above in whole or in part at any time.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this offering,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waivers in which the recipient of such shares agreed to be bound by the same lock-up agreement, waivers for hardship and waivers in connection with a follow-on offering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Price Stabilization, Short Positions and Penalty Bids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either exercising their option to purchase additional shares or purchasing shares in the open market. In determining the source of shares to close out a covered short sale, the underwriters will consider, among other things, the open market price of shares compared to the price at which they may purchase additional shares pursuant to the option described above.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market levels or prevent or retard a decline in the market price of the Class A common stock. The underwriters are not required to engage in these activities and may end any of these activities at any time.</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Electronic Distribution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Pricing of the Offering</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Participation by Robinhood Customers in the Offering</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one of our broker-dealer subsidiaries, is a member of the selling group for this offering. We expect the underwriters to reserve approximately 20 to 35% of the shares of our Class A common stock offered by this prospectus for RHF, acting as a selling group member, to allocate for sale to Robinhood customers through our IPO Access feature on our platform. Any such sales will be made at the same initial public offering price, and at the same time, as any other purchases in this offering, including purchases by institutions and other large investors, and in accordance with customary broker-dealer practices and procedures. The final number of shares of our Class A common stock in this offering that will be reserved for allocation to Robinhood customers will be determined at the pricing of this offering and will be based on the level of demand from Robinhood customers and all other purchasers in this offering in accordance with the broker-dealer book building process. Any such reserved shares of our Class A common stock that are not so purchased will be offered by the underwriters to other members of the general public on the same basis as the other shares of our Class A common stock offered by this prospectus. RHF, one of our affiliates, is a member of FINRA and a selling group member in this offering and has a “conflict of interest” within the meaning of FINRA Rule 5121. Accordingly, this offering will be made in compliance with the applicable provisions of FINRA Rule 5121.</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Other Relationships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or for the selling stockholders, for which they received or will receive customary fees and expenses. For example, certain of the underwriters and/or their respective affiliates serve as agents and/or lenders under our revolving credit facilities, for which they have received customary fees and expenses.</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Selling Restrictions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European Economic Area</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165" w:lineRule="exact"/>
        <w:rPr>
          <w:sz w:val="20"/>
          <w:szCs w:val="20"/>
          <w:color w:val="auto"/>
        </w:rPr>
      </w:pPr>
    </w:p>
    <w:p>
      <w:pPr>
        <w:ind w:left="640" w:hanging="308"/>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the representatives and us that it is a “qualified investor” within the meaning of Article 2(e) of the Prospectus Regulation.</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the shares of Class A common stock to be offered so as to enable an investor to decide to purchase or subscribe for the shares of Class A common stock, and the expression “Prospectus Regulation” means Regulation (EU) 2017/1129.</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in this document. Accordingly, no purchaser of the shares of Class A common stock, other than the underwriters, is authorized to make any further offer of the shares on behalf of us or the underwriters.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Kingdom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relation to the United Kingdom, no shares of Class A common stock have been offered or will be offered pursuant to this offering to the public in the United Kingdom prior to the publication of a prospectus in relation to the shares of Class A common stock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81" w:lineRule="exact"/>
        <w:rPr>
          <w:sz w:val="20"/>
          <w:szCs w:val="20"/>
          <w:color w:val="auto"/>
        </w:rPr>
      </w:pPr>
    </w:p>
    <w:p>
      <w:pPr>
        <w:ind w:left="640" w:hanging="308"/>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section 85 of the FSMA or supplement a prospectus pursuant to Article 23 of the UK Prospectus Regulation.</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purposes of this provision, the expression an “offer of shares of Class A common stock to the public” in relation to any shares of Class A common stock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have not authorized and do not authorize the making of any offer of shares of Class A common stock through any financial intermediary on their behalf, other than offers made by the underwriters with a view to the final placement of the shares of Class A common stock as contemplated in this prospectus. Accordingly, no purchaser of the shares of Class A common stock, other than the underwriters, is authorized to make any further offer of the shares on behalf of us or the underwriters.</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Canada</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Japan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our Class A common stock.</w:t>
      </w:r>
    </w:p>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Class A common stock may only be transferred to QIIs.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Hong Kong</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of our Class A common stock may not be offered or sold in Hong Kong, by means of any document, other than: (a) to “professional investors” as defined in the Securities and Futures Ordinance (Cap. 571) of Hong Kong (the “SFO”) and any rules made under the SFO; or (b) in other circumstances which do not result in the document being a “prospectus” as defined in the Companies Winding Up and Miscellaneous Provisions Ordinance (Cap. 32) of Hong Kong (the “C(WUMP)O”) or which do not constitute an offer to the public within the meaning of the C(WUMP)O.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SFO and any rules made under the SFO.</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Singapore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prospectus has not been registered as a prospectus under the Securities and Futures Act, Chapter 289 of Singapore (the “SFA”) by the Monetary Authority of Singapore, and the offer of shares of our Class A common stock in Singapore is made primarily pursuant to the exemptions under Sections 274 and 275 of the SFA. Accordingly, this prospectus and any other document or material in connection with the offer or sale, or invitation for subscription or purchase, of shares of Class A common stock may not be circulated or distributed, nor may shares of Class A common stock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shares of our Class A common stock are subscribed or purchased under Section 275 of the SFA by a Relevant Person which is:</w:t>
      </w:r>
    </w:p>
    <w:p>
      <w:pPr>
        <w:spacing w:after="0" w:line="198" w:lineRule="exact"/>
        <w:rPr>
          <w:sz w:val="20"/>
          <w:szCs w:val="20"/>
          <w:color w:val="auto"/>
        </w:rPr>
      </w:pPr>
    </w:p>
    <w:p>
      <w:pPr>
        <w:ind w:left="660" w:hanging="328"/>
        <w:spacing w:after="0" w:line="261" w:lineRule="auto"/>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57"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transferred within six months after that corporation or that trust has subscribed for or acquired the shares of Class A common stock, except:</w:t>
      </w:r>
    </w:p>
    <w:p>
      <w:pPr>
        <w:spacing w:after="0" w:line="198" w:lineRule="exact"/>
        <w:rPr>
          <w:sz w:val="20"/>
          <w:szCs w:val="20"/>
          <w:color w:val="auto"/>
        </w:rPr>
      </w:pPr>
    </w:p>
    <w:p>
      <w:pPr>
        <w:ind w:left="660" w:hanging="328"/>
        <w:spacing w:after="0" w:line="261" w:lineRule="auto"/>
        <w:tabs>
          <w:tab w:leader="none" w:pos="6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Notification under Section 309B(1)(c) of the SFA—Solely for the purposes of its obligations pursuant to Sections 309B(1)(a) and 309B(1)</w:t>
      </w:r>
    </w:p>
    <w:p>
      <w:pPr>
        <w:spacing w:after="0" w:line="9" w:lineRule="exact"/>
        <w:rPr>
          <w:sz w:val="20"/>
          <w:szCs w:val="20"/>
          <w:color w:val="auto"/>
        </w:rPr>
      </w:pPr>
    </w:p>
    <w:p>
      <w:pPr>
        <w:jc w:val="both"/>
        <w:ind w:firstLine="8"/>
        <w:spacing w:after="0" w:line="253" w:lineRule="auto"/>
        <w:tabs>
          <w:tab w:leader="none" w:pos="26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 the SFA, the issuer has determined, and hereby notifies all relevant persons (as defined in Section 309A of the SFA) that the shares of Class A common stock are “prescribed capital markets products” / capital markets products other than prescribed capital markets products (as defined in the Securities and Futures (Capital Markets Products) Regulations 2018) and “Excluded Investment Products” / “Specified Investment Products” (as defined in MAS Notice SFA 04-N12: Notice on the Sale of Investment Products and MAS Notice FAA-N16: Notice on Recommendations on Investment Products).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Australia</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Switzerland</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document is not intended to constitute an offer or solicitation to purchase or invest in the shares of our Class A common stock. The shares of our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Neither this document nor any other offering or marketing material relating to the shares of our Class A common stock constitutes a prospectus within the meaning of, and has been prepared without regard to, the FinSA,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Neither this document nor any other offering or marketing material relating to the offering, Robinhood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Arab Emirates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shares of our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Dubai International Financial Centre</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offered should conduct their own due diligence on the shares of Class A common stock.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36"/>
          <w:szCs w:val="36"/>
          <w:color w:val="auto"/>
        </w:rPr>
        <w:t>LEGAL MATTERS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validity of the shares of Class A common stock offered hereby will be passed upon for us by Cravath, Swaine &amp; Moore LLP, New York, New York. Certain legal matters in connection with this offering will be passed upon for the underwriters by Davis Polk &amp; Wardwell LLP, New York, New York.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EXPERTS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consolidated financial statements of Robinhood Markets, Inc. at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WHERE YOU CAN FIND MORE INFORMATION</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completion of this offering, we will be subject to the informational and periodic reporting requirements of the Exchange Act. We will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www.robinhood.com.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40"/>
          </w:cols>
          <w:pgMar w:left="320" w:top="1440" w:right="339" w:bottom="1440" w:gutter="0" w:footer="0" w:header="0"/>
        </w:sectPr>
      </w:pPr>
    </w:p>
    <w:bookmarkStart w:id="304" w:name="page305"/>
    <w:bookmarkEnd w:id="3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Robinhood Markets, Inc.</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Robinhood Markets, Inc. (the Company) as of December 31, 2019 and 2020, the related consolidated statements of operations, comprehensive income (loss), cash flows, and mezzanine equity and stockholders’ deficit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2,420,354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4,914,660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3,354,142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3,876,108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104,649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1,921,118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3,101,380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3,129,037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8,864,057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643,333,662 and 414,033,220</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authorized at December 31, 2019 and December 31, 2020. 321,626,778 and 412,742,897</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issued and outstanding at December 31, 2019 and December 31, 2020. Liquidation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preference of $922,786 and $2,191,086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$0.0001 par value, 1,400,000,000 and 777,354,000 shares authorized at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December 31, 2019 and December 31, 2020. 224,802,545 and 229,031,546 shares issued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134,307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(190,103)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(55,322)</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18" w:right="3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720,133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958,833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(loss) before income tax</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to compute net income (loss) per share attributable to common</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225,748,355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18" w:right="3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18"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2020</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7,449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59,134</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24,330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2,400</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(2,771,967)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(103,037)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(848,538)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802,817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3,532,091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1,247,089</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889,290</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1,260,085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1,876,254</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(7,887)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Sales, maturities and paydowns of marketable securities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(32,330)</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tcPr>
          <w:p>
            <w:pPr>
              <w:ind w:left="26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1,267,328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8,555</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1,275,883</w:t>
            </w: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83"/>
        </w:trPr>
        <w:tc>
          <w:tcPr>
            <w:tcW w:w="8020" w:type="dxa"/>
            <w:vAlign w:val="bottom"/>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1,623,302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3,120,091</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1,446,266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3,069,568</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1,402,629</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2,420,354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4,779,666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7,364</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6,189,659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18"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MEZZANINE EQUITY AND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jc w:val="center"/>
              <w:ind w:right="16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920" w:type="dxa"/>
            <w:vAlign w:val="bottom"/>
          </w:tcPr>
          <w:p>
            <w:pPr>
              <w:jc w:val="center"/>
              <w:ind w:right="31"/>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291,739,421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539,678</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220,339,931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(106,569)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4,472,624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E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29,887,357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27,328</w:t>
            </w:r>
          </w:p>
        </w:tc>
        <w:tc>
          <w:tcPr>
            <w:tcW w:w="0" w:type="dxa"/>
            <w:vAlign w:val="bottom"/>
          </w:tcPr>
          <w:p>
            <w:pPr>
              <w:spacing w:after="0"/>
              <w:rPr>
                <w:sz w:val="1"/>
                <w:szCs w:val="1"/>
                <w:color w:val="auto"/>
              </w:rPr>
            </w:pPr>
          </w:p>
        </w:tc>
      </w:tr>
      <w:tr>
        <w:trPr>
          <w:trHeight w:val="18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4,310,197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F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48,000,000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599,284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Series G convertible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668,044</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(81,196)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18" w:right="3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5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facilitate the purchase and sale of equities, options and cryptocurrencies through our platform by routing transactions through market makers. Our users have ownership of the securities, including those that collateralize margin loans, and cryptocurrencies transacted on our platform and, as a result, any such securities or cryptocurrencies owned by users are not presented in our consolidated balance sheets.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 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18" w:right="339"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consolidated financial statements include the accounts of RHM and its wholly-owned subsidiaries. All intercompany balances and transactions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reported amounts in the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Segment Information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and report financial information in one operating segment. Operating segments are defined as components of an enterprise for which separate financial information is evaluated regularly by the chief operating decision maker in deciding how to allocate resources and assess performance. All our revenues and substantially all of our assets are attributed to or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primarily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and incur interest revenues and expense on securities lending transactions. We also earn interest on margin loans to users, which constitute the majority of receivables from users, net in the consolidated balance sheets, and on our segregated cash, cash and cash equivalents, and deposits with clearing organizations. We incur interest expenses in connection with our revolving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primarily consists of Robinhood Gold, a paid subscription service that provides customers with premium features, such as enhanced instant access to deposits, professional research, Nasdaq Level II market data and, upon approval, access to margin investing. Our contract with users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17" w:right="339" w:bottom="1440" w:gutter="0" w:footer="0" w:header="0"/>
        </w:sectPr>
      </w:pPr>
    </w:p>
    <w:bookmarkStart w:id="314" w:name="page315"/>
    <w:bookmarkEnd w:id="314"/>
    <w:p>
      <w:pPr>
        <w:jc w:val="both"/>
        <w:spacing w:after="0" w:line="261" w:lineRule="auto"/>
        <w:rPr>
          <w:sz w:val="20"/>
          <w:szCs w:val="20"/>
          <w:color w:val="auto"/>
        </w:rPr>
      </w:pPr>
      <w:r>
        <w:rPr>
          <w:rFonts w:ascii="Arial" w:cs="Arial" w:eastAsia="Arial" w:hAnsi="Arial"/>
          <w:sz w:val="18"/>
          <w:szCs w:val="18"/>
          <w:color w:val="auto"/>
        </w:rPr>
        <w:t>for a term of 30 days and renew automatically each month. Subscription revenue is recognized ratably over the subscription period as the performance obligation is satisfied.</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revenues also consist of proxy rebates and miscellaneous fees charged to users. Proxy rebates are revenues earned through our partnership with a third-party investor communications company. We provide certain shareholder information to the third-party company, which is used to send investor materials to shareholders, such as materials related to shareholder meetings and voting instruction forms. We earn a share of the revenue the third-party company receives from issuers, and recognize the revenue when the performance obligation of providing data is satisfied.</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Miscellaneous fees are primarily Automated Customer Account Transfer Services (“ACATS”) fees, which are charged to users for facilitating the transfer of part or all of their accounts to another broker-dealer. We recognize revenue when our performance obligation of administering the transfer is satisfied.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revenues from market makers in excess of 10% of total revenues, as follows:</w:t>
      </w:r>
    </w:p>
    <w:p>
      <w:pPr>
        <w:spacing w:after="0" w:line="22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8900" w:type="dxa"/>
            <w:vAlign w:val="bottom"/>
            <w:gridSpan w:val="2"/>
          </w:tcPr>
          <w:p>
            <w:pPr>
              <w:ind w:left="5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7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5"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when applicable.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and regulatory fees, market data expenses, compensation and benefits, including share-based compensation, for employees engaged in clearing and brokerage functions, and allocated overhead.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costs incurred in connection with the development of new products, costs associated with computer hardware and software, allocated overhead, and amortization of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35" w:right="3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expenses, customer onboarding and account verification and allocated overhead. Operations costs also include our provision for credit losses primarily in connection with unrecoverable receivables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 and to a lesser extent, losses on margin borrowings.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our stock referral program (the “Robinhood Referral Program”), production and placement of advertisements in various media outlets, including online and on television, and customer goodwill, which primarily related to costs to remediate losses experienced by our users due to service interruptions on our platform and reimbursement of direct losses that happen due to unauthorized activity that is not the fault of our users. Marketing costs also include compensation and benefits, including share-based compensation, for employees engaged in the marketing function and allocated overhead. Advertising costs are expensed as incurred and were $119.6 million and $157.1 million in the years ended December 31, 2019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consist primarily of compensation and benefits, including share-based compensation, for certain executives as well as employees engaged in legal, finance, human resources, risk, and compliance. General and administrative costs also includes certain legal settlements and professional fees, such as, but not limited to, legal, audit and accounting fees, as well as allocated overhead.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costs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Research and development costs described in Accounting Standards Codification (“ASC”) 730, Research and Development, are expensed as incurred. Our research and development costs consist primarily of employee compensation and benefits for our engineering and research teams, including share-based compensation. Research and development costs recorded in operating expenses under ASC 730 were $27.7 million and $52.2 million for the years ended December 31, 2019 and 2020.</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including: contemporaneous third-party valuations of our common stock, sales of our common and redeemable convertible preferred stock to third-party investors in arms-length transactions, our operating and financial performance,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17" w:right="339" w:bottom="1440" w:gutter="0" w:footer="0" w:header="0"/>
        </w:sectPr>
      </w:pPr>
    </w:p>
    <w:bookmarkStart w:id="316" w:name="page317"/>
    <w:bookmarkEnd w:id="316"/>
    <w:p>
      <w:pPr>
        <w:ind w:left="340"/>
        <w:spacing w:after="0"/>
        <w:rPr>
          <w:sz w:val="20"/>
          <w:szCs w:val="20"/>
          <w:color w:val="auto"/>
        </w:rPr>
      </w:pPr>
      <w:r>
        <w:rPr>
          <w:rFonts w:ascii="Arial" w:cs="Arial" w:eastAsia="Arial" w:hAnsi="Arial"/>
          <w:sz w:val="18"/>
          <w:szCs w:val="18"/>
          <w:color w:val="auto"/>
        </w:rPr>
        <w:t>valuation of comparable companies, the lack of marketability, and general and industry specific economic outlook, amongst other factors.</w:t>
      </w:r>
    </w:p>
    <w:p>
      <w:pPr>
        <w:spacing w:after="0" w:line="16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5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8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5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December 31, 2019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The market-based conditions are satisfied upon our achievement of specified initial public offering prices.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35" w:right="339" w:bottom="1440" w:gutter="0" w:footer="0" w:header="0"/>
        </w:sectPr>
      </w:pPr>
    </w:p>
    <w:bookmarkStart w:id="317" w:name="page318"/>
    <w:bookmarkEnd w:id="317"/>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December 31, 2019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(loss) per share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and diluted earnings per share are computed using the two-class method, which considers participating securities as a separate class of shares. Our participating securities consist of all series of our redeemable convertible preferred stock. Under the two-class method, net loss is not allocated to the redeemable convertible preferred stock as the preferred stockholders do not have a contractual obligation to share in our losses.</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include deposits with banks and money market funds that are not segregated and deposited for regulatory purposes or to meet margin requirements at clearinghouses.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losses in such accounts and we believe that we have placed our cash on deposit with financial institutions which are financially stable, we do not have an expectation of credit losses for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35"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b w:val="1"/>
          <w:bCs w:val="1"/>
          <w:i w:val="1"/>
          <w:iCs w:val="1"/>
          <w:color w:val="auto"/>
        </w:rPr>
        <w:t>Cash and securities segregated under federal and other regulations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required to segregate cash and/or qualified securities for the exclusive benefit of customers and proprietary accounts of brokers in accordance with the provision of Rule 15c3-3 under the Securities Exchange Act of 1934. We continually review the credit quality of our counterparties and have not experienced a default. As a result, we do not have an expectation of credit losses for these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cash</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These funds are restricted and have been classified as such on our consolidated balance sheets due to the nature of restriction.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85"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Receivables from brokers, dealers, and clearing organizations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Orders are trades which users have not specifically instructed to be routed to a particular venue for execution. These receivables are short term and settle within 30 days We continually review the credit quality of our counterparties and have not experienced a default. As a result, we do not have an expectation of credit losses for these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Receivables from users, net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 from users, net is primarily made up of margin receivables. Margin receivables are adequately collateralized by users’ marketable securities balances and are reported at their outstanding principal balance, net of an allowance for credit losses. We monitor margin levels and require users to deposit additional collateral, or reduce margin positions, to meet minimum collateral requirements and avoid automatic liquidation of their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17" w:right="339" w:bottom="1440" w:gutter="0" w:footer="0" w:header="0"/>
        </w:sectPr>
      </w:pPr>
    </w:p>
    <w:bookmarkStart w:id="319" w:name="page320"/>
    <w:bookmarkEnd w:id="319"/>
    <w:p>
      <w:pPr>
        <w:jc w:val="both"/>
        <w:ind w:firstLine="324"/>
        <w:spacing w:after="0" w:line="252"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margin loans. We have no expectation of credit losses for margin loans that are fully secured, where the fair value of the collateral securing the loans is equal to or in excess of the loaned amount. This is based on our assessment of the nature of the collateral (liquid investments actively traded), potential future changes in collateral values, and historical credit loss information relating to fully secured receivables. In cases where the fair value of the collateral is less than the outstanding margin balance, we recognize an allowance for credit losses in the amount of the difference, or unsecured balance, immediately when the user fails to meet their margin call. Based on historical experience, we have limited expectation of borrowers to replenish their collateral after not meeting a margin call.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record a full provision for credit losses on receivables from users due to Fraudulent Deposit Transactions. Due to the fraudulent nature of these transactions and based on historical experience, we have no expectation that we will collect these funds. As such, we record a provision for credit loss immediately for the full balance when a Fraudulent Deposit Transaction is identified.</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provision for credit losses is recorded as operations expense on the consolidated statement of operations. We write-off unsecured balances when the balance becomes outstanding for over 180 days.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 with clearing organizations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required to maintain cash collateral as deposits with clearing organizations such as Depository Trust &amp; Clearing Corporation and Options Clearing Corporation which allows us to use their security transactions services for trade comparison, clearance and settlement. The clearing organizations establish financial requirements, including deposits, to reduce their risk. The deposits may fluctuate significantly from time to time based upon the nature and size of users’ trading activity and market volatility. We earn interest on these deposits which is included as net interest revenues in the consolidated statements of operations. As we have not experienced historic defaults, we do not have an expectation of credit losses for these arrangements.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current assets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current assets primarily includes user-held fractional shares, and to a lesser extent securities owned by us for the Robinhood Referral Program, prepaid expenses and other receivables. We classify prepayments made under contracts as prepaid expenses and expense them over the contract terms. These prepaid expenses include items such as prepayments on clearing services, rent, insurance, regulatory fees, web services, data feed, research, and software subscriptions.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evaluate certain prepaid expenses and other current assets for credit losses based on historic events, current economic conditions, and our expectations of future economic conditions and record an allowance for credit loss to estimate uncollectible receivables. The allowance for credit losses for prepaid expenses and other assets were immaterial for all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referral program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Through our referral program, RHF credits referring and referred users with a stock reward, with the potential value of each share ranging from $ 2.50 to $225. Approximately 98% of users receive a stock reward having a value ranging from $2.50 to $10. Referring users can earn more than one reward through the Robinhood Referral Program, subject to a maximum of $500 in total rewards earned annually per user. Stock rewards are also available to users who sign up through paid marketing channels. In order for a reward to be earned by the referring and referred user, the referred user must fulfill certain conditions stated in their promotion, such as linking their bank account to the Robinhood platform. After the reward is earned, the user must claim their stock reward in the Robinhood app within 60 days of notification thereof, at which point the stock is deposited to such user’s Robinhood account. Users do not need to provide any cash consideration for the reward.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35" w:right="339" w:bottom="1440" w:gutter="0" w:footer="0" w:header="0"/>
        </w:sectPr>
      </w:pPr>
    </w:p>
    <w:bookmarkStart w:id="320" w:name="page321"/>
    <w:bookmarkEnd w:id="320"/>
    <w:p>
      <w:pPr>
        <w:jc w:val="both"/>
        <w:ind w:firstLine="324"/>
        <w:spacing w:after="0" w:line="252" w:lineRule="auto"/>
        <w:rPr>
          <w:sz w:val="20"/>
          <w:szCs w:val="20"/>
          <w:color w:val="auto"/>
        </w:rPr>
      </w:pPr>
      <w:r>
        <w:rPr>
          <w:rFonts w:ascii="Arial" w:cs="Arial" w:eastAsia="Arial" w:hAnsi="Arial"/>
          <w:sz w:val="18"/>
          <w:szCs w:val="18"/>
          <w:color w:val="auto"/>
        </w:rPr>
        <w:t>The stock reward is a share or shares, selected randomly from our previously purchased inventory of settled shares held exclusively for this program, which are included in other current assets in our consolidated balance sheets. Each stock reward is assigned at the time the reward is earned and each share cannot be associated with more than one reward at a time. Our inventory of settled shares is initially recorded at cost and marked to fair market value at each reporting period. As the inventory of shares are held specifically for the referral program and not as investments of the Company, gains and losses from changes in the fair market value of the shares are recorded within marketing expense in our consolidated statement of operations until the reward is claimed. Shares are derecognized when they are claimed by the user and delivered to the users’ account.</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an accrued liability within other current liabilities in our consolidated balance sheets at the time the bank account is linked with the expense recorded within marketing expense in our consolidated statement of operations. The liability is initially recorded at the fair market value of the assigned share or shares upon the reward being earned by the referred user (i.e., upon bank linkage) and marked to fair market value until claimed or reversed, with gains and losses also recorded within marketing expense. The liability is derecognized when the share is claimed by the user and delivered to the users’ account. If a user does not claim the stock reward within 60 days of being notified, such reward expires and the liability is reversed. We estimate the amount of unclaimed rewards expected at each reporting period, using historical trends and data, and adjust the accrued liability and marketing expense accordingly.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Fractional share program</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recorded within other current assets on our consolidated balance sheets and an offsetting liability to repurchase the shares, recorded within other current liabilities on our consolidated balance sheets, as we concluded that we did not meet the criteria for derecognition under the accounting guidance. We measure our inventory of securities, user-held fractional shares and our repurchase obligation at fair value at each reporting period, with realized and unrealized gains and losses, which totaled $3.0 million for the year ended December 31, 2020, recorded in brokerage and transaction expenses in our consolidated statement of operations. We do not earn revenue from our users when they purchase or sell fractional shares from us. We earn transaction-based revenue when shares are purchased from market makers to fulfill fractional share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software and equipment</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Property, Software, and Equipment</w:t>
            </w:r>
          </w:p>
        </w:tc>
        <w:tc>
          <w:tcPr>
            <w:tcW w:w="100" w:type="dxa"/>
            <w:vAlign w:val="bottom"/>
            <w:tcBorders>
              <w:bottom w:val="single" w:sz="8" w:color="CCEEFF"/>
            </w:tcBorders>
          </w:tcPr>
          <w:p>
            <w:pPr>
              <w:spacing w:after="0"/>
              <w:rPr>
                <w:sz w:val="16"/>
                <w:szCs w:val="16"/>
                <w:color w:val="auto"/>
              </w:rPr>
            </w:pPr>
          </w:p>
        </w:tc>
        <w:tc>
          <w:tcPr>
            <w:tcW w:w="55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Shorter of estimated useful life or lease term</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560" w:type="dxa"/>
            <w:vAlign w:val="bottom"/>
          </w:tcPr>
          <w:p>
            <w:pPr>
              <w:ind w:left="20"/>
              <w:spacing w:after="0"/>
              <w:rPr>
                <w:sz w:val="20"/>
                <w:szCs w:val="20"/>
                <w:color w:val="auto"/>
              </w:rPr>
            </w:pPr>
            <w:r>
              <w:rPr>
                <w:rFonts w:ascii="Arial" w:cs="Arial" w:eastAsia="Arial" w:hAnsi="Arial"/>
                <w:sz w:val="18"/>
                <w:szCs w:val="18"/>
                <w:color w:val="auto"/>
              </w:rPr>
              <w:t>3 years</w:t>
            </w: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35" w:right="3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t>depreciation are removed from the accounts and any gains or losses arising from such transactions are recognized.</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 of use asset and the accretion of lease liability as rent expense and allocate as overhead in the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Payables to users</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borrowed and loaned</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Securities borrowed and loaned result from transactions with other brokers, dealers or financial institutions. Securities borrowing transactions require us to deposit cash with the lender whereas securities lending transactions result in us receiving cash collateral, with both requiring cash in an amount generally in excess of the market value of the securities. We earn interest revenue on cash collateral deposited with us, and can earn or incur additional revenue or expense for lending certain securities based on demand for that security. All securities borrow and loan transactions have an open contractual term and, upon notice by either party, may be terminated within three business days. We manage risks associated with our securities lending and borrowing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Options Clearing Corporation. Our securities lending transactions are subject to enforceable master netting arrangements with other broker-dealers, however; we do not net securities lending transactions. We apply the practical expedient based on collateral maintenance provisions in estimating an allowance for credit losses for securities borrowed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35" w:right="339" w:bottom="1440" w:gutter="0" w:footer="0" w:header="0"/>
        </w:sectPr>
      </w:pPr>
    </w:p>
    <w:bookmarkStart w:id="322" w:name="page323"/>
    <w:bookmarkEnd w:id="322"/>
    <w:p>
      <w:pPr>
        <w:spacing w:after="0"/>
        <w:rPr>
          <w:sz w:val="20"/>
          <w:szCs w:val="20"/>
          <w:color w:val="auto"/>
        </w:rPr>
      </w:pPr>
      <w:r>
        <w:rPr>
          <w:rFonts w:ascii="Arial" w:cs="Arial" w:eastAsia="Arial" w:hAnsi="Arial"/>
          <w:sz w:val="22"/>
          <w:szCs w:val="22"/>
          <w:b w:val="1"/>
          <w:bCs w:val="1"/>
          <w:i w:val="1"/>
          <w:iCs w:val="1"/>
          <w:color w:val="auto"/>
        </w:rPr>
        <w:t>Other current liabilities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current liabilities primarily includes repurchase obligations related to our fractional share program. For our fractional shares program, we concluded that we did not meet the criteria for transfers under the accounting guidance, accordingly our repurchase obligations are presented in our consolidated balance sheets as a liability.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Cryptocurrencies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 as an agent in the cryptocurrency transactions of our users. We have determined we are an agent because we do not control the cryptocurrency before delivery to the user, we are not primarily responsible for the delivery of cryptocurrency to our users, we are not exposed to risks arising from fluctuations of the market price of cryptocurrency before delivery to the customer and we do not set the prices charged to users.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Users are the legal owners of cryptocurrency held under custody by us and users have all the rights and benefits of ownership, including the rights to appreciation and depreciation of the cryptocurrency. As such, the cryptocurrency we hold in custody on behalf of our users is not reflected on our consolidated balance sheets. We do not allow users to purchase cryptocurrency on margin. We hold cryptocurrency in custody for our users’ accounts in one or more omnibus cryptocurrency wallets.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17" w:right="339" w:bottom="1440" w:gutter="0" w:footer="0" w:header="0"/>
        </w:sectPr>
      </w:pPr>
    </w:p>
    <w:bookmarkStart w:id="323" w:name="page324"/>
    <w:bookmarkEnd w:id="323"/>
    <w:p>
      <w:pPr>
        <w:spacing w:after="0"/>
        <w:rPr>
          <w:sz w:val="20"/>
          <w:szCs w:val="20"/>
          <w:color w:val="auto"/>
        </w:rPr>
      </w:pPr>
      <w:r>
        <w:rPr>
          <w:rFonts w:ascii="Arial" w:cs="Arial" w:eastAsia="Arial" w:hAnsi="Arial"/>
          <w:sz w:val="25"/>
          <w:szCs w:val="25"/>
          <w:color w:val="auto"/>
        </w:rPr>
        <w:t>NOTE 2: 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2016, the Financial Accounting Standards Board (“FASB”) issued Accounting Standard Update (“ASU”) 2016-02, Leases. This guidance requires lessees to recognize a lease liability and a corresponding right-of-use asset on the balance sheet for operating leases with a term greater than one year. This guidance is effective for fiscal years beginning after December 15, 2018, including interim periods within those fiscal years. Early adoption is permitted. We adopted this guidance effective January 1, 2019 using the optional transition method. Pursuant to the practical expedients, we elected not to reassess: (i) whether expired or existing contracts are or contain leases, (ii) the lease classification for any expired or existing leases, or, (iii) initial direct costs for any existing leases. Upon adoption, we recognized $19.3 million of operating right-of-use lease assets and $25.5 million of operating lease liabilities on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 on Financial Instruments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on Financial Instruments. This guidance requires entities to use a current expected credit loss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within the scope of the standard. The entity’s estimate would consider relevant information about past events, current condition and reasonable and supportable forecasts, which all result in recognition of lifetime expected credit losses. This guidance is effective for fiscal years beginning after December 15, 2019, including interim periods within those fiscal years. Early adoption is permitted. We adopted this guidance effective January 1, 2020. The adoption of the guidance did not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Accounting for Implementation Costs Incurred in a Cloud Computing Arrangement That Is a Service Contract</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2018, the FASB issued ASU 2018-15, Intangibles - Goodwill and Other - Internal-Use Software: Customer’s Accounting for Implementation Costs Incurred in a Cloud Computing Arrangement That Is a Service Contract, which requires a customer in a hosting arrangement that is a service contract to follow the internal-use software guidance to determine which implementation costs should be capitalized. This guidance is effective for fiscal years beginning after December 15, 2019, including interim periods within those fiscal years. Early adoption is permitted. We adopted this guidance effective January 1, 2020 using the prospective transition method. The adoption of the guidance did not have a material impact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Accounting for Income Taxes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2019, the FASB issued ASU 2019-12, Income Taxes: Simplifying Accounting for Income Taxes. This guidance simplifies the accounting for income taxes as part of its overall initiative to reduce complexity in accounting standards. Amendments include removal of certain exceptions to the general principles of ASC 740, Income Taxes, and simplification in several other areas such as accounting for a franchise tax (or similar tax) that is partially based on income. The guidance is effective for fiscal years beginning after December 15, 2021, and interim periods within fiscal years beginning after December 15, 2022. Early adoption is permitted. We early adopted the standard effective April 1, 2020 and it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37" w:right="339" w:bottom="1440" w:gutter="0" w:footer="0" w:header="0"/>
        </w:sectPr>
      </w:pPr>
    </w:p>
    <w:bookmarkStart w:id="324" w:name="page325"/>
    <w:bookmarkEnd w:id="324"/>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This guidance simplifies the accounting for convertible instruments by reducing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are evaluating the impact of this guidance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NOTE 3: REVENUES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110,656</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440,070</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50,688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251,200</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9,487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26,708</w:t>
            </w:r>
          </w:p>
        </w:tc>
      </w:tr>
      <w:tr>
        <w:trPr>
          <w:trHeight w:val="229"/>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2,155</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170,831</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720,133</w:t>
            </w: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98,165</w:t>
            </w:r>
          </w:p>
        </w:tc>
      </w:tr>
      <w:tr>
        <w:trPr>
          <w:trHeight w:val="229"/>
        </w:trPr>
        <w:tc>
          <w:tcPr>
            <w:tcW w:w="794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19,104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66,781</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36,281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13,401</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Other interest revenue</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3,972</w:t>
            </w:r>
          </w:p>
        </w:tc>
      </w:tr>
      <w:tr>
        <w:trPr>
          <w:trHeight w:val="230"/>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(4,882)</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70,639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177,437</w:t>
            </w:r>
          </w:p>
        </w:tc>
      </w:tr>
      <w:tr>
        <w:trPr>
          <w:trHeight w:val="236"/>
        </w:trPr>
        <w:tc>
          <w:tcPr>
            <w:tcW w:w="79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36,063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61,263</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277,533</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958,833</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17" w:right="3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as timing of payments from counterparties remained consistent.</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liabilities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Increase/(decrease) in contract liabilities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in the years ended December 31, 2019 and 2020. The difference between the opening and ending balance of our contract liability balances primarily results from the increase in subscription users and/or the timing difference between our performance and payments from the users.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Deposit Transactions and to a lesser extent, losses on margin borrowings,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17,122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59,134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(42,164)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years ended December 31, 2019 and 2020, the provision for credit losses related to unsecured balances from users was $11.1 million and $ 58.0 million while the remaining $ 1.1 million related to December 31, 2020 was related to other receivables. As of December 31, 2019 and 2020, the ending allowance for credit losses related to unsecured balances of receivables from users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17" w:right="339" w:bottom="1440" w:gutter="0" w:footer="0" w:header="0"/>
        </w:sectPr>
      </w:pPr>
    </w:p>
    <w:bookmarkStart w:id="326" w:name="page327"/>
    <w:bookmarkEnd w:id="326"/>
    <w:p>
      <w:pPr>
        <w:jc w:val="both"/>
        <w:spacing w:after="0" w:line="261" w:lineRule="auto"/>
        <w:rPr>
          <w:sz w:val="20"/>
          <w:szCs w:val="20"/>
          <w:color w:val="auto"/>
        </w:rPr>
      </w:pPr>
      <w:r>
        <w:rPr>
          <w:rFonts w:ascii="Arial" w:cs="Arial" w:eastAsia="Arial" w:hAnsi="Arial"/>
          <w:sz w:val="18"/>
          <w:szCs w:val="18"/>
          <w:color w:val="auto"/>
        </w:rPr>
        <w:t>$17.1 million and $33.5 million while the remaining $0.6 million in allowance for the year ended December 31, 2020 was related to other receivables.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year ended December 31, 2020, we implemented our policy to write-off unsecured balances when the balance becomes outstanding for over 180 days. Previously, we did not have sufficient historical information to provide a reasonable basis upon which to write off balances.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2019 and 2020 are also measured at fair value. We have evaluated the estimated fair value of financial instruments using available market information.</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2020, the types of instruments valued based on quoted market prices for the same instrument in active markets include money market funds and publicly traded stocks owned by us. Such instruments are classified within Level 1 of the fair value hierarchy.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instruments classified within Level 2 or Level 3 as of December 31, 2019 and 2020.</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assets measured at fair value on a recurring basis as of the date indicated below were presented on our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w w:val="95"/>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134,994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liabilities measured at fair value on a recurring basis as of the date indicated below were presented on our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5"/>
              <w:spacing w:after="0"/>
              <w:rPr>
                <w:sz w:val="20"/>
                <w:szCs w:val="20"/>
                <w:color w:val="auto"/>
              </w:rPr>
            </w:pPr>
            <w:r>
              <w:rPr>
                <w:rFonts w:ascii="Arial" w:cs="Arial" w:eastAsia="Arial" w:hAnsi="Arial"/>
                <w:sz w:val="14"/>
                <w:szCs w:val="14"/>
                <w:b w:val="1"/>
                <w:bCs w:val="1"/>
                <w:color w:val="auto"/>
                <w:w w:val="95"/>
              </w:rPr>
              <w:t>Total</w:t>
            </w: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35" w:right="339" w:bottom="1440" w:gutter="0" w:footer="0" w:header="0"/>
        </w:sectPr>
      </w:pPr>
    </w:p>
    <w:bookmarkStart w:id="327" w:name="page328"/>
    <w:bookmarkEnd w:id="327"/>
    <w:p>
      <w:pPr>
        <w:ind w:firstLine="324"/>
        <w:spacing w:after="0" w:line="261" w:lineRule="auto"/>
        <w:rPr>
          <w:sz w:val="20"/>
          <w:szCs w:val="20"/>
          <w:color w:val="auto"/>
        </w:rPr>
      </w:pPr>
      <w:r>
        <w:rPr>
          <w:rFonts w:ascii="Arial" w:cs="Arial" w:eastAsia="Arial" w:hAnsi="Arial"/>
          <w:sz w:val="18"/>
          <w:szCs w:val="18"/>
          <w:color w:val="auto"/>
        </w:rPr>
        <w:t>During the years ended December 31, 2019 and 2020,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components of the provision for (benefit from) income taxes were as follows: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federal statutory income tax to our provision for (benefit from) income taxes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 at statutory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Tender offer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35" w:right="339" w:bottom="1440" w:gutter="0" w:footer="0" w:header="0"/>
        </w:sectPr>
      </w:pPr>
    </w:p>
    <w:bookmarkStart w:id="328" w:name="page329"/>
    <w:bookmarkEnd w:id="328"/>
    <w:p>
      <w:pPr>
        <w:ind w:left="340"/>
        <w:spacing w:after="0"/>
        <w:rPr>
          <w:sz w:val="20"/>
          <w:szCs w:val="20"/>
          <w:color w:val="auto"/>
        </w:rPr>
      </w:pPr>
      <w:r>
        <w:rPr>
          <w:rFonts w:ascii="Arial" w:cs="Arial" w:eastAsia="Arial" w:hAnsi="Arial"/>
          <w:sz w:val="18"/>
          <w:szCs w:val="18"/>
          <w:color w:val="auto"/>
        </w:rPr>
        <w:t>Significant components of our deferred tax assets and liabilities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Accruals and other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14,849</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47,351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(12,551)</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all available evidence for the year ending December 31, 2020, we believe it is more likely than not that the tax benefits of the remaining U.S. federal and state net deferred tax assets may not be realized, and accordingly, the net deferred tax assets have been fully offset by a valuation allowance. The valuation allowance decreased by approximately $8.3 million for the year ended December 31, 2020.</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we have U.S. state net operating loss carryforwards of $32.3 million that will begin to expire in 2034, if not utilized, and non-U.S. net operating loss carryforwards of $4.7 million that do not expire. We have U.S. federal tax credit carryforwards of $8.5 million that will begin to expire in 2040, if not utilized, and state tax credit carryforwards of $9.3 million that do not expire.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had unrecognized tax benefits of approximately $2.2 million and $7.4 million as of December 31, 2019 and 2020. These unrecognized tax benefits, if recognized, would not affect the effective tax rate. We record interest and penalties related to unrecognized tax benefits in income tax expense. There were no interest or penalties during the years ended December 31, 2019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beginning and ending amount of unrecognized tax benefits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Gross increases - current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4,395</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increases - prior year tax 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Unrecognized benefit - end of period</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35" w:right="339" w:bottom="1440" w:gutter="0" w:footer="0" w:header="0"/>
        </w:sectPr>
      </w:pPr>
    </w:p>
    <w:bookmarkStart w:id="329" w:name="page330"/>
    <w:bookmarkEnd w:id="329"/>
    <w:p>
      <w:pPr>
        <w:jc w:val="both"/>
        <w:ind w:firstLine="324"/>
        <w:spacing w:after="0" w:line="256"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carryover of unused net operating losses and tax credits. The tax years from 2018 remain open for the most significant foreign jurisdiction.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2020, the President of the United States signed into law the Coronavirus Aid, Relief, and Economic Security Act (the “CARES Act”). The recent tax law changes provided under the CARES Act do not materially impact our income tax provision, and do not change our evaluation of the valuation allowance against deferred tax assets in the U.S. as of December 31, 2020.</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2020, the Governor of California signed Assembly Bill No. 85 (“AB 85”) as part of California’s 2020 Budget Act. AB 85 temporarily suspends the use of California net operating losses and imposes a cap on the amount of business incentive tax credits companies can utilize against their net income. The recent tax legislation changes provided under AB 85 do not materially impact our income tax provision and do not change our evaluation of the valuation allowance against deferred tax assets in California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year ended December 31, 2019 and 2020 was $2.1 million and $5.7 million.</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year ended December 31, 2019 and 2020 was $3.3 million and $4.2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financial instruments are eligible for offset on our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 same counterparty that is enforceable in the event of a default or bankruptcy. Our policy is to recognize amounts subject to master netting arrangements on a gross basis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35" w:right="339" w:bottom="1440" w:gutter="0" w:footer="0" w:header="0"/>
        </w:sectPr>
      </w:pPr>
    </w:p>
    <w:bookmarkStart w:id="330" w:name="page331"/>
    <w:bookmarkEnd w:id="330"/>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center"/>
              <w:ind w:right="291"/>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consolidated balance sheets</w:t>
            </w:r>
            <w:r>
              <w:rPr>
                <w:rFonts w:ascii="Arial" w:cs="Arial" w:eastAsia="Arial" w:hAnsi="Arial"/>
                <w:sz w:val="23"/>
                <w:szCs w:val="23"/>
                <w:color w:val="auto"/>
                <w:vertAlign w:val="superscript"/>
              </w:rPr>
              <w:t>(1)</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Securities loaned</w:t>
            </w:r>
          </w:p>
        </w:tc>
        <w:tc>
          <w:tcPr>
            <w:tcW w:w="1000" w:type="dxa"/>
            <w:vAlign w:val="bottom"/>
            <w:tcBorders>
              <w:bottom w:val="single" w:sz="8" w:color="auto"/>
            </w:tcBorders>
          </w:tcPr>
          <w:p>
            <w:pPr>
              <w:spacing w:after="0"/>
              <w:rPr>
                <w:sz w:val="24"/>
                <w:szCs w:val="24"/>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(654,589)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consolidated balance sheets.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2019 and 2020, we were permitted to re-pledge securities with a fair value of $896.2 million and $4,632.6 million under the margin agreements and $0.4 million and $0.4 million under the master securities lending agreement. Gross obligations for securities loaned transactions are pledged entirely with collateral in the form of equity and have an open contractual maturity.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802,483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17,159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28,629</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3,222</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8,186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16,804</w:t>
            </w:r>
          </w:p>
        </w:tc>
      </w:tr>
      <w:tr>
        <w:trPr>
          <w:trHeight w:val="248"/>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28,342</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851,138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35" w:right="339" w:bottom="1440" w:gutter="0" w:footer="0" w:header="0"/>
        </w:sectPr>
      </w:pPr>
    </w:p>
    <w:bookmarkStart w:id="331" w:name="page332"/>
    <w:bookmarkEnd w:id="331"/>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we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we were obligated to pay a commitment fee calculated as a per annum rate equal to 0.35% on any unused amount of the credit facility. The June 2019 Credit Facility was terminated in September 2019.</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2019 and 2020.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2019 and 2020. Additionally, we are obligated to pay a commitment fee calculated as a per annum rate equal to 0.10% on any unused amount of the October 2019 Credit Facility.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2019 and 2020.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37" w:right="339" w:bottom="1440" w:gutter="0" w:footer="0" w:header="0"/>
        </w:sectPr>
      </w:pPr>
    </w:p>
    <w:bookmarkStart w:id="332" w:name="page333"/>
    <w:bookmarkEnd w:id="332"/>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authorized 414,033,220 shares of redeemable convertible preferred stock, designated in series, with the rights and preferences of each designated series determined by our Board of Directors as of December 31, 2020.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263,826,920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160,526,040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87,576,360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71,549,522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59,854,820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643,333,662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321,626,778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912,411</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37" w:right="339" w:bottom="1440" w:gutter="0" w:footer="0" w:header="0"/>
        </w:sectPr>
      </w:pPr>
    </w:p>
    <w:bookmarkStart w:id="333" w:name="page334"/>
    <w:bookmarkEnd w:id="333"/>
    <w:p>
      <w:pPr>
        <w:jc w:val="both"/>
        <w:spacing w:after="0" w:line="261" w:lineRule="auto"/>
        <w:rPr>
          <w:sz w:val="20"/>
          <w:szCs w:val="20"/>
          <w:color w:val="auto"/>
        </w:rPr>
      </w:pPr>
      <w:r>
        <w:rPr>
          <w:rFonts w:ascii="Arial" w:cs="Arial" w:eastAsia="Arial" w:hAnsi="Arial"/>
          <w:sz w:val="18"/>
          <w:szCs w:val="18"/>
          <w:color w:val="auto"/>
        </w:rPr>
        <w:t>Series F and Series G redeemable convertible preferred stock have no voting rights with respect to the election of members of the Board of Directors or the determination of the size of the Board of Directors.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and G redeemable convertible preferred stock (each voting exclusively and as a separate class), (iii) the holders of at least 60% of the then outstanding shares of Series D and E redeemable convertible preferred stock (each voting exclusively and as a separate class), and (iv) the holders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35" w:right="3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t>least 65% of the then outstanding shares of Series A redeemable convertible preferred stock (voting exclusively and as a separate class).</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and G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December 31, 2020.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35" w:right="339" w:bottom="1440" w:gutter="0" w:footer="0" w:header="0"/>
        </w:sectPr>
      </w:pPr>
    </w:p>
    <w:bookmarkStart w:id="335" w:name="page336"/>
    <w:bookmarkEnd w:id="335"/>
    <w:p>
      <w:pPr>
        <w:jc w:val="both"/>
        <w:spacing w:after="0" w:line="251" w:lineRule="auto"/>
        <w:rPr>
          <w:sz w:val="20"/>
          <w:szCs w:val="20"/>
          <w:color w:val="auto"/>
        </w:rPr>
      </w:pPr>
      <w:r>
        <w:rPr>
          <w:rFonts w:ascii="Arial" w:cs="Arial" w:eastAsia="Arial" w:hAnsi="Arial"/>
          <w:sz w:val="18"/>
          <w:szCs w:val="18"/>
          <w:color w:val="auto"/>
        </w:rPr>
        <w:t>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over a four-year term from the date of grant, at a rate of 25% after one year, then quarterly on a straight-line basis thereafter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 Plan authorized 154,289,164 shares of common stock to be reserved for issuance on the exercise or settlement of equity awards, of which the right to purchase 14,022,717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Granted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324,442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Options vested and expected to vest at December 31,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21,543,828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vMerge w:val="continue"/>
          </w:tcPr>
          <w:p>
            <w:pPr>
              <w:spacing w:after="0"/>
              <w:rPr>
                <w:sz w:val="16"/>
                <w:szCs w:val="16"/>
                <w:color w:val="auto"/>
              </w:rPr>
            </w:pPr>
          </w:p>
        </w:tc>
        <w:tc>
          <w:tcPr>
            <w:tcW w:w="2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0"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6"/>
                <w:szCs w:val="16"/>
                <w:color w:val="auto"/>
              </w:rPr>
            </w:pP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6.52</w:t>
            </w:r>
          </w:p>
        </w:tc>
        <w:tc>
          <w:tcPr>
            <w:tcW w:w="100" w:type="dxa"/>
            <w:vAlign w:val="bottom"/>
          </w:tcPr>
          <w:p>
            <w:pPr>
              <w:spacing w:after="0"/>
              <w:rPr>
                <w:sz w:val="16"/>
                <w:szCs w:val="16"/>
                <w:color w:val="auto"/>
              </w:rPr>
            </w:pPr>
          </w:p>
        </w:tc>
        <w:tc>
          <w:tcPr>
            <w:tcW w:w="480" w:type="dxa"/>
            <w:vAlign w:val="bottom"/>
          </w:tcPr>
          <w:p>
            <w:pPr>
              <w:jc w:val="right"/>
              <w:ind w:right="274"/>
              <w:spacing w:after="0" w:line="190"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18,793,618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Aggregate intrinsic value represents the difference between our estimated fair value of its common stock and the exercise price of outstanding, “in-the-money” options. Aggregate intrinsic value for stock options exercised in the years ended December 31, 2019 and 2020 was $29.0 million and $45.0 million. The total fair value of shares vested during the year ended December 31, 2019 and 2020 was $7.8 million and $6.5 million.</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total weighted average grant-date fair value of options granted was $2.31 and $3.64 and for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35" w:right="3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year ended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24,024,214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27,492,086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December 31, 2019 and 2020.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stock options was estimated using the Black-Scholes option-pricing model with the following weighted-average assumptions:</w:t>
      </w:r>
    </w:p>
    <w:p>
      <w:pPr>
        <w:spacing w:after="0" w:line="185"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2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31.20 %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6.04</w:t>
            </w: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2019 and 2020, we capitalized $0.7 million and $0.6 million in share-based compensation expense related to internally developed software.</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2020, subsequent to the sale of our Series G redeemable convertible preferred stock, certain employees sold shares of common stock to new and existing stockholders in a tender offer (“the 2020 Tender”). The 2020 Tender closed on November 13, 2020, when existing employees sold 1.4 million shares of our common stock for an aggregate purchase price of $21.5 million. With the 2020 Tender Offer, we believe that we had established a pattern of cash settlement of immature shares and stock options only during a very discrete set of circumstances in which we opened a tender offer in conjunction with a preferred stock financing. As such, during the 2020 Tender Offer period, we recorded a liability equal to the fair value of the maximum number of options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17" w:right="339" w:bottom="1440" w:gutter="0" w:footer="0" w:header="0"/>
        </w:sectPr>
      </w:pPr>
    </w:p>
    <w:bookmarkStart w:id="337" w:name="page338"/>
    <w:bookmarkEnd w:id="337"/>
    <w:p>
      <w:pPr>
        <w:jc w:val="both"/>
        <w:spacing w:after="0" w:line="254" w:lineRule="auto"/>
        <w:rPr>
          <w:sz w:val="20"/>
          <w:szCs w:val="20"/>
          <w:color w:val="auto"/>
        </w:rPr>
      </w:pPr>
      <w:r>
        <w:rPr>
          <w:rFonts w:ascii="Arial" w:cs="Arial" w:eastAsia="Arial" w:hAnsi="Arial"/>
          <w:sz w:val="18"/>
          <w:szCs w:val="18"/>
          <w:color w:val="auto"/>
        </w:rPr>
        <w:t>immature shares that could have been redeemed in the tender offer. To the extent that this liability exceeded amounts previously recognized in equity, the excess was recognized as additional share-based compensation expense. Following the closing of the 2020 Tender Offer, the remaining liability of $18.6 million was reclassified to additional paid-in capital. We recorded share-based compensation expense of $17.2 million in connection with this tender offer in the year ended December 31, 2020.</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year ended December 31, 2019, subsequent to the sale of our Series E redeemable convertible preferred stock, certain employees sold shares of common stock to new and existing stockholders in a tender offer (“the 2019 Tender”). The 2019 Tender closed on September 9, 2019, when existing employees sold 5.4 million shares of our common stock for an aggregate purchase price of $67.6 million. As the share price paid in the 2019 Tender was in excess of fair value and a portion of the purchasers were existing stockholders, we recorded share-based compensation expense of $18.7 million for the year ended December 31, 2019.</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November 2019, we modified certain stock option grants to extend the post-termination exercise period for 125 employees. During the years ended December 31, 2019 and 2020, share-based compensation expense included $0.8 million and $1.8 million as a result of the modification. We will incur an additional $1.3 million of share-based compensation expense over the remaining vesting periods of these impacted options.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there was $7.8 million of unrecognized compensation cost related to outstanding stock options that is expected to be recognized over a weighted-average period of 1.22 years.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As of December 31, 2019 and 2020, no share-based compensation expense had been recognized for such awards with a performance condition based on the occurrence of a qualifying event, such as an IPO, as such qualifying event was not probable. The total unrecognized share-based compensation expense related to these awards was $517.7 million as of December 31, 2020. Of this amount, $ 207.2 million relates to awards for which the time-based vesting condition has been satisfied or partially satisfied while $310.5 million relates to awards for which the time-based vesting condition had not yet been satisfied.</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and 2019,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December 31, 2020. Of this amount, $2.8 million relates to awards for which the time-based vesting condition had been satisfied or partially satisfied, $ 1.2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35" w:right="339" w:bottom="1440" w:gutter="0" w:footer="0" w:header="0"/>
        </w:sectPr>
      </w:pPr>
    </w:p>
    <w:bookmarkStart w:id="338" w:name="page339"/>
    <w:bookmarkEnd w:id="338"/>
    <w:p>
      <w:pPr>
        <w:spacing w:after="0"/>
        <w:rPr>
          <w:sz w:val="20"/>
          <w:szCs w:val="20"/>
          <w:color w:val="auto"/>
        </w:rPr>
      </w:pPr>
      <w:r>
        <w:rPr>
          <w:rFonts w:ascii="Arial" w:cs="Arial" w:eastAsia="Arial" w:hAnsi="Arial"/>
          <w:sz w:val="25"/>
          <w:szCs w:val="25"/>
          <w:color w:val="auto"/>
        </w:rPr>
        <w:t>NOTE 12 - INCOME (LOSS) PER SHARE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allocation of earnings to participating securities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Dilutive effect of stock options and unvested shares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19,249,033</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diluted</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which were not satisfied by the end of the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51,687,872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75,375,307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401,678,423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488,186,709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Aside from the 2019 and 2020 Tenders discussed in Note 11 - Mezzanine equity, common stock and stockholders’ deficit, no other material related party transaction has taken place during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2 year to 11 years, and many leases include one or more options to renew. We do not assume renewals in our determination of the lease term unless the renewals are deemed to be reasonably assured at lease commencement. We do</w:t>
      </w:r>
    </w:p>
    <w:p>
      <w:pPr>
        <w:sectPr>
          <w:pgSz w:w="11900" w:h="16838" w:orient="portrait"/>
          <w:cols w:equalWidth="0" w:num="1">
            <w:col w:w="11240"/>
          </w:cols>
          <w:pgMar w:left="320" w:top="14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1437" w:right="339" w:bottom="1440" w:gutter="0" w:footer="0" w:header="0"/>
          <w:type w:val="continuous"/>
        </w:sectPr>
      </w:pPr>
    </w:p>
    <w:bookmarkStart w:id="339" w:name="page340"/>
    <w:bookmarkEnd w:id="339"/>
    <w:p>
      <w:pPr>
        <w:jc w:val="both"/>
        <w:spacing w:after="0" w:line="256" w:lineRule="auto"/>
        <w:rPr>
          <w:sz w:val="20"/>
          <w:szCs w:val="20"/>
          <w:color w:val="auto"/>
        </w:rPr>
      </w:pPr>
      <w:r>
        <w:rPr>
          <w:rFonts w:ascii="Arial" w:cs="Arial" w:eastAsia="Arial" w:hAnsi="Arial"/>
          <w:sz w:val="18"/>
          <w:szCs w:val="18"/>
          <w:color w:val="auto"/>
        </w:rPr>
        <w:t>not have any finance leases. As of December 31, 2019 and 2020 we had $31.2 million and $49.2 million of operating right-of-use assets included as other non-current assets and $37.8 million and $54.1 million of operating lease liabilities: $10.4 million and $6.1 million included as other current liabilities and $27.4 million and $48.0 million as other non-current liabilities in the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years</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4,755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12,781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14,816</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25,958</w:t>
            </w: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16,590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72,872</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r>
      <w:tr>
        <w:trPr>
          <w:trHeight w:val="223"/>
        </w:trPr>
        <w:tc>
          <w:tcPr>
            <w:tcW w:w="966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54,081</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35" w:right="339" w:bottom="1440" w:gutter="0" w:footer="0" w:header="0"/>
        </w:sectPr>
      </w:pPr>
    </w:p>
    <w:bookmarkStart w:id="340" w:name="page341"/>
    <w:bookmarkEnd w:id="340"/>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Beginning on December 23, 2020, four putative securities fraud class action lawsuits were filed against RHM, RHF, and/or RHS. Three were filed in the United States District Court for the Northern District of California: </w:t>
      </w:r>
      <w:r>
        <w:rPr>
          <w:rFonts w:ascii="Arial" w:cs="Arial" w:eastAsia="Arial" w:hAnsi="Arial"/>
          <w:sz w:val="18"/>
          <w:szCs w:val="18"/>
          <w:i w:val="1"/>
          <w:iCs w:val="1"/>
          <w:color w:val="auto"/>
        </w:rPr>
        <w:t>Kwon v. Robinhood Financial LLC et al., Luparello v.</w:t>
      </w:r>
      <w:r>
        <w:rPr>
          <w:rFonts w:ascii="Arial" w:cs="Arial" w:eastAsia="Arial" w:hAnsi="Arial"/>
          <w:sz w:val="18"/>
          <w:szCs w:val="18"/>
          <w:color w:val="auto"/>
        </w:rPr>
        <w:t xml:space="preserve"> </w:t>
      </w:r>
      <w:r>
        <w:rPr>
          <w:rFonts w:ascii="Arial" w:cs="Arial" w:eastAsia="Arial" w:hAnsi="Arial"/>
          <w:sz w:val="18"/>
          <w:szCs w:val="18"/>
          <w:i w:val="1"/>
          <w:iCs w:val="1"/>
          <w:color w:val="auto"/>
        </w:rPr>
        <w:t>Robinhood Financial LLC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Nabi v. Robinhood Financial LLC et al</w:t>
      </w:r>
      <w:r>
        <w:rPr>
          <w:rFonts w:ascii="Arial" w:cs="Arial" w:eastAsia="Arial" w:hAnsi="Arial"/>
          <w:sz w:val="18"/>
          <w:szCs w:val="18"/>
          <w:color w:val="auto"/>
        </w:rPr>
        <w:t>. One was filed in the United States District Court for the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District of California, but has since been transferred to the Northern District: </w:t>
      </w:r>
      <w:r>
        <w:rPr>
          <w:rFonts w:ascii="Arial" w:cs="Arial" w:eastAsia="Arial" w:hAnsi="Arial"/>
          <w:sz w:val="18"/>
          <w:szCs w:val="18"/>
          <w:i w:val="1"/>
          <w:iCs w:val="1"/>
          <w:color w:val="auto"/>
        </w:rPr>
        <w:t>Ghebrehiwet v. Robinhood Financial LLC et al</w:t>
      </w:r>
      <w:r>
        <w:rPr>
          <w:rFonts w:ascii="Arial" w:cs="Arial" w:eastAsia="Arial" w:hAnsi="Arial"/>
          <w:sz w:val="18"/>
          <w:szCs w:val="18"/>
          <w:color w:val="auto"/>
        </w:rPr>
        <w:t>. The lawsuits generally allege that we violated the duty of best execution and misled putative class members by publishing misleading statements and omissions in customer communications relating to the execution of trades and revenue sources (including payment for order flow). The three complaints originally filed in the Northern District of California assert claims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17" w:right="339" w:bottom="1440" w:gutter="0" w:footer="0" w:header="0"/>
        </w:sectPr>
      </w:pPr>
    </w:p>
    <w:bookmarkStart w:id="341" w:name="page342"/>
    <w:bookmarkEnd w:id="341"/>
    <w:p>
      <w:pPr>
        <w:jc w:val="both"/>
        <w:spacing w:after="0" w:line="261" w:lineRule="auto"/>
        <w:rPr>
          <w:sz w:val="20"/>
          <w:szCs w:val="20"/>
          <w:color w:val="auto"/>
        </w:rPr>
      </w:pPr>
      <w:r>
        <w:rPr>
          <w:rFonts w:ascii="Arial" w:cs="Arial" w:eastAsia="Arial" w:hAnsi="Arial"/>
          <w:sz w:val="18"/>
          <w:szCs w:val="18"/>
          <w:color w:val="auto"/>
        </w:rPr>
        <w:t>of Sections 10(b) of the Securities Exchange Act of 1934. All four complaints assert state law claims under California law, and seek damages, restitution, disgorgement, and other relief.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Meanwhile, fact discovery is underway and is scheduled to be completed by April 7,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35" w:right="339" w:bottom="1440" w:gutter="0" w:footer="0" w:header="0"/>
        </w:sectPr>
      </w:pPr>
    </w:p>
    <w:bookmarkStart w:id="342" w:name="page343"/>
    <w:bookmarkEnd w:id="342"/>
    <w:p>
      <w:pPr>
        <w:jc w:val="both"/>
        <w:spacing w:after="0" w:line="252" w:lineRule="auto"/>
        <w:rPr>
          <w:sz w:val="20"/>
          <w:szCs w:val="20"/>
          <w:color w:val="auto"/>
        </w:rPr>
      </w:pPr>
      <w:r>
        <w:rPr>
          <w:rFonts w:ascii="Arial" w:cs="Arial" w:eastAsia="Arial" w:hAnsi="Arial"/>
          <w:sz w:val="18"/>
          <w:szCs w:val="18"/>
          <w:color w:val="auto"/>
        </w:rPr>
        <w:t>customer communications and displays noted above. While these discussions are ongoing, RHF and RHS anticipate that any resolution, if reached, would involve charges of violations of FINRA rules, a fine, customer restitution, a censure, and a compliance consultant. We have recorded a charge as general and administrative expenses in our consolidated statements of operations for the year ended December 31, 2020 of $26.6 million representing the bottom of the range of our probable losses as no amount within the range is considered a better estimate than any other amount and estimation of any additional loss in excess of the amount of the loss accrued cannot be made. We cannot predict, however, whether these discussions will result in a resolution of these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$10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recorded a charge for such amount under general and administrative expenses in our consolidated statements of operations for the year ended December 31, 2020. We cannot predict, however, whether these discussions will result in a resolution of this matter.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35" w:right="3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complaint seeks, among other things, injunctive relief (seeking a permanent cease and desist order), censure, unspecified restitution, unspecified disgorgement, the appointment of an independent consultant, and an unspecified administrative fine. On January 29, 2021, RHF filed an answer to this complaint denying each of the alleged securities law violations, and we are currently engaging in discussions regarding a potential negotiated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consolidated financial statements. The evaluation was performed through March 22, 2021.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17" w:right="339" w:bottom="1440" w:gutter="0" w:footer="0" w:header="0"/>
        </w:sectPr>
      </w:pPr>
    </w:p>
    <w:bookmarkStart w:id="344" w:name="page345"/>
    <w:bookmarkEnd w:id="344"/>
    <w:p>
      <w:pPr>
        <w:jc w:val="both"/>
        <w:ind w:firstLine="324"/>
        <w:spacing w:after="0" w:line="251" w:lineRule="auto"/>
        <w:rPr>
          <w:sz w:val="20"/>
          <w:szCs w:val="20"/>
          <w:color w:val="auto"/>
        </w:rPr>
      </w:pPr>
      <w:r>
        <w:rPr>
          <w:rFonts w:ascii="Arial" w:cs="Arial" w:eastAsia="Arial" w:hAnsi="Arial"/>
          <w:sz w:val="18"/>
          <w:szCs w:val="18"/>
          <w:color w:val="auto"/>
        </w:rPr>
        <w:t>As of the date the financial statements were available to be issued, 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We believe that the claims in these lawsuits are without merit and intend to defend against them vigorously.</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Due to the very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 and Warrant Financings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35" w:right="3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share and per share data)</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4,914,660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3,049,583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175,493</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3,354,142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5,367,042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1,257,741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14,967,248</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104,649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231,222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2,031,134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1,205,745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9,308,936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14,409,940</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414,033,220 and 658,311,424</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authorized at December 31, 2020 and March 31, 2021. 412,742,897 issued and outstanding</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at December 31, 2020 and March 31, 2021. Liquidation preference of $2,191,086 at</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60"/>
              <w:spacing w:after="0"/>
              <w:rPr>
                <w:sz w:val="20"/>
                <w:szCs w:val="20"/>
                <w:color w:val="auto"/>
              </w:rPr>
            </w:pPr>
            <w:r>
              <w:rPr>
                <w:rFonts w:ascii="Arial" w:cs="Arial" w:eastAsia="Arial" w:hAnsi="Arial"/>
                <w:sz w:val="18"/>
                <w:szCs w:val="18"/>
                <w:color w:val="auto"/>
              </w:rPr>
              <w:t>December 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2,179,739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40"/>
              <w:spacing w:after="0" w:line="189" w:lineRule="exact"/>
              <w:rPr>
                <w:sz w:val="20"/>
                <w:szCs w:val="20"/>
                <w:color w:val="auto"/>
              </w:rPr>
            </w:pPr>
            <w:r>
              <w:rPr>
                <w:rFonts w:ascii="Arial" w:cs="Arial" w:eastAsia="Arial" w:hAnsi="Arial"/>
                <w:sz w:val="18"/>
                <w:szCs w:val="18"/>
                <w:color w:val="auto"/>
              </w:rPr>
              <w:t>Common stock, $0.0001 par value, 777,354,000 shares authorized at December 31, 2020 and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00"/>
              <w:spacing w:after="0" w:line="176" w:lineRule="exact"/>
              <w:rPr>
                <w:sz w:val="20"/>
                <w:szCs w:val="20"/>
                <w:color w:val="auto"/>
              </w:rPr>
            </w:pPr>
            <w:r>
              <w:rPr>
                <w:rFonts w:ascii="Arial" w:cs="Arial" w:eastAsia="Arial" w:hAnsi="Arial"/>
                <w:sz w:val="18"/>
                <w:szCs w:val="18"/>
                <w:color w:val="auto"/>
              </w:rPr>
              <w:t>March 31, 2021. 229,031,546 and 232,257,374 shares issued and outstanding at December</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0"/>
              <w:spacing w:after="0"/>
              <w:rPr>
                <w:sz w:val="20"/>
                <w:szCs w:val="20"/>
                <w:color w:val="auto"/>
              </w:rPr>
            </w:pPr>
            <w:r>
              <w:rPr>
                <w:rFonts w:ascii="Arial" w:cs="Arial" w:eastAsia="Arial" w:hAnsi="Arial"/>
                <w:sz w:val="18"/>
                <w:szCs w:val="18"/>
                <w:color w:val="auto"/>
              </w:rPr>
              <w:t>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149,217</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(1,634,906)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9"/>
              </w:rPr>
              <w:t>(1,485,186)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18" w:right="3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Net loss attributable to common stockholders,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(52,502)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230,685,464</w:t>
            </w:r>
          </w:p>
        </w:tc>
        <w:tc>
          <w:tcPr>
            <w:tcW w:w="0" w:type="dxa"/>
            <w:vAlign w:val="bottom"/>
          </w:tcPr>
          <w:p>
            <w:pPr>
              <w:spacing w:after="0"/>
              <w:rPr>
                <w:sz w:val="1"/>
                <w:szCs w:val="1"/>
                <w:color w:val="auto"/>
              </w:rPr>
            </w:pPr>
          </w:p>
        </w:tc>
      </w:tr>
      <w:tr>
        <w:trPr>
          <w:trHeight w:val="190"/>
        </w:trPr>
        <w:tc>
          <w:tcPr>
            <w:tcW w:w="7980" w:type="dxa"/>
            <w:vAlign w:val="bottom"/>
          </w:tcPr>
          <w:p>
            <w:pPr>
              <w:ind w:left="26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18" w:right="3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(1,444,803)</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(1,444,774)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18"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(52,502)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(1,444,803)</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Change in fair value of convertible notes and warrant liability</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1,492,269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(2,028,866)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(417,596)</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(97,329)</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125,782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2,450,038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(56,407)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110,016</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321,517</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2,144,695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(1,882,196)</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(9,304)</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(11,362)</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convertible notes and warrants</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3,551,975</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907,700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w:t>
            </w:r>
          </w:p>
        </w:tc>
      </w:tr>
      <w:tr>
        <w:trPr>
          <w:trHeight w:val="182"/>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190,056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3,557,772</w:t>
            </w: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2,326,181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1,664,243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645,082</w:t>
            </w:r>
          </w:p>
        </w:tc>
        <w:tc>
          <w:tcPr>
            <w:tcW w:w="10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4,794,546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4,743,303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3,049,583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9,773</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r>
      <w:tr>
        <w:trPr>
          <w:trHeight w:val="191"/>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2,734</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18" w:right="3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2140" w:type="dxa"/>
            <w:vAlign w:val="bottom"/>
            <w:gridSpan w:val="5"/>
            <w:vMerge w:val="restart"/>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3"/>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(52,502)</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835,055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225,567,600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103,205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4"/>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(1,444,803)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3,225,828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207"/>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232,257,374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(1,634,906)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(1,485,186)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18" w:right="3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4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facilitate the purchase and sale of equities, options and cryptocurrencies through our platform by routing transactions through market makers. Our users have ownership of the securities, including those that collateralize margin loans, and cryptocurrencies transacted on our platform and, as a result, any such securities or cryptocurrencies owned by users are not presented in our condensed consolidated balance sheets. We do not allow users to purchase cryptocurrency on margin. We hold cryptocurrency in custody for our users’ accounts in one or more omnibus cryptocurrency wallets.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 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18" w:right="339" w:bottom="1440" w:gutter="0" w:footer="0" w:header="0"/>
        </w:sectPr>
      </w:pPr>
    </w:p>
    <w:bookmarkStart w:id="351" w:name="page352"/>
    <w:bookmarkEnd w:id="351"/>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the rules and regulations of the Securities and Exchange Commission (the “SEC”) for interim financial reporting. The condensed consolidated financial statements are unaudited, and in our opinion, include all adjustments, consistent of normal recurring adjustments and accruals necessary for a fair presentation of our condensed consolidated balance sheets, statements of operations, statements of comprehensive loss, statements of mezzanine and stockholders' deficit and the statements of cash flows for the periods presented. Operating results for the periods presented are not necessarily indicative of the results that may be expected for the full fiscal year ended December 31, 2021 or any future period. Certain information and footnote disclosures normally included in financial statements prepared in accordance with U.S. generally accepted accounting principles (“U.S. GAAP”) have been omitted in accordance with the rules and regulations of the SEC. These condensed consolidated financial statements should be read in conjunction with the audited annual consolidated financial statements for the year ended December 31, 2020. There have been no material changes in our significant accounting policies as described in our consolidated financial statements included in our audited annual consolidated financial statements for the year ended December 31, 2020, other than the adoption of accounting pronouncements as described below in Note 2 - Recent Accounting Pronouncements. The condensed consolidated financial statements include the accounts of RHM and its wholly-owned subsidiaries. All intercompany balances and transactions have been eliminated.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in the condensed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condensed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Deferred offering costs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capitalized qualified legal, accounting and other direct costs related to our efforts to raise capital through a sale of our common stock in an initial public offering (“IPO”). Deferred offering costs are included in other current assets on the condensed consolidated balance sheets and will be deferred until the completion of the IPO, at which time they will be reclassified to additional paid-in capital as a reduction of the IPO proceeds. If we terminate the planned IPO or there is a significant delay, all of the deferred offering costs will be immediately written off to operating expenses. As of December 30, 2020 and March 31, 2021, $1.3 million and $3.9 million of deferred offering costs were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transaction-based revenues from market makers in excess of 10% of total revenues, as follows:</w:t>
      </w:r>
    </w:p>
    <w:p>
      <w:pPr>
        <w:spacing w:after="0" w:line="205"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Tai Mo Shan Limited</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Member of Jump Trading Group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 Update (“ASU”) 2020-06, </w:t>
      </w:r>
      <w:r>
        <w:rPr>
          <w:rFonts w:ascii="Arial" w:cs="Arial" w:eastAsia="Arial" w:hAnsi="Arial"/>
          <w:sz w:val="18"/>
          <w:szCs w:val="18"/>
          <w:i w:val="1"/>
          <w:iCs w:val="1"/>
          <w:color w:val="auto"/>
        </w:rPr>
        <w:t>Debt—Debt</w:t>
      </w:r>
      <w:r>
        <w:rPr>
          <w:rFonts w:ascii="Arial" w:cs="Arial" w:eastAsia="Arial" w:hAnsi="Arial"/>
          <w:sz w:val="18"/>
          <w:szCs w:val="18"/>
          <w:color w:val="auto"/>
        </w:rPr>
        <w:t xml:space="preserve"> </w:t>
      </w:r>
      <w:r>
        <w:rPr>
          <w:rFonts w:ascii="Arial" w:cs="Arial" w:eastAsia="Arial" w:hAnsi="Arial"/>
          <w:sz w:val="18"/>
          <w:szCs w:val="18"/>
          <w:i w:val="1"/>
          <w:iCs w:val="1"/>
          <w:color w:val="auto"/>
        </w:rPr>
        <w:t>with Conversion and Other Options and Derivatives and Hedging - Contracts in Entity’s Own Equity</w:t>
      </w:r>
      <w:r>
        <w:rPr>
          <w:rFonts w:ascii="Arial" w:cs="Arial" w:eastAsia="Arial" w:hAnsi="Arial"/>
          <w:sz w:val="18"/>
          <w:szCs w:val="18"/>
          <w:color w:val="auto"/>
        </w:rPr>
        <w:t>. This guidance simplifies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instruments by reducing the number of accounting 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adopted this guidance effective January 1, 2021 using the full retrospective method. The adoption of the guidance did not have a material impact on our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3: REVENUES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59,760</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197,860</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31,589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133,301</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Cryptocurrencies</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4,238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87,587</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95,631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420,439</w:t>
            </w: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lending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6,505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35,626</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Margin interest</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27,731</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9,196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1,110</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Other interest revenue</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829</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r>
      <w:tr>
        <w:trPr>
          <w:trHeight w:val="22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24,016</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62,497</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7,903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39,238</w:t>
            </w:r>
          </w:p>
        </w:tc>
      </w:tr>
      <w:tr>
        <w:trPr>
          <w:trHeight w:val="250"/>
        </w:trPr>
        <w:tc>
          <w:tcPr>
            <w:tcW w:w="79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794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127,550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522,174</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condensed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111,871</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and timing differences between our performance and counterparties’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condensed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liabilities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contract liabilities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for the three months ended March 31, 2020 and 2021. The difference between the opening and ending balance of our contract liability balances primarily results from the increase in subscription users and the timing difference between our performance and payments from the users.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(“Fraudulent Deposit Transactions”) and to a lesser extent, losses on margin borrowings, for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16,403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(19,620)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30,875</w:t>
            </w:r>
          </w:p>
        </w:tc>
      </w:tr>
      <w:tr>
        <w:trPr>
          <w:trHeight w:val="21"/>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months ended March 31, 2020 and 2021, the provision for credit losses related to unsecured receivables from users was $9.9 million and $16.0 million while the remaining $ 0.1 million and $0.4 million was related to other receivables. As of March 31, 2020 and 2021, the ending allowance for credit losses related to unsecured receivables from users was $27.0 million and $29.9 million while the remaining $0.1 million and $1.0 million were related to other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9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assets and liabilities measured at fair value on a recurring basis as of the date indicated below were presented on our condensed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regulations: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803,178</w:t>
            </w: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70"/>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r>
      <w:tr>
        <w:trPr>
          <w:trHeight w:val="28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1,152,814</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5,044,244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6,197,058</w:t>
            </w: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2020 and March 31, 2021 are also measured at fair value. We have evaluated the estimated fair value of financial instruments using available market information such as quoted market prices for the same instrument in active markets. Such instruments are classified within Level 1 of the fair value hierarchy.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 liability</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We have elected the fair value option for both tranches of the convertible notes as we believe it best reflects its underlying economics. Under the fair value option, the convertible notes are initially measured at their issuance date estimated fair value and subsequently remeasured at estimated fair value at each reporting period.</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measure our convertible notes and warrant liability at fair value. The valuation methodology for both the convertible notes and warrant liability is based on unobservable estimates and judgements, and therefore they are classified within Level 3 of the fair value hierarchy. The fair value of the convertible notes and warrant liability are determined using a Monte Carlo simulation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unobservable inputs used in the fair value measurement of the convertible notes and warrant liability include: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Convertible notes</w:t>
            </w:r>
          </w:p>
        </w:tc>
        <w:tc>
          <w:tcPr>
            <w:tcW w:w="220" w:type="dxa"/>
            <w:vAlign w:val="bottom"/>
          </w:tcPr>
          <w:p>
            <w:pPr>
              <w:spacing w:after="0"/>
              <w:rPr>
                <w:sz w:val="18"/>
                <w:szCs w:val="18"/>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49"/>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Instrument discount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314"/>
        </w:trPr>
        <w:tc>
          <w:tcPr>
            <w:tcW w:w="7720" w:type="dxa"/>
            <w:vAlign w:val="bottom"/>
          </w:tcPr>
          <w:p>
            <w:pPr>
              <w:ind w:left="20"/>
              <w:spacing w:after="0"/>
              <w:rPr>
                <w:sz w:val="20"/>
                <w:szCs w:val="20"/>
                <w:color w:val="auto"/>
              </w:rPr>
            </w:pPr>
            <w:r>
              <w:rPr>
                <w:rFonts w:ascii="Arial" w:cs="Arial" w:eastAsia="Arial" w:hAnsi="Arial"/>
                <w:sz w:val="18"/>
                <w:szCs w:val="18"/>
                <w:color w:val="auto"/>
              </w:rPr>
              <w:t>Discount rate</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30%/ 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Conversion probability: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IPO by June 30, 2021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314"/>
        </w:trPr>
        <w:tc>
          <w:tcPr>
            <w:tcW w:w="7720" w:type="dxa"/>
            <w:vAlign w:val="bottom"/>
          </w:tcPr>
          <w:p>
            <w:pPr>
              <w:ind w:left="140"/>
              <w:spacing w:after="0"/>
              <w:rPr>
                <w:sz w:val="20"/>
                <w:szCs w:val="20"/>
                <w:color w:val="auto"/>
              </w:rPr>
            </w:pPr>
            <w:r>
              <w:rPr>
                <w:rFonts w:ascii="Arial" w:cs="Arial" w:eastAsia="Arial" w:hAnsi="Arial"/>
                <w:sz w:val="18"/>
                <w:szCs w:val="18"/>
                <w:color w:val="auto"/>
              </w:rPr>
              <w:t>Next financing by June 30, 2021 followed by IPO by December 31, 2021)</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Discount rate of 30% was applied on Tranche I and 35% was applied on Tranche 2. This represent the discount rate associated with the downside scenarios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See Note 10 - Financing Activities and Off-Balance Sheet Risk for conversion details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measurements are highly sensitive to changes in these inputs and significant changes in these inputs would result in a significantly different fair value. For the three months ended March 31, 2021, we recorded a total loss due to changes in fair value of $1,376.1 million for the convertible notes and $116.2 million for the warrant liability in our condensed consolidated statements of operations, none of which is attributable to the change in the instrument specific credit risk. We have elected to present the component related to accrued interest in the change in fair value of convertible notes and warrant liability</w:t>
      </w:r>
      <w:r>
        <w:rPr>
          <w:rFonts w:ascii="Arial" w:cs="Arial" w:eastAsia="Arial" w:hAnsi="Arial"/>
          <w:sz w:val="18"/>
          <w:szCs w:val="18"/>
          <w:i w:val="1"/>
          <w:iCs w:val="1"/>
          <w:color w:val="auto"/>
        </w:rPr>
        <w: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estimated fair value of our convertible notes and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Warrant liability</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Issued during the period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3,299,031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252,944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369,162</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three months ended March 31, 2020 and 2021,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(52,588)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(1,433,024)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spacing w:after="0"/>
              <w:rPr>
                <w:sz w:val="19"/>
                <w:szCs w:val="19"/>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11,779</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tax provision for interim periods is determined using an estimated annual effective tax rate, adjusted for discrete items arising in the period. In each quarter, we update our estimated annual effective tax rate and make a year-to-date calculation of the provision.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three months ended March 31, 2020, the provision for income taxes effective tax rate was lower than the U.S. federal statutory rate primarily due to the full valuation allowance on our U.S. federal and state deferred tax assets offset by current payable federal and state taxes. For the three months ended March 31, 2021, the provision for income taxes effective tax rate was lower than the U.S. federal statutory rate primarily due to the non-deductible change in fair value of the convertible notes and warrant liability, and the change in valuation allowance on our remaining U.S. federal and state deferred tax assets partially offset by our current payable federal and state taxes.</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March 31, 2021, we believe it is more likely than not that the tax benefits of the remaining U.S. net deferred tax assets may not be realized. We intend to maintain the full valuation allowance on the U.S. net deferred tax assets until enough positive evidence exists to support a reversal of, or decrease in, the valuation allowance.</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75,130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(20,907)</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54,223</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three months ended March 31, 2020 and 2021 was $0.8 million and $2.4 million.</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three months ended March 31, 2020 and 2021 was $0.9 million and $1.4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financial instruments are eligible for offset on our condensed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same counterparty that is enforceable in the event of a default or bankruptcy. Our policy is to recognize amounts subject to master netting arrangements on a gross basis on the condensed consolidated balance sheets.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condensed consolidated balance sheets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condensed consolidated balance sheets</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condensed consolidated balance sheets.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2020 and March 31, 2021, we were permitted to re-pledge securities with a fair value of $4,632.6 million and $7,479.2 million under the margin agreements and $0.4 million and $ 0.3 million under the master securities lending agreement. As of March 31, 2021, we re-pledged $ 185.3 million of the permitted to re-pledge amount with clearing organizations to meet deposit requirements . Gross obligations for securities loaned transactions are pledged entirely with collateral in the form of equity and have an open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802,483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1,148,145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28,629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45,881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28,364</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16,804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35,351</w:t>
            </w:r>
          </w:p>
        </w:tc>
      </w:tr>
      <w:tr>
        <w:trPr>
          <w:trHeight w:val="248"/>
        </w:trPr>
        <w:tc>
          <w:tcPr>
            <w:tcW w:w="7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851,138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1,257,741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2020 and March 31, 2021.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March 31, 2021. Additionally, we are obligated to pay a commitment fee calculated as a per annum rate equal to 0.10% on any unused amount of the October 2019 Credit Facility.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2020 and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notes and warrant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Interest on the convertible notes accrues at 6% per annum, compounding semi-annually in arrears, and is payable in kind. The convertible notes do not have a maturity date.</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of (a) a public offering of our common stock to the public in an IPO on a nationally-recognized exchange in the United States, (b) a direct listing, or (c) an acquisition by a special purpose acquisition company, and in the case of clauses (a) and (c) resulting in at least $500 million of gross proceeds to us (“Qualifying IPO”) before the 12 month anniversary of the convertible notes issuance date (“Reference Date”), the convertible notes will automatically convert into shares of our Class A common stock at a conversion price equal to the lower of (i) 70% of the cash price per share paid by investors in the Qualifying IPO and (ii) $38.29 (in the case of the Tranche I convertible notes) or $42.12 (in the case of the Tranche II convertible notes). In the event of a sale of our preferred stock, having rights, preference or privileges senior or pari passu to the Series G Preferred Stock before the Reference Date with an aggregate proceed greater than $500 million (“Next Financing”), the convertible notes will convert at the holder’s option, in part or in whole, into our preferred stock at a conversion price equal to the lower of (i) 70% of the price per share in the Next Financing and (ii) $38.29 (in the case of the Tranche I convertible notes) or $42.12 (in the case of the Tranche II convertible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granted to each purchaser of the Tranche I convertible notes a warrant, equal to 15% of the aggregate proceeds invested by such purchaser, to purchase a variable number of equity securities. In aggregate, the maximum purchase amount of all warrants is $379.8 million. The warrants can be exercised by the holder after the earlier of (1) February 12, 2022 and (2) Qualifying IPO or Next Financing. The warrants expire on February 12, 2031. The warrants can be settled in cash or in net shares at the holder’s option. In the event of a cash settlement, the number of equity securities the holder will receive is equal to their maximum purchase amount divided by the strike price, as described below.</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 Qualifying IPO occurs prior to the Reference Date, outstanding warrants will become exercisable for shares of our Class A common stock at a strike price equal to the lower of (i) 70% of the price per share in the Qualifying IPO and (ii) $38.29. If a Next Financing occurs prior to the Reference Date, outstanding warrants will become exercisable for shares of our preferred stock issued in the Next Financing at a strike price equal to the lower of (i) 70% of the price per share in the Next Financing and (ii) $38.29. If a Qualifying IPO or Next Financing does not occur by the Reference Date, the outstanding warrants will become exercisable for shares of our series G-1 redeemable convertible preferred stock at a strike price of $18.60.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March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244,278,204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658,311,424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2,191,086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 Series F, Series G and Series G-1 redeemable convertible preferred stock have no voting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election of members of the Board of Directors or the determination of the size of the Board of Directors.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G and G-1 redeemable convertible preferred stock (each voting exclusively and as a separate class), (iii) the holders of at least 60% of the then outstanding shares of Series D and E redeemable convertible preferred stock (each voting exclusively and as a separate class),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holders of at least 65% of the then outstanding shares of Series A redeemable convertible preferred stock (voting exclusively and as a separate class).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G and G-1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March 31, 2021.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 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quarterly on a straight-line basis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March 31, 2021, the Plan authorized 154,289,164 shares of common stock to be reserved for issuance on the exercise or settlement of equity awards, of which the right to purchase 7,799,737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4"/>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Exercised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(3,225,828)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expected to vest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March 31,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15,883,623</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7"/>
                <w:szCs w:val="17"/>
                <w:color w:val="auto"/>
              </w:rPr>
            </w:pPr>
          </w:p>
        </w:tc>
        <w:tc>
          <w:tcPr>
            <w:tcW w:w="480" w:type="dxa"/>
            <w:vAlign w:val="bottom"/>
          </w:tcPr>
          <w:p>
            <w:pPr>
              <w:jc w:val="right"/>
              <w:ind w:right="274"/>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631,707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three months ended March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7,298,805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54,156,502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condensed 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the three months ended March 31, 2020 and 2021, we capitalized $0.3 million and $0.1 million in share-based compensation expense related to internally developed software.</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there was $6.1 million of unrecognized compensation cost related to outstanding stock options that is expected to be recognized over a weighted-average period of 1.08 years.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In March 2021, we modified the awards of 497 employees to remove the one -year vesting cliff, considered to be an improbable to improbable modification. As of March 31, 2021, no share-based compensation expense had been recognized for such awards with a performance condition based on the occurrence of a qualifying event, such as an IPO, as such qualifying event was not probable. The RSUs were revalued at the modification date, and the modified grant date fair value of the awards of $39.75 per share will be used to calculate share-based compensation expense once the performance condition becomes probable.</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total unrecognized share-based compensation expense related to our RSU awards was $1,211.3 million as of March 31, 2021. Of this amount, $ 348.8 million relates to awards for which the time-based vesting condition has been satisfied or partially satisfied while $862.5 million relates to awards for which the time-based vesting condition had not yet been satisfied.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March 31, 2021. Of this amount, $3.0 million relates to awards for which the time-based vesting condition had been satisfied or partially satisfied, $1.0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12 - LOSS PER SHARE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calculation of basic and diluted loss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allocation of earnings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right="3000"/>
        <w:spacing w:after="0" w:line="356" w:lineRule="auto"/>
        <w:rPr>
          <w:sz w:val="20"/>
          <w:szCs w:val="20"/>
          <w:color w:val="auto"/>
        </w:rPr>
      </w:pPr>
      <w:r>
        <w:rPr>
          <w:rFonts w:ascii="Arial" w:cs="Arial" w:eastAsia="Arial" w:hAnsi="Arial"/>
          <w:sz w:val="17"/>
          <w:szCs w:val="17"/>
          <w:color w:val="auto"/>
        </w:rPr>
        <w:t>Weighted-average common stock outstanding - basic Dilutive effect of stock options and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Weighted-average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attributable to common stockholders: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0656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230,685,464</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230,685,464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300" w:type="dxa"/>
            <w:vAlign w:val="bottom"/>
          </w:tcPr>
          <w:p>
            <w:pPr>
              <w:ind w:left="20"/>
              <w:spacing w:after="0"/>
              <w:rPr>
                <w:sz w:val="20"/>
                <w:szCs w:val="20"/>
                <w:color w:val="auto"/>
              </w:rPr>
            </w:pPr>
            <w:r>
              <w:rPr>
                <w:rFonts w:ascii="Arial" w:cs="Arial" w:eastAsia="Arial" w:hAnsi="Arial"/>
                <w:sz w:val="18"/>
                <w:szCs w:val="18"/>
                <w:color w:val="auto"/>
              </w:rPr>
              <w:t>Basic</w:t>
            </w:r>
          </w:p>
        </w:tc>
        <w:tc>
          <w:tcPr>
            <w:tcW w:w="4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6350</wp:posOffset>
            </wp:positionV>
            <wp:extent cx="20485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55,129,928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81,820,160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26,592,784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18,096,127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404,054,141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512,847,069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above does not include contingently issuable shares due to the conversion of our convertible notes or exercise of our warrant liability, issued in February 2021, described in Note 10 - Financing Activities and Off-Balance Sheet Risk.</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Two of the Tranche I investors are our related parties. As of March 31, 2021, amounts due to these two related parties were $165.4 million of convertible notes and $18.2 million of warrant liability included as other non-current liabilities in our condensed consolidated balance sheets.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40"/>
          </w:cols>
          <w:pgMar w:left="320" w:top="1440" w:right="339" w:bottom="1440" w:gutter="0" w:footer="0" w:header="0"/>
          <w:type w:val="continuous"/>
        </w:sectPr>
      </w:pPr>
    </w:p>
    <w:bookmarkStart w:id="368" w:name="page369"/>
    <w:bookmarkEnd w:id="36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1 year to 10 years, and many leases include one or more options to renew. We do not assume renewals in our determination of the lease term unless the renewals are deemed to be reasonably assured at lease commencement. We do not have any finance leases. As of December 31, 2020 and March 31, 2021 we had $49.2 million and $55.2 million of operating right-of-use assets included as other non-current assets and $54.1 million and $ 61.2 million of operating lease liabilities: $6.1 million and $ 6.6 million included as other current liabilities and $48.0 million and $54.6 million as other non-current liabilities in the condensed consolidated balance sheets.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we have an executed operating lease that has not yet commenced for office facilities that will commence in May 2021. Under the terms of the lease, we will have the right to construct tenant improvements to the underlying asset upon commencement.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05"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years</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9"/>
              </w:rPr>
              <w:t>6.63 %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7,980</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2,469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7,833</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8,660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March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21,598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12,842</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92,584</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r>
      <w:tr>
        <w:trPr>
          <w:trHeight w:val="248"/>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Beginning on December 23, 2020, six putative securities fraud class action lawsuits were filed against RHM, RHF, and/or RHS. The lawsuits generally alleged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Sections 10(b) of the Securities Exchange Act of 1934.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In re Robinhood Order Flow Litigation in the United States District Court for the Northern District of California. The lead plaintiff has been ordered to file an amended consolidated complaint on or before May 17,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 for the year ended December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Fact discovery has been completed and expert discovery is scheduled to be completed by June 9,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 customer communications and displays noted above. RHF has reached an agreement-in-principle with FINRA to resolve, on a no admit, no deny basis, a number of investigations and examinations, including investigations into systems outages, RHF’s options product offering, and margin-related communications with customers, among others. While the resolution is not yet final, RHF anticipates that it will involve the following components: (i) charges of violations of FINRA Rules 2010, 2210, 2360, 3110, 3310, 4370, and 4530; (ii) a fine of $57.0 million; (iii) customer restitution of approximately $12.6 million, of which approximately $8.1 million already has been paid with the remaining $4.5 million to be paid; (iv) a censure; and (v) engagement of an independent consultant to, among other things, review and make recommendations with respect to RHF’s relevant supervisory, compliance, and other policies and procedures. As of March 31, 2021, we have accrued the $57.0 million fine as well as the $4.5 million customer restitution to be paid.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$15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accrued a loss contingency for such amount as of March 31, 2021. We cannot predict, however, whether these discussions will result in a resolution of this matter.</w:t>
      </w:r>
    </w:p>
    <w:p>
      <w:pPr>
        <w:spacing w:after="0" w:line="1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on April 14, 2021, the California Attorney General’s Office commenced an investigation into RHC’s trading platform and operations. RHC is cooperating with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 which on May 6, 2021 was granted in part and denied in part.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in Massachusetts. On January 29, 2021, RHF filed an answer to this complaint denying each of the alleged securities law violations. On April 15, RHF filed a complaint and motion for preliminary injunction and declaratory relief in Massachusetts state court seeking to enjoin the MSD administrative proceeding. RHF responded to the MSD’s motion to amend its complaint on April 29, 2021. The MSD’s response to the state court injunction motion is due on May 10, with a hearing scheduled for May 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halt and delay trading in a security, and a “T1 Halt” (or regulatory halt) may occur pending the release of material news about a company.</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will now proceed to fact discovery.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On April 1, the JPML entered an order centralizing the cases identified in the Transfer Motion into a multidistrict litigation in the United States District Court for the Southern District of Florida (the “Transfer Order”) captioned In re: January 2021 Short Squeeze Trading Litigation, Case No. 21-2989-MDL-ALTONAGA/Torres (the “MDL”). On April 19, 2021, the court held an initial case management conference.</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amont others,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and with respect to employee trading.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condensed consolidated financial statements. The evaluation was performed through May 7,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2021, we entered into a $2.2 billion committed and partially secured revolving line of credit with a maturity date of April 15, 2022 (“April 2021 Credit Facility”). In connection with our entry into the April 2021 Credit Facility, the September 2019 Credit Facility was terminated in April 2021. In April 2021, we also amended the October 2019 Credit Facility and increased the aggregate committed and unsecured revolving line of credit amount to $625 million with a maturity date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6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Robinhood Markets, Inc.</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196850</wp:posOffset>
            </wp:positionV>
            <wp:extent cx="1971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530860</wp:posOffset>
            </wp:positionV>
            <wp:extent cx="5349240" cy="1062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10629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1937385</wp:posOffset>
            </wp:positionV>
            <wp:extent cx="19716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336"/>
        </w:trPr>
        <w:tc>
          <w:tcPr>
            <w:tcW w:w="5260" w:type="dxa"/>
            <w:vAlign w:val="bottom"/>
            <w:gridSpan w:val="2"/>
          </w:tcPr>
          <w:p>
            <w:pPr>
              <w:spacing w:after="0"/>
              <w:rPr>
                <w:sz w:val="20"/>
                <w:szCs w:val="20"/>
                <w:color w:val="auto"/>
              </w:rPr>
            </w:pPr>
            <w:r>
              <w:rPr>
                <w:rFonts w:ascii="Arial" w:cs="Arial" w:eastAsia="Arial" w:hAnsi="Arial"/>
                <w:sz w:val="25"/>
                <w:szCs w:val="25"/>
                <w:b w:val="1"/>
                <w:bCs w:val="1"/>
                <w:color w:val="auto"/>
              </w:rPr>
              <w:t>Goldman Sachs &amp; Co. LLC</w:t>
            </w:r>
          </w:p>
        </w:tc>
        <w:tc>
          <w:tcPr>
            <w:tcW w:w="3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25"/>
                <w:szCs w:val="25"/>
                <w:b w:val="1"/>
                <w:bCs w:val="1"/>
                <w:color w:val="auto"/>
              </w:rPr>
              <w:t>J.P. Morgan</w:t>
            </w:r>
          </w:p>
        </w:tc>
      </w:tr>
      <w:tr>
        <w:trPr>
          <w:trHeight w:val="488"/>
        </w:trPr>
        <w:tc>
          <w:tcPr>
            <w:tcW w:w="234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5960" w:type="dxa"/>
            <w:vAlign w:val="bottom"/>
            <w:gridSpan w:val="2"/>
          </w:tcPr>
          <w:p>
            <w:pPr>
              <w:jc w:val="center"/>
              <w:ind w:left="423"/>
              <w:spacing w:after="0"/>
              <w:rPr>
                <w:sz w:val="20"/>
                <w:szCs w:val="20"/>
                <w:color w:val="auto"/>
              </w:rPr>
            </w:pPr>
            <w:r>
              <w:rPr>
                <w:rFonts w:ascii="Arial" w:cs="Arial" w:eastAsia="Arial" w:hAnsi="Arial"/>
                <w:sz w:val="22"/>
                <w:szCs w:val="22"/>
                <w:b w:val="1"/>
                <w:bCs w:val="1"/>
                <w:color w:val="auto"/>
                <w:w w:val="98"/>
              </w:rPr>
              <w:t>Citigroup</w:t>
            </w: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10"/>
        </w:trPr>
        <w:tc>
          <w:tcPr>
            <w:tcW w:w="2340" w:type="dxa"/>
            <w:vAlign w:val="bottom"/>
          </w:tcPr>
          <w:p>
            <w:pPr>
              <w:spacing w:after="0"/>
              <w:rPr>
                <w:sz w:val="24"/>
                <w:szCs w:val="24"/>
                <w:color w:val="auto"/>
              </w:rPr>
            </w:pPr>
          </w:p>
        </w:tc>
        <w:tc>
          <w:tcPr>
            <w:tcW w:w="5960" w:type="dxa"/>
            <w:vAlign w:val="bottom"/>
            <w:gridSpan w:val="2"/>
          </w:tcPr>
          <w:p>
            <w:pPr>
              <w:jc w:val="center"/>
              <w:ind w:left="463"/>
              <w:spacing w:after="0"/>
              <w:rPr>
                <w:sz w:val="20"/>
                <w:szCs w:val="20"/>
                <w:color w:val="auto"/>
              </w:rPr>
            </w:pPr>
            <w:r>
              <w:rPr>
                <w:rFonts w:ascii="Arial" w:cs="Arial" w:eastAsia="Arial" w:hAnsi="Arial"/>
                <w:sz w:val="22"/>
                <w:szCs w:val="22"/>
                <w:b w:val="1"/>
                <w:bCs w:val="1"/>
                <w:color w:val="auto"/>
                <w:w w:val="98"/>
              </w:rPr>
              <w:t>Mizuho Securities</w:t>
            </w:r>
          </w:p>
        </w:tc>
        <w:tc>
          <w:tcPr>
            <w:tcW w:w="2900" w:type="dxa"/>
            <w:vAlign w:val="bottom"/>
          </w:tcPr>
          <w:p>
            <w:pPr>
              <w:spacing w:after="0"/>
              <w:rPr>
                <w:sz w:val="24"/>
                <w:szCs w:val="24"/>
                <w:color w:val="auto"/>
              </w:rPr>
            </w:pPr>
          </w:p>
        </w:tc>
      </w:tr>
      <w:tr>
        <w:trPr>
          <w:trHeight w:val="435"/>
        </w:trPr>
        <w:tc>
          <w:tcPr>
            <w:tcW w:w="2340" w:type="dxa"/>
            <w:vAlign w:val="bottom"/>
          </w:tcPr>
          <w:p>
            <w:pPr>
              <w:spacing w:after="0"/>
              <w:rPr>
                <w:sz w:val="20"/>
                <w:szCs w:val="20"/>
                <w:color w:val="auto"/>
              </w:rPr>
            </w:pPr>
            <w:r>
              <w:rPr>
                <w:rFonts w:ascii="Arial" w:cs="Arial" w:eastAsia="Arial" w:hAnsi="Arial"/>
                <w:sz w:val="18"/>
                <w:szCs w:val="18"/>
                <w:b w:val="1"/>
                <w:bCs w:val="1"/>
                <w:color w:val="auto"/>
              </w:rPr>
              <w:t>JMP Securities</w:t>
            </w:r>
          </w:p>
        </w:tc>
        <w:tc>
          <w:tcPr>
            <w:tcW w:w="2920" w:type="dxa"/>
            <w:vAlign w:val="bottom"/>
          </w:tcPr>
          <w:p>
            <w:pPr>
              <w:jc w:val="center"/>
              <w:ind w:left="383"/>
              <w:spacing w:after="0"/>
              <w:rPr>
                <w:sz w:val="20"/>
                <w:szCs w:val="20"/>
                <w:color w:val="auto"/>
              </w:rPr>
            </w:pPr>
            <w:r>
              <w:rPr>
                <w:rFonts w:ascii="Arial" w:cs="Arial" w:eastAsia="Arial" w:hAnsi="Arial"/>
                <w:sz w:val="18"/>
                <w:szCs w:val="18"/>
                <w:b w:val="1"/>
                <w:bCs w:val="1"/>
                <w:color w:val="auto"/>
              </w:rPr>
              <w:t>KeyBanc Capital Markets</w:t>
            </w:r>
          </w:p>
        </w:tc>
        <w:tc>
          <w:tcPr>
            <w:tcW w:w="3040" w:type="dxa"/>
            <w:vAlign w:val="bottom"/>
          </w:tcPr>
          <w:p>
            <w:pPr>
              <w:jc w:val="right"/>
              <w:ind w:right="546"/>
              <w:spacing w:after="0"/>
              <w:rPr>
                <w:sz w:val="20"/>
                <w:szCs w:val="20"/>
                <w:color w:val="auto"/>
              </w:rPr>
            </w:pPr>
            <w:r>
              <w:rPr>
                <w:rFonts w:ascii="Arial" w:cs="Arial" w:eastAsia="Arial" w:hAnsi="Arial"/>
                <w:sz w:val="18"/>
                <w:szCs w:val="18"/>
                <w:b w:val="1"/>
                <w:bCs w:val="1"/>
                <w:color w:val="auto"/>
              </w:rPr>
              <w:t>Piper Sandler</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Rosenblatt Securities</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BMO Capital Markets</w:t>
            </w:r>
          </w:p>
        </w:tc>
        <w:tc>
          <w:tcPr>
            <w:tcW w:w="2920" w:type="dxa"/>
            <w:vAlign w:val="bottom"/>
          </w:tcPr>
          <w:p>
            <w:pPr>
              <w:spacing w:after="0"/>
              <w:rPr>
                <w:sz w:val="24"/>
                <w:szCs w:val="24"/>
                <w:color w:val="auto"/>
              </w:rPr>
            </w:pPr>
          </w:p>
        </w:tc>
        <w:tc>
          <w:tcPr>
            <w:tcW w:w="3040" w:type="dxa"/>
            <w:vAlign w:val="bottom"/>
          </w:tcPr>
          <w:p>
            <w:pPr>
              <w:jc w:val="center"/>
              <w:ind w:right="2266"/>
              <w:spacing w:after="0"/>
              <w:rPr>
                <w:sz w:val="20"/>
                <w:szCs w:val="20"/>
                <w:color w:val="auto"/>
              </w:rPr>
            </w:pPr>
            <w:r>
              <w:rPr>
                <w:rFonts w:ascii="Arial" w:cs="Arial" w:eastAsia="Arial" w:hAnsi="Arial"/>
                <w:sz w:val="18"/>
                <w:szCs w:val="18"/>
                <w:b w:val="1"/>
                <w:bCs w:val="1"/>
                <w:color w:val="auto"/>
              </w:rPr>
              <w:t>BTIG</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Santander</w:t>
            </w:r>
          </w:p>
        </w:tc>
      </w:tr>
      <w:tr>
        <w:trPr>
          <w:trHeight w:val="297"/>
        </w:trPr>
        <w:tc>
          <w:tcPr>
            <w:tcW w:w="234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2920" w:type="dxa"/>
            <w:vAlign w:val="bottom"/>
          </w:tcPr>
          <w:p>
            <w:pPr>
              <w:jc w:val="center"/>
              <w:ind w:left="443"/>
              <w:spacing w:after="0"/>
              <w:rPr>
                <w:sz w:val="20"/>
                <w:szCs w:val="20"/>
                <w:color w:val="auto"/>
              </w:rPr>
            </w:pPr>
            <w:r>
              <w:rPr>
                <w:rFonts w:ascii="Arial" w:cs="Arial" w:eastAsia="Arial" w:hAnsi="Arial"/>
                <w:sz w:val="18"/>
                <w:szCs w:val="18"/>
                <w:b w:val="1"/>
                <w:bCs w:val="1"/>
                <w:color w:val="auto"/>
                <w:w w:val="99"/>
              </w:rPr>
              <w:t>Loop Capital Markets</w:t>
            </w:r>
          </w:p>
        </w:tc>
        <w:tc>
          <w:tcPr>
            <w:tcW w:w="3040" w:type="dxa"/>
            <w:vAlign w:val="bottom"/>
          </w:tcPr>
          <w:p>
            <w:pPr>
              <w:jc w:val="right"/>
              <w:ind w:right="506"/>
              <w:spacing w:after="0"/>
              <w:rPr>
                <w:sz w:val="20"/>
                <w:szCs w:val="20"/>
                <w:color w:val="auto"/>
              </w:rPr>
            </w:pPr>
            <w:r>
              <w:rPr>
                <w:rFonts w:ascii="Arial" w:cs="Arial" w:eastAsia="Arial" w:hAnsi="Arial"/>
                <w:sz w:val="18"/>
                <w:szCs w:val="18"/>
                <w:b w:val="1"/>
                <w:bCs w:val="1"/>
                <w:color w:val="auto"/>
              </w:rPr>
              <w:t>Ramirez &amp; Co., Inc.</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Siebert Williams Shank</w:t>
            </w:r>
          </w:p>
        </w:tc>
      </w:tr>
      <w:tr>
        <w:trPr>
          <w:trHeight w:val="348"/>
        </w:trPr>
        <w:tc>
          <w:tcPr>
            <w:tcW w:w="2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40" w:type="dxa"/>
            <w:vAlign w:val="bottom"/>
          </w:tcPr>
          <w:p>
            <w:pPr>
              <w:jc w:val="right"/>
              <w:ind w:right="1946"/>
              <w:spacing w:after="0"/>
              <w:rPr>
                <w:sz w:val="20"/>
                <w:szCs w:val="20"/>
                <w:color w:val="auto"/>
              </w:rPr>
            </w:pPr>
            <w:r>
              <w:rPr>
                <w:rFonts w:ascii="Arial" w:cs="Arial" w:eastAsia="Arial" w:hAnsi="Arial"/>
                <w:sz w:val="22"/>
                <w:szCs w:val="22"/>
                <w:b w:val="1"/>
                <w:bCs w:val="1"/>
                <w:color w:val="auto"/>
              </w:rPr>
              <w:t>, 2021</w:t>
            </w:r>
          </w:p>
        </w:tc>
        <w:tc>
          <w:tcPr>
            <w:tcW w:w="2900" w:type="dxa"/>
            <w:vAlign w:val="bottom"/>
          </w:tcPr>
          <w:p>
            <w:pPr>
              <w:spacing w:after="0"/>
              <w:rPr>
                <w:sz w:val="24"/>
                <w:szCs w:val="24"/>
                <w:color w:val="auto"/>
              </w:rPr>
            </w:pPr>
          </w:p>
        </w:tc>
      </w:tr>
      <w:tr>
        <w:trPr>
          <w:trHeight w:val="799"/>
        </w:trPr>
        <w:tc>
          <w:tcPr>
            <w:tcW w:w="2340" w:type="dxa"/>
            <w:vAlign w:val="bottom"/>
          </w:tcPr>
          <w:p>
            <w:pPr>
              <w:ind w:left="320"/>
              <w:spacing w:after="0"/>
              <w:rPr>
                <w:sz w:val="20"/>
                <w:szCs w:val="20"/>
                <w:color w:val="auto"/>
              </w:rPr>
            </w:pPr>
            <w:r>
              <w:rPr>
                <w:rFonts w:ascii="Arial" w:cs="Arial" w:eastAsia="Arial" w:hAnsi="Arial"/>
                <w:sz w:val="18"/>
                <w:szCs w:val="18"/>
                <w:color w:val="auto"/>
              </w:rPr>
              <w:t>Through and including</w:t>
            </w:r>
          </w:p>
        </w:tc>
        <w:tc>
          <w:tcPr>
            <w:tcW w:w="8860" w:type="dxa"/>
            <w:vAlign w:val="bottom"/>
            <w:gridSpan w:val="3"/>
          </w:tcPr>
          <w:p>
            <w:pPr>
              <w:jc w:val="right"/>
              <w:ind w:right="59"/>
              <w:spacing w:after="0"/>
              <w:rPr>
                <w:sz w:val="20"/>
                <w:szCs w:val="20"/>
                <w:color w:val="auto"/>
              </w:rPr>
            </w:pPr>
            <w:r>
              <w:rPr>
                <w:rFonts w:ascii="Arial" w:cs="Arial" w:eastAsia="Arial" w:hAnsi="Arial"/>
                <w:sz w:val="18"/>
                <w:szCs w:val="18"/>
                <w:color w:val="auto"/>
              </w:rPr>
              <w:t>, 2021 (the 25th day after the date of this prospectus), all dealers effecting transactions in these securities,</w:t>
            </w:r>
          </w:p>
        </w:tc>
      </w:tr>
    </w:tbl>
    <w:p>
      <w:pPr>
        <w:ind w:right="340"/>
        <w:spacing w:after="0" w:line="261" w:lineRule="auto"/>
        <w:rPr>
          <w:sz w:val="20"/>
          <w:szCs w:val="20"/>
          <w:color w:val="auto"/>
        </w:rPr>
      </w:pPr>
      <w:r>
        <w:rPr>
          <w:rFonts w:ascii="Arial" w:cs="Arial" w:eastAsia="Arial" w:hAnsi="Arial"/>
          <w:sz w:val="18"/>
          <w:szCs w:val="18"/>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98627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986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NOT REQUIRED IN PROSPECTUS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Item 13. Other Expenses of Issuance.</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the various expenses, other than the underwriting discount, payable in connection with the offering contemplated by this registration statement. All of the fees set forth below are estimates except for the SEC registration fee, the FINRA fee and the stock exchange listing fee.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Payable by</w:t>
            </w:r>
          </w:p>
        </w:tc>
      </w:tr>
      <w:tr>
        <w:trPr>
          <w:trHeight w:val="175"/>
        </w:trPr>
        <w:tc>
          <w:tcPr>
            <w:tcW w:w="9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the registrant</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FINRA fee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exchange listing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Blue Sky fees and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fees and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7"/>
        </w:trPr>
        <w:tc>
          <w:tcPr>
            <w:tcW w:w="9680" w:type="dxa"/>
            <w:vAlign w:val="bottom"/>
          </w:tcPr>
          <w:p>
            <w:pPr>
              <w:spacing w:after="0"/>
              <w:rPr>
                <w:sz w:val="20"/>
                <w:szCs w:val="20"/>
                <w:color w:val="auto"/>
              </w:rPr>
            </w:pPr>
            <w:r>
              <w:rPr>
                <w:rFonts w:ascii="Arial" w:cs="Arial" w:eastAsia="Arial" w:hAnsi="Arial"/>
                <w:sz w:val="14"/>
                <w:szCs w:val="14"/>
                <w:color w:val="auto"/>
              </w:rPr>
              <w:t>________________</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9680" w:type="dxa"/>
            <w:vAlign w:val="bottom"/>
          </w:tcPr>
          <w:p>
            <w:pPr>
              <w:spacing w:after="0"/>
              <w:rPr>
                <w:sz w:val="20"/>
                <w:szCs w:val="20"/>
                <w:color w:val="auto"/>
              </w:rPr>
            </w:pPr>
            <w:r>
              <w:rPr>
                <w:rFonts w:ascii="Arial" w:cs="Arial" w:eastAsia="Arial" w:hAnsi="Arial"/>
                <w:sz w:val="14"/>
                <w:szCs w:val="14"/>
                <w:color w:val="auto"/>
              </w:rPr>
              <w:t>* To be furnished by amendment.</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Item 14. Indemnification of Directors and Officers.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of personal liability of directors and indemnification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DGCL provides that Section 145 is not exclusive of other rights to which those seeking indemnification may be entitled under any bylaw, agreement, vote of stockholders or disinterested directors or otherwise. Our Bylaws provide for indemnification by the registrant of its directors and officers to the fullest extent permitted by the DGCL.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subject to certain limitations. Our Charter provides for such limitation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Item 15. Recent Sales of Unregistered Securities.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December 31, 2017, we have issued the following securities that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 Issuances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2018, we sold an aggregate of 35,774,761 shares of our Series D redeemable convertible preferred stock at a purchase price of $10.1450 per share, for an aggregate purchase price of $362.9 million, pursuant to our Series D redeemable convertible preferred stock financing to entities affiliated with nine accredited investors.</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to entities affiliated with nine accredited investors.</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to entities affiliated with 23 accredited investors.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to entities affiliated with 19 accredited investors.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 Exercises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June 5, 2018, we sold an aggregate of 918,760 shares of our Class A common stock, for an aggregate purchase price of $459.38, to an accredited investor upon the exercise by such investor of previously granted warrants to acquire our Class A common stock.</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August 7, 2018, we sold an aggregate of 262,500 shares of our Class A common stock, for an aggregate purchase price of $131.25 to an accredited investor upon the exercise by such investor of previously granted warrants to acquire our Class A common stock.</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6, 2018, we sold an aggregate of 393,750 shares of our Class A common stock, for an aggregate purchase price of $196.88, to an accredited investor upon the exercise by such investor of previously granted warrants to acquire our Class A common stock.</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December 5, 2018, we sold an aggregate of 131,250 shares of our Class A common stock, for an aggregate purchase price of $65.63 to an accredited investor upon the exercise by such investor of previously granted warrants to acquire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Convertible Note and Warrant Financings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issued $2,532.0 million aggregate principal amount of “Tranche I” convertible notes to entities affiliated with 19 accredited investors and $1,020.0 million aggregate principal amount of “Tranche II” convertible notes, to entities affiliated with six accredited investors.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Compensation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Since December 31, 2017, we have granted 15,523,088 stock options to purchase shares of our Class A common stock to our employees, directors and consultants at a weighted average exercise price of $4.42 per share under our 2013 Plan and our 2020 Plan. We have also granted to our employees, directors and consultants an aggregate of 138,601,826 RSUs to be settled in shares of our Class A common stock under our 2013 Plan and 2020 Plan (including 68,991,706 RSUs granted to our founders in respect of shares of Class A common stock that, once vested and settled, may be exchanged for Class B common stock pursuant to the Equity Exchange Rights).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(or Regulation D or Regulation S promulgated thereunder), as transactions by an issuer not involving any public offering, or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Each of the recipients of securities in these transactions had adequate access, through employment, business or other relationships, to information about us.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Item 16. Exhibits and Financial Statement Schedules.</w:t>
      </w:r>
    </w:p>
    <w:p>
      <w:pPr>
        <w:spacing w:after="0" w:line="165" w:lineRule="exact"/>
        <w:rPr>
          <w:sz w:val="20"/>
          <w:szCs w:val="20"/>
          <w:color w:val="auto"/>
        </w:rPr>
      </w:pPr>
    </w:p>
    <w:p>
      <w:pPr>
        <w:ind w:firstLine="332"/>
        <w:spacing w:after="0" w:line="282" w:lineRule="auto"/>
        <w:tabs>
          <w:tab w:leader="none" w:pos="6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Exhibits: The list of exhibits set forth under “</w:t>
      </w:r>
      <w:r>
        <w:rPr>
          <w:rFonts w:ascii="Arial" w:cs="Arial" w:eastAsia="Arial" w:hAnsi="Arial"/>
          <w:sz w:val="18"/>
          <w:szCs w:val="18"/>
          <w:i w:val="1"/>
          <w:iCs w:val="1"/>
          <w:color w:val="auto"/>
        </w:rPr>
        <w:t>Exhibit Index</w:t>
      </w:r>
      <w:r>
        <w:rPr>
          <w:rFonts w:ascii="Arial" w:cs="Arial" w:eastAsia="Arial" w:hAnsi="Arial"/>
          <w:sz w:val="18"/>
          <w:szCs w:val="18"/>
          <w:color w:val="auto"/>
        </w:rPr>
        <w:t>” at the end of this Registration Statement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color w:val="auto"/>
        </w:rPr>
        <w:t>Item 17. Undertakings.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undersigned registrant hereby undertakes that:</w:t>
      </w:r>
    </w:p>
    <w:p>
      <w:pPr>
        <w:spacing w:after="0" w:line="198" w:lineRule="exact"/>
        <w:rPr>
          <w:sz w:val="20"/>
          <w:szCs w:val="20"/>
          <w:color w:val="auto"/>
        </w:rPr>
      </w:pPr>
    </w:p>
    <w:p>
      <w:pPr>
        <w:jc w:val="both"/>
        <w:ind w:left="328" w:hanging="328"/>
        <w:spacing w:after="0" w:line="254" w:lineRule="auto"/>
        <w:tabs>
          <w:tab w:leader="none" w:pos="3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8"/>
          <w:szCs w:val="18"/>
          <w:color w:val="auto"/>
        </w:rPr>
      </w:pPr>
    </w:p>
    <w:p>
      <w:pPr>
        <w:jc w:val="both"/>
        <w:ind w:left="328" w:hanging="328"/>
        <w:spacing w:after="0" w:line="256" w:lineRule="auto"/>
        <w:tabs>
          <w:tab w:leader="none" w:pos="3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08"/>
          </w:cols>
          <w:pgMar w:left="652" w:top="1440" w:right="339" w:bottom="1440" w:gutter="0" w:footer="0" w:header="0"/>
        </w:sectPr>
      </w:pPr>
    </w:p>
    <w:bookmarkStart w:id="381" w:name="page382"/>
    <w:bookmarkEnd w:id="381"/>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1"/>
          </w:tcPr>
          <w:p>
            <w:pPr>
              <w:ind w:left="960"/>
              <w:spacing w:after="0"/>
              <w:rPr>
                <w:sz w:val="20"/>
                <w:szCs w:val="20"/>
                <w:color w:val="auto"/>
              </w:rPr>
            </w:pPr>
            <w:r>
              <w:rPr>
                <w:rFonts w:ascii="Arial" w:cs="Arial" w:eastAsia="Arial" w:hAnsi="Arial"/>
                <w:sz w:val="36"/>
                <w:szCs w:val="36"/>
                <w:color w:val="auto"/>
              </w:rPr>
              <w:t>EXHIBIT INDEX</w:t>
            </w:r>
          </w:p>
        </w:tc>
      </w:tr>
      <w:tr>
        <w:trPr>
          <w:trHeight w:val="405"/>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1"/>
          </w:tcPr>
          <w:p>
            <w:pPr>
              <w:ind w:left="2340"/>
              <w:spacing w:after="0"/>
              <w:rPr>
                <w:sz w:val="20"/>
                <w:szCs w:val="20"/>
                <w:color w:val="auto"/>
              </w:rPr>
            </w:pPr>
            <w:r>
              <w:rPr>
                <w:rFonts w:ascii="Arial" w:cs="Arial" w:eastAsia="Arial" w:hAnsi="Arial"/>
                <w:sz w:val="14"/>
                <w:szCs w:val="14"/>
                <w:b w:val="1"/>
                <w:bCs w:val="1"/>
                <w:color w:val="auto"/>
              </w:rPr>
              <w:t>Exhibit Description</w:t>
            </w:r>
          </w:p>
        </w:tc>
      </w:tr>
      <w:tr>
        <w:trPr>
          <w:trHeight w:val="223"/>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74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rPr>
              <w:t>Form of Underwriting Agreement</w:t>
            </w: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rFonts w:ascii="Arial" w:cs="Arial" w:eastAsia="Arial" w:hAnsi="Arial"/>
                <w:sz w:val="18"/>
                <w:szCs w:val="18"/>
                <w:color w:val="0000FF"/>
              </w:rPr>
            </w:pPr>
            <w:hyperlink w:anchor="page386">
              <w:r>
                <w:rPr>
                  <w:rFonts w:ascii="Arial" w:cs="Arial" w:eastAsia="Arial" w:hAnsi="Arial"/>
                  <w:sz w:val="18"/>
                  <w:szCs w:val="18"/>
                  <w:color w:val="0000FF"/>
                </w:rPr>
                <w:t>Form of Amended and Restated Certificate of Incorporation of Robinhood Markets, Inc., to be effective following this</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w:anchor="page386">
              <w:r>
                <w:rPr>
                  <w:rFonts w:ascii="Arial" w:cs="Arial" w:eastAsia="Arial" w:hAnsi="Arial"/>
                  <w:sz w:val="18"/>
                  <w:szCs w:val="18"/>
                  <w:color w:val="0000FF"/>
                  <w:w w:val="96"/>
                </w:rPr>
                <w:t>offering</w:t>
              </w:r>
            </w:hyperlink>
          </w:p>
        </w:tc>
        <w:tc>
          <w:tcPr>
            <w:tcW w:w="8620" w:type="dxa"/>
            <w:vAlign w:val="bottom"/>
            <w:tcBorders>
              <w:top w:val="single" w:sz="8" w:color="0000FF"/>
            </w:tcBorders>
            <w:gridSpan w:val="16"/>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406">
              <w:r>
                <w:rPr>
                  <w:rFonts w:ascii="Arial" w:cs="Arial" w:eastAsia="Arial" w:hAnsi="Arial"/>
                  <w:sz w:val="18"/>
                  <w:szCs w:val="18"/>
                  <w:color w:val="0000FF"/>
                </w:rPr>
                <w:t>Form of Amended and Restated Bylaws of Robinhood Markets, Inc., to be effective following this offering</w:t>
              </w:r>
            </w:hyperlink>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Form of Class A Common Stock Certificate of Robinhood Markets, Inc.</w:t>
            </w:r>
          </w:p>
        </w:tc>
        <w:tc>
          <w:tcPr>
            <w:tcW w:w="1420" w:type="dxa"/>
            <w:vAlign w:val="bottom"/>
            <w:gridSpan w:val="11"/>
          </w:tcPr>
          <w:p>
            <w:pPr>
              <w:spacing w:after="0"/>
              <w:rPr>
                <w:sz w:val="21"/>
                <w:szCs w:val="2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Borders>
              <w:bottom w:val="single" w:sz="8" w:color="0000FF"/>
            </w:tcBorders>
            <w:gridSpan w:val="5"/>
          </w:tcPr>
          <w:p>
            <w:pPr>
              <w:spacing w:after="0" w:line="189" w:lineRule="exact"/>
              <w:rPr>
                <w:rFonts w:ascii="Arial" w:cs="Arial" w:eastAsia="Arial" w:hAnsi="Arial"/>
                <w:sz w:val="18"/>
                <w:szCs w:val="18"/>
                <w:color w:val="0000FF"/>
                <w:w w:val="99"/>
              </w:rPr>
            </w:pPr>
            <w:hyperlink w:anchor="page433">
              <w:r>
                <w:rPr>
                  <w:rFonts w:ascii="Arial" w:cs="Arial" w:eastAsia="Arial" w:hAnsi="Arial"/>
                  <w:sz w:val="18"/>
                  <w:szCs w:val="18"/>
                  <w:color w:val="0000FF"/>
                  <w:w w:val="99"/>
                </w:rPr>
                <w:t>Form of Warrant Agreement of Robinhood Markets, Inc.</w:t>
              </w:r>
            </w:hyperlink>
          </w:p>
        </w:tc>
        <w:tc>
          <w:tcPr>
            <w:tcW w:w="5300" w:type="dxa"/>
            <w:vAlign w:val="bottom"/>
            <w:gridSpan w:val="20"/>
          </w:tcPr>
          <w:p>
            <w:pPr>
              <w:spacing w:after="0"/>
              <w:rPr>
                <w:sz w:val="16"/>
                <w:szCs w:val="16"/>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gridSpan w:val="25"/>
          </w:tcPr>
          <w:p>
            <w:pPr>
              <w:spacing w:after="0"/>
              <w:rPr>
                <w:sz w:val="20"/>
                <w:szCs w:val="20"/>
                <w:color w:val="auto"/>
              </w:rPr>
            </w:pPr>
            <w:r>
              <w:rPr>
                <w:rFonts w:ascii="Arial" w:cs="Arial" w:eastAsia="Arial" w:hAnsi="Arial"/>
                <w:sz w:val="18"/>
                <w:szCs w:val="18"/>
                <w:color w:val="auto"/>
              </w:rPr>
              <w:t>Opinion of Cravath, Swaine &amp; Moore LLP</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5"/>
          </w:tcPr>
          <w:p>
            <w:pPr>
              <w:spacing w:after="0"/>
              <w:rPr>
                <w:sz w:val="20"/>
                <w:szCs w:val="20"/>
                <w:color w:val="auto"/>
              </w:rPr>
            </w:pPr>
            <w:r>
              <w:rPr>
                <w:rFonts w:ascii="Arial" w:cs="Arial" w:eastAsia="Arial" w:hAnsi="Arial"/>
                <w:sz w:val="18"/>
                <w:szCs w:val="18"/>
                <w:color w:val="auto"/>
              </w:rPr>
              <w:t>Form of Indemnification Agreement between Robinhood Markets, Inc. and each of its directors and executive officers</w:t>
            </w:r>
          </w:p>
        </w:tc>
      </w:tr>
      <w:tr>
        <w:trPr>
          <w:trHeight w:val="189"/>
        </w:trPr>
        <w:tc>
          <w:tcPr>
            <w:tcW w:w="1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6"/>
                <w:szCs w:val="16"/>
                <w:color w:val="auto"/>
              </w:rPr>
            </w:pPr>
          </w:p>
        </w:tc>
        <w:tc>
          <w:tcPr>
            <w:tcW w:w="9740" w:type="dxa"/>
            <w:vAlign w:val="bottom"/>
            <w:gridSpan w:val="25"/>
          </w:tcPr>
          <w:p>
            <w:pPr>
              <w:spacing w:after="0" w:line="189" w:lineRule="exact"/>
              <w:rPr>
                <w:rFonts w:ascii="Arial" w:cs="Arial" w:eastAsia="Arial" w:hAnsi="Arial"/>
                <w:sz w:val="18"/>
                <w:szCs w:val="18"/>
                <w:color w:val="0000FF"/>
              </w:rPr>
            </w:pPr>
            <w:hyperlink w:anchor="page452">
              <w:r>
                <w:rPr>
                  <w:rFonts w:ascii="Arial" w:cs="Arial" w:eastAsia="Arial" w:hAnsi="Arial"/>
                  <w:sz w:val="18"/>
                  <w:szCs w:val="18"/>
                  <w:color w:val="0000FF"/>
                </w:rPr>
                <w:t>Robinhood Markets, Inc. 2020 Equity Incentive Plan, as amended on June 18, 2020 and form grant notices and award</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452">
              <w:r>
                <w:rPr>
                  <w:rFonts w:ascii="Arial" w:cs="Arial" w:eastAsia="Arial" w:hAnsi="Arial"/>
                  <w:sz w:val="18"/>
                  <w:szCs w:val="18"/>
                  <w:color w:val="0000FF"/>
                </w:rPr>
                <w:t>agreements thereunder</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523">
              <w:r>
                <w:rPr>
                  <w:rFonts w:ascii="Arial" w:cs="Arial" w:eastAsia="Arial" w:hAnsi="Arial"/>
                  <w:sz w:val="18"/>
                  <w:szCs w:val="18"/>
                  <w:color w:val="0000FF"/>
                </w:rPr>
                <w:t>Robinhood Markets, Inc. Amended and Restated 2013 Stock Plan and form grant notices and award agreements</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523">
              <w:r>
                <w:rPr>
                  <w:rFonts w:ascii="Arial" w:cs="Arial" w:eastAsia="Arial" w:hAnsi="Arial"/>
                  <w:sz w:val="18"/>
                  <w:szCs w:val="18"/>
                  <w:color w:val="0000FF"/>
                </w:rPr>
                <w:t>thereunder</w:t>
              </w:r>
            </w:hyperlink>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591">
              <w:r>
                <w:rPr>
                  <w:rFonts w:ascii="Arial" w:cs="Arial" w:eastAsia="Arial" w:hAnsi="Arial"/>
                  <w:sz w:val="18"/>
                  <w:szCs w:val="18"/>
                  <w:color w:val="0000FF"/>
                  <w:w w:val="99"/>
                </w:rPr>
                <w:t>Second Amendment to the Robinhood Markets, Inc. 2020 Equity Incentive Plan, dated March 10, 2021</w:t>
              </w:r>
            </w:hyperlink>
          </w:p>
        </w:tc>
        <w:tc>
          <w:tcPr>
            <w:tcW w:w="1580" w:type="dxa"/>
            <w:vAlign w:val="bottom"/>
            <w:gridSpan w:val="12"/>
          </w:tcPr>
          <w:p>
            <w:pPr>
              <w:spacing w:after="0"/>
              <w:rPr>
                <w:sz w:val="18"/>
                <w:szCs w:val="18"/>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593">
              <w:r>
                <w:rPr>
                  <w:rFonts w:ascii="Arial" w:cs="Arial" w:eastAsia="Arial" w:hAnsi="Arial"/>
                  <w:sz w:val="18"/>
                  <w:szCs w:val="18"/>
                  <w:color w:val="0000FF"/>
                  <w:w w:val="99"/>
                </w:rPr>
                <w:t>Third Amendment to the Robinhood Markets, Inc. 2020 Equity Incentive Plan, dated May 26, 2021</w:t>
              </w:r>
            </w:hyperlink>
          </w:p>
        </w:tc>
        <w:tc>
          <w:tcPr>
            <w:tcW w:w="1940" w:type="dxa"/>
            <w:vAlign w:val="bottom"/>
            <w:gridSpan w:val="13"/>
          </w:tcPr>
          <w:p>
            <w:pPr>
              <w:spacing w:after="0"/>
              <w:rPr>
                <w:sz w:val="18"/>
                <w:szCs w:val="18"/>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595">
              <w:r>
                <w:rPr>
                  <w:rFonts w:ascii="Arial" w:cs="Arial" w:eastAsia="Arial" w:hAnsi="Arial"/>
                  <w:sz w:val="18"/>
                  <w:szCs w:val="18"/>
                  <w:color w:val="0000FF"/>
                </w:rPr>
                <w:t>Offer Letter between Robinhood Markets, Inc. and Jason Warnick, dated November 8, 2018</w:t>
              </w:r>
            </w:hyperlink>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599">
              <w:r>
                <w:rPr>
                  <w:rFonts w:ascii="Arial" w:cs="Arial" w:eastAsia="Arial" w:hAnsi="Arial"/>
                  <w:sz w:val="18"/>
                  <w:szCs w:val="18"/>
                  <w:color w:val="0000FF"/>
                </w:rPr>
                <w:t>Offer letter between Robinhood Markets, Inc. and Daniel Gallagher, as amended and restated on December 15, 2020</w:t>
              </w:r>
            </w:hyperlink>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66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w:anchor="page608">
              <w:r>
                <w:rPr>
                  <w:rFonts w:ascii="Arial" w:cs="Arial" w:eastAsia="Arial" w:hAnsi="Arial"/>
                  <w:sz w:val="18"/>
                  <w:szCs w:val="18"/>
                  <w:color w:val="0000FF"/>
                  <w:w w:val="99"/>
                </w:rPr>
                <w:t>Offer Letter between Robinhood Markets, Inc. and Paula Loop, dated May 14, 2021</w:t>
              </w:r>
            </w:hyperlink>
          </w:p>
        </w:tc>
        <w:tc>
          <w:tcPr>
            <w:tcW w:w="2680" w:type="dxa"/>
            <w:vAlign w:val="bottom"/>
            <w:tcBorders>
              <w:top w:val="single" w:sz="8" w:color="0000FF"/>
            </w:tcBorders>
            <w:gridSpan w:val="11"/>
          </w:tcPr>
          <w:p>
            <w:pPr>
              <w:spacing w:after="0"/>
              <w:rPr>
                <w:sz w:val="18"/>
                <w:szCs w:val="18"/>
                <w:color w:val="auto"/>
              </w:rPr>
            </w:pPr>
          </w:p>
        </w:tc>
        <w:tc>
          <w:tcPr>
            <w:tcW w:w="420" w:type="dxa"/>
            <w:vAlign w:val="bottom"/>
            <w:gridSpan w:val="7"/>
          </w:tcPr>
          <w:p>
            <w:pPr>
              <w:spacing w:after="0"/>
              <w:rPr>
                <w:sz w:val="18"/>
                <w:szCs w:val="18"/>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611">
              <w:r>
                <w:rPr>
                  <w:rFonts w:ascii="Arial" w:cs="Arial" w:eastAsia="Arial" w:hAnsi="Arial"/>
                  <w:sz w:val="18"/>
                  <w:szCs w:val="18"/>
                  <w:color w:val="0000FF"/>
                </w:rPr>
                <w:t>Offer Letter between Robinhood Markets, Inc. and Jonathan Rubinstein, dated May 14, 2021</w:t>
              </w:r>
            </w:hyperlink>
          </w:p>
        </w:tc>
      </w:tr>
      <w:tr>
        <w:trPr>
          <w:trHeight w:val="210"/>
        </w:trPr>
        <w:tc>
          <w:tcPr>
            <w:tcW w:w="1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73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614">
              <w:r>
                <w:rPr>
                  <w:rFonts w:ascii="Arial" w:cs="Arial" w:eastAsia="Arial" w:hAnsi="Arial"/>
                  <w:sz w:val="18"/>
                  <w:szCs w:val="18"/>
                  <w:color w:val="0000FF"/>
                </w:rPr>
                <w:t>Offer Letter between Robinhood Markets, Inc. and Robert Zoellick, dated May 14, 2021</w:t>
              </w:r>
            </w:hyperlink>
          </w:p>
        </w:tc>
        <w:tc>
          <w:tcPr>
            <w:tcW w:w="2380" w:type="dxa"/>
            <w:vAlign w:val="bottom"/>
            <w:gridSpan w:val="14"/>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38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Arial" w:cs="Arial" w:eastAsia="Arial" w:hAnsi="Arial"/>
                <w:sz w:val="18"/>
                <w:szCs w:val="18"/>
                <w:color w:val="auto"/>
                <w:w w:val="99"/>
              </w:rPr>
              <w:t>Form of Exchange Agreement among Robinhood Markets, Inc., Baiju Bhatt and Vladimir Tenev and certain related entities</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5"/>
          </w:tcPr>
          <w:p>
            <w:pPr>
              <w:spacing w:after="0"/>
              <w:rPr>
                <w:sz w:val="20"/>
                <w:szCs w:val="20"/>
                <w:color w:val="auto"/>
              </w:rPr>
            </w:pPr>
            <w:r>
              <w:rPr>
                <w:rFonts w:ascii="Arial" w:cs="Arial" w:eastAsia="Arial" w:hAnsi="Arial"/>
                <w:sz w:val="18"/>
                <w:szCs w:val="18"/>
                <w:color w:val="auto"/>
              </w:rPr>
              <w:t>Form of Equity Exchange Agreement between Robinhood Markets, Inc. and each of Baiju Bhatt and Vladimir Tenev</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25"/>
          </w:tcPr>
          <w:p>
            <w:pPr>
              <w:spacing w:after="0"/>
              <w:rPr>
                <w:sz w:val="20"/>
                <w:szCs w:val="20"/>
                <w:color w:val="auto"/>
              </w:rPr>
            </w:pPr>
            <w:r>
              <w:rPr>
                <w:rFonts w:ascii="Arial" w:cs="Arial" w:eastAsia="Arial" w:hAnsi="Arial"/>
                <w:sz w:val="18"/>
                <w:szCs w:val="18"/>
                <w:color w:val="auto"/>
              </w:rPr>
              <w:t>Form of Voting Agreement among Robinhood Markets, Baiju Bhatt and Vladimir Tenev and certain related entities</w:t>
            </w:r>
          </w:p>
        </w:tc>
      </w:tr>
      <w:tr>
        <w:trPr>
          <w:trHeight w:val="189"/>
        </w:trPr>
        <w:tc>
          <w:tcPr>
            <w:tcW w:w="1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10.14†</w:t>
            </w:r>
          </w:p>
        </w:tc>
        <w:tc>
          <w:tcPr>
            <w:tcW w:w="20" w:type="dxa"/>
            <w:vAlign w:val="bottom"/>
          </w:tcPr>
          <w:p>
            <w:pPr>
              <w:spacing w:after="0"/>
              <w:rPr>
                <w:sz w:val="16"/>
                <w:szCs w:val="16"/>
                <w:color w:val="auto"/>
              </w:rPr>
            </w:pPr>
          </w:p>
        </w:tc>
        <w:tc>
          <w:tcPr>
            <w:tcW w:w="9740" w:type="dxa"/>
            <w:vAlign w:val="bottom"/>
            <w:gridSpan w:val="25"/>
          </w:tcPr>
          <w:p>
            <w:pPr>
              <w:spacing w:after="0" w:line="189" w:lineRule="exact"/>
              <w:rPr>
                <w:rFonts w:ascii="Arial" w:cs="Arial" w:eastAsia="Arial" w:hAnsi="Arial"/>
                <w:sz w:val="18"/>
                <w:szCs w:val="18"/>
                <w:color w:val="0000FF"/>
              </w:rPr>
            </w:pPr>
            <w:hyperlink w:anchor="page617">
              <w:r>
                <w:rPr>
                  <w:rFonts w:ascii="Arial" w:cs="Arial" w:eastAsia="Arial" w:hAnsi="Arial"/>
                  <w:sz w:val="18"/>
                  <w:szCs w:val="18"/>
                  <w:color w:val="0000FF"/>
                </w:rPr>
                <w:t>Credit Agreement, dated as of April 16, 2021, by and among Robinhood Securities, LLC, the lenders thereto, JPMorgan</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8"/>
              </w:rPr>
            </w:pPr>
            <w:hyperlink w:anchor="page617">
              <w:r>
                <w:rPr>
                  <w:rFonts w:ascii="Arial" w:cs="Arial" w:eastAsia="Arial" w:hAnsi="Arial"/>
                  <w:sz w:val="18"/>
                  <w:szCs w:val="18"/>
                  <w:color w:val="0000FF"/>
                  <w:w w:val="98"/>
                </w:rPr>
                <w:t>Chase Bank N.A. as administrative agent, joint bookrunner and joint lead arranger, BMO Harris Bank N.A., as syndication</w:t>
              </w:r>
            </w:hyperlink>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23"/>
          </w:tcPr>
          <w:p>
            <w:pPr>
              <w:spacing w:after="0" w:line="156" w:lineRule="exact"/>
              <w:rPr>
                <w:rFonts w:ascii="Arial" w:cs="Arial" w:eastAsia="Arial" w:hAnsi="Arial"/>
                <w:sz w:val="18"/>
                <w:szCs w:val="18"/>
                <w:color w:val="0000FF"/>
              </w:rPr>
            </w:pPr>
            <w:hyperlink w:anchor="page617">
              <w:r>
                <w:rPr>
                  <w:rFonts w:ascii="Arial" w:cs="Arial" w:eastAsia="Arial" w:hAnsi="Arial"/>
                  <w:sz w:val="18"/>
                  <w:szCs w:val="18"/>
                  <w:color w:val="0000FF"/>
                </w:rPr>
                <w:t>agent, and BMO Capital Markets Corp. as joint bookrunner and joint lead arranger</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744">
              <w:r>
                <w:rPr>
                  <w:rFonts w:ascii="Arial" w:cs="Arial" w:eastAsia="Arial" w:hAnsi="Arial"/>
                  <w:sz w:val="18"/>
                  <w:szCs w:val="18"/>
                  <w:color w:val="0000FF"/>
                </w:rPr>
                <w:t>Form of Notice of Time-Based Restricted Stock Unit Award and Restricted Stock Unit Agreement under the Robinhood</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44">
              <w:r>
                <w:rPr>
                  <w:rFonts w:ascii="Arial" w:cs="Arial" w:eastAsia="Arial" w:hAnsi="Arial"/>
                  <w:sz w:val="18"/>
                  <w:szCs w:val="18"/>
                  <w:color w:val="0000FF"/>
                </w:rPr>
                <w:t>Markets, Inc. Amended and Restated 2013 Stock Plan for Vladimir Tenev and Baiju Bhatt</w:t>
              </w:r>
            </w:hyperlink>
          </w:p>
        </w:tc>
        <w:tc>
          <w:tcPr>
            <w:tcW w:w="1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760">
              <w:r>
                <w:rPr>
                  <w:rFonts w:ascii="Arial" w:cs="Arial" w:eastAsia="Arial" w:hAnsi="Arial"/>
                  <w:sz w:val="18"/>
                  <w:szCs w:val="18"/>
                  <w:color w:val="0000FF"/>
                </w:rPr>
                <w:t>Form of Notice of Performance-Based Amended and Restated Restricted Stock Unit Award and Amended and Restated</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8"/>
              </w:rPr>
            </w:pPr>
            <w:hyperlink w:anchor="page760">
              <w:r>
                <w:rPr>
                  <w:rFonts w:ascii="Arial" w:cs="Arial" w:eastAsia="Arial" w:hAnsi="Arial"/>
                  <w:sz w:val="18"/>
                  <w:szCs w:val="18"/>
                  <w:color w:val="0000FF"/>
                  <w:w w:val="98"/>
                </w:rPr>
                <w:t>Restricted Stock Unit Agreement under the Robinhood Markets, Inc. Amended and Restated 2013 Stock Plan for Vladimir</w:t>
              </w:r>
            </w:hyperlink>
          </w:p>
        </w:tc>
        <w:tc>
          <w:tcPr>
            <w:tcW w:w="14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5"/>
          </w:tcPr>
          <w:p>
            <w:pPr>
              <w:spacing w:after="0" w:line="156" w:lineRule="exact"/>
              <w:rPr>
                <w:rFonts w:ascii="Arial" w:cs="Arial" w:eastAsia="Arial" w:hAnsi="Arial"/>
                <w:sz w:val="18"/>
                <w:szCs w:val="18"/>
                <w:color w:val="0000FF"/>
              </w:rPr>
            </w:pPr>
            <w:hyperlink w:anchor="page760">
              <w:r>
                <w:rPr>
                  <w:rFonts w:ascii="Arial" w:cs="Arial" w:eastAsia="Arial" w:hAnsi="Arial"/>
                  <w:sz w:val="18"/>
                  <w:szCs w:val="18"/>
                  <w:color w:val="0000FF"/>
                </w:rPr>
                <w:t>Tenev and Baiju Bhatt</w:t>
              </w:r>
            </w:hyperlink>
          </w:p>
        </w:tc>
        <w:tc>
          <w:tcPr>
            <w:tcW w:w="2440" w:type="dxa"/>
            <w:vAlign w:val="bottom"/>
            <w:gridSpan w:val="3"/>
          </w:tcPr>
          <w:p>
            <w:pPr>
              <w:spacing w:after="0"/>
              <w:rPr>
                <w:sz w:val="13"/>
                <w:szCs w:val="13"/>
                <w:color w:val="auto"/>
              </w:rPr>
            </w:pPr>
          </w:p>
        </w:tc>
        <w:tc>
          <w:tcPr>
            <w:tcW w:w="2260" w:type="dxa"/>
            <w:vAlign w:val="bottom"/>
            <w:gridSpan w:val="8"/>
          </w:tcPr>
          <w:p>
            <w:pPr>
              <w:spacing w:after="0"/>
              <w:rPr>
                <w:sz w:val="13"/>
                <w:szCs w:val="13"/>
                <w:color w:val="auto"/>
              </w:rPr>
            </w:pPr>
          </w:p>
        </w:tc>
        <w:tc>
          <w:tcPr>
            <w:tcW w:w="54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25"/>
          </w:tcPr>
          <w:p>
            <w:pPr>
              <w:spacing w:after="0"/>
              <w:rPr>
                <w:rFonts w:ascii="Arial" w:cs="Arial" w:eastAsia="Arial" w:hAnsi="Arial"/>
                <w:sz w:val="18"/>
                <w:szCs w:val="18"/>
                <w:color w:val="0000FF"/>
              </w:rPr>
            </w:pPr>
            <w:hyperlink w:anchor="page779">
              <w:r>
                <w:rPr>
                  <w:rFonts w:ascii="Arial" w:cs="Arial" w:eastAsia="Arial" w:hAnsi="Arial"/>
                  <w:sz w:val="18"/>
                  <w:szCs w:val="18"/>
                  <w:color w:val="0000FF"/>
                </w:rPr>
                <w:t>Form of Notice of Performance-Based Restricted Stock Unit Award and Restricted Stock Unit Agreement under the</w:t>
              </w:r>
            </w:hyperlink>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79">
              <w:r>
                <w:rPr>
                  <w:rFonts w:ascii="Arial" w:cs="Arial" w:eastAsia="Arial" w:hAnsi="Arial"/>
                  <w:sz w:val="18"/>
                  <w:szCs w:val="18"/>
                  <w:color w:val="0000FF"/>
                </w:rPr>
                <w:t>Robinhood Markets, Inc. 2020 Equity Incentive Plan for Vladimir Tenev and Baiju Bhatt</w:t>
              </w:r>
            </w:hyperlink>
          </w:p>
        </w:tc>
        <w:tc>
          <w:tcPr>
            <w:tcW w:w="60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10.18+</w:t>
            </w:r>
          </w:p>
        </w:tc>
        <w:tc>
          <w:tcPr>
            <w:tcW w:w="9440" w:type="dxa"/>
            <w:vAlign w:val="bottom"/>
            <w:gridSpan w:val="8"/>
          </w:tcPr>
          <w:p>
            <w:pPr>
              <w:spacing w:after="0"/>
              <w:rPr>
                <w:rFonts w:ascii="Arial" w:cs="Arial" w:eastAsia="Arial" w:hAnsi="Arial"/>
                <w:sz w:val="18"/>
                <w:szCs w:val="18"/>
                <w:color w:val="0000FF"/>
                <w:w w:val="99"/>
              </w:rPr>
            </w:pPr>
            <w:hyperlink w:anchor="page791">
              <w:r>
                <w:rPr>
                  <w:rFonts w:ascii="Arial" w:cs="Arial" w:eastAsia="Arial" w:hAnsi="Arial"/>
                  <w:sz w:val="18"/>
                  <w:szCs w:val="18"/>
                  <w:color w:val="0000FF"/>
                  <w:w w:val="99"/>
                </w:rPr>
                <w:t>Form of Notice of Time-Based Restricted Stock Unit Award and Restricted Stock Unit Agreement under the Robinhood</w:t>
              </w:r>
            </w:hyperlink>
          </w:p>
        </w:tc>
      </w:tr>
      <w:tr>
        <w:trPr>
          <w:trHeight w:val="155"/>
        </w:trPr>
        <w:tc>
          <w:tcPr>
            <w:tcW w:w="148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791">
              <w:r>
                <w:rPr>
                  <w:rFonts w:ascii="Arial" w:cs="Arial" w:eastAsia="Arial" w:hAnsi="Arial"/>
                  <w:sz w:val="18"/>
                  <w:szCs w:val="18"/>
                  <w:color w:val="0000FF"/>
                  <w:w w:val="99"/>
                </w:rPr>
                <w:t>Markets, Inc. 2020 Equity Incentive Plan for non-employee directors</w:t>
              </w:r>
            </w:hyperlink>
          </w:p>
        </w:tc>
        <w:tc>
          <w:tcPr>
            <w:tcW w:w="40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10.19+</w:t>
            </w:r>
          </w:p>
        </w:tc>
        <w:tc>
          <w:tcPr>
            <w:tcW w:w="2440" w:type="dxa"/>
            <w:vAlign w:val="bottom"/>
          </w:tcPr>
          <w:p>
            <w:pPr>
              <w:spacing w:after="0"/>
              <w:rPr>
                <w:rFonts w:ascii="Arial" w:cs="Arial" w:eastAsia="Arial" w:hAnsi="Arial"/>
                <w:sz w:val="18"/>
                <w:szCs w:val="18"/>
                <w:color w:val="0000FF"/>
              </w:rPr>
            </w:pPr>
            <w:hyperlink w:anchor="page800">
              <w:r>
                <w:rPr>
                  <w:rFonts w:ascii="Arial" w:cs="Arial" w:eastAsia="Arial" w:hAnsi="Arial"/>
                  <w:sz w:val="18"/>
                  <w:szCs w:val="18"/>
                  <w:color w:val="0000FF"/>
                </w:rPr>
                <w:t>Robinhood Markets, Inc. 2021</w:t>
              </w:r>
            </w:hyperlink>
          </w:p>
        </w:tc>
        <w:tc>
          <w:tcPr>
            <w:tcW w:w="7000" w:type="dxa"/>
            <w:vAlign w:val="bottom"/>
            <w:gridSpan w:val="7"/>
          </w:tcPr>
          <w:p>
            <w:pPr>
              <w:spacing w:after="0"/>
              <w:rPr>
                <w:rFonts w:ascii="Arial" w:cs="Arial" w:eastAsia="Arial" w:hAnsi="Arial"/>
                <w:sz w:val="18"/>
                <w:szCs w:val="18"/>
                <w:color w:val="0000FF"/>
              </w:rPr>
            </w:pPr>
            <w:hyperlink w:anchor="page800">
              <w:r>
                <w:rPr>
                  <w:rFonts w:ascii="Arial" w:cs="Arial" w:eastAsia="Arial" w:hAnsi="Arial"/>
                  <w:sz w:val="18"/>
                  <w:szCs w:val="18"/>
                  <w:color w:val="0000FF"/>
                </w:rPr>
                <w:t>Omnibus Incentive Plan</w:t>
              </w:r>
            </w:hyperlink>
          </w:p>
        </w:tc>
      </w:tr>
      <w:tr>
        <w:trPr>
          <w:trHeight w:val="20"/>
        </w:trPr>
        <w:tc>
          <w:tcPr>
            <w:tcW w:w="148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2440" w:type="dxa"/>
            <w:vAlign w:val="bottom"/>
            <w:tcBorders>
              <w:bottom w:val="single" w:sz="8" w:color="0000FF"/>
            </w:tcBorders>
          </w:tcPr>
          <w:p>
            <w:pPr>
              <w:spacing w:after="0"/>
              <w:rPr>
                <w:rFonts w:ascii="Arial" w:cs="Arial" w:eastAsia="Arial" w:hAnsi="Arial"/>
                <w:sz w:val="18"/>
                <w:szCs w:val="18"/>
                <w:color w:val="0000FF"/>
              </w:rPr>
            </w:pPr>
            <w:hyperlink w:anchor="page823">
              <w:r>
                <w:rPr>
                  <w:rFonts w:ascii="Arial" w:cs="Arial" w:eastAsia="Arial" w:hAnsi="Arial"/>
                  <w:sz w:val="18"/>
                  <w:szCs w:val="18"/>
                  <w:color w:val="0000FF"/>
                </w:rPr>
                <w:t>Robinhood Markets, Inc. 2021</w:t>
              </w:r>
            </w:hyperlink>
          </w:p>
        </w:tc>
        <w:tc>
          <w:tcPr>
            <w:tcW w:w="25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823">
              <w:r>
                <w:rPr>
                  <w:rFonts w:ascii="Arial" w:cs="Arial" w:eastAsia="Arial" w:hAnsi="Arial"/>
                  <w:sz w:val="18"/>
                  <w:szCs w:val="18"/>
                  <w:color w:val="0000FF"/>
                  <w:w w:val="99"/>
                </w:rPr>
                <w:t>Employee Share Purchase Plan</w:t>
              </w:r>
            </w:hyperlink>
          </w:p>
        </w:tc>
        <w:tc>
          <w:tcPr>
            <w:tcW w:w="4440" w:type="dxa"/>
            <w:vAlign w:val="bottom"/>
            <w:gridSpan w:val="4"/>
          </w:tcPr>
          <w:p>
            <w:pPr>
              <w:spacing w:after="0"/>
              <w:rPr>
                <w:sz w:val="18"/>
                <w:szCs w:val="18"/>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9440" w:type="dxa"/>
            <w:vAlign w:val="bottom"/>
            <w:gridSpan w:val="8"/>
          </w:tcPr>
          <w:p>
            <w:pPr>
              <w:spacing w:after="0"/>
              <w:rPr>
                <w:sz w:val="20"/>
                <w:szCs w:val="20"/>
                <w:color w:val="auto"/>
              </w:rPr>
            </w:pPr>
            <w:r>
              <w:rPr>
                <w:rFonts w:ascii="Arial" w:cs="Arial" w:eastAsia="Arial" w:hAnsi="Arial"/>
                <w:sz w:val="18"/>
                <w:szCs w:val="18"/>
                <w:color w:val="auto"/>
              </w:rPr>
              <w:t>Robinhood Markets, Inc. Change in Control and Severance Plan for Key Employees</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21.1</w:t>
            </w:r>
          </w:p>
        </w:tc>
        <w:tc>
          <w:tcPr>
            <w:tcW w:w="9440" w:type="dxa"/>
            <w:vAlign w:val="bottom"/>
            <w:gridSpan w:val="8"/>
          </w:tcPr>
          <w:p>
            <w:pPr>
              <w:spacing w:after="0" w:line="189" w:lineRule="exact"/>
              <w:rPr>
                <w:rFonts w:ascii="Arial" w:cs="Arial" w:eastAsia="Arial" w:hAnsi="Arial"/>
                <w:sz w:val="18"/>
                <w:szCs w:val="18"/>
                <w:color w:val="0000FF"/>
              </w:rPr>
            </w:pPr>
            <w:hyperlink w:anchor="page842">
              <w:r>
                <w:rPr>
                  <w:rFonts w:ascii="Arial" w:cs="Arial" w:eastAsia="Arial" w:hAnsi="Arial"/>
                  <w:sz w:val="18"/>
                  <w:szCs w:val="18"/>
                  <w:color w:val="0000FF"/>
                </w:rPr>
                <w:t>Subsidiaries of Robinhood Markets, Inc.</w:t>
              </w:r>
            </w:hyperlink>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244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843">
              <w:r>
                <w:rPr>
                  <w:rFonts w:ascii="Arial" w:cs="Arial" w:eastAsia="Arial" w:hAnsi="Arial"/>
                  <w:sz w:val="18"/>
                  <w:szCs w:val="18"/>
                  <w:color w:val="0000FF"/>
                  <w:w w:val="98"/>
                </w:rPr>
                <w:t>Consent of Ernst &amp; Young LLP</w:t>
              </w:r>
            </w:hyperlink>
          </w:p>
        </w:tc>
        <w:tc>
          <w:tcPr>
            <w:tcW w:w="74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23.2*</w:t>
            </w:r>
          </w:p>
        </w:tc>
        <w:tc>
          <w:tcPr>
            <w:tcW w:w="9440" w:type="dxa"/>
            <w:vAlign w:val="bottom"/>
            <w:gridSpan w:val="8"/>
          </w:tcPr>
          <w:p>
            <w:pPr>
              <w:spacing w:after="0"/>
              <w:rPr>
                <w:sz w:val="20"/>
                <w:szCs w:val="20"/>
                <w:color w:val="auto"/>
              </w:rPr>
            </w:pPr>
            <w:r>
              <w:rPr>
                <w:rFonts w:ascii="Arial" w:cs="Arial" w:eastAsia="Arial" w:hAnsi="Arial"/>
                <w:sz w:val="18"/>
                <w:szCs w:val="18"/>
                <w:color w:val="auto"/>
              </w:rPr>
              <w:t>Consent of Cravath, Swaine &amp; Moore LLP (contained in its opinion filed as Exhibit 5.1 hereto)</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24.1</w:t>
            </w:r>
          </w:p>
        </w:tc>
        <w:tc>
          <w:tcPr>
            <w:tcW w:w="6440" w:type="dxa"/>
            <w:vAlign w:val="bottom"/>
            <w:tcBorders>
              <w:bottom w:val="single" w:sz="8" w:color="0000FF"/>
            </w:tcBorders>
            <w:gridSpan w:val="6"/>
          </w:tcPr>
          <w:p>
            <w:pPr>
              <w:spacing w:after="0" w:line="189" w:lineRule="exact"/>
              <w:rPr>
                <w:rFonts w:ascii="Arial" w:cs="Arial" w:eastAsia="Arial" w:hAnsi="Arial"/>
                <w:sz w:val="18"/>
                <w:szCs w:val="18"/>
                <w:color w:val="0000FF"/>
                <w:w w:val="99"/>
              </w:rPr>
            </w:pPr>
            <w:hyperlink w:anchor="page383">
              <w:r>
                <w:rPr>
                  <w:rFonts w:ascii="Arial" w:cs="Arial" w:eastAsia="Arial" w:hAnsi="Arial"/>
                  <w:sz w:val="18"/>
                  <w:szCs w:val="18"/>
                  <w:color w:val="0000FF"/>
                  <w:w w:val="99"/>
                </w:rPr>
                <w:t>Powers of attorney (included on the signature page to this registration statement)</w:t>
              </w:r>
            </w:hyperlink>
          </w:p>
        </w:tc>
        <w:tc>
          <w:tcPr>
            <w:tcW w:w="3000" w:type="dxa"/>
            <w:vAlign w:val="bottom"/>
            <w:gridSpan w:val="2"/>
          </w:tcPr>
          <w:p>
            <w:pPr>
              <w:spacing w:after="0"/>
              <w:rPr>
                <w:sz w:val="16"/>
                <w:szCs w:val="16"/>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To be filed by amendment.</w:t>
      </w:r>
    </w:p>
    <w:p>
      <w:pPr>
        <w:spacing w:after="0" w:line="1" w:lineRule="exact"/>
        <w:rPr>
          <w:sz w:val="20"/>
          <w:szCs w:val="20"/>
          <w:color w:val="auto"/>
        </w:rPr>
      </w:pPr>
    </w:p>
    <w:p>
      <w:pPr>
        <w:ind w:left="180" w:hanging="161"/>
        <w:spacing w:after="0" w:line="241" w:lineRule="auto"/>
        <w:rPr>
          <w:sz w:val="20"/>
          <w:szCs w:val="20"/>
          <w:color w:val="auto"/>
        </w:rPr>
      </w:pPr>
      <w:r>
        <w:rPr>
          <w:rFonts w:ascii="Arial" w:cs="Arial" w:eastAsia="Arial" w:hAnsi="Arial"/>
          <w:sz w:val="14"/>
          <w:szCs w:val="14"/>
          <w:color w:val="auto"/>
        </w:rPr>
        <w:t>† Certain schedules and exhibits have been omitted pursuant to Rule 601(a)(5) of Regulation S-K under the Securities Act. A copy of any omitted schedule or exhibit will be furnished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Menlo Park, California, on July 1, 2021.</w:t>
      </w:r>
    </w:p>
    <w:p>
      <w:pPr>
        <w:spacing w:after="0" w:line="19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93" w:lineRule="exact"/>
        <w:rPr>
          <w:sz w:val="20"/>
          <w:szCs w:val="20"/>
          <w:color w:val="auto"/>
        </w:rPr>
      </w:pPr>
    </w:p>
    <w:tbl>
      <w:tblPr>
        <w:tblLayout w:type="fixed"/>
        <w:tblInd w:w="65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/s/Vladimir Tenev</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188"/>
        </w:trPr>
        <w:tc>
          <w:tcPr>
            <w:tcW w:w="82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89" w:lineRule="exact"/>
              <w:rPr>
                <w:sz w:val="20"/>
                <w:szCs w:val="20"/>
                <w:color w:val="auto"/>
              </w:rPr>
            </w:pPr>
            <w:r>
              <w:rPr>
                <w:rFonts w:ascii="Arial" w:cs="Arial" w:eastAsia="Arial" w:hAnsi="Arial"/>
                <w:sz w:val="18"/>
                <w:szCs w:val="18"/>
                <w:color w:val="auto"/>
              </w:rPr>
              <w:t>Co-Founder, Chief Executive Officer and</w:t>
            </w:r>
          </w:p>
        </w:tc>
      </w:tr>
      <w:tr>
        <w:trPr>
          <w:trHeight w:val="217"/>
        </w:trPr>
        <w:tc>
          <w:tcPr>
            <w:tcW w:w="8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 AND POWERS OF ATTORNEY</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Daniel Gallagher, Vladimir Tenev and Jason Warnick, and each of them acting alone,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his or her substitute or substitutes, may lawfully do or cause to be done by virtue hereof.</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Signature</w:t>
            </w:r>
          </w:p>
        </w:tc>
        <w:tc>
          <w:tcPr>
            <w:tcW w:w="0" w:type="dxa"/>
            <w:vAlign w:val="bottom"/>
          </w:tcPr>
          <w:p>
            <w:pPr>
              <w:spacing w:after="0"/>
              <w:rPr>
                <w:sz w:val="1"/>
                <w:szCs w:val="1"/>
                <w:color w:val="auto"/>
              </w:rPr>
            </w:pPr>
          </w:p>
        </w:tc>
      </w:tr>
      <w:tr>
        <w:trPr>
          <w:trHeight w:val="331"/>
        </w:trPr>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By:</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/s/Vladimir Tenev</w:t>
            </w:r>
          </w:p>
        </w:tc>
        <w:tc>
          <w:tcPr>
            <w:tcW w:w="0" w:type="dxa"/>
            <w:vAlign w:val="bottom"/>
          </w:tcPr>
          <w:p>
            <w:pPr>
              <w:spacing w:after="0"/>
              <w:rPr>
                <w:sz w:val="1"/>
                <w:szCs w:val="1"/>
                <w:color w:val="auto"/>
              </w:rPr>
            </w:pPr>
          </w:p>
        </w:tc>
      </w:tr>
      <w:tr>
        <w:trPr>
          <w:trHeight w:val="68"/>
        </w:trPr>
        <w:tc>
          <w:tcPr>
            <w:tcW w:w="480" w:type="dxa"/>
            <w:vAlign w:val="bottom"/>
            <w:vMerge w:val="continue"/>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8"/>
              </w:rPr>
              <w:t>Vladimir Tenev</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/s/Jason Warnick</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Jason Warnick</w:t>
            </w:r>
          </w:p>
        </w:tc>
        <w:tc>
          <w:tcPr>
            <w:tcW w:w="0" w:type="dxa"/>
            <w:vAlign w:val="bottom"/>
          </w:tcPr>
          <w:p>
            <w:pPr>
              <w:spacing w:after="0"/>
              <w:rPr>
                <w:sz w:val="1"/>
                <w:szCs w:val="1"/>
                <w:color w:val="auto"/>
              </w:rPr>
            </w:pPr>
          </w:p>
        </w:tc>
      </w:tr>
      <w:tr>
        <w:trPr>
          <w:trHeight w:val="432"/>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/s/Baiju Bhatt</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8"/>
              </w:rPr>
              <w:t>Baiju Bhatt</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/s/Jan Hammer</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8"/>
              </w:rPr>
              <w:t>Jan Hammer</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/s/Paula Loop</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8"/>
              </w:rPr>
              <w:t>Paula Loop</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/s/Jonathan Rubinstein</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Jonathan Rubinstein</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/s/Scott Sandell</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Scott Sandell</w:t>
            </w:r>
          </w:p>
        </w:tc>
        <w:tc>
          <w:tcPr>
            <w:tcW w:w="0" w:type="dxa"/>
            <w:vAlign w:val="bottom"/>
          </w:tcPr>
          <w:p>
            <w:pPr>
              <w:spacing w:after="0"/>
              <w:rPr>
                <w:sz w:val="1"/>
                <w:szCs w:val="1"/>
                <w:color w:val="auto"/>
              </w:rPr>
            </w:pPr>
          </w:p>
        </w:tc>
      </w:tr>
      <w:tr>
        <w:trPr>
          <w:trHeight w:val="324"/>
        </w:trPr>
        <w:tc>
          <w:tcPr>
            <w:tcW w:w="480" w:type="dxa"/>
            <w:vAlign w:val="bottom"/>
          </w:tcPr>
          <w:p>
            <w:pPr>
              <w:ind w:left="2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/s/Robert Zoellick</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Robert Zoellick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36"/>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Co-Founder, Chief Executive Officer, President and</w:t>
            </w:r>
          </w:p>
        </w:tc>
        <w:tc>
          <w:tcPr>
            <w:tcW w:w="2300" w:type="dxa"/>
            <w:vAlign w:val="bottom"/>
          </w:tcPr>
          <w:p>
            <w:pPr>
              <w:spacing w:after="0"/>
              <w:rPr>
                <w:sz w:val="20"/>
                <w:szCs w:val="20"/>
                <w:color w:val="auto"/>
              </w:rPr>
            </w:pPr>
          </w:p>
        </w:tc>
      </w:tr>
      <w:tr>
        <w:trPr>
          <w:trHeight w:val="163"/>
        </w:trPr>
        <w:tc>
          <w:tcPr>
            <w:tcW w:w="4500" w:type="dxa"/>
            <w:vAlign w:val="bottom"/>
            <w:gridSpan w:val="2"/>
          </w:tcPr>
          <w:p>
            <w:pPr>
              <w:jc w:val="center"/>
              <w:ind w:right="100"/>
              <w:spacing w:after="0" w:line="163" w:lineRule="exact"/>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line="163" w:lineRule="exact"/>
              <w:rPr>
                <w:sz w:val="20"/>
                <w:szCs w:val="20"/>
                <w:color w:val="auto"/>
              </w:rPr>
            </w:pPr>
            <w:r>
              <w:rPr>
                <w:rFonts w:ascii="Arial" w:cs="Arial" w:eastAsia="Arial" w:hAnsi="Arial"/>
                <w:sz w:val="18"/>
                <w:szCs w:val="18"/>
                <w:color w:val="auto"/>
              </w:rPr>
              <w:t>July 1, 2021</w:t>
            </w:r>
          </w:p>
        </w:tc>
      </w:tr>
      <w:tr>
        <w:trPr>
          <w:trHeight w:val="235"/>
        </w:trPr>
        <w:tc>
          <w:tcPr>
            <w:tcW w:w="45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(Principal Executive Officer)</w:t>
            </w:r>
          </w:p>
        </w:tc>
        <w:tc>
          <w:tcPr>
            <w:tcW w:w="2300" w:type="dxa"/>
            <w:vAlign w:val="bottom"/>
          </w:tcPr>
          <w:p>
            <w:pPr>
              <w:spacing w:after="0"/>
              <w:rPr>
                <w:sz w:val="20"/>
                <w:szCs w:val="20"/>
                <w:color w:val="auto"/>
              </w:rPr>
            </w:pPr>
          </w:p>
        </w:tc>
      </w:tr>
      <w:tr>
        <w:trPr>
          <w:trHeight w:val="265"/>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2300" w:type="dxa"/>
            <w:vAlign w:val="bottom"/>
          </w:tcPr>
          <w:p>
            <w:pPr>
              <w:spacing w:after="0"/>
              <w:rPr>
                <w:sz w:val="23"/>
                <w:szCs w:val="23"/>
                <w:color w:val="auto"/>
              </w:rPr>
            </w:pPr>
          </w:p>
        </w:tc>
      </w:tr>
      <w:tr>
        <w:trPr>
          <w:trHeight w:val="176"/>
        </w:trPr>
        <w:tc>
          <w:tcPr>
            <w:tcW w:w="4500" w:type="dxa"/>
            <w:vAlign w:val="bottom"/>
            <w:gridSpan w:val="2"/>
          </w:tcPr>
          <w:p>
            <w:pPr>
              <w:jc w:val="center"/>
              <w:ind w:right="100"/>
              <w:spacing w:after="0" w:line="176" w:lineRule="exact"/>
              <w:rPr>
                <w:sz w:val="20"/>
                <w:szCs w:val="20"/>
                <w:color w:val="auto"/>
              </w:rPr>
            </w:pPr>
            <w:r>
              <w:rPr>
                <w:rFonts w:ascii="Arial" w:cs="Arial" w:eastAsia="Arial" w:hAnsi="Arial"/>
                <w:sz w:val="18"/>
                <w:szCs w:val="18"/>
                <w:i w:val="1"/>
                <w:iCs w:val="1"/>
                <w:color w:val="auto"/>
                <w:w w:val="99"/>
              </w:rPr>
              <w:t>(Principal Financial Officer and Principal Accounting</w:t>
            </w: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rPr>
              <w:t>July 1, 2021</w:t>
            </w:r>
          </w:p>
        </w:tc>
      </w:tr>
      <w:tr>
        <w:trPr>
          <w:trHeight w:val="235"/>
        </w:trPr>
        <w:tc>
          <w:tcPr>
            <w:tcW w:w="45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Officer)</w:t>
            </w:r>
          </w:p>
        </w:tc>
        <w:tc>
          <w:tcPr>
            <w:tcW w:w="2300" w:type="dxa"/>
            <w:vAlign w:val="bottom"/>
          </w:tcPr>
          <w:p>
            <w:pPr>
              <w:spacing w:after="0"/>
              <w:rPr>
                <w:sz w:val="20"/>
                <w:szCs w:val="20"/>
                <w:color w:val="auto"/>
              </w:rPr>
            </w:pPr>
          </w:p>
        </w:tc>
      </w:tr>
      <w:tr>
        <w:trPr>
          <w:trHeight w:val="440"/>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Co-Founder, Chief Creative Officer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r>
        <w:trPr>
          <w:trHeight w:val="567"/>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r>
        <w:trPr>
          <w:trHeight w:val="567"/>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r>
        <w:trPr>
          <w:trHeight w:val="567"/>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r>
        <w:trPr>
          <w:trHeight w:val="567"/>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r>
        <w:trPr>
          <w:trHeight w:val="567"/>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rPr>
              <w:t>July 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II-8</w:t>
      </w:r>
    </w:p>
    <w:p>
      <w:pPr>
        <w:sectPr>
          <w:pgSz w:w="11900" w:h="16838" w:orient="portrait"/>
          <w:cols w:equalWidth="0" w:num="2">
            <w:col w:w="4340" w:space="100"/>
            <w:col w:w="6800"/>
          </w:cols>
          <w:pgMar w:left="320" w:top="1440" w:right="3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226"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Robinhood Markets,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a corporation organized and existing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does hereby certify as follows:</w:t>
      </w:r>
    </w:p>
    <w:p>
      <w:pPr>
        <w:spacing w:after="0" w:line="175" w:lineRule="exact"/>
        <w:rPr>
          <w:sz w:val="20"/>
          <w:szCs w:val="20"/>
          <w:color w:val="auto"/>
        </w:rPr>
      </w:pPr>
    </w:p>
    <w:p>
      <w:pPr>
        <w:ind w:right="180" w:firstLine="656"/>
        <w:spacing w:after="0" w:line="312" w:lineRule="auto"/>
        <w:tabs>
          <w:tab w:leader="none" w:pos="102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name of the Corporation is Robinhood Markets, Inc. The Corporation was originally incorporated under the name Robinhood Markets, Inc. pursuant to the original Certificate of Incorporation of the Corporation (the “</w:t>
      </w:r>
      <w:r>
        <w:rPr>
          <w:rFonts w:ascii="Arial" w:cs="Arial" w:eastAsia="Arial" w:hAnsi="Arial"/>
          <w:sz w:val="19"/>
          <w:szCs w:val="19"/>
          <w:u w:val="single" w:color="auto"/>
          <w:color w:val="auto"/>
        </w:rPr>
        <w:t>Original Certificate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Incorporation</w:t>
      </w:r>
      <w:r>
        <w:rPr>
          <w:rFonts w:ascii="Arial" w:cs="Arial" w:eastAsia="Arial" w:hAnsi="Arial"/>
          <w:sz w:val="19"/>
          <w:szCs w:val="19"/>
          <w:color w:val="auto"/>
        </w:rPr>
        <w:t>”), filed with the office of the Secretary of State of the State of Delaware on November 22, 2013;</w:t>
      </w:r>
    </w:p>
    <w:p>
      <w:pPr>
        <w:spacing w:after="0" w:line="133" w:lineRule="exact"/>
        <w:rPr>
          <w:rFonts w:ascii="Arial" w:cs="Arial" w:eastAsia="Arial" w:hAnsi="Arial"/>
          <w:sz w:val="19"/>
          <w:szCs w:val="19"/>
          <w:color w:val="auto"/>
        </w:rPr>
      </w:pPr>
    </w:p>
    <w:p>
      <w:pPr>
        <w:ind w:right="60" w:firstLine="656"/>
        <w:spacing w:after="0" w:line="253" w:lineRule="auto"/>
        <w:tabs>
          <w:tab w:leader="none" w:pos="102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(this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was duly adopted by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and by the stockholders of the Corporation, in accordance with Sections 228, 242 and 245 of the DGCL; and</w:t>
      </w:r>
    </w:p>
    <w:p>
      <w:pPr>
        <w:spacing w:after="0" w:line="185" w:lineRule="exact"/>
        <w:rPr>
          <w:rFonts w:ascii="Arial" w:cs="Arial" w:eastAsia="Arial" w:hAnsi="Arial"/>
          <w:sz w:val="22"/>
          <w:szCs w:val="22"/>
          <w:color w:val="auto"/>
        </w:rPr>
      </w:pPr>
    </w:p>
    <w:p>
      <w:pPr>
        <w:ind w:right="40" w:firstLine="656"/>
        <w:spacing w:after="0" w:line="263" w:lineRule="auto"/>
        <w:tabs>
          <w:tab w:leader="none" w:pos="102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amends and restates the Original Certificate of Incorporation of the Corporation to read in its entirety as follows:</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NAME OF CORPORATION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Robinhood Markets, Inc.</w:t>
      </w:r>
    </w:p>
    <w:p>
      <w:pPr>
        <w:spacing w:after="0" w:line="2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REGISTERED OFFICE; REGISTERED AGENT</w:t>
      </w:r>
    </w:p>
    <w:p>
      <w:pPr>
        <w:spacing w:after="0" w:line="226" w:lineRule="exact"/>
        <w:rPr>
          <w:sz w:val="20"/>
          <w:szCs w:val="20"/>
          <w:color w:val="auto"/>
        </w:rPr>
      </w:pPr>
    </w:p>
    <w:p>
      <w:pPr>
        <w:ind w:right="140" w:firstLine="648"/>
        <w:spacing w:after="0" w:line="265" w:lineRule="auto"/>
        <w:rPr>
          <w:sz w:val="20"/>
          <w:szCs w:val="20"/>
          <w:color w:val="auto"/>
        </w:rPr>
      </w:pPr>
      <w:r>
        <w:rPr>
          <w:rFonts w:ascii="Arial" w:cs="Arial" w:eastAsia="Arial" w:hAnsi="Arial"/>
          <w:sz w:val="21"/>
          <w:szCs w:val="21"/>
          <w:color w:val="auto"/>
        </w:rPr>
        <w:t>The address of the registered office of the Corporation in the State of Delaware is 3500 South Dupont Highway, in the City of Dover, County of Kent, Delaware 19901. The name of its registered agent at such address is Incorporating Services, Ltd. The Corporation may have such other offices, either within or without the State of Delaware, as the Board of Directors may designate or as the business of the Corporation may from time to time require.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DGCL.</w:t>
      </w:r>
    </w:p>
    <w:p>
      <w:pPr>
        <w:sectPr>
          <w:pgSz w:w="11900" w:h="16838" w:orient="portrait"/>
          <w:cols w:equalWidth="0" w:num="1">
            <w:col w:w="11240"/>
          </w:cols>
          <w:pgMar w:left="320" w:top="121" w:right="3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AUTHORIZED STOCK</w:t>
      </w:r>
    </w:p>
    <w:p>
      <w:pPr>
        <w:spacing w:after="0" w:line="226"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The total number of shares of stock that the Corporation shall have authority to issue is 28,910,000,000 shares, consisting of (i) 28,700,000,000 shares of common stock, par value $0.0001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21,000,000,000 shares of which are designated Class A Common Stock, par value $0.0001 per share (the “</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700,000,000 shares of which are designated Class B Common Stock, par value $0.0001 per share (the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7,000,000,000 shares of which are designated as Class C Common Stock, par value $0.0001 per share (the “</w:t>
      </w:r>
      <w:r>
        <w:rPr>
          <w:rFonts w:ascii="Arial" w:cs="Arial" w:eastAsia="Arial" w:hAnsi="Arial"/>
          <w:sz w:val="19"/>
          <w:szCs w:val="19"/>
          <w:u w:val="single" w:color="auto"/>
          <w:color w:val="auto"/>
        </w:rPr>
        <w:t>Class C Common Stock</w:t>
      </w:r>
      <w:r>
        <w:rPr>
          <w:rFonts w:ascii="Arial" w:cs="Arial" w:eastAsia="Arial" w:hAnsi="Arial"/>
          <w:sz w:val="19"/>
          <w:szCs w:val="19"/>
          <w:color w:val="auto"/>
        </w:rPr>
        <w:t>”), and (ii) 210,000,000 shares of preferred stock, par value $0.0001 per share (the “</w:t>
      </w:r>
      <w:r>
        <w:rPr>
          <w:rFonts w:ascii="Arial" w:cs="Arial" w:eastAsia="Arial" w:hAnsi="Arial"/>
          <w:sz w:val="19"/>
          <w:szCs w:val="19"/>
          <w:u w:val="single" w:color="auto"/>
          <w:color w:val="auto"/>
        </w:rPr>
        <w:t>Preferred Stock</w:t>
      </w:r>
      <w:r>
        <w:rPr>
          <w:rFonts w:ascii="Arial" w:cs="Arial" w:eastAsia="Arial" w:hAnsi="Arial"/>
          <w:sz w:val="19"/>
          <w:szCs w:val="19"/>
          <w:color w:val="auto"/>
        </w:rPr>
        <w:t>”).</w:t>
      </w:r>
    </w:p>
    <w:p>
      <w:pPr>
        <w:spacing w:after="0" w:line="149"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Immediately upon the effectiveness of this Certificate of Incorporation for filing by the Secretary of State of the State of Delaware (the “</w:t>
      </w:r>
      <w:r>
        <w:rPr>
          <w:rFonts w:ascii="Arial" w:cs="Arial" w:eastAsia="Arial" w:hAnsi="Arial"/>
          <w:sz w:val="19"/>
          <w:szCs w:val="19"/>
          <w:u w:val="single" w:color="auto"/>
          <w:color w:val="auto"/>
        </w:rPr>
        <w:t>Effective Time</w:t>
      </w:r>
      <w:r>
        <w:rPr>
          <w:rFonts w:ascii="Arial" w:cs="Arial" w:eastAsia="Arial" w:hAnsi="Arial"/>
          <w:sz w:val="19"/>
          <w:szCs w:val="19"/>
          <w:color w:val="auto"/>
        </w:rPr>
        <w:t>”), each share of the Corporation’s Common Stock issued and outstanding or held as treasury stock immediately prior to the Effective Time, shall, automatically and without further action by any stockholder, be reclassified as, and shall become, one (1) share of Class A Common Stock. Any stock certificate that immediately prior to the Effective Time represented shares of the Corporation’s Common Stock shall from and after the Effective Time be deemed to represent shares of Class A Common Stock, without the need for surrender or exchange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2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Voting Rights</w:t>
      </w:r>
      <w:r>
        <w:rPr>
          <w:rFonts w:ascii="Arial" w:cs="Arial" w:eastAsia="Arial" w:hAnsi="Arial"/>
          <w:sz w:val="19"/>
          <w:szCs w:val="19"/>
          <w:color w:val="auto"/>
        </w:rPr>
        <w:t>.</w:t>
      </w:r>
    </w:p>
    <w:p>
      <w:pPr>
        <w:spacing w:after="0" w:line="220" w:lineRule="exact"/>
        <w:rPr>
          <w:sz w:val="20"/>
          <w:szCs w:val="20"/>
          <w:color w:val="auto"/>
        </w:rPr>
      </w:pPr>
    </w:p>
    <w:p>
      <w:pPr>
        <w:ind w:left="1760" w:hanging="456"/>
        <w:spacing w:after="0"/>
        <w:tabs>
          <w:tab w:leader="none" w:pos="176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20" w:lineRule="exact"/>
        <w:rPr>
          <w:sz w:val="20"/>
          <w:szCs w:val="20"/>
          <w:color w:val="auto"/>
        </w:rPr>
      </w:pPr>
    </w:p>
    <w:p>
      <w:pPr>
        <w:ind w:left="660" w:right="120" w:firstLine="644"/>
        <w:spacing w:after="0" w:line="263" w:lineRule="auto"/>
        <w:tabs>
          <w:tab w:leader="none" w:pos="1728"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Class A Common Stock</w:t>
      </w:r>
      <w:r>
        <w:rPr>
          <w:rFonts w:ascii="Arial" w:cs="Arial" w:eastAsia="Arial" w:hAnsi="Arial"/>
          <w:sz w:val="22"/>
          <w:szCs w:val="22"/>
          <w:color w:val="auto"/>
        </w:rPr>
        <w:t>. Each holder of shares of Class A Common Stock will be entitled to one (1) vote for each share of Class A Common Stock held by such stockholder.</w:t>
      </w:r>
    </w:p>
    <w:p>
      <w:pPr>
        <w:spacing w:after="0" w:line="174" w:lineRule="exact"/>
        <w:rPr>
          <w:rFonts w:ascii="Arial" w:cs="Arial" w:eastAsia="Arial" w:hAnsi="Arial"/>
          <w:sz w:val="22"/>
          <w:szCs w:val="22"/>
          <w:color w:val="auto"/>
        </w:rPr>
      </w:pPr>
    </w:p>
    <w:p>
      <w:pPr>
        <w:ind w:left="660" w:right="240" w:firstLine="644"/>
        <w:spacing w:after="0" w:line="263" w:lineRule="auto"/>
        <w:tabs>
          <w:tab w:leader="none" w:pos="1788"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Class B Common Stock</w:t>
      </w:r>
      <w:r>
        <w:rPr>
          <w:rFonts w:ascii="Arial" w:cs="Arial" w:eastAsia="Arial" w:hAnsi="Arial"/>
          <w:sz w:val="22"/>
          <w:szCs w:val="22"/>
          <w:color w:val="auto"/>
        </w:rPr>
        <w:t>. Each holder of shares of Class B Common Stock will be entitled to ten (10) votes for each share of Class B Common Stock held by such stockholder.</w:t>
      </w:r>
    </w:p>
    <w:p>
      <w:pPr>
        <w:spacing w:after="0" w:line="174" w:lineRule="exact"/>
        <w:rPr>
          <w:rFonts w:ascii="Arial" w:cs="Arial" w:eastAsia="Arial" w:hAnsi="Arial"/>
          <w:sz w:val="22"/>
          <w:szCs w:val="22"/>
          <w:color w:val="auto"/>
        </w:rPr>
      </w:pPr>
    </w:p>
    <w:p>
      <w:pPr>
        <w:ind w:left="660" w:right="300" w:firstLine="644"/>
        <w:spacing w:after="0" w:line="287" w:lineRule="auto"/>
        <w:tabs>
          <w:tab w:leader="none" w:pos="1848"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Class C Common Stock</w:t>
      </w:r>
      <w:r>
        <w:rPr>
          <w:rFonts w:ascii="Arial" w:cs="Arial" w:eastAsia="Arial" w:hAnsi="Arial"/>
          <w:sz w:val="21"/>
          <w:szCs w:val="21"/>
          <w:color w:val="auto"/>
        </w:rPr>
        <w:t>. Except as required by applicable law, each holder of shares of Class C Common Stock will be entitled to no votes for each share of Class C Common Stock held by such stockholder.</w:t>
      </w:r>
    </w:p>
    <w:p>
      <w:pPr>
        <w:spacing w:after="0" w:line="151" w:lineRule="exact"/>
        <w:rPr>
          <w:sz w:val="20"/>
          <w:szCs w:val="20"/>
          <w:color w:val="auto"/>
        </w:rPr>
      </w:pPr>
    </w:p>
    <w:p>
      <w:pPr>
        <w:ind w:right="20" w:firstLine="1304"/>
        <w:spacing w:after="0" w:line="265" w:lineRule="auto"/>
        <w:tabs>
          <w:tab w:leader="none" w:pos="1764"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expressly provided in this Certificate of Incorporation or as required by applicable law, the holders of Class A Common Stock and Class B Common Stock will vote together and not as separate series or classes on all matters on which stockholders are entitled to vote to the exclusion of all other stockholders. Notwithstanding the foregoing, except as otherwise required by this Certificate of Incorporation or as required by</w:t>
      </w:r>
    </w:p>
    <w:p>
      <w:pPr>
        <w:sectPr>
          <w:pgSz w:w="11900" w:h="16838" w:orient="portrait"/>
          <w:cols w:equalWidth="0" w:num="1">
            <w:col w:w="11240"/>
          </w:cols>
          <w:pgMar w:left="320" w:top="1421" w:right="339" w:bottom="1440" w:gutter="0" w:footer="0" w:header="0"/>
        </w:sectPr>
      </w:pPr>
    </w:p>
    <w:bookmarkStart w:id="387" w:name="page388"/>
    <w:bookmarkEnd w:id="387"/>
    <w:p>
      <w:pPr>
        <w:ind w:right="60"/>
        <w:spacing w:after="0" w:line="263" w:lineRule="auto"/>
        <w:rPr>
          <w:sz w:val="20"/>
          <w:szCs w:val="20"/>
          <w:color w:val="auto"/>
        </w:rPr>
      </w:pPr>
      <w:r>
        <w:rPr>
          <w:rFonts w:ascii="Arial" w:cs="Arial" w:eastAsia="Arial" w:hAnsi="Arial"/>
          <w:sz w:val="21"/>
          <w:szCs w:val="21"/>
          <w:color w:val="auto"/>
        </w:rPr>
        <w:t>applicable law, holders of Common Stock shall not be entitled to vote on any amendment to this Certificate of Incorporation (including, without limitation, any Preferred Stock Designation (as hereinafter defined))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without limitation, any Preferred Stock Designation) or pursuant to the DGCL.</w:t>
      </w:r>
    </w:p>
    <w:p>
      <w:pPr>
        <w:spacing w:after="0" w:line="175" w:lineRule="exact"/>
        <w:rPr>
          <w:sz w:val="20"/>
          <w:szCs w:val="20"/>
          <w:color w:val="auto"/>
        </w:rPr>
      </w:pPr>
    </w:p>
    <w:p>
      <w:pPr>
        <w:ind w:right="60" w:firstLine="1304"/>
        <w:spacing w:after="0" w:line="290" w:lineRule="auto"/>
        <w:tabs>
          <w:tab w:leader="none" w:pos="175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Vote To Increase or Decrease Authorized Shares of Common Stock</w:t>
      </w:r>
      <w:r>
        <w:rPr>
          <w:rFonts w:ascii="Arial" w:cs="Arial" w:eastAsia="Arial" w:hAnsi="Arial"/>
          <w:sz w:val="19"/>
          <w:szCs w:val="19"/>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Arial" w:cs="Arial" w:eastAsia="Arial" w:hAnsi="Arial"/>
          <w:sz w:val="19"/>
          <w:szCs w:val="19"/>
          <w:u w:val="single" w:color="auto"/>
          <w:color w:val="auto"/>
        </w:rPr>
        <w:t>Section 5.08</w:t>
      </w:r>
      <w:r>
        <w:rPr>
          <w:rFonts w:ascii="Arial" w:cs="Arial" w:eastAsia="Arial" w:hAnsi="Arial"/>
          <w:sz w:val="19"/>
          <w:szCs w:val="19"/>
          <w:color w:val="auto"/>
        </w:rPr>
        <w:t xml:space="preserve">) by the affirmative vote of the holders of a majority of the voting power of the then-outstanding shares of Class A Common Stock and Class B Common Stock, voting together as a single class, irrespective of the provisions of Section 242(b)(2) of the DGCL;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number of authorized shares of Class B Common Stock shall not be increased or decreased without the affirmative vote of the holders of at least eighty percent (80%) of the outstanding shares of Class B Common Stock, voting separately as a class.</w:t>
      </w:r>
    </w:p>
    <w:p>
      <w:pPr>
        <w:spacing w:after="0" w:line="156"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Identical Rights</w:t>
      </w:r>
      <w:r>
        <w:rPr>
          <w:rFonts w:ascii="Arial" w:cs="Arial" w:eastAsia="Arial" w:hAnsi="Arial"/>
          <w:sz w:val="22"/>
          <w:szCs w:val="22"/>
          <w:color w:val="auto"/>
        </w:rPr>
        <w:t>. Except as otherwise provided in this Certificate of Incorporation or required by applicable law, shares of Common Stock shall have the same rights and powers, rank equally, share ratably and be identical in all respects as to all matters, including, without limitation:</w:t>
      </w:r>
    </w:p>
    <w:p>
      <w:pPr>
        <w:spacing w:after="0" w:line="185" w:lineRule="exact"/>
        <w:rPr>
          <w:sz w:val="20"/>
          <w:szCs w:val="20"/>
          <w:color w:val="auto"/>
        </w:rPr>
      </w:pPr>
    </w:p>
    <w:p>
      <w:pPr>
        <w:ind w:firstLine="1304"/>
        <w:spacing w:after="0" w:line="285" w:lineRule="auto"/>
        <w:tabs>
          <w:tab w:leader="none" w:pos="1752" w:val="left"/>
        </w:tabs>
        <w:numPr>
          <w:ilvl w:val="1"/>
          <w:numId w:val="172"/>
        </w:numPr>
        <w:rPr>
          <w:rFonts w:ascii="Arial" w:cs="Arial" w:eastAsia="Arial" w:hAnsi="Arial"/>
          <w:sz w:val="19"/>
          <w:szCs w:val="19"/>
          <w:color w:val="auto"/>
        </w:rPr>
      </w:pPr>
      <w:r>
        <w:rPr>
          <w:rFonts w:ascii="Arial" w:cs="Arial" w:eastAsia="Arial" w:hAnsi="Arial"/>
          <w:sz w:val="19"/>
          <w:szCs w:val="19"/>
          <w:u w:val="single" w:color="auto"/>
          <w:color w:val="auto"/>
        </w:rPr>
        <w:t>Dividends or Distributions</w:t>
      </w:r>
      <w:r>
        <w:rPr>
          <w:rFonts w:ascii="Arial" w:cs="Arial" w:eastAsia="Arial" w:hAnsi="Arial"/>
          <w:sz w:val="19"/>
          <w:szCs w:val="19"/>
          <w:color w:val="auto"/>
        </w:rPr>
        <w:t xml:space="preserve">. Subject to the prior rights of holders of all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on an equal priority,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unless different treatment of the shares of any such class or series is approved by</w:t>
      </w:r>
    </w:p>
    <w:p>
      <w:pPr>
        <w:spacing w:after="0" w:line="3" w:lineRule="exact"/>
        <w:rPr>
          <w:rFonts w:ascii="Arial" w:cs="Arial" w:eastAsia="Arial" w:hAnsi="Arial"/>
          <w:sz w:val="19"/>
          <w:szCs w:val="19"/>
          <w:color w:val="auto"/>
        </w:rPr>
      </w:pPr>
    </w:p>
    <w:p>
      <w:pPr>
        <w:ind w:firstLine="8"/>
        <w:spacing w:after="0" w:line="286" w:lineRule="auto"/>
        <w:tabs>
          <w:tab w:leader="none" w:pos="25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the case of such different treatment of Class A Common Stock or Class C Common Stock, the affirmative vote of the holders of a majority of the voting power of the outstanding shares of Class A Common Stock or Class C Common Stock, as applicable, and (ii) in the case of such different treatment of Class B Common Stock, the affirmative vote of at least eighty percent (80%) of the outstanding shares of Class B Common Stock, in each case voting separately as a class. Notwithstanding the foregoing, in the event a dividend is paid in the form of shares of Common Stock, or rights to acquire, or securities convertible into or exchangeable for, such shares, then (i) holders of Class A Common Stock shall be entitled to receive shares of Class A Common Stock, or rights to acquire, or securities convertible into or exchangeable for, such shares, (ii) holders of Class B Common Stock shall be entitled to receive shares of Class B Common Stock, or rights to acquire, or securities convertible into or exchangeable for, such shares, and (iii) holders of Class C Common Stock, as applicable, shall be entitled to receive shares of Class C Common Stock, or rights to acquire, or securities convertible into or exchangeable for, such shares, as the case may</w:t>
      </w:r>
    </w:p>
    <w:p>
      <w:pPr>
        <w:sectPr>
          <w:pgSz w:w="11900" w:h="16838" w:orient="portrait"/>
          <w:cols w:equalWidth="0" w:num="1">
            <w:col w:w="11220"/>
          </w:cols>
          <w:pgMar w:left="320" w:top="1427" w:right="359" w:bottom="1440" w:gutter="0" w:footer="0" w:header="0"/>
        </w:sectPr>
      </w:pPr>
    </w:p>
    <w:bookmarkStart w:id="388" w:name="page389"/>
    <w:bookmarkEnd w:id="388"/>
    <w:p>
      <w:pPr>
        <w:ind w:right="40"/>
        <w:spacing w:after="0" w:line="253" w:lineRule="auto"/>
        <w:rPr>
          <w:sz w:val="20"/>
          <w:szCs w:val="20"/>
          <w:color w:val="auto"/>
        </w:rPr>
      </w:pPr>
      <w:r>
        <w:rPr>
          <w:rFonts w:ascii="Arial" w:cs="Arial" w:eastAsia="Arial" w:hAnsi="Arial"/>
          <w:sz w:val="22"/>
          <w:szCs w:val="22"/>
          <w:color w:val="auto"/>
        </w:rPr>
        <w:t>be, in each case with the holders of the applicable shares receiving, on a per share basis, an identical number of shares of Class A Common Stock, Class B Common Stock or Class C Common Stock, or rights to acquire, or securities convertible into or exchangeable for, such shares, as applicable.</w:t>
      </w:r>
    </w:p>
    <w:p>
      <w:pPr>
        <w:spacing w:after="0" w:line="185" w:lineRule="exact"/>
        <w:rPr>
          <w:sz w:val="20"/>
          <w:szCs w:val="20"/>
          <w:color w:val="auto"/>
        </w:rPr>
      </w:pPr>
    </w:p>
    <w:p>
      <w:pPr>
        <w:ind w:right="20" w:firstLine="1304"/>
        <w:spacing w:after="0" w:line="258" w:lineRule="auto"/>
        <w:tabs>
          <w:tab w:leader="none" w:pos="1764" w:val="left"/>
        </w:tabs>
        <w:numPr>
          <w:ilvl w:val="1"/>
          <w:numId w:val="174"/>
        </w:numPr>
        <w:rPr>
          <w:rFonts w:ascii="Arial" w:cs="Arial" w:eastAsia="Arial" w:hAnsi="Arial"/>
          <w:sz w:val="21"/>
          <w:szCs w:val="21"/>
          <w:color w:val="auto"/>
        </w:rPr>
      </w:pPr>
      <w:r>
        <w:rPr>
          <w:rFonts w:ascii="Arial" w:cs="Arial" w:eastAsia="Arial" w:hAnsi="Arial"/>
          <w:sz w:val="21"/>
          <w:szCs w:val="21"/>
          <w:u w:val="single" w:color="auto"/>
          <w:color w:val="auto"/>
        </w:rPr>
        <w:t>Subdivision or Combination</w:t>
      </w:r>
      <w:r>
        <w:rPr>
          <w:rFonts w:ascii="Arial" w:cs="Arial" w:eastAsia="Arial" w:hAnsi="Arial"/>
          <w:sz w:val="21"/>
          <w:szCs w:val="21"/>
          <w:color w:val="auto"/>
        </w:rPr>
        <w:t>. If the Corporation in any manner subdivides or combines the outstanding shares of Class A Common Stock, Class B Common Stock or Class C Common Stock, then the outstanding shares of all Common Stock will be subdivided or combined in the same proportion and manner, unless different treatment of the shares of each such class is approved (i) by the affirmative vote of the holders of a majority of the voting power of all of the outstanding shares of Common Stock of the Corporation entitled to vote thereon and (ii) if the voting rights or economic rights of one class of Common Stock would be adversely affected by such subdivision or combination relative to the voting rights or economic rights of any other class of Common Stock, by (A) in the case of such adverse effect on Class A Common Stock or Class C Common Stock, the affirmative vote of the holders of a majority of the voting power of the outstanding shares of Class A Common Stock or Class C Common Stock, as applicable, and (B) in the case of such adverse effect on Class B Common Stock, the affirmative vote of at least eighty percent (80%) of the outstanding shares of Class B Common Stock, in each case voting separately as a class.</w:t>
      </w:r>
    </w:p>
    <w:p>
      <w:pPr>
        <w:spacing w:after="0" w:line="181" w:lineRule="exact"/>
        <w:rPr>
          <w:rFonts w:ascii="Arial" w:cs="Arial" w:eastAsia="Arial" w:hAnsi="Arial"/>
          <w:sz w:val="21"/>
          <w:szCs w:val="21"/>
          <w:color w:val="auto"/>
        </w:rPr>
      </w:pPr>
    </w:p>
    <w:p>
      <w:pPr>
        <w:ind w:right="100" w:firstLine="1304"/>
        <w:spacing w:after="0" w:line="289" w:lineRule="auto"/>
        <w:tabs>
          <w:tab w:leader="none" w:pos="1752"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Liquidation Rights</w:t>
      </w:r>
      <w:r>
        <w:rPr>
          <w:rFonts w:ascii="Arial" w:cs="Arial" w:eastAsia="Arial" w:hAnsi="Arial"/>
          <w:sz w:val="19"/>
          <w:szCs w:val="19"/>
          <w:color w:val="auto"/>
        </w:rPr>
        <w:t>. In the event of any liquidation, dissolution or winding up of the Corporation, whether voluntary or involuntary, in connection with which assets are to be distributed to stockholders of the Corporation, subject to the rights of any Preferred Stock that may then be outstanding, the assets of the Corporation legally available for distribution to stockholders of the Corporation shall be distributed on an equal priority and ratably on a per-share basis to the holders of shares of Common Stock, unless different treatment of the shares of any such class or series is approved by (i) in the case of such different treatment of Class A Common Stock or Class C Common Stock, the affirmative vote of the holders of a majority of the voting power of the outstanding shares of Class A Common Stock or Class C Common Stock, as applicable, and (ii) in the case of such different treatment of Class B Common Stock, the affirmative vote of at least eighty percent (80%) of the outstanding shares of Class B Common Stock, in each case voting separately as a class.</w:t>
      </w:r>
    </w:p>
    <w:p>
      <w:pPr>
        <w:spacing w:after="0" w:line="156" w:lineRule="exact"/>
        <w:rPr>
          <w:rFonts w:ascii="Arial" w:cs="Arial" w:eastAsia="Arial" w:hAnsi="Arial"/>
          <w:sz w:val="19"/>
          <w:szCs w:val="19"/>
          <w:color w:val="auto"/>
        </w:rPr>
      </w:pPr>
    </w:p>
    <w:p>
      <w:pPr>
        <w:ind w:firstLine="1304"/>
        <w:spacing w:after="0" w:line="286" w:lineRule="auto"/>
        <w:tabs>
          <w:tab w:leader="none" w:pos="1764"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Merger or Consolidation</w:t>
      </w:r>
      <w:r>
        <w:rPr>
          <w:rFonts w:ascii="Arial" w:cs="Arial" w:eastAsia="Arial" w:hAnsi="Arial"/>
          <w:sz w:val="19"/>
          <w:szCs w:val="19"/>
          <w:color w:val="auto"/>
        </w:rPr>
        <w:t xml:space="preserve">. In the case of any merger or consolidation of the Corporation with or into any other entity, or in the case of any other transaction having an effect on stockholders of the Corporation substantially similar to that resulting from a consolidation or merger, each share of Common Stock must be converted into the same securities, cash or other property (including, without limitation, the same rights to elect among different forms of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2" w:lineRule="exact"/>
        <w:rPr>
          <w:rFonts w:ascii="Arial" w:cs="Arial" w:eastAsia="Arial" w:hAnsi="Arial"/>
          <w:sz w:val="19"/>
          <w:szCs w:val="19"/>
          <w:color w:val="auto"/>
        </w:rPr>
      </w:pPr>
    </w:p>
    <w:p>
      <w:pPr>
        <w:ind w:right="180" w:firstLine="8"/>
        <w:spacing w:after="0" w:line="292" w:lineRule="auto"/>
        <w:tabs>
          <w:tab w:leader="none" w:pos="25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foregoing shall not apply to any such merger, consolidation or other transaction in which each share of Common Stock remains outstanding as a share of the same class of Common Stock as existed prior to such transaction and is not converted into other securities, cash or other property, and (ii) shares of any class of Common Stock may be converted into, or the holders thereof may have the right to elect to receive, different securities in connection with such merger, consolidation or other transaction if (A) the only difference in the securities being issued to the holders of the Class A Common</w:t>
      </w:r>
    </w:p>
    <w:p>
      <w:pPr>
        <w:sectPr>
          <w:pgSz w:w="11900" w:h="16838" w:orient="portrait"/>
          <w:cols w:equalWidth="0" w:num="1">
            <w:col w:w="11220"/>
          </w:cols>
          <w:pgMar w:left="320" w:top="1427" w:right="359" w:bottom="1440" w:gutter="0" w:footer="0" w:header="0"/>
        </w:sectPr>
      </w:pPr>
    </w:p>
    <w:bookmarkStart w:id="389" w:name="page390"/>
    <w:bookmarkEnd w:id="389"/>
    <w:p>
      <w:pPr>
        <w:spacing w:after="0" w:line="259" w:lineRule="auto"/>
        <w:rPr>
          <w:sz w:val="20"/>
          <w:szCs w:val="20"/>
          <w:color w:val="auto"/>
        </w:rPr>
      </w:pPr>
      <w:r>
        <w:rPr>
          <w:rFonts w:ascii="Arial" w:cs="Arial" w:eastAsia="Arial" w:hAnsi="Arial"/>
          <w:sz w:val="21"/>
          <w:szCs w:val="21"/>
          <w:color w:val="auto"/>
        </w:rPr>
        <w:t>Stock, Class B Common Stock and Class C Common Stock is that any securities distributed to the holder of a share of Class B Common Stock have ten (10) times the voting power of any securities distributed to the holder of a share of Class A Common Stock and that any securities distributed to the holder of a share of Class C Common Stock have no voting rights or power or (B) such merger, consolidation or other transaction is approved by (1) in the case of such different treatment of Class A Common Stock or Class C Common Stock, the affirmative vote of the holders of a majority of the voting power of the outstanding shares of Class A Common Stock or Class C Common Stock, as applicable, and (2) in the case of such adverse treatment of Class B Common Stock, the affirmative vote of at least eighty percent (80%) of the outstanding shares of Class B Common Stock, in each case voting separately as a class.</w:t>
      </w:r>
    </w:p>
    <w:p>
      <w:pPr>
        <w:spacing w:after="0" w:line="183"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Conversion of Class B Common Stock</w:t>
      </w:r>
      <w:r>
        <w:rPr>
          <w:rFonts w:ascii="Arial" w:cs="Arial" w:eastAsia="Arial" w:hAnsi="Arial"/>
          <w:sz w:val="19"/>
          <w:szCs w:val="19"/>
          <w:color w:val="auto"/>
        </w:rPr>
        <w:t>. The Class B Common Stock will be convertible into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as follows:</w:t>
      </w:r>
    </w:p>
    <w:p>
      <w:pPr>
        <w:spacing w:after="0" w:line="202" w:lineRule="exact"/>
        <w:rPr>
          <w:sz w:val="20"/>
          <w:szCs w:val="20"/>
          <w:color w:val="auto"/>
        </w:rPr>
      </w:pPr>
    </w:p>
    <w:p>
      <w:pPr>
        <w:jc w:val="both"/>
        <w:ind w:right="280" w:firstLine="1304"/>
        <w:spacing w:after="0" w:line="253" w:lineRule="auto"/>
        <w:tabs>
          <w:tab w:leader="none" w:pos="175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Each share of Class B Common Stock will automatically, without any further action by the Corporation or the holder thereof, convert into one (1) fully paid and nonassessable share of Class A Common Stock on the Final Conversion Date.</w:t>
      </w:r>
    </w:p>
    <w:p>
      <w:pPr>
        <w:spacing w:after="0" w:line="185" w:lineRule="exact"/>
        <w:rPr>
          <w:rFonts w:ascii="Arial" w:cs="Arial" w:eastAsia="Arial" w:hAnsi="Arial"/>
          <w:sz w:val="22"/>
          <w:szCs w:val="22"/>
          <w:color w:val="auto"/>
        </w:rPr>
      </w:pPr>
    </w:p>
    <w:p>
      <w:pPr>
        <w:ind w:right="20" w:firstLine="1304"/>
        <w:spacing w:after="0" w:line="253" w:lineRule="auto"/>
        <w:tabs>
          <w:tab w:leader="none" w:pos="17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With respect to any holder of Class B Common Stock, each share of Class B Common Stock held by such holder will automatically, without any further action by the Corporation or the holder thereof, be converted into one (1) fully paid and nonassessable share of Class A Common Stock, as follows:</w:t>
      </w:r>
    </w:p>
    <w:p>
      <w:pPr>
        <w:spacing w:after="0" w:line="185" w:lineRule="exact"/>
        <w:rPr>
          <w:sz w:val="20"/>
          <w:szCs w:val="20"/>
          <w:color w:val="auto"/>
        </w:rPr>
      </w:pPr>
    </w:p>
    <w:p>
      <w:pPr>
        <w:ind w:left="660" w:right="80" w:firstLine="644"/>
        <w:spacing w:after="0" w:line="248" w:lineRule="auto"/>
        <w:tabs>
          <w:tab w:leader="none" w:pos="172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upon the affirmative written notice by such holder to the transfer agent of the Corporation (or to the Corporation if the Corporation serves as its own transfer agent) of such holder’s election to convert such share of Class B Common Stock or, if later, at the time or the happening of a future event specified in such written notice (which notice including such election may be revoked by such holder prior to the date on which the automatic conversion would otherwise occur unless otherwise specified by such holder);</w:t>
      </w:r>
    </w:p>
    <w:p>
      <w:pPr>
        <w:spacing w:after="0" w:line="191" w:lineRule="exact"/>
        <w:rPr>
          <w:rFonts w:ascii="Arial" w:cs="Arial" w:eastAsia="Arial" w:hAnsi="Arial"/>
          <w:sz w:val="22"/>
          <w:szCs w:val="22"/>
          <w:color w:val="auto"/>
        </w:rPr>
      </w:pPr>
    </w:p>
    <w:p>
      <w:pPr>
        <w:ind w:left="1780" w:hanging="476"/>
        <w:spacing w:after="0"/>
        <w:tabs>
          <w:tab w:leader="none" w:pos="178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on the occurrence of a Transfer of such share of Class B Common Stock, other than a Permitted Transfer;</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1" w:lineRule="exact"/>
        <w:rPr>
          <w:rFonts w:ascii="Arial" w:cs="Arial" w:eastAsia="Arial" w:hAnsi="Arial"/>
          <w:sz w:val="19"/>
          <w:szCs w:val="19"/>
          <w:color w:val="auto"/>
        </w:rPr>
      </w:pPr>
    </w:p>
    <w:p>
      <w:pPr>
        <w:ind w:left="660" w:right="80" w:firstLine="644"/>
        <w:spacing w:after="0" w:line="288" w:lineRule="auto"/>
        <w:tabs>
          <w:tab w:leader="none" w:pos="184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with respect to Class B Common Stock held by a holder who is a natural person, or a Permitted Transferee or Permitted Entity of such natural person, upon the date which is nine (9) months after the date of death or Disability of such natural person or such later date as may be approved by a majority of the Independent Directors then in office not to exceed a total period of eighteen (18) months after the date of death or Disability of such natural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contained herein, to the extent any such shares of Class B Common Stock are held by a Founder or such Founder’s Permitted Entity or Permitted Transferee and (A) a person designated by such Founder and approved by a majority of the Independent Directors then in office or (B) the other Founder has or shares sole and exclusive Voting Control over such shares, then such shares of Class B Common Stock held by such Founder or such Founder’s Permitted Entity or Permitted Transferee shall be treated as held by such designated person or other Founder, as applicable, that has or shares sole</w:t>
      </w:r>
    </w:p>
    <w:p>
      <w:pPr>
        <w:sectPr>
          <w:pgSz w:w="11900" w:h="16838" w:orient="portrait"/>
          <w:cols w:equalWidth="0" w:num="1">
            <w:col w:w="11220"/>
          </w:cols>
          <w:pgMar w:left="320" w:top="1427" w:right="359" w:bottom="1440" w:gutter="0" w:footer="0" w:header="0"/>
        </w:sectPr>
      </w:pPr>
    </w:p>
    <w:bookmarkStart w:id="390" w:name="page391"/>
    <w:bookmarkEnd w:id="390"/>
    <w:p>
      <w:pPr>
        <w:ind w:left="660" w:right="20"/>
        <w:spacing w:after="0" w:line="291" w:lineRule="auto"/>
        <w:rPr>
          <w:sz w:val="20"/>
          <w:szCs w:val="20"/>
          <w:color w:val="auto"/>
        </w:rPr>
      </w:pPr>
      <w:r>
        <w:rPr>
          <w:rFonts w:ascii="Arial" w:cs="Arial" w:eastAsia="Arial" w:hAnsi="Arial"/>
          <w:sz w:val="19"/>
          <w:szCs w:val="19"/>
          <w:color w:val="auto"/>
        </w:rPr>
        <w:t xml:space="preserve">and exclusive Voting Control over such shares for purposes of this </w:t>
      </w:r>
      <w:r>
        <w:rPr>
          <w:rFonts w:ascii="Arial" w:cs="Arial" w:eastAsia="Arial" w:hAnsi="Arial"/>
          <w:sz w:val="19"/>
          <w:szCs w:val="19"/>
          <w:u w:val="single" w:color="auto"/>
          <w:color w:val="auto"/>
        </w:rPr>
        <w:t>Section 5.03(b)(iii)</w:t>
      </w:r>
      <w:r>
        <w:rPr>
          <w:rFonts w:ascii="Arial" w:cs="Arial" w:eastAsia="Arial" w:hAnsi="Arial"/>
          <w:sz w:val="19"/>
          <w:szCs w:val="19"/>
          <w:color w:val="auto"/>
        </w:rPr>
        <w:t xml:space="preserve"> and shall not be converted into shares of Class A Common Stock as a result of the death or Disability of such Founder;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w:t>
      </w:r>
    </w:p>
    <w:p>
      <w:pPr>
        <w:spacing w:after="0" w:line="1" w:lineRule="exact"/>
        <w:rPr>
          <w:sz w:val="20"/>
          <w:szCs w:val="20"/>
          <w:color w:val="auto"/>
        </w:rPr>
      </w:pPr>
    </w:p>
    <w:p>
      <w:pPr>
        <w:ind w:left="660" w:right="100" w:hanging="4"/>
        <w:spacing w:after="0" w:line="244" w:lineRule="auto"/>
        <w:tabs>
          <w:tab w:leader="none" w:pos="96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such designated person or other Founder, as applicable, or (2) another person designated by such Founder, designated person or other Founder, as applicable, and approved in each case by a majority of the Independent Directors then in office no longer has or shares sole and exclusive Voting Control over such shares of Class B Common Stock, then each such share of Class B Common Stock shall automatically, without any further action by the Corporation or the holder of such shares of Class B Common Stock, be converted into one (1) fully paid and nonassessable share of Class A Common Stock.</w:t>
      </w:r>
    </w:p>
    <w:p>
      <w:pPr>
        <w:spacing w:after="0" w:line="193" w:lineRule="exact"/>
        <w:rPr>
          <w:rFonts w:ascii="Arial" w:cs="Arial" w:eastAsia="Arial" w:hAnsi="Arial"/>
          <w:sz w:val="22"/>
          <w:szCs w:val="22"/>
          <w:color w:val="auto"/>
        </w:rPr>
      </w:pPr>
    </w:p>
    <w:p>
      <w:pPr>
        <w:ind w:right="240" w:firstLine="1304"/>
        <w:spacing w:after="0" w:line="343" w:lineRule="auto"/>
        <w:tabs>
          <w:tab w:leader="none" w:pos="1752"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No Reissuance of Class B Common Stock</w:t>
      </w:r>
      <w:r>
        <w:rPr>
          <w:rFonts w:ascii="Arial" w:cs="Arial" w:eastAsia="Arial" w:hAnsi="Arial"/>
          <w:sz w:val="19"/>
          <w:szCs w:val="19"/>
          <w:color w:val="auto"/>
        </w:rPr>
        <w:t>. No share or shares of Class B Common Stock acquired by the Corporation by reason of redemption, purchase, conversion or otherwise shall be reissued as shares of Class B Common Stock.</w:t>
      </w:r>
    </w:p>
    <w:p>
      <w:pPr>
        <w:spacing w:after="0" w:line="104" w:lineRule="exact"/>
        <w:rPr>
          <w:sz w:val="20"/>
          <w:szCs w:val="20"/>
          <w:color w:val="auto"/>
        </w:rPr>
      </w:pPr>
    </w:p>
    <w:p>
      <w:pPr>
        <w:ind w:firstLine="1296"/>
        <w:spacing w:after="0" w:line="265"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Class B Protective Provisions</w:t>
      </w:r>
      <w:r>
        <w:rPr>
          <w:rFonts w:ascii="Arial" w:cs="Arial" w:eastAsia="Arial" w:hAnsi="Arial"/>
          <w:sz w:val="21"/>
          <w:szCs w:val="21"/>
          <w:color w:val="auto"/>
        </w:rPr>
        <w:t>. After 11:59 p.m. Eastern Time on the Effective Date, and prior to the Final Conversion Date, the Corporation shall not, without the prior affirmative vote (either at a meeting or by written election) of the holders of at least eighty percent (80%) of the outstanding shares of Class B Common Stock, voting separately as a class, in addition to any other vote required by applicable law or this Certificate of Incorporation:</w:t>
      </w:r>
    </w:p>
    <w:p>
      <w:pPr>
        <w:spacing w:after="0" w:line="175" w:lineRule="exact"/>
        <w:rPr>
          <w:sz w:val="20"/>
          <w:szCs w:val="20"/>
          <w:color w:val="auto"/>
        </w:rPr>
      </w:pPr>
    </w:p>
    <w:p>
      <w:pPr>
        <w:jc w:val="both"/>
        <w:ind w:firstLine="1304"/>
        <w:spacing w:after="0" w:line="250" w:lineRule="auto"/>
        <w:tabs>
          <w:tab w:leader="none" w:pos="175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directly or indirectly, whether by amendment, or through merger, recapitalization, consolidation or otherwise, amend or repeal, or adopt any provision of this Certificate of Incorporation inconsistent with, or otherwise alter, any provision of this Certificate of Incorporation that modifies the voting, conversion or other rights, powers, preferences, privileges or restrictions of the Class B Common Stock;</w:t>
      </w:r>
    </w:p>
    <w:p>
      <w:pPr>
        <w:spacing w:after="0" w:line="187" w:lineRule="exact"/>
        <w:rPr>
          <w:rFonts w:ascii="Arial" w:cs="Arial" w:eastAsia="Arial" w:hAnsi="Arial"/>
          <w:sz w:val="22"/>
          <w:szCs w:val="22"/>
          <w:color w:val="auto"/>
        </w:rPr>
      </w:pPr>
    </w:p>
    <w:p>
      <w:pPr>
        <w:jc w:val="both"/>
        <w:ind w:right="200" w:firstLine="1304"/>
        <w:spacing w:after="0" w:line="253" w:lineRule="auto"/>
        <w:tabs>
          <w:tab w:leader="none" w:pos="176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reclassify any outstanding shares of Class A Common Stock or Class C Common Stock into shares having rights as to dividends or liquidation that are senior to the Class B Common Stock or the right to have more than one (1) vote for each share thereof;</w:t>
      </w:r>
    </w:p>
    <w:p>
      <w:pPr>
        <w:spacing w:after="0" w:line="185" w:lineRule="exact"/>
        <w:rPr>
          <w:rFonts w:ascii="Arial" w:cs="Arial" w:eastAsia="Arial" w:hAnsi="Arial"/>
          <w:sz w:val="22"/>
          <w:szCs w:val="22"/>
          <w:color w:val="auto"/>
        </w:rPr>
      </w:pPr>
    </w:p>
    <w:p>
      <w:pPr>
        <w:ind w:right="100" w:firstLine="1304"/>
        <w:spacing w:after="0" w:line="248" w:lineRule="auto"/>
        <w:tabs>
          <w:tab w:leader="none" w:pos="175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issue any additional shares of Class B Common Stock, except for the issuance of shares of Class B Common Stock issuable in respect of Rights outstanding immediately prior to the Effective Time, a dividend or other distribution payable in accordance with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or a subdivision or combination in accordance with </w:t>
      </w:r>
      <w:r>
        <w:rPr>
          <w:rFonts w:ascii="Arial" w:cs="Arial" w:eastAsia="Arial" w:hAnsi="Arial"/>
          <w:sz w:val="22"/>
          <w:szCs w:val="22"/>
          <w:u w:val="single" w:color="auto"/>
          <w:color w:val="auto"/>
        </w:rPr>
        <w:t>Section 5.02(b)</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after the Final Conversion Date, the Corporation shall not issue any additional shares of Class B Common Stock; or</w:t>
      </w:r>
    </w:p>
    <w:p>
      <w:pPr>
        <w:spacing w:after="0" w:line="191" w:lineRule="exact"/>
        <w:rPr>
          <w:rFonts w:ascii="Arial" w:cs="Arial" w:eastAsia="Arial" w:hAnsi="Arial"/>
          <w:sz w:val="22"/>
          <w:szCs w:val="22"/>
          <w:color w:val="auto"/>
        </w:rPr>
      </w:pPr>
    </w:p>
    <w:p>
      <w:pPr>
        <w:ind w:right="160" w:firstLine="1304"/>
        <w:spacing w:after="0" w:line="263" w:lineRule="auto"/>
        <w:tabs>
          <w:tab w:leader="none" w:pos="176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authorize, or issue any shares of, any new class or series of capital stock of the Corporation having the right to more than (1) vote for each share thereof.</w:t>
      </w:r>
    </w:p>
    <w:p>
      <w:pPr>
        <w:spacing w:after="0" w:line="175" w:lineRule="exact"/>
        <w:rPr>
          <w:sz w:val="20"/>
          <w:szCs w:val="20"/>
          <w:color w:val="auto"/>
        </w:rPr>
      </w:pPr>
    </w:p>
    <w:p>
      <w:pPr>
        <w:ind w:right="140" w:firstLine="1296"/>
        <w:spacing w:after="0" w:line="312"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Conversion of Class C Common Stock</w:t>
      </w:r>
      <w:r>
        <w:rPr>
          <w:rFonts w:ascii="Arial" w:cs="Arial" w:eastAsia="Arial" w:hAnsi="Arial"/>
          <w:sz w:val="19"/>
          <w:szCs w:val="19"/>
          <w:color w:val="auto"/>
        </w:rPr>
        <w:t>. Upon the conversion of all outstanding shares of Class B Common Stock into or for shares of Class A Common Stock, each outstanding share of Class C Common Stock shall automatically, without any further action by the Corporation or the holder thereof, convert into one (1) fully paid and</w:t>
      </w:r>
    </w:p>
    <w:p>
      <w:pPr>
        <w:sectPr>
          <w:pgSz w:w="11900" w:h="16838" w:orient="portrait"/>
          <w:cols w:equalWidth="0" w:num="1">
            <w:col w:w="11240"/>
          </w:cols>
          <w:pgMar w:left="320" w:top="1427" w:right="339" w:bottom="1440" w:gutter="0" w:footer="0" w:header="0"/>
        </w:sectPr>
      </w:pPr>
    </w:p>
    <w:bookmarkStart w:id="391" w:name="page392"/>
    <w:bookmarkEnd w:id="391"/>
    <w:p>
      <w:pPr>
        <w:ind w:right="740"/>
        <w:spacing w:after="0" w:line="263" w:lineRule="auto"/>
        <w:rPr>
          <w:sz w:val="20"/>
          <w:szCs w:val="20"/>
          <w:color w:val="auto"/>
        </w:rPr>
      </w:pPr>
      <w:r>
        <w:rPr>
          <w:rFonts w:ascii="Arial" w:cs="Arial" w:eastAsia="Arial" w:hAnsi="Arial"/>
          <w:sz w:val="22"/>
          <w:szCs w:val="22"/>
          <w:color w:val="auto"/>
        </w:rPr>
        <w:t>nonassessable share of Class A Common Stock on the date or time fixed therefor by the Board of Directors (the “</w:t>
      </w:r>
      <w:r>
        <w:rPr>
          <w:rFonts w:ascii="Arial" w:cs="Arial" w:eastAsia="Arial" w:hAnsi="Arial"/>
          <w:sz w:val="22"/>
          <w:szCs w:val="22"/>
          <w:u w:val="single" w:color="auto"/>
          <w:color w:val="auto"/>
        </w:rPr>
        <w:t>Class C</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Conversion Date</w:t>
      </w:r>
      <w:r>
        <w:rPr>
          <w:rFonts w:ascii="Arial" w:cs="Arial" w:eastAsia="Arial" w:hAnsi="Arial"/>
          <w:sz w:val="22"/>
          <w:szCs w:val="22"/>
          <w:color w:val="auto"/>
        </w:rPr>
        <w:t>”).</w:t>
      </w:r>
    </w:p>
    <w:p>
      <w:pPr>
        <w:spacing w:after="0" w:line="175"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Policies and Procedures</w:t>
      </w:r>
      <w:r>
        <w:rPr>
          <w:rFonts w:ascii="Arial" w:cs="Arial" w:eastAsia="Arial" w:hAnsi="Arial"/>
          <w:sz w:val="19"/>
          <w:szCs w:val="19"/>
          <w:color w:val="auto"/>
        </w:rPr>
        <w:t>. The Corporation may, from time to time, establish such policies and procedures relating to the conversion of the Class B Common Stock into Class A Common Stock, the conversion of the Class C Common Stock into Class A Common Stock and the general administration of this multi-class stock structure, including, without limitation,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56"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Immediate Effect</w:t>
      </w:r>
      <w:r>
        <w:rPr>
          <w:rFonts w:ascii="Arial" w:cs="Arial" w:eastAsia="Arial" w:hAnsi="Arial"/>
          <w:sz w:val="19"/>
          <w:szCs w:val="19"/>
          <w:color w:val="auto"/>
        </w:rPr>
        <w:t xml:space="preserve">. In the event of and upon a conversion of shares of Class B Common Stock into shares of Class A Common Stock pursuant to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or Class C Common Stock into shares of Class A Common Stock pursuant to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such conversion shall be deemed to have been made, as applicable, (i) at the time that the Transfer of shares, death or Disability, as applicable, occurred (in the case of a conversion of Class B Common Stock to Class A Common Stock), immediately upon the Final Conversion Date (in the case of a conversion of Class B Common Stock to Class A Common Stock) or immediately upon the Class C Conversion Date (in the case of a conversion of Class C Common Stock to Class A Common Stock), or (ii) in the case of a conversion pursuant to </w:t>
      </w:r>
      <w:r>
        <w:rPr>
          <w:rFonts w:ascii="Arial" w:cs="Arial" w:eastAsia="Arial" w:hAnsi="Arial"/>
          <w:sz w:val="19"/>
          <w:szCs w:val="19"/>
          <w:u w:val="single" w:color="auto"/>
          <w:color w:val="auto"/>
        </w:rPr>
        <w:t>Section 5.03(b)(i)</w:t>
      </w:r>
      <w:r>
        <w:rPr>
          <w:rFonts w:ascii="Arial" w:cs="Arial" w:eastAsia="Arial" w:hAnsi="Arial"/>
          <w:sz w:val="19"/>
          <w:szCs w:val="19"/>
          <w:color w:val="auto"/>
        </w:rPr>
        <w:t>, (A) the date on which the transfer agent of the Corporation (or the Corporation if the Corporation serves as its own transfer agent) receives the notice described therein or (B) such later date specified in the notice described therein, subject in all cases to any transition periods specifically provided for in this Certificate of Incorporation. Upon any conversion of Class B Common Stock into Class A Common Stock or Class C Common Stock into Class A Common Stock in accordance with this Certificate of Incorporation, all rights of the holder of shares of Class B Common Stock or Class C Common Stock, as applicable,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62" w:lineRule="exact"/>
        <w:rPr>
          <w:sz w:val="20"/>
          <w:szCs w:val="20"/>
          <w:color w:val="auto"/>
        </w:rPr>
      </w:pPr>
    </w:p>
    <w:p>
      <w:pPr>
        <w:ind w:right="100" w:firstLine="1296"/>
        <w:spacing w:after="0" w:line="290"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Reservation of Stock Issuable Upon Conversion</w:t>
      </w:r>
      <w:r>
        <w:rPr>
          <w:rFonts w:ascii="Arial" w:cs="Arial" w:eastAsia="Arial" w:hAnsi="Arial"/>
          <w:sz w:val="19"/>
          <w:szCs w:val="19"/>
          <w:color w:val="auto"/>
        </w:rPr>
        <w:t>. The Corporation shall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w:t>
      </w:r>
    </w:p>
    <w:p>
      <w:pPr>
        <w:sectPr>
          <w:pgSz w:w="11900" w:h="16838" w:orient="portrait"/>
          <w:cols w:equalWidth="0" w:num="1">
            <w:col w:w="11220"/>
          </w:cols>
          <w:pgMar w:left="320" w:top="1427" w:right="359" w:bottom="1440" w:gutter="0" w:footer="0" w:header="0"/>
        </w:sectPr>
      </w:pPr>
    </w:p>
    <w:bookmarkStart w:id="392" w:name="page393"/>
    <w:bookmarkEnd w:id="392"/>
    <w:p>
      <w:pPr>
        <w:spacing w:after="0" w:line="250" w:lineRule="auto"/>
        <w:rPr>
          <w:sz w:val="20"/>
          <w:szCs w:val="20"/>
          <w:color w:val="auto"/>
        </w:rPr>
      </w:pPr>
      <w:r>
        <w:rPr>
          <w:rFonts w:ascii="Arial" w:cs="Arial" w:eastAsia="Arial" w:hAnsi="Arial"/>
          <w:sz w:val="22"/>
          <w:szCs w:val="22"/>
          <w:color w:val="auto"/>
        </w:rPr>
        <w:t>Common Stock into such number of shares as will be sufficient for such purpose.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226" w:lineRule="exact"/>
        <w:rPr>
          <w:sz w:val="20"/>
          <w:szCs w:val="20"/>
          <w:color w:val="auto"/>
        </w:rPr>
      </w:pPr>
    </w:p>
    <w:p>
      <w:pPr>
        <w:ind w:right="60" w:firstLine="1296"/>
        <w:spacing w:after="0" w:line="286"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Shares of Preferred Stock may be issued from time to time in one or more series. The Board of Directors (or any committee to which it may duly delegate the authority granted in this </w:t>
      </w:r>
      <w:r>
        <w:rPr>
          <w:rFonts w:ascii="Arial" w:cs="Arial" w:eastAsia="Arial" w:hAnsi="Arial"/>
          <w:sz w:val="19"/>
          <w:szCs w:val="19"/>
          <w:u w:val="single" w:color="auto"/>
          <w:color w:val="auto"/>
        </w:rPr>
        <w:t>Article VI</w:t>
      </w:r>
      <w:r>
        <w:rPr>
          <w:rFonts w:ascii="Arial" w:cs="Arial" w:eastAsia="Arial" w:hAnsi="Arial"/>
          <w:sz w:val="19"/>
          <w:szCs w:val="19"/>
          <w:color w:val="auto"/>
        </w:rPr>
        <w:t>) is hereby empowered to authorize the issuance from time to time of shares of Preferred Stock in one or more series, for such consideration and for such corporate purposes as the Board of Directors (or such committee thereof) may from time to time determine, and, by filing a certificate (a “</w:t>
      </w:r>
      <w:r>
        <w:rPr>
          <w:rFonts w:ascii="Arial" w:cs="Arial" w:eastAsia="Arial" w:hAnsi="Arial"/>
          <w:sz w:val="19"/>
          <w:szCs w:val="19"/>
          <w:u w:val="single" w:color="auto"/>
          <w:color w:val="auto"/>
        </w:rPr>
        <w:t>Preferred Stock Designation</w:t>
      </w:r>
      <w:r>
        <w:rPr>
          <w:rFonts w:ascii="Arial" w:cs="Arial" w:eastAsia="Arial" w:hAnsi="Arial"/>
          <w:sz w:val="19"/>
          <w:szCs w:val="19"/>
          <w:color w:val="auto"/>
        </w:rPr>
        <w:t>”)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authority of the Board of Directors, with respect to each series of Preferred Stock, shall include, without limitation, determination of the following:</w:t>
      </w:r>
    </w:p>
    <w:p>
      <w:pPr>
        <w:spacing w:after="0" w:line="166" w:lineRule="exact"/>
        <w:rPr>
          <w:sz w:val="20"/>
          <w:szCs w:val="20"/>
          <w:color w:val="auto"/>
        </w:rPr>
      </w:pPr>
    </w:p>
    <w:p>
      <w:pPr>
        <w:ind w:left="1760" w:hanging="456"/>
        <w:spacing w:after="0"/>
        <w:tabs>
          <w:tab w:leader="none" w:pos="17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designation of the series, which may be by distinguishing number, letter or title;</w:t>
      </w:r>
    </w:p>
    <w:p>
      <w:pPr>
        <w:spacing w:after="0" w:line="219" w:lineRule="exact"/>
        <w:rPr>
          <w:rFonts w:ascii="Arial" w:cs="Arial" w:eastAsia="Arial" w:hAnsi="Arial"/>
          <w:sz w:val="22"/>
          <w:szCs w:val="22"/>
          <w:color w:val="auto"/>
        </w:rPr>
      </w:pPr>
    </w:p>
    <w:p>
      <w:pPr>
        <w:ind w:right="380" w:firstLine="1304"/>
        <w:spacing w:after="0" w:line="253" w:lineRule="auto"/>
        <w:tabs>
          <w:tab w:leader="none" w:pos="176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85" w:lineRule="exact"/>
        <w:rPr>
          <w:rFonts w:ascii="Arial" w:cs="Arial" w:eastAsia="Arial" w:hAnsi="Arial"/>
          <w:sz w:val="22"/>
          <w:szCs w:val="22"/>
          <w:color w:val="auto"/>
        </w:rPr>
      </w:pPr>
    </w:p>
    <w:p>
      <w:pPr>
        <w:ind w:right="680" w:firstLine="1304"/>
        <w:spacing w:after="0" w:line="263" w:lineRule="auto"/>
        <w:tabs>
          <w:tab w:leader="none" w:pos="175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amounts payable on and the preferences, if any, of shares of the series in respect of dividends, and whether such dividends, if any, shall be cumulative or noncumulative;</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dates at which dividends, if any, shall be payable;</w:t>
      </w:r>
    </w:p>
    <w:p>
      <w:pPr>
        <w:spacing w:after="0" w:line="219" w:lineRule="exact"/>
        <w:rPr>
          <w:rFonts w:ascii="Arial" w:cs="Arial" w:eastAsia="Arial" w:hAnsi="Arial"/>
          <w:sz w:val="22"/>
          <w:szCs w:val="22"/>
          <w:color w:val="auto"/>
        </w:rPr>
      </w:pPr>
    </w:p>
    <w:p>
      <w:pPr>
        <w:ind w:right="180" w:firstLine="1304"/>
        <w:spacing w:after="0" w:line="263" w:lineRule="auto"/>
        <w:tabs>
          <w:tab w:leader="none" w:pos="175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redemption rights and price or prices, if any, for shares of the series and the times, form of payment and other terms and conditions of any such redemption;</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terms and amount of any sinking fund provided for the purchase or redemption of shares of the series;</w:t>
      </w:r>
    </w:p>
    <w:p>
      <w:pPr>
        <w:sectPr>
          <w:pgSz w:w="11900" w:h="16838" w:orient="portrait"/>
          <w:cols w:equalWidth="0" w:num="1">
            <w:col w:w="11220"/>
          </w:cols>
          <w:pgMar w:left="320" w:top="1427" w:right="359" w:bottom="1440" w:gutter="0" w:footer="0" w:header="0"/>
        </w:sectPr>
      </w:pPr>
    </w:p>
    <w:bookmarkStart w:id="393" w:name="page394"/>
    <w:bookmarkEnd w:id="393"/>
    <w:p>
      <w:pPr>
        <w:ind w:right="300" w:firstLine="1304"/>
        <w:spacing w:after="0" w:line="263" w:lineRule="auto"/>
        <w:tabs>
          <w:tab w:leader="none" w:pos="176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amounts payable on and the preferences, if any, of shares of the series in the event of any voluntary or involuntary liquidation, dissolution or winding up of the affairs of the Corporation;</w:t>
      </w:r>
    </w:p>
    <w:p>
      <w:pPr>
        <w:spacing w:after="0" w:line="174" w:lineRule="exact"/>
        <w:rPr>
          <w:rFonts w:ascii="Arial" w:cs="Arial" w:eastAsia="Arial" w:hAnsi="Arial"/>
          <w:sz w:val="22"/>
          <w:szCs w:val="22"/>
          <w:color w:val="auto"/>
        </w:rPr>
      </w:pPr>
    </w:p>
    <w:p>
      <w:pPr>
        <w:ind w:right="100" w:firstLine="1304"/>
        <w:spacing w:after="0" w:line="248" w:lineRule="auto"/>
        <w:tabs>
          <w:tab w:leader="none" w:pos="176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91" w:lineRule="exact"/>
        <w:rPr>
          <w:rFonts w:ascii="Arial" w:cs="Arial" w:eastAsia="Arial" w:hAnsi="Arial"/>
          <w:sz w:val="22"/>
          <w:szCs w:val="22"/>
          <w:color w:val="auto"/>
        </w:rPr>
      </w:pPr>
    </w:p>
    <w:p>
      <w:pPr>
        <w:ind w:left="1720" w:hanging="416"/>
        <w:spacing w:after="0"/>
        <w:tabs>
          <w:tab w:leader="none" w:pos="172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restrictions on the issuance and re-issuance of shares of the same series or of any other class or series; and</w:t>
      </w:r>
    </w:p>
    <w:p>
      <w:pPr>
        <w:spacing w:after="0" w:line="254" w:lineRule="exact"/>
        <w:rPr>
          <w:rFonts w:ascii="Arial" w:cs="Arial" w:eastAsia="Arial" w:hAnsi="Arial"/>
          <w:sz w:val="19"/>
          <w:szCs w:val="19"/>
          <w:color w:val="auto"/>
        </w:rPr>
      </w:pPr>
    </w:p>
    <w:p>
      <w:pPr>
        <w:ind w:left="1720" w:hanging="416"/>
        <w:spacing w:after="0"/>
        <w:tabs>
          <w:tab w:leader="none" w:pos="17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voting rights, if any, of the holders of shares of the series.</w:t>
      </w:r>
    </w:p>
    <w:p>
      <w:pPr>
        <w:spacing w:after="0" w:line="220"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Vote to Increase or Decrease Authorized Shares of Preferred Stock</w:t>
      </w:r>
      <w:r>
        <w:rPr>
          <w:rFonts w:ascii="Arial" w:cs="Arial" w:eastAsia="Arial" w:hAnsi="Arial"/>
          <w:sz w:val="22"/>
          <w:szCs w:val="22"/>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DGCL, unless a vote of any such holders is required pursuant to the terms of any Preferred Stock Designation.</w:t>
      </w:r>
    </w:p>
    <w:p>
      <w:pPr>
        <w:spacing w:after="0" w:line="19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TERM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 of existence of the Corporation shall be perpetual.</w:t>
      </w:r>
    </w:p>
    <w:p>
      <w:pPr>
        <w:spacing w:after="0" w:line="2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BOARD OF DIRECTORS</w:t>
      </w:r>
    </w:p>
    <w:p>
      <w:pPr>
        <w:spacing w:after="0" w:line="226" w:lineRule="exact"/>
        <w:rPr>
          <w:sz w:val="20"/>
          <w:szCs w:val="20"/>
          <w:color w:val="auto"/>
        </w:rPr>
      </w:pPr>
    </w:p>
    <w:p>
      <w:pPr>
        <w:jc w:val="both"/>
        <w:ind w:right="40" w:firstLine="1296"/>
        <w:spacing w:after="0" w:line="29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General Powers.</w:t>
      </w:r>
      <w:r>
        <w:rPr>
          <w:rFonts w:ascii="Arial" w:cs="Arial" w:eastAsia="Arial" w:hAnsi="Arial"/>
          <w:sz w:val="19"/>
          <w:szCs w:val="19"/>
          <w:color w:val="auto"/>
        </w:rPr>
        <w:t xml:space="preserve"> The business and affairs of the Corporation shall be managed by or under the direction of the Board of Directors. In addition to the powers and authorities expressly conferred upon the Board of Directors by this Certificate of Incorporation or the bylaws of the Corporation (as they may be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the Board of Directors may exercise all such powers of the Corporation and do all such lawful acts and things as are not by statute or by this Certificate of Incorporation or by the Bylaws required to be exercised or done by the stockholders.</w:t>
      </w:r>
    </w:p>
    <w:p>
      <w:pPr>
        <w:spacing w:after="0" w:line="147"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Number of Directors.</w:t>
      </w:r>
      <w:r>
        <w:rPr>
          <w:rFonts w:ascii="Arial" w:cs="Arial" w:eastAsia="Arial" w:hAnsi="Arial"/>
          <w:sz w:val="22"/>
          <w:szCs w:val="22"/>
          <w:color w:val="auto"/>
        </w:rPr>
        <w:t xml:space="preserve"> Except as otherwise fixed pursuant to the terms of any outstanding series of Preferred Stock, the number of directors shall be fixed from time to time exclusively pursuant to a resolution adopted by a majority of the total number</w:t>
      </w:r>
    </w:p>
    <w:p>
      <w:pPr>
        <w:sectPr>
          <w:pgSz w:w="11900" w:h="16838" w:orient="portrait"/>
          <w:cols w:equalWidth="0" w:num="1">
            <w:col w:w="11200"/>
          </w:cols>
          <w:pgMar w:left="320" w:top="1427" w:right="379" w:bottom="1440" w:gutter="0" w:footer="0" w:header="0"/>
        </w:sectPr>
      </w:pPr>
    </w:p>
    <w:bookmarkStart w:id="394" w:name="page395"/>
    <w:bookmarkEnd w:id="394"/>
    <w:p>
      <w:pPr>
        <w:spacing w:after="0"/>
        <w:rPr>
          <w:sz w:val="20"/>
          <w:szCs w:val="20"/>
          <w:color w:val="auto"/>
        </w:rPr>
      </w:pPr>
      <w:r>
        <w:rPr>
          <w:rFonts w:ascii="Arial" w:cs="Arial" w:eastAsia="Arial" w:hAnsi="Arial"/>
          <w:sz w:val="22"/>
          <w:szCs w:val="22"/>
          <w:color w:val="auto"/>
        </w:rPr>
        <w:t>of directors that the Corporation would have if all vacancies or unfilled directorships were filled (the “</w:t>
      </w:r>
      <w:r>
        <w:rPr>
          <w:rFonts w:ascii="Arial" w:cs="Arial" w:eastAsia="Arial" w:hAnsi="Arial"/>
          <w:sz w:val="22"/>
          <w:szCs w:val="22"/>
          <w:u w:val="single" w:color="auto"/>
          <w:color w:val="auto"/>
        </w:rPr>
        <w:t>Whole Board</w:t>
      </w:r>
      <w:r>
        <w:rPr>
          <w:rFonts w:ascii="Arial" w:cs="Arial" w:eastAsia="Arial" w:hAnsi="Arial"/>
          <w:sz w:val="22"/>
          <w:szCs w:val="22"/>
          <w:color w:val="auto"/>
        </w:rPr>
        <w:t>”).</w:t>
      </w:r>
    </w:p>
    <w:p>
      <w:pPr>
        <w:spacing w:after="0" w:line="220" w:lineRule="exact"/>
        <w:rPr>
          <w:sz w:val="20"/>
          <w:szCs w:val="20"/>
          <w:color w:val="auto"/>
        </w:rPr>
      </w:pPr>
    </w:p>
    <w:p>
      <w:pPr>
        <w:ind w:right="160" w:firstLine="1296"/>
        <w:spacing w:after="0" w:line="291"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Classes of Directors.</w:t>
      </w:r>
      <w:r>
        <w:rPr>
          <w:rFonts w:ascii="Arial" w:cs="Arial" w:eastAsia="Arial" w:hAnsi="Arial"/>
          <w:sz w:val="19"/>
          <w:szCs w:val="19"/>
          <w:color w:val="auto"/>
        </w:rPr>
        <w:t xml:space="preserve"> Subject to the rights of the holders of any outstanding series of Preferred Stock to elect directors under specified circumstances, the directors serving on the Board of Directors shall be divided into three</w:t>
      </w:r>
    </w:p>
    <w:p>
      <w:pPr>
        <w:spacing w:after="0" w:line="1" w:lineRule="exact"/>
        <w:rPr>
          <w:sz w:val="20"/>
          <w:szCs w:val="20"/>
          <w:color w:val="auto"/>
        </w:rPr>
      </w:pPr>
    </w:p>
    <w:p>
      <w:pPr>
        <w:ind w:firstLine="8"/>
        <w:spacing w:after="0" w:line="283" w:lineRule="auto"/>
        <w:tabs>
          <w:tab w:leader="none" w:pos="30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classes as nearly equal in size as is reasonably practicable, hereby designated as Class I, Class II and Class III. The initial assignment of directors to each such class shall be made by the Board of Directors and may comprise members of the Board of Directors already in office. The first term of office of the Class I directors shall expire at the first annual meeting of stockholders following the Effective Date, the first term of office of the Class II directors shall expire at the second annual meeting of stockholders following the Effective Date and the first term of office of the Class III directors shall expire at the third annual meeting of stockholders following the Effective Date, with each director to hold office until his or her successor has been duly elected and qualified, or until his or her earlier death, resignation, retirement, disqualification or removal from office. At the first annual meeting of stockholders following the Effective Date, the Class I directors shall be elected for a term of office to expire at the third annual meeting of stockholders following the Effective Date. At the second annual meeting of stockholders, the Class II directors shall be elected for a term of office to expire at the third annual meeting of stockholders following the Effective Date. Commencing with the third annual meeting of stockholders following the Effective Date and at all subsequent annual meetings of stockholders, the Board of Directors will no longer be classified under Section 141(d) of the DGCL and all directors shall be elected for a term of office to expire at the next succeeding annual meeting of stockholders. If the number of directors is changed after the initial assignment of directors made by the Board of Directors to each class, any increase or decrease in directorships shall be so apportioned among the classes as to maintain the number of directors in each class as nearly equal in number as is reasonably practicable, and any additional director of any class elected to fill a vacancy resulting from an increase in such class or from death, resignation, retirement, disqualification or removal from office or any other reason shall hold office for a term that shall coincide with the remaining term of that class, but in no case will a decrease in the number of directors have the effect of removing or shortening the term of any incumbent director. If authorized by a resolution of the Board of Directors, directors may be elected to fill any vacancy or unfilled directorship on the Board of Directors, regardless of how such vacancy or unfilled directorship shall have been created.</w:t>
      </w:r>
    </w:p>
    <w:p>
      <w:pPr>
        <w:spacing w:after="0" w:line="200" w:lineRule="exact"/>
        <w:rPr>
          <w:sz w:val="20"/>
          <w:szCs w:val="20"/>
          <w:color w:val="auto"/>
        </w:rPr>
      </w:pPr>
    </w:p>
    <w:p>
      <w:pPr>
        <w:spacing w:after="0" w:line="232" w:lineRule="exact"/>
        <w:rPr>
          <w:sz w:val="20"/>
          <w:szCs w:val="20"/>
          <w:color w:val="auto"/>
        </w:rPr>
      </w:pPr>
    </w:p>
    <w:p>
      <w:pPr>
        <w:ind w:right="140" w:firstLine="1296"/>
        <w:spacing w:after="0" w:line="259"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Vacancies and Newly Created Directorships.</w:t>
      </w:r>
      <w:r>
        <w:rPr>
          <w:rFonts w:ascii="Arial" w:cs="Arial" w:eastAsia="Arial" w:hAnsi="Arial"/>
          <w:sz w:val="21"/>
          <w:szCs w:val="21"/>
          <w:color w:val="auto"/>
        </w:rPr>
        <w:t xml:space="preserve"> Subject to applicable law and the rights of the holders of any outstanding series of Preferred Stock, newly created directorships resulting from any increase in the authorized number of directors or any vacancies in the Board of Directors resulting from death, resignation, retirement, disqualification, removal from office or any other reason, shall be filled solely by the Board of Directors, acting by not less than a majority of the directors then in office, although less than a quorum, and in the event that there is only one director remaining in office, by such sole remaining director. Any director appointed to fill a vacancy or unfilled directorship on the Board of Directors will be appointed for a term expiring at the annual meeting of stockholders at which the term of office of the class for which such director has been appointed expires and until his or her successor has been duly elected and qualified, or until his or her earlier death, resignation, retirement,</w:t>
      </w:r>
    </w:p>
    <w:p>
      <w:pPr>
        <w:sectPr>
          <w:pgSz w:w="11900" w:h="16838" w:orient="portrait"/>
          <w:cols w:equalWidth="0" w:num="1">
            <w:col w:w="11240"/>
          </w:cols>
          <w:pgMar w:left="320" w:top="1427" w:right="339" w:bottom="1440" w:gutter="0" w:footer="0" w:header="0"/>
        </w:sectPr>
      </w:pPr>
    </w:p>
    <w:bookmarkStart w:id="395" w:name="page396"/>
    <w:bookmarkEnd w:id="395"/>
    <w:p>
      <w:pPr>
        <w:spacing w:after="0"/>
        <w:rPr>
          <w:sz w:val="20"/>
          <w:szCs w:val="20"/>
          <w:color w:val="auto"/>
        </w:rPr>
      </w:pPr>
      <w:r>
        <w:rPr>
          <w:rFonts w:ascii="Arial" w:cs="Arial" w:eastAsia="Arial" w:hAnsi="Arial"/>
          <w:sz w:val="19"/>
          <w:szCs w:val="19"/>
          <w:color w:val="auto"/>
        </w:rPr>
        <w:t>disqualification or removal from office. No decrease in the number of directors shall shorten the term of any incumbent director.</w:t>
      </w:r>
    </w:p>
    <w:p>
      <w:pPr>
        <w:spacing w:after="0" w:line="254" w:lineRule="exact"/>
        <w:rPr>
          <w:sz w:val="20"/>
          <w:szCs w:val="20"/>
          <w:color w:val="auto"/>
        </w:rPr>
      </w:pPr>
    </w:p>
    <w:p>
      <w:pPr>
        <w:ind w:right="120" w:firstLine="1296"/>
        <w:spacing w:after="0" w:line="246"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Removal.</w:t>
      </w:r>
      <w:r>
        <w:rPr>
          <w:rFonts w:ascii="Arial" w:cs="Arial" w:eastAsia="Arial" w:hAnsi="Arial"/>
          <w:sz w:val="22"/>
          <w:szCs w:val="22"/>
          <w:color w:val="auto"/>
        </w:rPr>
        <w:t xml:space="preserve"> Subject to the rights of holders of any outstanding series of Preferred Stock with respect to the removal of directors, any or all director(s) of the Corporation may be removed from office at any time by the stockholders, (i) until the third annual meeting of stockholders following the Effective Date or such other time as the Board of Directors is no longer classified under Section 141(d) of the DGCL, only for cause by the affirmative vote of the holders of a majority of the voting power of the outstanding shares of all classes of capital stock entitled to vote in the election of directors, voting together as a single class (the “</w:t>
      </w:r>
      <w:r>
        <w:rPr>
          <w:rFonts w:ascii="Arial" w:cs="Arial" w:eastAsia="Arial" w:hAnsi="Arial"/>
          <w:sz w:val="22"/>
          <w:szCs w:val="22"/>
          <w:u w:val="single" w:color="auto"/>
          <w:color w:val="auto"/>
        </w:rPr>
        <w:t>Voting Stock</w:t>
      </w:r>
      <w:r>
        <w:rPr>
          <w:rFonts w:ascii="Arial" w:cs="Arial" w:eastAsia="Arial" w:hAnsi="Arial"/>
          <w:sz w:val="22"/>
          <w:szCs w:val="22"/>
          <w:color w:val="auto"/>
        </w:rPr>
        <w:t>”), and (ii) from and including the third annual meeting of stockholders following the Effective Date or such other time, with or without cause, by the affirmative vote of the holders of a majority of the voting power of the Voting Stock.</w:t>
      </w:r>
    </w:p>
    <w:p>
      <w:pPr>
        <w:spacing w:after="0" w:line="194"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Elections of Directors.</w:t>
      </w:r>
      <w:r>
        <w:rPr>
          <w:rFonts w:ascii="Arial" w:cs="Arial" w:eastAsia="Arial" w:hAnsi="Arial"/>
          <w:sz w:val="22"/>
          <w:szCs w:val="22"/>
          <w:color w:val="auto"/>
        </w:rPr>
        <w:t xml:space="preserve"> Elections of directors need not be by written ballot unless the Bylaws shall so provide.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STOCKHOLDER ACTIONS</w:t>
      </w:r>
    </w:p>
    <w:p>
      <w:pPr>
        <w:spacing w:after="0" w:line="226"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u w:val="single" w:color="auto"/>
          <w:color w:val="auto"/>
        </w:rPr>
        <w:t>Stockholder Action by Written Consent</w:t>
      </w:r>
      <w:r>
        <w:rPr>
          <w:rFonts w:ascii="Arial" w:cs="Arial" w:eastAsia="Arial" w:hAnsi="Arial"/>
          <w:sz w:val="21"/>
          <w:szCs w:val="21"/>
          <w:color w:val="auto"/>
        </w:rPr>
        <w:t xml:space="preserve">. Subject to the rights of the holders of any series of Preferred Stock with respect to such series of Preferred Stock, any action required or permitted to be taken by the stockholders of the Corporation must be effected at a duly called annual or special meeting of the stockholders of the Corporation and may not be effected by any consent in writing by such stockholders;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action required or permitted to be taken by the holders of Class B Common Stock, voting separately as a class, may be effected by the written consent of such stockholders in lieu of a duly called annual or special meeting of stockholders of the Corporation.</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 xml:space="preserve">No Cumulative Voting. </w:t>
      </w:r>
      <w:r>
        <w:rPr>
          <w:rFonts w:ascii="Arial" w:cs="Arial" w:eastAsia="Arial" w:hAnsi="Arial"/>
          <w:sz w:val="19"/>
          <w:szCs w:val="19"/>
          <w:color w:val="auto"/>
        </w:rPr>
        <w:t>No stockholder shall be entitled to exercise any right of cumulative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voting.</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AMENDMENTS TO BYLAWS</w:t>
      </w:r>
    </w:p>
    <w:p>
      <w:pPr>
        <w:spacing w:after="0" w:line="226"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Board of Directors.</w:t>
      </w:r>
      <w:r>
        <w:rPr>
          <w:rFonts w:ascii="Arial" w:cs="Arial" w:eastAsia="Arial" w:hAnsi="Arial"/>
          <w:sz w:val="22"/>
          <w:szCs w:val="22"/>
          <w:color w:val="auto"/>
        </w:rPr>
        <w:t xml:space="preserve"> In furtherance and not in limitation of the powers conferred by the laws of the State of Delaware, the Board of Directors of the Corporation is expressly authorized to adopt, amend, alter and repeal the Bylaws, subject to the power of the stockholders of the Corporation to alter or repeal the Bylaws under applicable law as it presently exists or may hereafter be amended. Any such adoption, amendment, alteration or repeal of any Bylaw shall require approval by a majority of the Whole Board.</w:t>
      </w:r>
    </w:p>
    <w:p>
      <w:pPr>
        <w:spacing w:after="0" w:line="192"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Stockholders.</w:t>
      </w:r>
      <w:r>
        <w:rPr>
          <w:rFonts w:ascii="Arial" w:cs="Arial" w:eastAsia="Arial" w:hAnsi="Arial"/>
          <w:sz w:val="22"/>
          <w:szCs w:val="22"/>
          <w:color w:val="auto"/>
        </w:rPr>
        <w:t xml:space="preserve"> The stockholders of the Corporation shall also have power to adopt, amend, alter and repeal the Bylaws at any special meeting of the</w:t>
      </w:r>
    </w:p>
    <w:p>
      <w:pPr>
        <w:sectPr>
          <w:pgSz w:w="11900" w:h="16838" w:orient="portrait"/>
          <w:cols w:equalWidth="0" w:num="1">
            <w:col w:w="11220"/>
          </w:cols>
          <w:pgMar w:left="320" w:top="1427" w:right="359" w:bottom="1440" w:gutter="0" w:footer="0" w:header="0"/>
        </w:sectPr>
      </w:pPr>
    </w:p>
    <w:bookmarkStart w:id="396" w:name="page397"/>
    <w:bookmarkEnd w:id="396"/>
    <w:p>
      <w:pPr>
        <w:spacing w:after="0" w:line="253" w:lineRule="auto"/>
        <w:rPr>
          <w:sz w:val="20"/>
          <w:szCs w:val="20"/>
          <w:color w:val="auto"/>
        </w:rPr>
      </w:pPr>
      <w:r>
        <w:rPr>
          <w:rFonts w:ascii="Arial" w:cs="Arial" w:eastAsia="Arial" w:hAnsi="Arial"/>
          <w:sz w:val="22"/>
          <w:szCs w:val="22"/>
          <w:color w:val="auto"/>
        </w:rPr>
        <w:t>stockholders of the Corporation if duly called for that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notice of such special meeting, notice of such purpose shall be given), or at any annual meeting, by the affirmative vote of the holders of a majority of the voting power of the Voting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 LIABILITY; INDEMNIFICATION</w:t>
      </w:r>
    </w:p>
    <w:p>
      <w:pPr>
        <w:spacing w:after="0" w:line="226"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Director Liability.</w:t>
      </w:r>
      <w:r>
        <w:rPr>
          <w:rFonts w:ascii="Arial" w:cs="Arial" w:eastAsia="Arial" w:hAnsi="Arial"/>
          <w:sz w:val="19"/>
          <w:szCs w:val="19"/>
          <w:color w:val="auto"/>
        </w:rPr>
        <w:t xml:space="preserve"> To the fullest extent permitted by the DGCL, as the same exists or may hereafter be amended, a director of the Corporation shall not be personally liable either to the Corporation or to any of its stockholders for monetary damages for breach of fiduciary duty as a director. Any amendment or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 Any repeal or modification of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not eliminate or reduce the effect of this Article XI in respect of any matter accruing or arising from the time prior to such repeal or modification.</w:t>
      </w:r>
    </w:p>
    <w:p>
      <w:pPr>
        <w:spacing w:after="0" w:line="157"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Indemnification; Non-Exclusivity of Rights.</w:t>
      </w:r>
      <w:r>
        <w:rPr>
          <w:rFonts w:ascii="Arial" w:cs="Arial" w:eastAsia="Arial" w:hAnsi="Arial"/>
          <w:sz w:val="19"/>
          <w:szCs w:val="19"/>
          <w:color w:val="auto"/>
        </w:rPr>
        <w:t xml:space="preserve"> The Corporation shall indemnify and hold harmless, to the fullest extent permitted by applicable law, as the same exists or may hereafter be amended, any person who was or is made or is threatened to be made a party to or is otherwise involved in any action, suit or proceeding,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or a person for whom he or she is the legal representative, is or was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Arial" w:cs="Arial" w:eastAsia="Arial" w:hAnsi="Arial"/>
          <w:sz w:val="19"/>
          <w:szCs w:val="19"/>
          <w:u w:val="single" w:color="auto"/>
          <w:color w:val="auto"/>
        </w:rPr>
        <w:t>Covered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xml:space="preserve">”). The Corporation shall pay the reasonable expenses (including, without limitation, attorneys’ fees) incurred by any Covered Person in defending any Proceeding in advance of its final disposition, except where such Covered Person pleads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in a criminal proceeding (excluding traffic violations and other minor offenses);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payment of such expenses shall be made only upon receipt of an undertaking by the Covered Person to repay all amounts advanced if it shall ultimately be determined that such person is not entitled to be indemnified by the Corporation under this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to Covered Persons. The rights to indemnification and to the advancement of expenses conferred in this</w:t>
      </w:r>
    </w:p>
    <w:p>
      <w:pPr>
        <w:spacing w:after="0" w:line="14" w:lineRule="exact"/>
        <w:rPr>
          <w:sz w:val="20"/>
          <w:szCs w:val="20"/>
          <w:color w:val="auto"/>
        </w:rPr>
      </w:pPr>
    </w:p>
    <w:p>
      <w:pPr>
        <w:ind w:right="440"/>
        <w:spacing w:after="0" w:line="323" w:lineRule="auto"/>
        <w:rPr>
          <w:sz w:val="20"/>
          <w:szCs w:val="20"/>
          <w:color w:val="auto"/>
        </w:rPr>
      </w:pP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shall not be exclusive of any other right that any person may have or hereafter acquire under this Certificate of Incorporation, the Bylaws or any statute, agreement, vote of stockholders or disinterested directors or otherwise. Any</w:t>
      </w:r>
    </w:p>
    <w:p>
      <w:pPr>
        <w:sectPr>
          <w:pgSz w:w="11900" w:h="16838" w:orient="portrait"/>
          <w:cols w:equalWidth="0" w:num="1">
            <w:col w:w="11220"/>
          </w:cols>
          <w:pgMar w:left="320" w:top="1427" w:right="359" w:bottom="1440" w:gutter="0" w:footer="0" w:header="0"/>
        </w:sectPr>
      </w:pPr>
    </w:p>
    <w:bookmarkStart w:id="397" w:name="page398"/>
    <w:bookmarkEnd w:id="397"/>
    <w:p>
      <w:pPr>
        <w:ind w:right="220"/>
        <w:spacing w:after="0" w:line="312" w:lineRule="auto"/>
        <w:rPr>
          <w:sz w:val="20"/>
          <w:szCs w:val="20"/>
          <w:color w:val="auto"/>
        </w:rPr>
      </w:pPr>
      <w:r>
        <w:rPr>
          <w:rFonts w:ascii="Arial" w:cs="Arial" w:eastAsia="Arial" w:hAnsi="Arial"/>
          <w:sz w:val="19"/>
          <w:szCs w:val="19"/>
          <w:color w:val="auto"/>
        </w:rPr>
        <w:t xml:space="preserve">repeal or modification of this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or any provision of the Bylaws relating to a right to indemnification or to advancement of expenses shall not adversely affect any rights to indemnification and to the advancement of expenses of a Covered Person or employee or agent of the Corporation accruing or arising from the time prior to such repeal or modification.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FORUM AND VENUE</w:t>
      </w:r>
    </w:p>
    <w:p>
      <w:pPr>
        <w:spacing w:after="0" w:line="22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seeking to interpret, apply, enforce or determine the validity of this Certificate of Incorporation or the Bylaws (as either may be amended from time to time); (v) any action or proceeding asserting a claim against the Corporation or any director or officer or other employee of the Corporation governed by the internal affairs doctrine; or (vi) any action or proceeding as to which the DGCL (as it may be amended from time to time) confers jurisdiction on the Court of Chancery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w:t>
      </w:r>
    </w:p>
    <w:p>
      <w:pPr>
        <w:spacing w:after="0" w:line="162"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Unless the Corporation (through approval of the Board of Directors) consents in writing to the selection of an alternative forum, the federal district courts of the United States of America shall be the exclusive forum for the resolution of any complaint asserting a cause of action arising under the Securities Act.</w:t>
      </w:r>
    </w:p>
    <w:p>
      <w:pPr>
        <w:spacing w:after="0" w:line="185" w:lineRule="exact"/>
        <w:rPr>
          <w:sz w:val="20"/>
          <w:szCs w:val="20"/>
          <w:color w:val="auto"/>
        </w:rPr>
      </w:pPr>
    </w:p>
    <w:p>
      <w:pPr>
        <w:ind w:right="1040" w:firstLine="648"/>
        <w:spacing w:after="0" w:line="343" w:lineRule="auto"/>
        <w:rPr>
          <w:sz w:val="20"/>
          <w:szCs w:val="20"/>
          <w:color w:val="auto"/>
        </w:rPr>
      </w:pPr>
      <w:r>
        <w:rPr>
          <w:rFonts w:ascii="Arial" w:cs="Arial" w:eastAsia="Arial" w:hAnsi="Arial"/>
          <w:sz w:val="19"/>
          <w:szCs w:val="19"/>
          <w:color w:val="auto"/>
        </w:rPr>
        <w:t xml:space="preserve">Any person or entity purchasing or otherwise acquiring or holding any interest in shares of capital stock of the Corporation shall be deemed to have notice of and to have consented to the provisions of this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04" w:lineRule="exact"/>
        <w:rPr>
          <w:sz w:val="20"/>
          <w:szCs w:val="20"/>
          <w:color w:val="auto"/>
        </w:rPr>
      </w:pPr>
    </w:p>
    <w:p>
      <w:pPr>
        <w:jc w:val="both"/>
        <w:ind w:right="660" w:firstLine="648"/>
        <w:spacing w:after="0" w:line="253" w:lineRule="auto"/>
        <w:rPr>
          <w:sz w:val="20"/>
          <w:szCs w:val="20"/>
          <w:color w:val="auto"/>
        </w:rPr>
      </w:pPr>
      <w:r>
        <w:rPr>
          <w:rFonts w:ascii="Arial" w:cs="Arial" w:eastAsia="Arial" w:hAnsi="Arial"/>
          <w:sz w:val="22"/>
          <w:szCs w:val="22"/>
          <w:color w:val="auto"/>
        </w:rPr>
        <w:t xml:space="preserve">If any provision or provisions of this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shall be held to be invalid, illegal or unenforceable for any reason whatsoever, the validity, legality and enforceability of the remaining provisions of this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shall not in any way be affected or impaired thereby.</w:t>
      </w:r>
    </w:p>
    <w:p>
      <w:pPr>
        <w:sectPr>
          <w:pgSz w:w="11900" w:h="16838" w:orient="portrait"/>
          <w:cols w:equalWidth="0" w:num="1">
            <w:col w:w="11220"/>
          </w:cols>
          <w:pgMar w:left="320" w:top="1427" w:right="359" w:bottom="1440" w:gutter="0" w:footer="0" w:header="0"/>
        </w:sectPr>
      </w:pPr>
    </w:p>
    <w:bookmarkStart w:id="398" w:name="page399"/>
    <w:bookmarkEnd w:id="398"/>
    <w:p>
      <w:pPr>
        <w:ind w:left="4900"/>
        <w:spacing w:after="0"/>
        <w:rPr>
          <w:sz w:val="20"/>
          <w:szCs w:val="20"/>
          <w:color w:val="auto"/>
        </w:rPr>
      </w:pPr>
      <w:r>
        <w:rPr>
          <w:rFonts w:ascii="Arial" w:cs="Arial" w:eastAsia="Arial" w:hAnsi="Arial"/>
          <w:sz w:val="22"/>
          <w:szCs w:val="22"/>
          <w:b w:val="1"/>
          <w:bCs w:val="1"/>
          <w:color w:val="auto"/>
        </w:rPr>
        <w:t>ARTICLE XIII</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AMENDMENTS</w:t>
      </w:r>
    </w:p>
    <w:p>
      <w:pPr>
        <w:spacing w:after="0" w:line="22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In furtherance and not in limitation of the powers conferred by the DGCL, as the same exists or may hereafter be amended, subject to any limitations contained elsewhere in this Certificate of Incorporation, the Corporation may from time to time adopt, alter, amend or repeal any provision of this Certificate of Incorporation (including, without limitation, any rights, preferences or other designations of Preferred Stock).</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XIV</w:t>
      </w: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22"/>
          <w:szCs w:val="22"/>
          <w:color w:val="auto"/>
        </w:rPr>
        <w:t>SECTION 14.01.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Certificate of Incorporation, the term:</w:t>
      </w:r>
    </w:p>
    <w:p>
      <w:pPr>
        <w:spacing w:after="0" w:line="220" w:lineRule="exact"/>
        <w:rPr>
          <w:sz w:val="20"/>
          <w:szCs w:val="20"/>
          <w:color w:val="auto"/>
        </w:rPr>
      </w:pPr>
    </w:p>
    <w:p>
      <w:pPr>
        <w:ind w:left="1760" w:hanging="456"/>
        <w:spacing w:after="0"/>
        <w:tabs>
          <w:tab w:leader="none" w:pos="17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is defined in the preamble.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is defined in Section 8.01.</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is defined in the preamble.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is defined in Article IV.</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is defined in Article IV.</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Common Stock</w:t>
      </w:r>
      <w:r>
        <w:rPr>
          <w:rFonts w:ascii="Arial" w:cs="Arial" w:eastAsia="Arial" w:hAnsi="Arial"/>
          <w:sz w:val="22"/>
          <w:szCs w:val="22"/>
          <w:color w:val="auto"/>
        </w:rPr>
        <w:t>” is defined in Article IV.</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C Conversion Date</w:t>
      </w:r>
      <w:r>
        <w:rPr>
          <w:rFonts w:ascii="Arial" w:cs="Arial" w:eastAsia="Arial" w:hAnsi="Arial"/>
          <w:sz w:val="22"/>
          <w:szCs w:val="22"/>
          <w:color w:val="auto"/>
        </w:rPr>
        <w:t>” is defined in Section 5.05.</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is defined in Article IV.</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is defined in the preamble.</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w:t>
      </w:r>
      <w:r>
        <w:rPr>
          <w:rFonts w:ascii="Arial" w:cs="Arial" w:eastAsia="Arial" w:hAnsi="Arial"/>
          <w:sz w:val="22"/>
          <w:szCs w:val="22"/>
          <w:color w:val="auto"/>
        </w:rPr>
        <w:t>” is defined in Section 11.02.</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DGCL</w:t>
      </w:r>
      <w:r>
        <w:rPr>
          <w:rFonts w:ascii="Arial" w:cs="Arial" w:eastAsia="Arial" w:hAnsi="Arial"/>
          <w:sz w:val="22"/>
          <w:szCs w:val="22"/>
          <w:color w:val="auto"/>
        </w:rPr>
        <w:t>” is defined in the preamble.</w:t>
      </w:r>
    </w:p>
    <w:p>
      <w:pPr>
        <w:spacing w:after="0" w:line="219" w:lineRule="exact"/>
        <w:rPr>
          <w:rFonts w:ascii="Arial" w:cs="Arial" w:eastAsia="Arial" w:hAnsi="Arial"/>
          <w:sz w:val="22"/>
          <w:szCs w:val="22"/>
          <w:color w:val="auto"/>
        </w:rPr>
      </w:pPr>
    </w:p>
    <w:p>
      <w:pPr>
        <w:ind w:firstLine="1304"/>
        <w:spacing w:after="0" w:line="292" w:lineRule="auto"/>
        <w:tabs>
          <w:tab w:leader="none" w:pos="171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or “</w:t>
      </w:r>
      <w:r>
        <w:rPr>
          <w:rFonts w:ascii="Arial" w:cs="Arial" w:eastAsia="Arial" w:hAnsi="Arial"/>
          <w:sz w:val="19"/>
          <w:szCs w:val="19"/>
          <w:u w:val="single" w:color="auto"/>
          <w:color w:val="auto"/>
        </w:rPr>
        <w:t>Disabled</w:t>
      </w:r>
      <w:r>
        <w:rPr>
          <w:rFonts w:ascii="Arial" w:cs="Arial" w:eastAsia="Arial" w:hAnsi="Arial"/>
          <w:sz w:val="19"/>
          <w:szCs w:val="19"/>
          <w:color w:val="auto"/>
        </w:rPr>
        <w:t>” means the permanent and total disability of a natural person such that such natural person is unable to engage in any substantial gainful activity by reason of any medically determinable mental impairment that can be expected to result in death or to last for a continuous period of not less than twelve (12) months as determined by a licensed medical practitioner jointly selected by a majority of the Independent Directors and such natural person. If such natural person is incapable of selecting a licensed physician, then such natural person’s spouse shall make the selection on behalf of such natural person, or, in the absence or incapacity of such natural person’s spouse, such natural person’s adult children by majority vote shall make the selection on behalf of such natural person, or, in</w:t>
      </w:r>
    </w:p>
    <w:p>
      <w:pPr>
        <w:sectPr>
          <w:pgSz w:w="11900" w:h="16838" w:orient="portrait"/>
          <w:cols w:equalWidth="0" w:num="1">
            <w:col w:w="11240"/>
          </w:cols>
          <w:pgMar w:left="320" w:top="1421" w:right="339" w:bottom="1440" w:gutter="0" w:footer="0" w:header="0"/>
        </w:sectPr>
      </w:pPr>
    </w:p>
    <w:bookmarkStart w:id="399" w:name="page400"/>
    <w:bookmarkEnd w:id="399"/>
    <w:p>
      <w:pPr>
        <w:spacing w:after="0" w:line="259" w:lineRule="auto"/>
        <w:rPr>
          <w:sz w:val="20"/>
          <w:szCs w:val="20"/>
          <w:color w:val="auto"/>
        </w:rPr>
      </w:pPr>
      <w:r>
        <w:rPr>
          <w:rFonts w:ascii="Arial" w:cs="Arial" w:eastAsia="Arial" w:hAnsi="Arial"/>
          <w:sz w:val="21"/>
          <w:szCs w:val="21"/>
          <w:color w:val="auto"/>
        </w:rPr>
        <w:t>the absence of adult children of such natural person or their inability to act by majority vote, a natural person then acting as the successor trustee of a revocable living trust which was created by such natural person and which holds more shares of all classes of capital stock of the Corporation than any other revocable living trust created by such natural person shall make the selection on behalf of such natural person, or, in absence of any such successor trustee, the legal guardian or conservator of the estate of such natural person shall make the selection on behalf of such natural person. In the event of a dispute whether such natural person has suffered a Disability, no Disability of such natural person shall be deemed to have occurred unless and until an affirmative ruling regarding such Disability has been made by a court of competent jurisdiction, and such ruling has become final and non-appealable.</w:t>
      </w:r>
    </w:p>
    <w:p>
      <w:pPr>
        <w:spacing w:after="0" w:line="183" w:lineRule="exact"/>
        <w:rPr>
          <w:sz w:val="20"/>
          <w:szCs w:val="20"/>
          <w:color w:val="auto"/>
        </w:rPr>
      </w:pPr>
    </w:p>
    <w:p>
      <w:pPr>
        <w:ind w:right="160" w:firstLine="1304"/>
        <w:spacing w:after="0" w:line="263" w:lineRule="auto"/>
        <w:tabs>
          <w:tab w:leader="none" w:pos="18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that this Certificate of Incorporation is accepted for filing by the Secretary of State of the State of Delaware.</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is defined in Article IV.</w:t>
      </w:r>
    </w:p>
    <w:p>
      <w:pPr>
        <w:spacing w:after="0" w:line="219" w:lineRule="exact"/>
        <w:rPr>
          <w:rFonts w:ascii="Arial" w:cs="Arial" w:eastAsia="Arial" w:hAnsi="Arial"/>
          <w:sz w:val="22"/>
          <w:szCs w:val="22"/>
          <w:color w:val="auto"/>
        </w:rPr>
      </w:pPr>
    </w:p>
    <w:p>
      <w:pPr>
        <w:ind w:right="220" w:firstLine="1304"/>
        <w:spacing w:after="0" w:line="253" w:lineRule="auto"/>
        <w:tabs>
          <w:tab w:leader="none" w:pos="176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means, with respect to any Qualified Stockholder, the spouse, domestic partner, parents, grandparents, lineal descendants, siblings and lineal descendants of siblings of such Qualified Stockholder (including, without limitation, adopted persons of such Qualified Stockholder).</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Conversion Date</w:t>
      </w:r>
      <w:r>
        <w:rPr>
          <w:rFonts w:ascii="Arial" w:cs="Arial" w:eastAsia="Arial" w:hAnsi="Arial"/>
          <w:sz w:val="22"/>
          <w:szCs w:val="22"/>
          <w:color w:val="auto"/>
        </w:rPr>
        <w:t>” means the earlier of:</w:t>
      </w:r>
    </w:p>
    <w:p>
      <w:pPr>
        <w:spacing w:after="0" w:line="220" w:lineRule="exact"/>
        <w:rPr>
          <w:sz w:val="20"/>
          <w:szCs w:val="20"/>
          <w:color w:val="auto"/>
        </w:rPr>
      </w:pPr>
    </w:p>
    <w:p>
      <w:pPr>
        <w:ind w:left="660" w:right="680" w:firstLine="644"/>
        <w:spacing w:after="0" w:line="343" w:lineRule="auto"/>
        <w:tabs>
          <w:tab w:leader="none" w:pos="172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date and time specified by an affirmative vote of the holders of at least eighty percent (80%) of the outstanding shares of Class B Common Stock at the time of such vote, voting separately as a class;</w:t>
      </w:r>
    </w:p>
    <w:p>
      <w:pPr>
        <w:spacing w:after="0" w:line="104" w:lineRule="exact"/>
        <w:rPr>
          <w:rFonts w:ascii="Arial" w:cs="Arial" w:eastAsia="Arial" w:hAnsi="Arial"/>
          <w:sz w:val="19"/>
          <w:szCs w:val="19"/>
          <w:color w:val="auto"/>
        </w:rPr>
      </w:pPr>
    </w:p>
    <w:p>
      <w:pPr>
        <w:jc w:val="both"/>
        <w:ind w:left="660" w:right="120" w:firstLine="644"/>
        <w:spacing w:after="0" w:line="250" w:lineRule="auto"/>
        <w:tabs>
          <w:tab w:leader="none" w:pos="178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date fixed by the Board of Directors that is no less than sixty-one (61) days and no more than one hundred and eighty (180) days following the date that the number of outstanding shares of Class B Common Stock represent less than five percent (5%) of the aggregate number of shares of Class A Common Stock and Class B Common Stock then outstanding;</w:t>
      </w:r>
    </w:p>
    <w:p>
      <w:pPr>
        <w:spacing w:after="0" w:line="187" w:lineRule="exact"/>
        <w:rPr>
          <w:rFonts w:ascii="Arial" w:cs="Arial" w:eastAsia="Arial" w:hAnsi="Arial"/>
          <w:sz w:val="22"/>
          <w:szCs w:val="22"/>
          <w:color w:val="auto"/>
        </w:rPr>
      </w:pPr>
    </w:p>
    <w:p>
      <w:pPr>
        <w:ind w:left="660" w:firstLine="644"/>
        <w:spacing w:after="0" w:line="297" w:lineRule="auto"/>
        <w:tabs>
          <w:tab w:leader="none" w:pos="184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date fixed by the Board of Directors that is no less than sixty-one (61) days and no more than one hundred and eighty (180) days following the date that (A) each Founder is no longer providing services to the Corporation as an officer, employee or consultant, and (B) each Founder is not a director of the Corporation as a result of a voluntary resignation by such Founder from the Board of Directors or as a result of a written request or agreement by such Founder not to be renominated as a director of the Corporation at an annual or special meeting of stockholders;</w:t>
      </w:r>
    </w:p>
    <w:p>
      <w:pPr>
        <w:spacing w:after="0" w:line="146" w:lineRule="exact"/>
        <w:rPr>
          <w:rFonts w:ascii="Arial" w:cs="Arial" w:eastAsia="Arial" w:hAnsi="Arial"/>
          <w:sz w:val="19"/>
          <w:szCs w:val="19"/>
          <w:color w:val="auto"/>
        </w:rPr>
      </w:pPr>
    </w:p>
    <w:p>
      <w:pPr>
        <w:ind w:left="660" w:right="40" w:firstLine="644"/>
        <w:spacing w:after="0" w:line="312" w:lineRule="auto"/>
        <w:tabs>
          <w:tab w:leader="none" w:pos="183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date that is nine (9) months after the death or Disability of the last to die or become Disabled of the Founders;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date may be extended but not for a total period of longer than eighteen (18) months from the last applicable death or Disability to a date approved by a majority of the Independent Directors then in office; or</w:t>
      </w:r>
    </w:p>
    <w:p>
      <w:pPr>
        <w:sectPr>
          <w:pgSz w:w="11900" w:h="16838" w:orient="portrait"/>
          <w:cols w:equalWidth="0" w:num="1">
            <w:col w:w="11240"/>
          </w:cols>
          <w:pgMar w:left="320" w:top="1427" w:right="339" w:bottom="1440" w:gutter="0" w:footer="0" w:header="0"/>
        </w:sectPr>
      </w:pPr>
    </w:p>
    <w:bookmarkStart w:id="400" w:name="page401"/>
    <w:bookmarkEnd w:id="400"/>
    <w:p>
      <w:pPr>
        <w:ind w:left="652" w:right="100" w:firstLine="644"/>
        <w:spacing w:after="0" w:line="253" w:lineRule="auto"/>
        <w:tabs>
          <w:tab w:leader="none" w:pos="176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date that is fifteen (15) years from the consummation of the Corporation’s initial public offering of Class A Common Stock in a firm commitment underwritten offering pursuant to an effective registration statement under the Securities Act.</w:t>
      </w:r>
    </w:p>
    <w:p>
      <w:pPr>
        <w:spacing w:after="0" w:line="185" w:lineRule="exact"/>
        <w:rPr>
          <w:sz w:val="20"/>
          <w:szCs w:val="20"/>
          <w:color w:val="auto"/>
        </w:rPr>
      </w:pPr>
    </w:p>
    <w:p>
      <w:pPr>
        <w:ind w:left="1772" w:hanging="476"/>
        <w:spacing w:after="0"/>
        <w:tabs>
          <w:tab w:leader="none" w:pos="1772" w:val="left"/>
        </w:tabs>
        <w:numPr>
          <w:ilvl w:val="1"/>
          <w:numId w:val="1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Founders</w:t>
      </w:r>
      <w:r>
        <w:rPr>
          <w:rFonts w:ascii="Arial" w:cs="Arial" w:eastAsia="Arial" w:hAnsi="Arial"/>
          <w:sz w:val="22"/>
          <w:szCs w:val="22"/>
          <w:color w:val="auto"/>
        </w:rPr>
        <w:t>” means Baiju Bhatt and Vladimir Tenev, and each, a “</w:t>
      </w:r>
      <w:r>
        <w:rPr>
          <w:rFonts w:ascii="Arial" w:cs="Arial" w:eastAsia="Arial" w:hAnsi="Arial"/>
          <w:sz w:val="22"/>
          <w:szCs w:val="22"/>
          <w:u w:val="single" w:color="auto"/>
          <w:color w:val="auto"/>
        </w:rPr>
        <w:t>Founder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right="40" w:firstLine="1304"/>
        <w:spacing w:after="0" w:line="263" w:lineRule="auto"/>
        <w:tabs>
          <w:tab w:leader="none" w:pos="172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Directors</w:t>
      </w:r>
      <w:r>
        <w:rPr>
          <w:rFonts w:ascii="Arial" w:cs="Arial" w:eastAsia="Arial" w:hAnsi="Arial"/>
          <w:sz w:val="22"/>
          <w:szCs w:val="22"/>
          <w:color w:val="auto"/>
        </w:rPr>
        <w:t>” means the members of the Board of Directors designated as independent directors in accordance with the Listing Standards.</w:t>
      </w:r>
    </w:p>
    <w:p>
      <w:pPr>
        <w:spacing w:after="0" w:line="174" w:lineRule="exact"/>
        <w:rPr>
          <w:rFonts w:ascii="Arial" w:cs="Arial" w:eastAsia="Arial" w:hAnsi="Arial"/>
          <w:sz w:val="22"/>
          <w:szCs w:val="22"/>
          <w:color w:val="auto"/>
        </w:rPr>
      </w:pPr>
    </w:p>
    <w:p>
      <w:pPr>
        <w:ind w:left="1732" w:hanging="436"/>
        <w:spacing w:after="0"/>
        <w:tabs>
          <w:tab w:leader="none" w:pos="1732" w:val="left"/>
        </w:tabs>
        <w:numPr>
          <w:ilvl w:val="1"/>
          <w:numId w:val="1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United States Internal Revenue Code of 1986, as amended.</w:t>
      </w:r>
    </w:p>
    <w:p>
      <w:pPr>
        <w:spacing w:after="0" w:line="219" w:lineRule="exact"/>
        <w:rPr>
          <w:rFonts w:ascii="Arial" w:cs="Arial" w:eastAsia="Arial" w:hAnsi="Arial"/>
          <w:sz w:val="22"/>
          <w:szCs w:val="22"/>
          <w:color w:val="auto"/>
        </w:rPr>
      </w:pPr>
    </w:p>
    <w:p>
      <w:pPr>
        <w:ind w:left="-8" w:right="20" w:firstLine="1304"/>
        <w:spacing w:after="0" w:line="291" w:lineRule="auto"/>
        <w:tabs>
          <w:tab w:leader="none" w:pos="1708" w:val="left"/>
        </w:tabs>
        <w:numPr>
          <w:ilvl w:val="1"/>
          <w:numId w:val="1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Listing Standards</w:t>
      </w:r>
      <w:r>
        <w:rPr>
          <w:rFonts w:ascii="Arial" w:cs="Arial" w:eastAsia="Arial" w:hAnsi="Arial"/>
          <w:sz w:val="19"/>
          <w:szCs w:val="19"/>
          <w:color w:val="auto"/>
        </w:rPr>
        <w:t>” means (i) the requirements of any national stock exchange under which the Corporation’s equity securities are listed for trading that are generally applicable to companies with common equity securities listed thereon or</w:t>
      </w:r>
    </w:p>
    <w:p>
      <w:pPr>
        <w:spacing w:after="0" w:line="1" w:lineRule="exact"/>
        <w:rPr>
          <w:rFonts w:ascii="Arial" w:cs="Arial" w:eastAsia="Arial" w:hAnsi="Arial"/>
          <w:sz w:val="19"/>
          <w:szCs w:val="19"/>
          <w:color w:val="auto"/>
        </w:rPr>
      </w:pPr>
    </w:p>
    <w:p>
      <w:pPr>
        <w:ind w:left="-8" w:firstLine="8"/>
        <w:spacing w:after="0" w:line="246" w:lineRule="auto"/>
        <w:tabs>
          <w:tab w:leader="none" w:pos="31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the Corporation’s equity securities are not listed for trading on a national stock exchange, the requirements of the NASDAQ Stock Market generally applicable to companies with equity securities listed thereon.</w:t>
      </w:r>
    </w:p>
    <w:p>
      <w:pPr>
        <w:spacing w:after="0" w:line="192" w:lineRule="exact"/>
        <w:rPr>
          <w:rFonts w:ascii="Arial" w:cs="Arial" w:eastAsia="Arial" w:hAnsi="Arial"/>
          <w:sz w:val="22"/>
          <w:szCs w:val="22"/>
          <w:color w:val="auto"/>
        </w:rPr>
      </w:pPr>
    </w:p>
    <w:p>
      <w:pPr>
        <w:ind w:left="1772" w:hanging="476"/>
        <w:spacing w:after="0"/>
        <w:tabs>
          <w:tab w:leader="none" w:pos="1772" w:val="left"/>
        </w:tabs>
        <w:numPr>
          <w:ilvl w:val="1"/>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Certificate of Incorporation</w:t>
      </w:r>
      <w:r>
        <w:rPr>
          <w:rFonts w:ascii="Arial" w:cs="Arial" w:eastAsia="Arial" w:hAnsi="Arial"/>
          <w:sz w:val="22"/>
          <w:szCs w:val="22"/>
          <w:color w:val="auto"/>
        </w:rPr>
        <w:t>” is defined in the preamble.</w:t>
      </w:r>
    </w:p>
    <w:p>
      <w:pPr>
        <w:spacing w:after="0" w:line="219" w:lineRule="exact"/>
        <w:rPr>
          <w:rFonts w:ascii="Arial" w:cs="Arial" w:eastAsia="Arial" w:hAnsi="Arial"/>
          <w:sz w:val="22"/>
          <w:szCs w:val="22"/>
          <w:color w:val="auto"/>
        </w:rPr>
      </w:pPr>
    </w:p>
    <w:p>
      <w:pPr>
        <w:ind w:left="-8" w:right="380" w:firstLine="1304"/>
        <w:spacing w:after="0" w:line="263" w:lineRule="auto"/>
        <w:tabs>
          <w:tab w:leader="none" w:pos="175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of an entity means any entity that directly or indirectly owns or controls a majority of the voting power of the voting securities of such entity.</w:t>
      </w:r>
    </w:p>
    <w:p>
      <w:pPr>
        <w:spacing w:after="0" w:line="174" w:lineRule="exact"/>
        <w:rPr>
          <w:rFonts w:ascii="Arial" w:cs="Arial" w:eastAsia="Arial" w:hAnsi="Arial"/>
          <w:sz w:val="22"/>
          <w:szCs w:val="22"/>
          <w:color w:val="auto"/>
        </w:rPr>
      </w:pPr>
    </w:p>
    <w:p>
      <w:pPr>
        <w:ind w:left="1812" w:hanging="516"/>
        <w:spacing w:after="0"/>
        <w:tabs>
          <w:tab w:leader="none" w:pos="1812" w:val="left"/>
        </w:tabs>
        <w:numPr>
          <w:ilvl w:val="1"/>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Entity</w:t>
      </w:r>
      <w:r>
        <w:rPr>
          <w:rFonts w:ascii="Arial" w:cs="Arial" w:eastAsia="Arial" w:hAnsi="Arial"/>
          <w:sz w:val="22"/>
          <w:szCs w:val="22"/>
          <w:color w:val="auto"/>
        </w:rPr>
        <w:t>” means, with respect to any Qualified Stockholder:</w:t>
      </w:r>
    </w:p>
    <w:p>
      <w:pPr>
        <w:spacing w:after="0" w:line="220" w:lineRule="exact"/>
        <w:rPr>
          <w:sz w:val="20"/>
          <w:szCs w:val="20"/>
          <w:color w:val="auto"/>
        </w:rPr>
      </w:pPr>
    </w:p>
    <w:p>
      <w:pPr>
        <w:ind w:left="652" w:right="600" w:firstLine="644"/>
        <w:spacing w:after="0" w:line="263" w:lineRule="auto"/>
        <w:tabs>
          <w:tab w:leader="none" w:pos="172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trust for the exclusive benefit of such Qualified Stockholder, one or more Family Members of such Qualified Stockholder or any other Permitted Entity of such Qualified Stockholder;</w:t>
      </w:r>
    </w:p>
    <w:p>
      <w:pPr>
        <w:spacing w:after="0" w:line="174" w:lineRule="exact"/>
        <w:rPr>
          <w:rFonts w:ascii="Arial" w:cs="Arial" w:eastAsia="Arial" w:hAnsi="Arial"/>
          <w:sz w:val="22"/>
          <w:szCs w:val="22"/>
          <w:color w:val="auto"/>
        </w:rPr>
      </w:pPr>
    </w:p>
    <w:p>
      <w:pPr>
        <w:ind w:left="652" w:right="140" w:firstLine="644"/>
        <w:spacing w:after="0" w:line="297" w:lineRule="auto"/>
        <w:tabs>
          <w:tab w:leader="none" w:pos="17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any general partnership, limited liability company, corporation or other entity in which such Qualified Stockholder or one or more Family Members of such Qualified Stockholder, directly or indirectly through one or more other Permitted Entities of such Qualified Stockholder, owns shares with sufficient Voting Control in such entity, or otherwise has legally enforceable rights, such that such Qualified Stockholder or Family Member(s) retains sole dispositive power and exclusive Voting Control with respect to the shares of Class B Common Stock held by such entity;</w:t>
      </w:r>
    </w:p>
    <w:p>
      <w:pPr>
        <w:spacing w:after="0" w:line="146" w:lineRule="exact"/>
        <w:rPr>
          <w:rFonts w:ascii="Arial" w:cs="Arial" w:eastAsia="Arial" w:hAnsi="Arial"/>
          <w:sz w:val="19"/>
          <w:szCs w:val="19"/>
          <w:color w:val="auto"/>
        </w:rPr>
      </w:pPr>
    </w:p>
    <w:p>
      <w:pPr>
        <w:ind w:left="652" w:right="220" w:firstLine="644"/>
        <w:spacing w:after="0" w:line="253" w:lineRule="auto"/>
        <w:tabs>
          <w:tab w:leader="none" w:pos="18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executor or personal representative of the estate of a Qualified Stockholder upon the death of such Qualified Stockholder solely to the extent the executor or personal representative is acting in the capacity of executor or personal representative of such estate;</w:t>
      </w:r>
    </w:p>
    <w:p>
      <w:pPr>
        <w:spacing w:after="0" w:line="185" w:lineRule="exact"/>
        <w:rPr>
          <w:rFonts w:ascii="Arial" w:cs="Arial" w:eastAsia="Arial" w:hAnsi="Arial"/>
          <w:sz w:val="22"/>
          <w:szCs w:val="22"/>
          <w:color w:val="auto"/>
        </w:rPr>
      </w:pPr>
    </w:p>
    <w:p>
      <w:pPr>
        <w:ind w:left="652" w:right="40" w:firstLine="644"/>
        <w:spacing w:after="0" w:line="253" w:lineRule="auto"/>
        <w:tabs>
          <w:tab w:leader="none" w:pos="1828"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charitable organization, foundation or similar entity established by a Qualified Stockholder, one or more Family Members of such Qualified Stockholder or any other Permitted Entity of such Qualified Stockholder, so long as such Qualified</w:t>
      </w:r>
    </w:p>
    <w:p>
      <w:pPr>
        <w:sectPr>
          <w:pgSz w:w="11900" w:h="16838" w:orient="portrait"/>
          <w:cols w:equalWidth="0" w:num="1">
            <w:col w:w="11232"/>
          </w:cols>
          <w:pgMar w:left="328" w:top="1427" w:right="339" w:bottom="1440" w:gutter="0" w:footer="0" w:header="0"/>
        </w:sectPr>
      </w:pPr>
    </w:p>
    <w:bookmarkStart w:id="401" w:name="page402"/>
    <w:bookmarkEnd w:id="401"/>
    <w:p>
      <w:pPr>
        <w:ind w:right="20"/>
        <w:spacing w:after="0" w:line="265" w:lineRule="auto"/>
        <w:rPr>
          <w:sz w:val="20"/>
          <w:szCs w:val="20"/>
          <w:color w:val="auto"/>
        </w:rPr>
      </w:pPr>
      <w:r>
        <w:rPr>
          <w:rFonts w:ascii="Arial" w:cs="Arial" w:eastAsia="Arial" w:hAnsi="Arial"/>
          <w:sz w:val="21"/>
          <w:szCs w:val="21"/>
          <w:color w:val="auto"/>
        </w:rPr>
        <w:t>Stockholder, Family Member(s) or Permitted Entity, as applicable, collectively have sole dispositive power and exclusive Voting Control with respect to the shares of Class B Common Stock held by such entity and the Transfer does not involve any payment of cash, securities, property or other consideration (other than an interest in such entity) to such Qualified Stockholder, Family Member(s) or Permitted Entity, as applicable; and</w:t>
      </w:r>
    </w:p>
    <w:p>
      <w:pPr>
        <w:spacing w:after="0" w:line="175" w:lineRule="exact"/>
        <w:rPr>
          <w:sz w:val="20"/>
          <w:szCs w:val="20"/>
          <w:color w:val="auto"/>
        </w:rPr>
      </w:pPr>
    </w:p>
    <w:p>
      <w:pPr>
        <w:ind w:firstLine="644"/>
        <w:spacing w:after="0" w:line="248" w:lineRule="auto"/>
        <w:tabs>
          <w:tab w:leader="none" w:pos="111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any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and has sole dispositive power and exclusive Voting Control with respect to the shares of Class B Common Stock held in such account, plan or trust;</w:t>
      </w:r>
    </w:p>
    <w:p>
      <w:pPr>
        <w:spacing w:after="0" w:line="192" w:lineRule="exact"/>
        <w:rPr>
          <w:sz w:val="20"/>
          <w:szCs w:val="20"/>
          <w:color w:val="auto"/>
        </w:rPr>
      </w:pPr>
    </w:p>
    <w:p>
      <w:pPr>
        <w:ind w:right="120" w:firstLine="216"/>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each of subclauses (ii), (iv) and (v), in the event such Qualified Stockholder, such Family Member or such Permitted Entity, as applicable, no longer has sole dispositive power and exclusive Voting Control with respect to the shares of Class B Common Stock held by such entity, account, plan or trust, as applicable, each share of Class B Common Stock held by such entity, account, plan or trust, as applicable, shall automatically convert into one (1) fully paid and nonassessable share of Class A Common Stock.</w:t>
      </w:r>
    </w:p>
    <w:p>
      <w:pPr>
        <w:spacing w:after="0" w:line="175"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Permitted Transfer</w:t>
      </w:r>
      <w:r>
        <w:rPr>
          <w:rFonts w:ascii="Arial" w:cs="Arial" w:eastAsia="Arial" w:hAnsi="Arial"/>
          <w:sz w:val="19"/>
          <w:szCs w:val="19"/>
          <w:color w:val="auto"/>
        </w:rPr>
        <w:t>” means any Transfer of a share of Class B Common Stock:</w:t>
      </w:r>
    </w:p>
    <w:p>
      <w:pPr>
        <w:spacing w:after="0" w:line="220" w:lineRule="exact"/>
        <w:rPr>
          <w:sz w:val="20"/>
          <w:szCs w:val="20"/>
          <w:color w:val="auto"/>
        </w:rPr>
      </w:pPr>
    </w:p>
    <w:p>
      <w:pPr>
        <w:ind w:right="180" w:firstLine="644"/>
        <w:spacing w:after="0" w:line="263" w:lineRule="auto"/>
        <w:tabs>
          <w:tab w:leader="none" w:pos="106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by a Qualified Stockholder to (A) any Permitted Entity of such Qualified Stockholder or (B) to one or more of such Qualified Stockholder’s Family Members;</w:t>
      </w:r>
    </w:p>
    <w:p>
      <w:pPr>
        <w:spacing w:after="0" w:line="174" w:lineRule="exact"/>
        <w:rPr>
          <w:rFonts w:ascii="Arial" w:cs="Arial" w:eastAsia="Arial" w:hAnsi="Arial"/>
          <w:sz w:val="22"/>
          <w:szCs w:val="22"/>
          <w:color w:val="auto"/>
        </w:rPr>
      </w:pPr>
    </w:p>
    <w:p>
      <w:pPr>
        <w:ind w:right="780" w:firstLine="644"/>
        <w:spacing w:after="0" w:line="263" w:lineRule="auto"/>
        <w:tabs>
          <w:tab w:leader="none" w:pos="11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by a Permitted Entity of a Qualified Stockholder to (A) such Qualified Stockholder or (B) any other Permitted Entity of such Qualified Stockholder;</w:t>
      </w:r>
    </w:p>
    <w:p>
      <w:pPr>
        <w:spacing w:after="0" w:line="174" w:lineRule="exact"/>
        <w:rPr>
          <w:rFonts w:ascii="Arial" w:cs="Arial" w:eastAsia="Arial" w:hAnsi="Arial"/>
          <w:sz w:val="22"/>
          <w:szCs w:val="22"/>
          <w:color w:val="auto"/>
        </w:rPr>
      </w:pPr>
    </w:p>
    <w:p>
      <w:pPr>
        <w:ind w:right="500" w:firstLine="644"/>
        <w:spacing w:after="0" w:line="263" w:lineRule="auto"/>
        <w:tabs>
          <w:tab w:leader="none" w:pos="118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by a Qualified Stockholder or any Permitted Entity of such Qualified Stockholder to another Qualified Stockholder or any Permitted Entity of such other Qualified Stockholder or</w:t>
      </w:r>
    </w:p>
    <w:p>
      <w:pPr>
        <w:spacing w:after="0" w:line="174" w:lineRule="exact"/>
        <w:rPr>
          <w:rFonts w:ascii="Arial" w:cs="Arial" w:eastAsia="Arial" w:hAnsi="Arial"/>
          <w:sz w:val="22"/>
          <w:szCs w:val="22"/>
          <w:color w:val="auto"/>
        </w:rPr>
      </w:pPr>
    </w:p>
    <w:p>
      <w:pPr>
        <w:ind w:right="420" w:firstLine="644"/>
        <w:spacing w:after="0" w:line="263" w:lineRule="auto"/>
        <w:tabs>
          <w:tab w:leader="none" w:pos="117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for which consent or approval has been previously obtained or is concurrently or subsequently obtained from a majority of the Independent Directors then in office.</w:t>
      </w:r>
    </w:p>
    <w:p>
      <w:pPr>
        <w:spacing w:after="0" w:line="175" w:lineRule="exact"/>
        <w:rPr>
          <w:sz w:val="20"/>
          <w:szCs w:val="20"/>
          <w:color w:val="auto"/>
        </w:rPr>
      </w:pPr>
    </w:p>
    <w:p>
      <w:pPr>
        <w:ind w:left="-660" w:right="40" w:firstLine="1304"/>
        <w:spacing w:after="0" w:line="263" w:lineRule="auto"/>
        <w:tabs>
          <w:tab w:leader="none" w:pos="110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means a transferee of shares of Class B Common Stock, or rights or interests therein, received in a Transfer that constitutes a Permitted Transfer.</w:t>
      </w:r>
    </w:p>
    <w:p>
      <w:pPr>
        <w:spacing w:after="0" w:line="174" w:lineRule="exact"/>
        <w:rPr>
          <w:rFonts w:ascii="Arial" w:cs="Arial" w:eastAsia="Arial" w:hAnsi="Arial"/>
          <w:sz w:val="22"/>
          <w:szCs w:val="22"/>
          <w:color w:val="auto"/>
        </w:rPr>
      </w:pPr>
    </w:p>
    <w:p>
      <w:pPr>
        <w:ind w:left="1100" w:hanging="456"/>
        <w:spacing w:after="0"/>
        <w:tabs>
          <w:tab w:leader="none" w:pos="11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is defined in Article IV.</w:t>
      </w:r>
    </w:p>
    <w:p>
      <w:pPr>
        <w:spacing w:after="0" w:line="220" w:lineRule="exact"/>
        <w:rPr>
          <w:sz w:val="20"/>
          <w:szCs w:val="20"/>
          <w:color w:val="auto"/>
        </w:rPr>
      </w:pPr>
    </w:p>
    <w:p>
      <w:pPr>
        <w:ind w:left="1200" w:hanging="556"/>
        <w:spacing w:after="0"/>
        <w:tabs>
          <w:tab w:leader="none" w:pos="12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 Designation</w:t>
      </w:r>
      <w:r>
        <w:rPr>
          <w:rFonts w:ascii="Arial" w:cs="Arial" w:eastAsia="Arial" w:hAnsi="Arial"/>
          <w:sz w:val="22"/>
          <w:szCs w:val="22"/>
          <w:color w:val="auto"/>
        </w:rPr>
        <w:t>” is defined in Section 6.01.</w:t>
      </w:r>
    </w:p>
    <w:p>
      <w:pPr>
        <w:spacing w:after="0" w:line="219" w:lineRule="exact"/>
        <w:rPr>
          <w:rFonts w:ascii="Arial" w:cs="Arial" w:eastAsia="Arial" w:hAnsi="Arial"/>
          <w:sz w:val="22"/>
          <w:szCs w:val="22"/>
          <w:color w:val="auto"/>
        </w:rPr>
      </w:pPr>
    </w:p>
    <w:p>
      <w:pPr>
        <w:ind w:left="1220" w:hanging="576"/>
        <w:spacing w:after="0"/>
        <w:tabs>
          <w:tab w:leader="none" w:pos="12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is defined in Section 11.02.</w:t>
      </w:r>
    </w:p>
    <w:p>
      <w:pPr>
        <w:sectPr>
          <w:pgSz w:w="11900" w:h="16838" w:orient="portrait"/>
          <w:cols w:equalWidth="0" w:num="1">
            <w:col w:w="10540"/>
          </w:cols>
          <w:pgMar w:left="980" w:top="1427" w:right="379" w:bottom="1440" w:gutter="0" w:footer="0" w:header="0"/>
        </w:sectPr>
      </w:pPr>
    </w:p>
    <w:bookmarkStart w:id="402" w:name="page403"/>
    <w:bookmarkEnd w:id="402"/>
    <w:p>
      <w:pPr>
        <w:ind w:left="-1120" w:right="60" w:firstLine="1304"/>
        <w:spacing w:after="0" w:line="260" w:lineRule="auto"/>
        <w:tabs>
          <w:tab w:leader="none" w:pos="728" w:val="left"/>
        </w:tabs>
        <w:numPr>
          <w:ilvl w:val="0"/>
          <w:numId w:val="1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Stockholder</w:t>
      </w:r>
      <w:r>
        <w:rPr>
          <w:rFonts w:ascii="Arial" w:cs="Arial" w:eastAsia="Arial" w:hAnsi="Arial"/>
          <w:sz w:val="21"/>
          <w:szCs w:val="21"/>
          <w:color w:val="auto"/>
        </w:rPr>
        <w:t>” means (i) any registered holder of a share of Class B Common Stock as of 11:59 p.m. Eastern Time on the Effective Date; (ii) a Permitted Transferee; (iii) the initial registered holder of any shares of Class B Common Stock that are originally issued by the Corporation after the Effective Date in compliance with this Certificate of Incorporation; and (iv) each natural person who Transferred shares of or equity awards for Class B Common Stock (including, without limitation, any option or warrant exercisable or convertible into or any convertible securities that can be settled in shares of Class B Common Stock) to a Permitted Entity that is a Qualified Stockholder pursuant to subclause (i) or becomes a Qualified Stockholder pursuant to subclause (iii) of this definition.</w:t>
      </w:r>
    </w:p>
    <w:p>
      <w:pPr>
        <w:spacing w:after="0" w:line="180" w:lineRule="exact"/>
        <w:rPr>
          <w:rFonts w:ascii="Arial" w:cs="Arial" w:eastAsia="Arial" w:hAnsi="Arial"/>
          <w:sz w:val="21"/>
          <w:szCs w:val="21"/>
          <w:color w:val="auto"/>
        </w:rPr>
      </w:pPr>
    </w:p>
    <w:p>
      <w:pPr>
        <w:jc w:val="both"/>
        <w:ind w:left="-1120" w:right="20" w:firstLine="1304"/>
        <w:spacing w:after="0" w:line="253" w:lineRule="auto"/>
        <w:tabs>
          <w:tab w:leader="none" w:pos="75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Rights</w:t>
      </w:r>
      <w:r>
        <w:rPr>
          <w:rFonts w:ascii="Arial" w:cs="Arial" w:eastAsia="Arial" w:hAnsi="Arial"/>
          <w:sz w:val="22"/>
          <w:szCs w:val="22"/>
          <w:color w:val="auto"/>
        </w:rPr>
        <w:t>” means any option, warrant, restricted stock unit, restricted stock award, performance stock award, phantom stock, equity award, conversion right or contractual right of any kind to acquire or obligation of the Corporation to issue shares of the Corporation’s authorized but unissued capital stock.</w:t>
      </w:r>
    </w:p>
    <w:p>
      <w:pPr>
        <w:spacing w:after="0" w:line="185" w:lineRule="exact"/>
        <w:rPr>
          <w:rFonts w:ascii="Arial" w:cs="Arial" w:eastAsia="Arial" w:hAnsi="Arial"/>
          <w:sz w:val="22"/>
          <w:szCs w:val="22"/>
          <w:color w:val="auto"/>
        </w:rPr>
      </w:pPr>
    </w:p>
    <w:p>
      <w:pPr>
        <w:ind w:left="740" w:hanging="556"/>
        <w:spacing w:after="0"/>
        <w:tabs>
          <w:tab w:leader="none" w:pos="74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19" w:lineRule="exact"/>
        <w:rPr>
          <w:rFonts w:ascii="Arial" w:cs="Arial" w:eastAsia="Arial" w:hAnsi="Arial"/>
          <w:sz w:val="22"/>
          <w:szCs w:val="22"/>
          <w:color w:val="auto"/>
        </w:rPr>
      </w:pPr>
    </w:p>
    <w:p>
      <w:pPr>
        <w:ind w:left="-1120" w:firstLine="1304"/>
        <w:spacing w:after="0" w:line="287" w:lineRule="auto"/>
        <w:tabs>
          <w:tab w:leader="none" w:pos="67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of a share means, directly or indirectly, any sale, assignment, transfer, conveyance, hypothecation or other transfer or disposition of such share or any legal or beneficial interest in such share, whether or not for value and whether voluntary or involuntary or by operation of law (including, without limitation, by merger, consolidation or otherwise), including, without limitation, a transfer to a broker or other nominee (regardless of whether there is a corresponding change in beneficial ownership), or the transfer of, or entering into a binding agreement with respect to the transfer of, the dispositive power or Voting Control over such share by proxy or otherwise. A “Transfer” will also be deemed to have occurred with respect to all shares of Class B Common Stock beneficially held by (i) an entity that is a Qualified Stockholder, if after 11:59 p.m. Eastern Time on the Effective Date, there is a Transfer of the voting power of the voting securities of such entity or any direct or indirect Parent of such entity, such that the previous holders of such voting power no longer retain dispositive power and exclusive Voting Control with respect to the shares held by such entity, other than a Transfer to parties that are, as of 11:59 p.m. Eastern Time on the Effective Date, holders of voting securities of any such entity or Parent of such entity, or (ii) an entity that is a Permitted Entity, if there is an act or circumstance that causes such entity to no longer be a Permitted Entity. Notwithstanding the foregoing, the following will not be considered a “Transfer”:</w:t>
      </w:r>
    </w:p>
    <w:p>
      <w:pPr>
        <w:spacing w:after="0" w:line="200" w:lineRule="exact"/>
        <w:rPr>
          <w:sz w:val="20"/>
          <w:szCs w:val="20"/>
          <w:color w:val="auto"/>
        </w:rPr>
      </w:pPr>
    </w:p>
    <w:p>
      <w:pPr>
        <w:spacing w:after="0" w:line="215" w:lineRule="exact"/>
        <w:rPr>
          <w:sz w:val="20"/>
          <w:szCs w:val="20"/>
          <w:color w:val="auto"/>
        </w:rPr>
      </w:pPr>
    </w:p>
    <w:p>
      <w:pPr>
        <w:ind w:left="-460" w:right="120" w:firstLine="644"/>
        <w:spacing w:after="0" w:line="253" w:lineRule="auto"/>
        <w:tabs>
          <w:tab w:leader="none" w:pos="60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granting a revocable proxy to officers or directors of the Corporation at the request of the Board of Directors in connection with (A) actions to be taken at an annual or special meeting of stockholders or (B) any other action of the stockholders permitted by this Certificate of Incorporation;</w:t>
      </w:r>
    </w:p>
    <w:p>
      <w:pPr>
        <w:spacing w:after="0" w:line="185" w:lineRule="exact"/>
        <w:rPr>
          <w:rFonts w:ascii="Arial" w:cs="Arial" w:eastAsia="Arial" w:hAnsi="Arial"/>
          <w:sz w:val="22"/>
          <w:szCs w:val="22"/>
          <w:color w:val="auto"/>
        </w:rPr>
      </w:pPr>
    </w:p>
    <w:p>
      <w:pPr>
        <w:ind w:left="-460" w:right="160" w:firstLine="644"/>
        <w:spacing w:after="0" w:line="250" w:lineRule="auto"/>
        <w:tabs>
          <w:tab w:leader="none" w:pos="72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ectPr>
          <w:pgSz w:w="11900" w:h="16838" w:orient="portrait"/>
          <w:cols w:equalWidth="0" w:num="1">
            <w:col w:w="10100"/>
          </w:cols>
          <w:pgMar w:left="1440" w:top="1427" w:right="359" w:bottom="1440" w:gutter="0" w:footer="0" w:header="0"/>
        </w:sectPr>
      </w:pPr>
    </w:p>
    <w:bookmarkStart w:id="403" w:name="page404"/>
    <w:bookmarkEnd w:id="403"/>
    <w:p>
      <w:pPr>
        <w:ind w:left="-460" w:firstLine="644"/>
        <w:spacing w:after="0" w:line="294" w:lineRule="auto"/>
        <w:tabs>
          <w:tab w:leader="none" w:pos="72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(A) on the death of such Founder or (B) during any Disability of such Founder, including, without limitation, the exercise of such proxy by such person;</w:t>
      </w:r>
    </w:p>
    <w:p>
      <w:pPr>
        <w:spacing w:after="0" w:line="149" w:lineRule="exact"/>
        <w:rPr>
          <w:rFonts w:ascii="Arial" w:cs="Arial" w:eastAsia="Arial" w:hAnsi="Arial"/>
          <w:sz w:val="19"/>
          <w:szCs w:val="19"/>
          <w:color w:val="auto"/>
        </w:rPr>
      </w:pPr>
    </w:p>
    <w:p>
      <w:pPr>
        <w:ind w:left="-460" w:right="80" w:firstLine="644"/>
        <w:spacing w:after="0" w:line="297" w:lineRule="auto"/>
        <w:tabs>
          <w:tab w:leader="none" w:pos="71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entering into a voting trust, agreement or arrangement (with or without granting a proxy) solely with stockholders who are holders of Class B Common Stock, which voting trust, agreement or arrangement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146" w:lineRule="exact"/>
        <w:rPr>
          <w:rFonts w:ascii="Arial" w:cs="Arial" w:eastAsia="Arial" w:hAnsi="Arial"/>
          <w:sz w:val="19"/>
          <w:szCs w:val="19"/>
          <w:color w:val="auto"/>
        </w:rPr>
      </w:pPr>
    </w:p>
    <w:p>
      <w:pPr>
        <w:ind w:left="-460" w:right="160" w:firstLine="644"/>
        <w:spacing w:after="0" w:line="248" w:lineRule="auto"/>
        <w:tabs>
          <w:tab w:leader="none" w:pos="65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pledging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foreclosure on such shares or other similar action by the pledgee will constitute a “Transfer” unless such foreclosure or similar action qualifies as a “Permitted Transfer” at such time;</w:t>
      </w:r>
    </w:p>
    <w:p>
      <w:pPr>
        <w:spacing w:after="0" w:line="191" w:lineRule="exact"/>
        <w:rPr>
          <w:rFonts w:ascii="Arial" w:cs="Arial" w:eastAsia="Arial" w:hAnsi="Arial"/>
          <w:sz w:val="22"/>
          <w:szCs w:val="22"/>
          <w:color w:val="auto"/>
        </w:rPr>
      </w:pPr>
    </w:p>
    <w:p>
      <w:pPr>
        <w:ind w:left="-460" w:right="660" w:firstLine="644"/>
        <w:spacing w:after="0" w:line="253" w:lineRule="auto"/>
        <w:tabs>
          <w:tab w:leader="none" w:pos="71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entering into a trading plan pursuant to Rule 10b5-1 under the Securities Exchange Act of 1934, as amended, with a broker or other nominee;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sale of such shares of Class B Common Stock pursuant to such plan shall constitute a “Transfer” at the time of such sale;</w:t>
      </w:r>
    </w:p>
    <w:p>
      <w:pPr>
        <w:spacing w:after="0" w:line="185" w:lineRule="exact"/>
        <w:rPr>
          <w:rFonts w:ascii="Arial" w:cs="Arial" w:eastAsia="Arial" w:hAnsi="Arial"/>
          <w:sz w:val="22"/>
          <w:szCs w:val="22"/>
          <w:color w:val="auto"/>
        </w:rPr>
      </w:pPr>
    </w:p>
    <w:p>
      <w:pPr>
        <w:jc w:val="both"/>
        <w:ind w:left="-460" w:right="20" w:firstLine="644"/>
        <w:spacing w:after="0" w:line="312" w:lineRule="auto"/>
        <w:tabs>
          <w:tab w:leader="none" w:pos="77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33" w:lineRule="exact"/>
        <w:rPr>
          <w:rFonts w:ascii="Arial" w:cs="Arial" w:eastAsia="Arial" w:hAnsi="Arial"/>
          <w:sz w:val="19"/>
          <w:szCs w:val="19"/>
          <w:color w:val="auto"/>
        </w:rPr>
      </w:pPr>
    </w:p>
    <w:p>
      <w:pPr>
        <w:ind w:left="-460" w:right="180" w:firstLine="644"/>
        <w:spacing w:after="0" w:line="297" w:lineRule="auto"/>
        <w:tabs>
          <w:tab w:leader="none" w:pos="83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entering into a support, voting, tender or similar agreement, arrangement or understanding (in each case, with or without granting a proxy) in connection with a merger or consolidation of the Corporation with or into any other entity, or in the case of any other transaction having an effect on stockholders of the Corporation substantially similar to that resulting from a merger or consolidation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transaction and such agreement, arrangement or understanding was approved by majority of the Independent Directors then in office.</w:t>
      </w:r>
    </w:p>
    <w:p>
      <w:pPr>
        <w:spacing w:after="0" w:line="147" w:lineRule="exact"/>
        <w:rPr>
          <w:sz w:val="20"/>
          <w:szCs w:val="20"/>
          <w:color w:val="auto"/>
        </w:rPr>
      </w:pPr>
    </w:p>
    <w:p>
      <w:pPr>
        <w:ind w:left="-1120" w:right="420" w:firstLine="1304"/>
        <w:spacing w:after="0" w:line="253" w:lineRule="auto"/>
        <w:tabs>
          <w:tab w:leader="none" w:pos="75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Control</w:t>
      </w:r>
      <w:r>
        <w:rPr>
          <w:rFonts w:ascii="Arial" w:cs="Arial" w:eastAsia="Arial" w:hAnsi="Arial"/>
          <w:sz w:val="22"/>
          <w:szCs w:val="22"/>
          <w:color w:val="auto"/>
        </w:rPr>
        <w:t>” means, with respect to a share of capital stock or other security, the power (whether exclusive or shared) to vote or direct the voting of such security, including, without limitation, by proxy, voting agreement or otherwise.</w:t>
      </w:r>
    </w:p>
    <w:p>
      <w:pPr>
        <w:sectPr>
          <w:pgSz w:w="11900" w:h="16838" w:orient="portrait"/>
          <w:cols w:equalWidth="0" w:num="1">
            <w:col w:w="10100"/>
          </w:cols>
          <w:pgMar w:left="1440" w:top="1427" w:right="359" w:bottom="1440" w:gutter="0" w:footer="0" w:header="0"/>
        </w:sectPr>
      </w:pPr>
    </w:p>
    <w:bookmarkStart w:id="404" w:name="page405"/>
    <w:bookmarkEnd w:id="404"/>
    <w:p>
      <w:pPr>
        <w:ind w:left="1880" w:hanging="576"/>
        <w:spacing w:after="0"/>
        <w:tabs>
          <w:tab w:leader="none" w:pos="18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is defined in Section 8.05.</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Whole Board</w:t>
      </w:r>
      <w:r>
        <w:rPr>
          <w:rFonts w:ascii="Arial" w:cs="Arial" w:eastAsia="Arial" w:hAnsi="Arial"/>
          <w:sz w:val="22"/>
          <w:szCs w:val="22"/>
          <w:color w:val="auto"/>
        </w:rPr>
        <w:t>” is defined in Section 8.02.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Corporation has caused this Certificate of Incorporation to be executed on its behalf 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this ____ day of</w:t>
            </w:r>
          </w:p>
        </w:tc>
        <w:tc>
          <w:tcPr>
            <w:tcW w:w="920" w:type="dxa"/>
            <w:vAlign w:val="bottom"/>
          </w:tcPr>
          <w:p>
            <w:pPr>
              <w:jc w:val="right"/>
              <w:spacing w:after="0"/>
              <w:rPr>
                <w:sz w:val="20"/>
                <w:szCs w:val="20"/>
                <w:color w:val="auto"/>
              </w:rPr>
            </w:pPr>
            <w:r>
              <w:rPr>
                <w:rFonts w:ascii="Arial" w:cs="Arial" w:eastAsia="Arial" w:hAnsi="Arial"/>
                <w:sz w:val="22"/>
                <w:szCs w:val="22"/>
                <w:color w:val="auto"/>
              </w:rPr>
              <w:t>2021.</w:t>
            </w:r>
          </w:p>
        </w:tc>
      </w:tr>
    </w:tbl>
    <w:p>
      <w:pPr>
        <w:spacing w:after="0" w:line="23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ROBINHOOD MARKETS, INC.</w:t>
      </w:r>
    </w:p>
    <w:p>
      <w:pPr>
        <w:spacing w:after="0" w:line="5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24130</wp:posOffset>
            </wp:positionV>
            <wp:extent cx="33089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900"/>
          </w:cols>
          <w:pgMar w:left="320" w:top="1427" w:right="67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AMENDED AND RESTATED BYLAWS OF</w:t>
      </w:r>
    </w:p>
    <w:p>
      <w:pPr>
        <w:spacing w:after="0" w:line="328"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ROBINHOOD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 xml:space="preserve">Effective as of </w:t>
      </w:r>
      <w:r>
        <w:rPr>
          <w:rFonts w:ascii="Arial" w:cs="Arial" w:eastAsia="Arial" w:hAnsi="Arial"/>
          <w:sz w:val="22"/>
          <w:szCs w:val="22"/>
          <w:color w:val="auto"/>
        </w:rPr>
        <w:t>[●]</w:t>
      </w:r>
      <w:r>
        <w:rPr>
          <w:rFonts w:ascii="Arial" w:cs="Arial" w:eastAsia="Arial" w:hAnsi="Arial"/>
          <w:sz w:val="22"/>
          <w:szCs w:val="22"/>
          <w:b w:val="1"/>
          <w:bCs w:val="1"/>
          <w:color w:val="auto"/>
        </w:rPr>
        <w:t>, 2021</w:t>
      </w:r>
    </w:p>
    <w:p>
      <w:pPr>
        <w:sectPr>
          <w:pgSz w:w="11900" w:h="16838" w:orient="portrait"/>
          <w:cols w:equalWidth="0" w:num="1">
            <w:col w:w="10120"/>
          </w:cols>
          <w:pgMar w:left="1440" w:top="121" w:right="3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80"/>
        </w:trPr>
        <w:tc>
          <w:tcPr>
            <w:tcW w:w="1780" w:type="dxa"/>
            <w:vAlign w:val="bottom"/>
          </w:tcPr>
          <w:p>
            <w:pPr>
              <w:spacing w:after="0"/>
              <w:rPr>
                <w:sz w:val="24"/>
                <w:szCs w:val="24"/>
                <w:color w:val="auto"/>
              </w:rPr>
            </w:pPr>
          </w:p>
        </w:tc>
        <w:tc>
          <w:tcPr>
            <w:tcW w:w="7200" w:type="dxa"/>
            <w:vAlign w:val="bottom"/>
          </w:tcPr>
          <w:p>
            <w:pPr>
              <w:ind w:left="2960"/>
              <w:spacing w:after="0"/>
              <w:rPr>
                <w:sz w:val="20"/>
                <w:szCs w:val="20"/>
                <w:color w:val="auto"/>
              </w:rPr>
            </w:pPr>
            <w:r>
              <w:rPr>
                <w:rFonts w:ascii="Arial" w:cs="Arial" w:eastAsia="Arial" w:hAnsi="Arial"/>
                <w:sz w:val="22"/>
                <w:szCs w:val="22"/>
                <w:b w:val="1"/>
                <w:bCs w:val="1"/>
                <w:color w:val="auto"/>
              </w:rPr>
              <w:t>Table of Contents</w:t>
            </w:r>
          </w:p>
        </w:tc>
        <w:tc>
          <w:tcPr>
            <w:tcW w:w="21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2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898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I STOCKHOLDERS’ MEETINGS</w:t>
              </w:r>
            </w:hyperlink>
          </w:p>
        </w:tc>
        <w:tc>
          <w:tcPr>
            <w:tcW w:w="2180" w:type="dxa"/>
            <w:vAlign w:val="bottom"/>
          </w:tcPr>
          <w:p>
            <w:pPr>
              <w:jc w:val="right"/>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1</w:t>
              </w:r>
            </w:hyperlink>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1.1  Place of Meetings</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1</w:t>
              </w:r>
            </w:hyperlink>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1.2</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Annual Meetings</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1</w:t>
              </w:r>
            </w:hyperlink>
          </w:p>
        </w:tc>
        <w:tc>
          <w:tcPr>
            <w:tcW w:w="0" w:type="dxa"/>
            <w:vAlign w:val="bottom"/>
          </w:tcPr>
          <w:p>
            <w:pPr>
              <w:spacing w:after="0"/>
              <w:rPr>
                <w:sz w:val="1"/>
                <w:szCs w:val="1"/>
                <w:color w:val="auto"/>
              </w:rPr>
            </w:pPr>
          </w:p>
        </w:tc>
      </w:tr>
      <w:tr>
        <w:trPr>
          <w:trHeight w:val="311"/>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1.3</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Special Meetings</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1</w:t>
              </w:r>
            </w:hyperlink>
          </w:p>
        </w:tc>
        <w:tc>
          <w:tcPr>
            <w:tcW w:w="0" w:type="dxa"/>
            <w:vAlign w:val="bottom"/>
          </w:tcPr>
          <w:p>
            <w:pPr>
              <w:spacing w:after="0"/>
              <w:rPr>
                <w:sz w:val="1"/>
                <w:szCs w:val="1"/>
                <w:color w:val="auto"/>
              </w:rPr>
            </w:pPr>
          </w:p>
        </w:tc>
      </w:tr>
      <w:tr>
        <w:trPr>
          <w:trHeight w:val="311"/>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1.4</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Notice</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2</w:t>
              </w:r>
            </w:hyperlink>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1.5  Quorum; Adjournments; Postponement</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2</w:t>
              </w:r>
            </w:hyperlink>
          </w:p>
        </w:tc>
        <w:tc>
          <w:tcPr>
            <w:tcW w:w="0" w:type="dxa"/>
            <w:vAlign w:val="bottom"/>
          </w:tcPr>
          <w:p>
            <w:pPr>
              <w:spacing w:after="0"/>
              <w:rPr>
                <w:sz w:val="1"/>
                <w:szCs w:val="1"/>
                <w:color w:val="auto"/>
              </w:rPr>
            </w:pPr>
          </w:p>
        </w:tc>
      </w:tr>
      <w:tr>
        <w:trPr>
          <w:trHeight w:val="311"/>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1.6</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Proxies; Voting</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3</w:t>
              </w:r>
            </w:hyperlink>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1.7  Inspectors of Election</w:t>
              </w:r>
            </w:hyperlink>
          </w:p>
        </w:tc>
        <w:tc>
          <w:tcPr>
            <w:tcW w:w="2180" w:type="dxa"/>
            <w:vAlign w:val="bottom"/>
          </w:tcPr>
          <w:p>
            <w:pPr>
              <w:jc w:val="right"/>
              <w:spacing w:after="0"/>
              <w:rPr>
                <w:rFonts w:ascii="Arial" w:cs="Arial" w:eastAsia="Arial" w:hAnsi="Arial"/>
                <w:sz w:val="22"/>
                <w:szCs w:val="22"/>
                <w:color w:val="auto"/>
              </w:rPr>
            </w:pPr>
            <w:hyperlink w:anchor="page406">
              <w:r>
                <w:rPr>
                  <w:rFonts w:ascii="Arial" w:cs="Arial" w:eastAsia="Arial" w:hAnsi="Arial"/>
                  <w:sz w:val="22"/>
                  <w:szCs w:val="22"/>
                  <w:color w:val="auto"/>
                </w:rPr>
                <w:t>5</w:t>
              </w:r>
            </w:hyperlink>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1.8  List of Stockholders Entitled to Vote</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1.9</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Organization</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1.10  Conduct of Meetings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1.11  Fixing Record Date</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1.12  Stockholders Action by Written Consent</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1.13  Order of Business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10"/>
        </w:trPr>
        <w:tc>
          <w:tcPr>
            <w:tcW w:w="8980" w:type="dxa"/>
            <w:vAlign w:val="bottom"/>
            <w:gridSpan w:val="2"/>
          </w:tcPr>
          <w:p>
            <w:pPr>
              <w:ind w:left="760"/>
              <w:spacing w:after="0"/>
              <w:rPr>
                <w:rFonts w:ascii="Arial" w:cs="Arial" w:eastAsia="Arial" w:hAnsi="Arial"/>
                <w:sz w:val="22"/>
                <w:szCs w:val="22"/>
                <w:color w:val="auto"/>
              </w:rPr>
            </w:pPr>
            <w:hyperlink w:anchor="page406">
              <w:r>
                <w:rPr>
                  <w:rFonts w:ascii="Arial" w:cs="Arial" w:eastAsia="Arial" w:hAnsi="Arial"/>
                  <w:sz w:val="22"/>
                  <w:szCs w:val="22"/>
                  <w:color w:val="auto"/>
                </w:rPr>
                <w:t>Section 1.14  Advance Notice of Stockholder Proposal</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311"/>
        </w:trPr>
        <w:tc>
          <w:tcPr>
            <w:tcW w:w="898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II DIRECTORS</w:t>
              </w:r>
            </w:hyperlink>
          </w:p>
        </w:tc>
        <w:tc>
          <w:tcPr>
            <w:tcW w:w="2180" w:type="dxa"/>
            <w:vAlign w:val="bottom"/>
          </w:tcPr>
          <w:p>
            <w:pPr>
              <w:jc w:val="right"/>
              <w:spacing w:after="0"/>
              <w:rPr>
                <w:sz w:val="20"/>
                <w:szCs w:val="20"/>
                <w:color w:val="auto"/>
              </w:rPr>
            </w:pPr>
            <w:r>
              <w:rPr>
                <w:rFonts w:ascii="Arial" w:cs="Arial" w:eastAsia="Arial" w:hAnsi="Arial"/>
                <w:sz w:val="22"/>
                <w:szCs w:val="22"/>
                <w:b w:val="1"/>
                <w:bCs w:val="1"/>
                <w:color w:val="auto"/>
              </w:rPr>
              <w:t>14</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2.1  Duties and Powers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2.2  Number; Election; Term</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2.3  Vacancies and Newly Created Directorships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2.4</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Removal</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2.5</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Resignation</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2.6  Place of Meetings; Records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1"/>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2.7</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Regular Meetings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2.8</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Special Meetings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2.9</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Organization</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w w:val="91"/>
              </w:rPr>
            </w:pPr>
            <w:hyperlink w:anchor="page406">
              <w:r>
                <w:rPr>
                  <w:rFonts w:ascii="Arial" w:cs="Arial" w:eastAsia="Arial" w:hAnsi="Arial"/>
                  <w:sz w:val="22"/>
                  <w:szCs w:val="22"/>
                  <w:color w:val="auto"/>
                  <w:w w:val="91"/>
                </w:rPr>
                <w:t>Section 2.10</w:t>
              </w:r>
            </w:hyperlink>
          </w:p>
        </w:tc>
        <w:tc>
          <w:tcPr>
            <w:tcW w:w="7200" w:type="dxa"/>
            <w:vAlign w:val="bottom"/>
          </w:tcPr>
          <w:p>
            <w:pPr>
              <w:ind w:left="160"/>
              <w:spacing w:after="0"/>
              <w:rPr>
                <w:rFonts w:ascii="Arial" w:cs="Arial" w:eastAsia="Arial" w:hAnsi="Arial"/>
                <w:sz w:val="22"/>
                <w:szCs w:val="22"/>
                <w:color w:val="auto"/>
              </w:rPr>
            </w:pPr>
            <w:hyperlink w:anchor="page406">
              <w:r>
                <w:rPr>
                  <w:rFonts w:ascii="Arial" w:cs="Arial" w:eastAsia="Arial" w:hAnsi="Arial"/>
                  <w:sz w:val="22"/>
                  <w:szCs w:val="22"/>
                  <w:color w:val="auto"/>
                </w:rPr>
                <w:t>Quorum</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w w:val="91"/>
              </w:rPr>
            </w:pPr>
            <w:hyperlink w:anchor="page406">
              <w:r>
                <w:rPr>
                  <w:rFonts w:ascii="Arial" w:cs="Arial" w:eastAsia="Arial" w:hAnsi="Arial"/>
                  <w:sz w:val="22"/>
                  <w:szCs w:val="22"/>
                  <w:color w:val="auto"/>
                  <w:w w:val="91"/>
                </w:rPr>
                <w:t>Section 2.11</w:t>
              </w:r>
            </w:hyperlink>
          </w:p>
        </w:tc>
        <w:tc>
          <w:tcPr>
            <w:tcW w:w="7200" w:type="dxa"/>
            <w:vAlign w:val="bottom"/>
          </w:tcPr>
          <w:p>
            <w:pPr>
              <w:ind w:left="160"/>
              <w:spacing w:after="0"/>
              <w:rPr>
                <w:rFonts w:ascii="Arial" w:cs="Arial" w:eastAsia="Arial" w:hAnsi="Arial"/>
                <w:sz w:val="22"/>
                <w:szCs w:val="22"/>
                <w:color w:val="auto"/>
              </w:rPr>
            </w:pPr>
            <w:hyperlink w:anchor="page406">
              <w:r>
                <w:rPr>
                  <w:rFonts w:ascii="Arial" w:cs="Arial" w:eastAsia="Arial" w:hAnsi="Arial"/>
                  <w:sz w:val="22"/>
                  <w:szCs w:val="22"/>
                  <w:color w:val="auto"/>
                </w:rPr>
                <w:t>Committees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2.12  Presence at Meeting</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2.13  Action Without Meetings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1"/>
        </w:trPr>
        <w:tc>
          <w:tcPr>
            <w:tcW w:w="1780" w:type="dxa"/>
            <w:vAlign w:val="bottom"/>
          </w:tcPr>
          <w:p>
            <w:pPr>
              <w:ind w:left="640"/>
              <w:spacing w:after="0"/>
              <w:rPr>
                <w:rFonts w:ascii="Arial" w:cs="Arial" w:eastAsia="Arial" w:hAnsi="Arial"/>
                <w:sz w:val="22"/>
                <w:szCs w:val="22"/>
                <w:color w:val="auto"/>
                <w:w w:val="91"/>
              </w:rPr>
            </w:pPr>
            <w:hyperlink w:anchor="page406">
              <w:r>
                <w:rPr>
                  <w:rFonts w:ascii="Arial" w:cs="Arial" w:eastAsia="Arial" w:hAnsi="Arial"/>
                  <w:sz w:val="22"/>
                  <w:szCs w:val="22"/>
                  <w:color w:val="auto"/>
                  <w:w w:val="91"/>
                </w:rPr>
                <w:t>Section 2.14</w:t>
              </w:r>
            </w:hyperlink>
          </w:p>
        </w:tc>
        <w:tc>
          <w:tcPr>
            <w:tcW w:w="7200" w:type="dxa"/>
            <w:vAlign w:val="bottom"/>
          </w:tcPr>
          <w:p>
            <w:pPr>
              <w:ind w:left="160"/>
              <w:spacing w:after="0"/>
              <w:rPr>
                <w:rFonts w:ascii="Arial" w:cs="Arial" w:eastAsia="Arial" w:hAnsi="Arial"/>
                <w:sz w:val="22"/>
                <w:szCs w:val="22"/>
                <w:color w:val="auto"/>
              </w:rPr>
            </w:pPr>
            <w:hyperlink w:anchor="page406">
              <w:r>
                <w:rPr>
                  <w:rFonts w:ascii="Arial" w:cs="Arial" w:eastAsia="Arial" w:hAnsi="Arial"/>
                  <w:sz w:val="22"/>
                  <w:szCs w:val="22"/>
                  <w:color w:val="auto"/>
                </w:rPr>
                <w:t>Compensation</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2.15  Compliance with Procedures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2.16  Submission of Questionnaire; Representation and Agreement</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310"/>
        </w:trPr>
        <w:tc>
          <w:tcPr>
            <w:tcW w:w="898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III OFFICERS</w:t>
              </w:r>
            </w:hyperlink>
          </w:p>
        </w:tc>
        <w:tc>
          <w:tcPr>
            <w:tcW w:w="2180" w:type="dxa"/>
            <w:vAlign w:val="bottom"/>
          </w:tcPr>
          <w:p>
            <w:pPr>
              <w:jc w:val="right"/>
              <w:spacing w:after="0"/>
              <w:rPr>
                <w:sz w:val="20"/>
                <w:szCs w:val="20"/>
                <w:color w:val="auto"/>
              </w:rPr>
            </w:pPr>
            <w:r>
              <w:rPr>
                <w:rFonts w:ascii="Arial" w:cs="Arial" w:eastAsia="Arial" w:hAnsi="Arial"/>
                <w:sz w:val="22"/>
                <w:szCs w:val="22"/>
                <w:b w:val="1"/>
                <w:bCs w:val="1"/>
                <w:color w:val="auto"/>
              </w:rPr>
              <w:t>17</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3.1  Election; Term of Office; Appointments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311"/>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3.2  Removal and Resignation</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310"/>
        </w:trPr>
        <w:tc>
          <w:tcPr>
            <w:tcW w:w="1780" w:type="dxa"/>
            <w:vAlign w:val="bottom"/>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3.3</w:t>
              </w:r>
            </w:hyperlink>
          </w:p>
        </w:tc>
        <w:tc>
          <w:tcPr>
            <w:tcW w:w="7200" w:type="dxa"/>
            <w:vAlign w:val="bottom"/>
          </w:tcPr>
          <w:p>
            <w:pPr>
              <w:ind w:left="60"/>
              <w:spacing w:after="0"/>
              <w:rPr>
                <w:rFonts w:ascii="Arial" w:cs="Arial" w:eastAsia="Arial" w:hAnsi="Arial"/>
                <w:sz w:val="22"/>
                <w:szCs w:val="22"/>
                <w:color w:val="auto"/>
              </w:rPr>
            </w:pPr>
            <w:hyperlink w:anchor="page406">
              <w:r>
                <w:rPr>
                  <w:rFonts w:ascii="Arial" w:cs="Arial" w:eastAsia="Arial" w:hAnsi="Arial"/>
                  <w:sz w:val="22"/>
                  <w:szCs w:val="22"/>
                  <w:color w:val="auto"/>
                </w:rPr>
                <w:t>Vacancies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310"/>
        </w:trPr>
        <w:tc>
          <w:tcPr>
            <w:tcW w:w="898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3.4  Chair of the Board of Directors</w:t>
              </w:r>
            </w:hyperlink>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421"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421" w:right="339" w:bottom="1052" w:gutter="0" w:footer="0" w:header="0"/>
          <w:type w:val="continuous"/>
        </w:sectPr>
      </w:pPr>
    </w:p>
    <w:bookmarkStart w:id="407" w:name="page408"/>
    <w:bookmarkEnd w:id="40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3.5  President and/or Chief Executive Officer</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3.6  Chief Financial Officer</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3.7  Executive Vice Presidents, Senior Vice Presidents and Vice Presidents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3.8</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Secretary</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3.9</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Treasurer</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942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IV STOCK</w:t>
              </w:r>
            </w:hyperlink>
          </w:p>
        </w:tc>
        <w:tc>
          <w:tcPr>
            <w:tcW w:w="1720" w:type="dxa"/>
            <w:vAlign w:val="bottom"/>
          </w:tcPr>
          <w:p>
            <w:pPr>
              <w:jc w:val="right"/>
              <w:spacing w:after="0"/>
              <w:rPr>
                <w:sz w:val="20"/>
                <w:szCs w:val="20"/>
                <w:color w:val="auto"/>
              </w:rPr>
            </w:pPr>
            <w:r>
              <w:rPr>
                <w:rFonts w:ascii="Arial" w:cs="Arial" w:eastAsia="Arial" w:hAnsi="Arial"/>
                <w:sz w:val="22"/>
                <w:szCs w:val="22"/>
                <w:b w:val="1"/>
                <w:bCs w:val="1"/>
                <w:color w:val="auto"/>
              </w:rPr>
              <w:t>20</w:t>
            </w:r>
          </w:p>
        </w:tc>
      </w:tr>
      <w:tr>
        <w:trPr>
          <w:trHeight w:val="311"/>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4.1</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Stock</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4.2  Lost, Stolen or Destroyed Certificates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4.3  Transfers of Stock</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4.4  Holder of Record</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4.5  Transfer and Registry Agents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4.6</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Dividends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942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V INDEMNIFICATION</w:t>
              </w:r>
            </w:hyperlink>
          </w:p>
        </w:tc>
        <w:tc>
          <w:tcPr>
            <w:tcW w:w="1720" w:type="dxa"/>
            <w:vAlign w:val="bottom"/>
          </w:tcPr>
          <w:p>
            <w:pPr>
              <w:jc w:val="right"/>
              <w:spacing w:after="0"/>
              <w:rPr>
                <w:sz w:val="20"/>
                <w:szCs w:val="20"/>
                <w:color w:val="auto"/>
              </w:rPr>
            </w:pPr>
            <w:r>
              <w:rPr>
                <w:rFonts w:ascii="Arial" w:cs="Arial" w:eastAsia="Arial" w:hAnsi="Arial"/>
                <w:sz w:val="22"/>
                <w:szCs w:val="22"/>
                <w:b w:val="1"/>
                <w:bCs w:val="1"/>
                <w:color w:val="auto"/>
              </w:rPr>
              <w:t>21</w:t>
            </w:r>
          </w:p>
        </w:tc>
      </w:tr>
      <w:tr>
        <w:trPr>
          <w:trHeight w:val="311"/>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5.1  Right to Indemnification</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5.2  Prepayment of Expenses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5.3</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Claims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5.4  Non-Exclusivity of Rights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5.5</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Insurance</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5.6</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Certain Definitions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5.7  Survival of Indemnification and Advancement of Expenses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5.8</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Other Indemnification</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5.9  Amendment or Repeal</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9420" w:type="dxa"/>
            <w:vAlign w:val="bottom"/>
            <w:gridSpan w:val="2"/>
          </w:tcPr>
          <w:p>
            <w:pPr>
              <w:ind w:left="640"/>
              <w:spacing w:after="0"/>
              <w:rPr>
                <w:rFonts w:ascii="Arial" w:cs="Arial" w:eastAsia="Arial" w:hAnsi="Arial"/>
                <w:sz w:val="22"/>
                <w:szCs w:val="22"/>
                <w:color w:val="auto"/>
              </w:rPr>
            </w:pPr>
            <w:hyperlink w:anchor="page406">
              <w:r>
                <w:rPr>
                  <w:rFonts w:ascii="Arial" w:cs="Arial" w:eastAsia="Arial" w:hAnsi="Arial"/>
                  <w:sz w:val="22"/>
                  <w:szCs w:val="22"/>
                  <w:color w:val="auto"/>
                </w:rPr>
                <w:t>Section 5.10  Indemnification of Employees and Agents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9420" w:type="dxa"/>
            <w:vAlign w:val="bottom"/>
            <w:gridSpan w:val="2"/>
          </w:tcPr>
          <w:p>
            <w:pPr>
              <w:spacing w:after="0"/>
              <w:rPr>
                <w:rFonts w:ascii="Arial" w:cs="Arial" w:eastAsia="Arial" w:hAnsi="Arial"/>
                <w:sz w:val="22"/>
                <w:szCs w:val="22"/>
                <w:b w:val="1"/>
                <w:bCs w:val="1"/>
                <w:color w:val="auto"/>
              </w:rPr>
            </w:pPr>
            <w:hyperlink w:anchor="page406">
              <w:r>
                <w:rPr>
                  <w:rFonts w:ascii="Arial" w:cs="Arial" w:eastAsia="Arial" w:hAnsi="Arial"/>
                  <w:sz w:val="22"/>
                  <w:szCs w:val="22"/>
                  <w:b w:val="1"/>
                  <w:bCs w:val="1"/>
                  <w:color w:val="auto"/>
                </w:rPr>
                <w:t>ARTICLE VI MISCELLANEOUS</w:t>
              </w:r>
            </w:hyperlink>
          </w:p>
        </w:tc>
        <w:tc>
          <w:tcPr>
            <w:tcW w:w="1720" w:type="dxa"/>
            <w:vAlign w:val="bottom"/>
          </w:tcPr>
          <w:p>
            <w:pPr>
              <w:jc w:val="right"/>
              <w:spacing w:after="0"/>
              <w:rPr>
                <w:sz w:val="20"/>
                <w:szCs w:val="20"/>
                <w:color w:val="auto"/>
              </w:rPr>
            </w:pPr>
            <w:r>
              <w:rPr>
                <w:rFonts w:ascii="Arial" w:cs="Arial" w:eastAsia="Arial" w:hAnsi="Arial"/>
                <w:sz w:val="22"/>
                <w:szCs w:val="22"/>
                <w:b w:val="1"/>
                <w:bCs w:val="1"/>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6.1</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Delaware Office</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6.2</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Other Offices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6.3</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Seal</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6.4</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Notice</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6.5</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Amendments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6.6</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Checks</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ind w:left="640"/>
              <w:spacing w:after="0"/>
              <w:rPr>
                <w:rFonts w:ascii="Arial" w:cs="Arial" w:eastAsia="Arial" w:hAnsi="Arial"/>
                <w:sz w:val="22"/>
                <w:szCs w:val="22"/>
                <w:color w:val="auto"/>
                <w:w w:val="96"/>
              </w:rPr>
            </w:pPr>
            <w:hyperlink w:anchor="page406">
              <w:r>
                <w:rPr>
                  <w:rFonts w:ascii="Arial" w:cs="Arial" w:eastAsia="Arial" w:hAnsi="Arial"/>
                  <w:sz w:val="22"/>
                  <w:szCs w:val="22"/>
                  <w:color w:val="auto"/>
                  <w:w w:val="96"/>
                </w:rPr>
                <w:t>Section 6.7</w:t>
              </w:r>
            </w:hyperlink>
          </w:p>
        </w:tc>
        <w:tc>
          <w:tcPr>
            <w:tcW w:w="7700" w:type="dxa"/>
            <w:vAlign w:val="bottom"/>
          </w:tcPr>
          <w:p>
            <w:pPr>
              <w:ind w:left="120"/>
              <w:spacing w:after="0"/>
              <w:rPr>
                <w:rFonts w:ascii="Arial" w:cs="Arial" w:eastAsia="Arial" w:hAnsi="Arial"/>
                <w:sz w:val="22"/>
                <w:szCs w:val="22"/>
                <w:color w:val="auto"/>
              </w:rPr>
            </w:pPr>
            <w:hyperlink w:anchor="page406">
              <w:r>
                <w:rPr>
                  <w:rFonts w:ascii="Arial" w:cs="Arial" w:eastAsia="Arial" w:hAnsi="Arial"/>
                  <w:sz w:val="22"/>
                  <w:szCs w:val="22"/>
                  <w:color w:val="auto"/>
                </w:rPr>
                <w:t>Fiscal Year</w:t>
              </w:r>
            </w:hyperlink>
          </w:p>
        </w:tc>
        <w:tc>
          <w:tcPr>
            <w:tcW w:w="172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40"/>
          </w:cols>
          <w:pgMar w:left="400" w:top="1440" w:right="359"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STOCKHOLDERS’ MEETINGS</w:t>
      </w:r>
    </w:p>
    <w:p>
      <w:pPr>
        <w:spacing w:after="0" w:line="226"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Place of Meetings</w:t>
      </w:r>
      <w:r>
        <w:rPr>
          <w:rFonts w:ascii="Arial" w:cs="Arial" w:eastAsia="Arial" w:hAnsi="Arial"/>
          <w:sz w:val="22"/>
          <w:szCs w:val="22"/>
          <w:color w:val="auto"/>
        </w:rPr>
        <w:t>.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or the Chair of the Board of Directors may designate the place of meeting for any annual or special meeting of the stockholders or may designate that the meeting be held by means of remote communication. If no designation is so made, the place of meeting shall be the principal executive offices of the Corporation.</w:t>
      </w:r>
    </w:p>
    <w:p>
      <w:pPr>
        <w:spacing w:after="0" w:line="188"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Annual Meetings</w:t>
      </w:r>
      <w:r>
        <w:rPr>
          <w:rFonts w:ascii="Arial" w:cs="Arial" w:eastAsia="Arial" w:hAnsi="Arial"/>
          <w:sz w:val="21"/>
          <w:szCs w:val="21"/>
          <w:color w:val="auto"/>
        </w:rPr>
        <w:t>. The annual meeting of the stockholders shall be held on such date and at such time and place as the Board of Directors may designate. At such annual meeting, the stockholders shall elect directors in accordance with the requirements of the Amended and Restated Certificate of Incorporation of the Corporation (the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and transact such other business as may properly be brought before the meeting.</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Special Meetings</w:t>
      </w:r>
      <w:r>
        <w:rPr>
          <w:rFonts w:ascii="Arial" w:cs="Arial" w:eastAsia="Arial" w:hAnsi="Arial"/>
          <w:sz w:val="19"/>
          <w:szCs w:val="19"/>
          <w:color w:val="auto"/>
        </w:rPr>
        <w:t>. Subject to the rights of the holders of any preferred stock (“</w:t>
      </w:r>
      <w:r>
        <w:rPr>
          <w:rFonts w:ascii="Arial" w:cs="Arial" w:eastAsia="Arial" w:hAnsi="Arial"/>
          <w:sz w:val="19"/>
          <w:szCs w:val="19"/>
          <w:u w:val="single" w:color="auto"/>
          <w:color w:val="auto"/>
        </w:rPr>
        <w:t>Preferred Stock</w:t>
      </w:r>
      <w:r>
        <w:rPr>
          <w:rFonts w:ascii="Arial" w:cs="Arial" w:eastAsia="Arial" w:hAnsi="Arial"/>
          <w:sz w:val="19"/>
          <w:szCs w:val="19"/>
          <w:color w:val="auto"/>
        </w:rPr>
        <w:t>”) with respect to such series of Preferred Stock, special meetings of the stockholders may only be called by or at the direction of (i) the Chair of the Board of Directors, (ii) the Lead Independent Director, if any, (iii) the Board of Directors pursuant to a resolution adopted by a majority of the total number of directors that the Corporation would have if all vacancies or unfilled directorships were filled (the “</w:t>
      </w:r>
      <w:r>
        <w:rPr>
          <w:rFonts w:ascii="Arial" w:cs="Arial" w:eastAsia="Arial" w:hAnsi="Arial"/>
          <w:sz w:val="19"/>
          <w:szCs w:val="19"/>
          <w:u w:val="single" w:color="auto"/>
          <w:color w:val="auto"/>
        </w:rPr>
        <w:t>Whole Board</w:t>
      </w:r>
      <w:r>
        <w:rPr>
          <w:rFonts w:ascii="Arial" w:cs="Arial" w:eastAsia="Arial" w:hAnsi="Arial"/>
          <w:sz w:val="19"/>
          <w:szCs w:val="19"/>
          <w:color w:val="auto"/>
        </w:rPr>
        <w:t xml:space="preserve">”) or (iv)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executive offices of the Corporation, (B) be signed and dated by each stockholder, or a duly authorized agent of each such stockholder, requesting such meeting, (C) set forth the purpose or purposes of the meeting and (D) include the information required by </w:t>
      </w:r>
      <w:r>
        <w:rPr>
          <w:rFonts w:ascii="Arial" w:cs="Arial" w:eastAsia="Arial" w:hAnsi="Arial"/>
          <w:sz w:val="19"/>
          <w:szCs w:val="19"/>
          <w:u w:val="single" w:color="auto"/>
          <w:color w:val="auto"/>
        </w:rPr>
        <w:t>Section 1.14(c)</w:t>
      </w:r>
      <w:r>
        <w:rPr>
          <w:rFonts w:ascii="Arial" w:cs="Arial" w:eastAsia="Arial" w:hAnsi="Arial"/>
          <w:sz w:val="19"/>
          <w:szCs w:val="19"/>
          <w:color w:val="auto"/>
        </w:rPr>
        <w:t>,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rescheduling or postponement thereof, it shall further update and supplement the information so that such information shall be true and correct as of the date that is ten (10) days prior to such special meeting or any adjournment, rescheduling or postponement thereof. Notwithstanding the foregoing, a special meeting requested by stockholders shall not be held if: (i) the stated business to be brought before the special meeting is not a proper subject for stockholder action under applicable law, the Certificate of Incorporation or these Bylaws of the Corporation (these “</w:t>
      </w:r>
      <w:r>
        <w:rPr>
          <w:rFonts w:ascii="Arial" w:cs="Arial" w:eastAsia="Arial" w:hAnsi="Arial"/>
          <w:sz w:val="19"/>
          <w:szCs w:val="19"/>
          <w:u w:val="single" w:color="auto"/>
          <w:color w:val="auto"/>
        </w:rPr>
        <w:t>Bylaws</w:t>
      </w:r>
      <w:r>
        <w:rPr>
          <w:rFonts w:ascii="Arial" w:cs="Arial" w:eastAsia="Arial" w:hAnsi="Arial"/>
          <w:sz w:val="19"/>
          <w:szCs w:val="19"/>
          <w:color w:val="auto"/>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Arial" w:cs="Arial" w:eastAsia="Arial" w:hAnsi="Arial"/>
          <w:sz w:val="19"/>
          <w:szCs w:val="19"/>
          <w:u w:val="single" w:color="auto"/>
          <w:color w:val="auto"/>
        </w:rPr>
        <w:t>Similar</w:t>
      </w:r>
    </w:p>
    <w:p>
      <w:pPr>
        <w:sectPr>
          <w:pgSz w:w="11900" w:h="16838" w:orient="portrait"/>
          <w:cols w:equalWidth="0" w:num="1">
            <w:col w:w="11220"/>
          </w:cols>
          <w:pgMar w:left="320" w:top="1421" w:right="359" w:bottom="1440" w:gutter="0" w:footer="0" w:header="0"/>
        </w:sectPr>
      </w:pPr>
    </w:p>
    <w:bookmarkStart w:id="409" w:name="page410"/>
    <w:bookmarkEnd w:id="409"/>
    <w:p>
      <w:pPr>
        <w:ind w:right="20"/>
        <w:spacing w:after="0" w:line="287" w:lineRule="auto"/>
        <w:rPr>
          <w:sz w:val="20"/>
          <w:szCs w:val="20"/>
          <w:color w:val="auto"/>
        </w:rPr>
      </w:pPr>
      <w:r>
        <w:rPr>
          <w:rFonts w:ascii="Arial" w:cs="Arial" w:eastAsia="Arial" w:hAnsi="Arial"/>
          <w:sz w:val="19"/>
          <w:szCs w:val="19"/>
          <w:u w:val="single" w:color="auto"/>
          <w:color w:val="auto"/>
        </w:rPr>
        <w:t>Item</w:t>
      </w:r>
      <w:r>
        <w:rPr>
          <w:rFonts w:ascii="Arial" w:cs="Arial" w:eastAsia="Arial" w:hAnsi="Arial"/>
          <w:sz w:val="19"/>
          <w:szCs w:val="19"/>
          <w:color w:val="auto"/>
        </w:rPr>
        <w:t>”) to an item of business included in such request, (iii) the business conducted at the most recent annual meeting, or at any special meeting held within one (1) year prior to receipt of such request, included (among any other matters properly brought before such meeting) a Similar Item or (iv) such request is delivered between the sixty-first (61st) day and the three-hundred-sixty- fifth (365th) day after the earliest date of signature on an effective request for a special meeting that has 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w:t>
      </w:r>
    </w:p>
    <w:p>
      <w:pPr>
        <w:spacing w:after="0" w:line="16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Notice</w:t>
      </w:r>
      <w:r>
        <w:rPr>
          <w:rFonts w:ascii="Arial" w:cs="Arial" w:eastAsia="Arial" w:hAnsi="Arial"/>
          <w:sz w:val="19"/>
          <w:szCs w:val="19"/>
          <w:color w:val="auto"/>
        </w:rPr>
        <w:t>. Notice of an annual or special meeting shall be given to each stockholder entitled to vote thereat not less than ten (10) days nor more than sixty (60) days prior to the meeting.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15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Quorum; Adjournments; Postponement</w:t>
      </w:r>
      <w:r>
        <w:rPr>
          <w:rFonts w:ascii="Arial" w:cs="Arial" w:eastAsia="Arial" w:hAnsi="Arial"/>
          <w:sz w:val="19"/>
          <w:szCs w:val="19"/>
          <w:color w:val="auto"/>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applicable law, by the Certificate of Incorporation or by these Bylaws;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applicable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7" w:right="359" w:bottom="1440" w:gutter="0" w:footer="0" w:header="0"/>
        </w:sectPr>
      </w:pPr>
    </w:p>
    <w:bookmarkStart w:id="410" w:name="page411"/>
    <w:bookmarkEnd w:id="410"/>
    <w:p>
      <w:pPr>
        <w:spacing w:after="0" w:line="261" w:lineRule="auto"/>
        <w:rPr>
          <w:sz w:val="20"/>
          <w:szCs w:val="20"/>
          <w:color w:val="auto"/>
        </w:rPr>
      </w:pPr>
      <w:r>
        <w:rPr>
          <w:rFonts w:ascii="Arial" w:cs="Arial" w:eastAsia="Arial" w:hAnsi="Arial"/>
          <w:sz w:val="21"/>
          <w:szCs w:val="21"/>
          <w:color w:val="auto"/>
        </w:rPr>
        <w:t>place thereof, if any, and the means of remote communication,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Any previously scheduled meeting of stockholders may be postponed, canceled or rescheduled by the Board of Directors at any time, before or after the notice for such meeting has been sent to the stockholders, and the Corporation shall publicly announce such postponement, cancellation or rescheduling.</w:t>
      </w:r>
    </w:p>
    <w:p>
      <w:pPr>
        <w:spacing w:after="0" w:line="17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Proxies; Voting</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5" w:lineRule="auto"/>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At each meeting of the stockholders of the Corporation, every stockholder having the right to vote may authorize another person to act for him or her by proxy. Such authorization must be in writing and executed by the stockholder or his or her authorized officer, director, employee or agent. To the extent permitted by applicable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may be substituted for or used in lieu of the original writing or electronic transmission for any and all purposes for which the original writing or transmission could be used;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copy, facsimile transmission or other reproduction shall be a complete reproduction of the entire original writing or transmission.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filing an instrument in writing revoking the proxy or by filing a subsequent duly executed proxy with the Secretary of the Corporation no later than the time designated in the order of business for so delivering such proxies. No ballot, proxies or votes nor any revocations thereof or changes thereto shall be accepted after the time set for the closing of the polls pursuant to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unless the Court of Chancery of the State of Delaware upon application of a stockholder shall determine otherwise. Each proxy shall be delivered to the inspectors of election prior to or at the meeting.</w:t>
      </w:r>
    </w:p>
    <w:p>
      <w:pPr>
        <w:spacing w:after="0" w:line="159" w:lineRule="exact"/>
        <w:rPr>
          <w:rFonts w:ascii="Arial" w:cs="Arial" w:eastAsia="Arial" w:hAnsi="Arial"/>
          <w:sz w:val="19"/>
          <w:szCs w:val="19"/>
          <w:color w:val="auto"/>
        </w:rPr>
      </w:pPr>
    </w:p>
    <w:p>
      <w:pPr>
        <w:ind w:right="180" w:firstLine="1304"/>
        <w:spacing w:after="0" w:line="247" w:lineRule="auto"/>
        <w:tabs>
          <w:tab w:leader="none" w:pos="176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Except as otherwise provided by applicable law, the Certificate of Incorporation, these Bylaws or the applicable rules of any securities exchange on which the Corporation’s securities are listed, if a quorum exists at any meeting of stockholders, stockholders shall have approved any matter (other than the election of directors, which is addressed in </w:t>
      </w:r>
      <w:r>
        <w:rPr>
          <w:rFonts w:ascii="Arial" w:cs="Arial" w:eastAsia="Arial" w:hAnsi="Arial"/>
          <w:sz w:val="22"/>
          <w:szCs w:val="22"/>
          <w:u w:val="single" w:color="auto"/>
          <w:color w:val="auto"/>
        </w:rPr>
        <w:t>Section 1.6(c)</w:t>
      </w:r>
      <w:r>
        <w:rPr>
          <w:rFonts w:ascii="Arial" w:cs="Arial" w:eastAsia="Arial" w:hAnsi="Arial"/>
          <w:sz w:val="22"/>
          <w:szCs w:val="22"/>
          <w:color w:val="auto"/>
        </w:rPr>
        <w:t>) if (i) a majority of votes cast on such matter by stockholders present in person or represented by proxy at the meeting and entitled to vote on such matter are in favor of such matter and (ii) where a separate vote by a class or series or classes or series is required,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11" w:name="page412"/>
    <w:bookmarkEnd w:id="411"/>
    <w:p>
      <w:pPr>
        <w:ind w:right="160"/>
        <w:spacing w:after="0" w:line="247" w:lineRule="auto"/>
        <w:rPr>
          <w:sz w:val="20"/>
          <w:szCs w:val="20"/>
          <w:color w:val="auto"/>
        </w:rPr>
      </w:pPr>
      <w:r>
        <w:rPr>
          <w:rFonts w:ascii="Arial" w:cs="Arial" w:eastAsia="Arial" w:hAnsi="Arial"/>
          <w:sz w:val="22"/>
          <w:szCs w:val="22"/>
          <w:color w:val="auto"/>
        </w:rPr>
        <w:t xml:space="preserve">majority of the votes cast on such matter by stockholders of such class or series or classes or series present in person or represented by proxy at the meeting and entitled to vote on such matter are in favor of such matter. For purposes of this </w:t>
      </w:r>
      <w:r>
        <w:rPr>
          <w:rFonts w:ascii="Arial" w:cs="Arial" w:eastAsia="Arial" w:hAnsi="Arial"/>
          <w:sz w:val="22"/>
          <w:szCs w:val="22"/>
          <w:u w:val="single" w:color="auto"/>
          <w:color w:val="auto"/>
        </w:rPr>
        <w:t>Section 1.6(b)</w:t>
      </w:r>
      <w:r>
        <w:rPr>
          <w:rFonts w:ascii="Arial" w:cs="Arial" w:eastAsia="Arial" w:hAnsi="Arial"/>
          <w:sz w:val="22"/>
          <w:szCs w:val="22"/>
          <w:color w:val="auto"/>
        </w:rPr>
        <w:t>, a majority of votes cast shall mean that the number of shares voted “for” a matter exceeds 50% of the number of votes cast with respect to that matter. Votes cast shall include votes against the matter and shall exclude abstentions and broker non-votes with respect to that matter, but abstentions and broker non-votes will be considered for purposes of establishing a quorum.</w:t>
      </w:r>
    </w:p>
    <w:p>
      <w:pPr>
        <w:spacing w:after="0" w:line="193" w:lineRule="exact"/>
        <w:rPr>
          <w:sz w:val="20"/>
          <w:szCs w:val="20"/>
          <w:color w:val="auto"/>
        </w:rPr>
      </w:pPr>
    </w:p>
    <w:p>
      <w:pPr>
        <w:ind w:right="40" w:firstLine="1304"/>
        <w:spacing w:after="0" w:line="285" w:lineRule="auto"/>
        <w:tabs>
          <w:tab w:leader="none" w:pos="1752"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Except as set forth below, and subject to the rights of the holders of any series of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For purposes of this </w:t>
      </w:r>
      <w:r>
        <w:rPr>
          <w:rFonts w:ascii="Arial" w:cs="Arial" w:eastAsia="Arial" w:hAnsi="Arial"/>
          <w:sz w:val="19"/>
          <w:szCs w:val="19"/>
          <w:u w:val="single" w:color="auto"/>
          <w:color w:val="auto"/>
        </w:rPr>
        <w:t>Section 1.6(c)</w:t>
      </w:r>
      <w:r>
        <w:rPr>
          <w:rFonts w:ascii="Arial" w:cs="Arial" w:eastAsia="Arial" w:hAnsi="Arial"/>
          <w:sz w:val="19"/>
          <w:szCs w:val="19"/>
          <w:color w:val="auto"/>
        </w:rPr>
        <w:t xml:space="preserve">, a majority of votes cast shall mean that the number of shares voted “for” a director’s election exceeds fifty percent (50%) of the number of votes cast with respect to that director’s election. Votes cast shall include any votes against that director’s election and any directions to withhold authority with respect to that director’s election and shall exclude abstentions and broker non-votes with respect to that director’s election, but abstentions and broker non-votes will be considered for purposes of establishing a quorum. Notwithstanding the foregoing, in the event of a “contested election” of directors, directors shall be elected by the vote of a plurality of the votes cast at any meeting for the election of directors at which a quorum is present and broker non-votes and abstentions will be considered for purposes of establishing a quorum but will not have an effect on the result of the vote. For purposes of this </w:t>
      </w:r>
      <w:r>
        <w:rPr>
          <w:rFonts w:ascii="Arial" w:cs="Arial" w:eastAsia="Arial" w:hAnsi="Arial"/>
          <w:sz w:val="19"/>
          <w:szCs w:val="19"/>
          <w:u w:val="single" w:color="auto"/>
          <w:color w:val="auto"/>
        </w:rPr>
        <w:t>Section 1.6(c)</w:t>
      </w:r>
      <w:r>
        <w:rPr>
          <w:rFonts w:ascii="Arial" w:cs="Arial" w:eastAsia="Arial" w:hAnsi="Arial"/>
          <w:sz w:val="19"/>
          <w:szCs w:val="19"/>
          <w:color w:val="auto"/>
        </w:rPr>
        <w:t>, a “contested election” shall mean any election of directors in which the number of candidates for election as directors exceeds the number of directors to be elected, with the determination thereof being made by the Secretary.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1304"/>
        <w:spacing w:after="0" w:line="258" w:lineRule="auto"/>
        <w:tabs>
          <w:tab w:leader="none" w:pos="1764"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such resignation to be effective upon acceptance by the Board of Directors as set forth in this </w:t>
      </w:r>
      <w:r>
        <w:rPr>
          <w:rFonts w:ascii="Arial" w:cs="Arial" w:eastAsia="Arial" w:hAnsi="Arial"/>
          <w:sz w:val="21"/>
          <w:szCs w:val="21"/>
          <w:u w:val="single" w:color="auto"/>
          <w:color w:val="auto"/>
        </w:rPr>
        <w:t>Section 1.6(d)</w:t>
      </w:r>
      <w:r>
        <w:rPr>
          <w:rFonts w:ascii="Arial" w:cs="Arial" w:eastAsia="Arial" w:hAnsi="Arial"/>
          <w:sz w:val="21"/>
          <w:szCs w:val="21"/>
          <w:color w:val="auto"/>
        </w:rPr>
        <w:t>. The Nominating and Corporate Governance Committee shall make a recommendation to the Board of Directors as to whether to accept or reject the tendered resignation, or whether other action should be taken. The Board of Directors shall act on the tendered resignation, taking into account the Nominating and Corporate Governance Committee’s recommendation. The Nominating and Corporate Governance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Nominating and Corporate Governance Committee or the decision of the Board of Directors with respect to his or her irrevocable resignation. If such incumbent director’s irrevocable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7" w:right="359" w:bottom="1440" w:gutter="0" w:footer="0" w:header="0"/>
        </w:sectPr>
      </w:pPr>
    </w:p>
    <w:bookmarkStart w:id="412" w:name="page413"/>
    <w:bookmarkEnd w:id="412"/>
    <w:p>
      <w:pPr>
        <w:ind w:right="180"/>
        <w:spacing w:after="0" w:line="297" w:lineRule="auto"/>
        <w:rPr>
          <w:sz w:val="20"/>
          <w:szCs w:val="20"/>
          <w:color w:val="auto"/>
        </w:rPr>
      </w:pPr>
      <w:r>
        <w:rPr>
          <w:rFonts w:ascii="Arial" w:cs="Arial" w:eastAsia="Arial" w:hAnsi="Arial"/>
          <w:sz w:val="19"/>
          <w:szCs w:val="19"/>
          <w:color w:val="auto"/>
        </w:rPr>
        <w:t xml:space="preserve">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may decrease the size of the Board of Directors pursuant to the provisions of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47"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Inspectors of Election</w:t>
      </w:r>
      <w:r>
        <w:rPr>
          <w:rFonts w:ascii="Arial" w:cs="Arial" w:eastAsia="Arial" w:hAnsi="Arial"/>
          <w:sz w:val="21"/>
          <w:szCs w:val="21"/>
          <w:color w:val="auto"/>
        </w:rPr>
        <w:t>.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perform the actions required by Section 231(b) of the DGCL or any successor provision thereto.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xml:space="preserve">. At least ten (10) days before every meeting of the stockholders, a complete list of the stockholders entitled to vote at such meeting, arranged in alphabetical order, with the post office address of each such stockholder, and the number of shares held by each, shall be prepared by the Secretary. Such list shall be open to the examination of any stockholder for any purpose germane to the meeting, during ordinary business hours at the Corporation’s headquarters or on a reasonably accessible electronic network;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information required to gain access to such list is provided with the notice of the meeting, and shall be produced and kept at the time and place of meeting during the whole time thereof and be subject to the inspection of any stockholder who may be present. The original or duplicate stock ledger shall be provided at the time and place of each meeting and shall be the only evidence as to the identity of the stockholders entitled to examine the list of stockholders or to vote in person or by proxy at such meeting.</w:t>
      </w:r>
    </w:p>
    <w:p>
      <w:pPr>
        <w:spacing w:after="0" w:line="15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Organization</w:t>
      </w:r>
      <w:r>
        <w:rPr>
          <w:rFonts w:ascii="Arial" w:cs="Arial" w:eastAsia="Arial" w:hAnsi="Arial"/>
          <w:sz w:val="22"/>
          <w:szCs w:val="22"/>
          <w:color w:val="auto"/>
        </w:rPr>
        <w:t>. Meetings of stockholders shall be presided over by the Chair of the Board of Directors, or in his or her absence, by a chair designated by the Board of Directors, or in the absence of such designation, by the Lead Independent Director, or in his or her absence or if he or she has not been appointed, by a chair chosen at the meeting. The Secretary shall act as secretary of the meeting, but in his or her absence, the chair of the meeting may appoint any person to act as secretary of the meeting.</w:t>
      </w:r>
    </w:p>
    <w:p>
      <w:pPr>
        <w:spacing w:after="0" w:line="192"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Conduct of Meetings</w:t>
      </w:r>
      <w:r>
        <w:rPr>
          <w:rFonts w:ascii="Arial" w:cs="Arial" w:eastAsia="Arial" w:hAnsi="Arial"/>
          <w:sz w:val="22"/>
          <w:szCs w:val="22"/>
          <w:color w:val="auto"/>
        </w:rPr>
        <w:t>. The date and time of the opening and the closing of the polls for each matter upon which the stockholders will vote at a meeting shall be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7" w:right="359" w:bottom="1440" w:gutter="0" w:footer="0" w:header="0"/>
        </w:sectPr>
      </w:pPr>
    </w:p>
    <w:bookmarkStart w:id="413" w:name="page414"/>
    <w:bookmarkEnd w:id="413"/>
    <w:p>
      <w:pPr>
        <w:spacing w:after="0" w:line="284" w:lineRule="auto"/>
        <w:rPr>
          <w:sz w:val="20"/>
          <w:szCs w:val="20"/>
          <w:color w:val="auto"/>
        </w:rPr>
      </w:pPr>
      <w:r>
        <w:rPr>
          <w:rFonts w:ascii="Arial" w:cs="Arial" w:eastAsia="Arial" w:hAnsi="Arial"/>
          <w:sz w:val="19"/>
          <w:szCs w:val="19"/>
          <w:color w:val="auto"/>
        </w:rPr>
        <w:t xml:space="preserve">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 of the meeting shall permit; (iv) restrictions on entry to the meeting after the time fixed for the commencement thereof; and (v) limitations on the time allotted to questions or comments by participants. The chair of any meeting shall determine all matters relating to the conduct of the meeting, including, without limitation, determining whether any nomination or other item of business has been properly brought before the meeting in accordance with these Bylaws, and if the chair of the meeting should so determine and declare that any nomination or other item of business has not been properly brought before the meeting, then such nomination shall be disregarded and such business shall not be transacted at such meeting. Business conducted at a special meeting requested by stockholders shall be limited to the matters described in the request for such a meeting delivered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Unless and to the extent determined by the Board of Directors or the chair of the meeting, meetings of stockholders shall not be required to be held in accordance with rules of parliamentary procedure.</w:t>
      </w:r>
    </w:p>
    <w:p>
      <w:pPr>
        <w:spacing w:after="0" w:line="173"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Fixing Record Date</w:t>
      </w:r>
      <w:r>
        <w:rPr>
          <w:rFonts w:ascii="Arial" w:cs="Arial" w:eastAsia="Arial" w:hAnsi="Arial"/>
          <w:sz w:val="19"/>
          <w:szCs w:val="19"/>
          <w:color w:val="auto"/>
        </w:rPr>
        <w:t>.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(i) in the case of determination of stockholders entitled to vote at any meeting of stockholders or adjournment thereof, shall, unless otherwise required by applicable law, not be more than sixty (60) nor less than ten (10) days before the date of such meeting; and</w:t>
      </w:r>
    </w:p>
    <w:p>
      <w:pPr>
        <w:spacing w:after="0" w:line="4" w:lineRule="exact"/>
        <w:rPr>
          <w:sz w:val="20"/>
          <w:szCs w:val="20"/>
          <w:color w:val="auto"/>
        </w:rPr>
      </w:pPr>
    </w:p>
    <w:p>
      <w:pPr>
        <w:ind w:left="320" w:hanging="312"/>
        <w:spacing w:after="0"/>
        <w:tabs>
          <w:tab w:leader="none" w:pos="32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in the case of any other action, shall not be more than sixty (60) days prior to such other action. If no record date is fixed,</w:t>
      </w:r>
    </w:p>
    <w:p>
      <w:pPr>
        <w:spacing w:after="0" w:line="38" w:lineRule="exact"/>
        <w:rPr>
          <w:rFonts w:ascii="Arial" w:cs="Arial" w:eastAsia="Arial" w:hAnsi="Arial"/>
          <w:sz w:val="19"/>
          <w:szCs w:val="19"/>
          <w:color w:val="auto"/>
        </w:rPr>
      </w:pPr>
    </w:p>
    <w:p>
      <w:pPr>
        <w:ind w:right="100"/>
        <w:spacing w:after="0" w:line="295" w:lineRule="auto"/>
        <w:rPr>
          <w:rFonts w:ascii="Arial" w:cs="Arial" w:eastAsia="Arial" w:hAnsi="Arial"/>
          <w:sz w:val="19"/>
          <w:szCs w:val="19"/>
          <w:color w:val="auto"/>
        </w:rPr>
      </w:pPr>
      <w:r>
        <w:rPr>
          <w:rFonts w:ascii="Arial" w:cs="Arial" w:eastAsia="Arial" w:hAnsi="Arial"/>
          <w:sz w:val="19"/>
          <w:szCs w:val="19"/>
          <w:color w:val="auto"/>
        </w:rPr>
        <w:t>(A) 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414" w:name="page415"/>
    <w:bookmarkEnd w:id="414"/>
    <w:p>
      <w:pPr>
        <w:jc w:val="both"/>
        <w:ind w:right="520"/>
        <w:spacing w:after="0" w:line="253" w:lineRule="auto"/>
        <w:rPr>
          <w:sz w:val="20"/>
          <w:szCs w:val="20"/>
          <w:color w:val="auto"/>
        </w:rPr>
      </w:pPr>
      <w:r>
        <w:rPr>
          <w:rFonts w:ascii="Arial" w:cs="Arial" w:eastAsia="Arial" w:hAnsi="Arial"/>
          <w:sz w:val="22"/>
          <w:szCs w:val="22"/>
          <w:color w:val="auto"/>
        </w:rPr>
        <w:t xml:space="preserve">resolution relating thereto. A determination of stockholders entitled to notice of or to vote at a meeting of stockholders shall apply to any adjournment of the meeting;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Board of Directors may fix a new record date for the adjourned meeting.</w:t>
      </w:r>
    </w:p>
    <w:p>
      <w:pPr>
        <w:spacing w:after="0" w:line="185" w:lineRule="exact"/>
        <w:rPr>
          <w:sz w:val="20"/>
          <w:szCs w:val="20"/>
          <w:color w:val="auto"/>
        </w:rPr>
      </w:pPr>
    </w:p>
    <w:p>
      <w:pPr>
        <w:ind w:right="540" w:firstLine="648"/>
        <w:spacing w:after="0" w:line="30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Stockholder Action by Written Consent</w:t>
      </w:r>
      <w:r>
        <w:rPr>
          <w:rFonts w:ascii="Arial" w:cs="Arial" w:eastAsia="Arial" w:hAnsi="Arial"/>
          <w:sz w:val="19"/>
          <w:szCs w:val="19"/>
          <w:color w:val="auto"/>
        </w:rPr>
        <w:t>. Subject to the rights of the holders of any series of Preferred Stock with respect to such series of Preferred Stock and except as provided in the Certificate of Incorporation, any action required or permitted to be taken by the stockholders of the Corporation must be effected at a duly called annual or special meeting of the stockholders of the Corporation and may not be effected by any consent in writing by such stockholders.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Order of Business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86" w:lineRule="auto"/>
        <w:tabs>
          <w:tab w:leader="none" w:pos="1752" w:val="left"/>
        </w:tabs>
        <w:numPr>
          <w:ilvl w:val="1"/>
          <w:numId w:val="202"/>
        </w:numPr>
        <w:rPr>
          <w:rFonts w:ascii="Arial" w:cs="Arial" w:eastAsia="Arial" w:hAnsi="Arial"/>
          <w:sz w:val="19"/>
          <w:szCs w:val="19"/>
          <w:color w:val="auto"/>
        </w:rPr>
      </w:pPr>
      <w:r>
        <w:rPr>
          <w:rFonts w:ascii="Arial" w:cs="Arial" w:eastAsia="Arial" w:hAnsi="Arial"/>
          <w:sz w:val="19"/>
          <w:szCs w:val="19"/>
          <w:i w:val="1"/>
          <w:iCs w:val="1"/>
          <w:color w:val="auto"/>
        </w:rPr>
        <w:t xml:space="preserve">Annual Meeting of Stockholders. </w:t>
      </w:r>
      <w:r>
        <w:rPr>
          <w:rFonts w:ascii="Arial" w:cs="Arial" w:eastAsia="Arial" w:hAnsi="Arial"/>
          <w:sz w:val="19"/>
          <w:szCs w:val="19"/>
          <w:color w:val="auto"/>
        </w:rPr>
        <w:t>At any annual meeting of the stockholders, only such nominations of</w:t>
      </w:r>
      <w:r>
        <w:rPr>
          <w:rFonts w:ascii="Arial" w:cs="Arial" w:eastAsia="Arial" w:hAnsi="Arial"/>
          <w:sz w:val="19"/>
          <w:szCs w:val="19"/>
          <w:i w:val="1"/>
          <w:iCs w:val="1"/>
          <w:color w:val="auto"/>
        </w:rPr>
        <w:t xml:space="preserve"> </w:t>
      </w:r>
      <w:r>
        <w:rPr>
          <w:rFonts w:ascii="Arial" w:cs="Arial" w:eastAsia="Arial" w:hAnsi="Arial"/>
          <w:sz w:val="19"/>
          <w:szCs w:val="19"/>
          <w:color w:val="auto"/>
        </w:rPr>
        <w:t>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w:t>
      </w:r>
    </w:p>
    <w:p>
      <w:pPr>
        <w:spacing w:after="0" w:line="2" w:lineRule="exact"/>
        <w:rPr>
          <w:rFonts w:ascii="Arial" w:cs="Arial" w:eastAsia="Arial" w:hAnsi="Arial"/>
          <w:sz w:val="19"/>
          <w:szCs w:val="19"/>
          <w:color w:val="auto"/>
        </w:rPr>
      </w:pPr>
    </w:p>
    <w:p>
      <w:pPr>
        <w:ind w:right="40" w:firstLine="8"/>
        <w:spacing w:after="0" w:line="286" w:lineRule="auto"/>
        <w:tabs>
          <w:tab w:leader="none" w:pos="25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Arial" w:cs="Arial" w:eastAsia="Arial" w:hAnsi="Arial"/>
          <w:sz w:val="19"/>
          <w:szCs w:val="19"/>
          <w:u w:val="single" w:color="auto"/>
          <w:color w:val="auto"/>
        </w:rPr>
        <w:t>Section 1.14</w:t>
      </w:r>
      <w:r>
        <w:rPr>
          <w:rFonts w:ascii="Arial" w:cs="Arial" w:eastAsia="Arial" w:hAnsi="Arial"/>
          <w:sz w:val="19"/>
          <w:szCs w:val="19"/>
          <w:color w:val="auto"/>
        </w:rPr>
        <w:t>, the immediately preceding sentence shall be the exclusive means for a stockholder to make nominations or other business proposals (other than matters properly brought under Rule 14a-8 under the U.S.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included in the Corporation’s notice of meeting) before an annual meeting of stockholders.</w:t>
      </w:r>
    </w:p>
    <w:p>
      <w:pPr>
        <w:spacing w:after="0" w:line="159" w:lineRule="exact"/>
        <w:rPr>
          <w:rFonts w:ascii="Arial" w:cs="Arial" w:eastAsia="Arial" w:hAnsi="Arial"/>
          <w:sz w:val="19"/>
          <w:szCs w:val="19"/>
          <w:color w:val="auto"/>
        </w:rPr>
      </w:pPr>
    </w:p>
    <w:p>
      <w:pPr>
        <w:ind w:firstLine="1304"/>
        <w:spacing w:after="0" w:line="289" w:lineRule="auto"/>
        <w:tabs>
          <w:tab w:leader="none" w:pos="1764" w:val="left"/>
        </w:tabs>
        <w:numPr>
          <w:ilvl w:val="1"/>
          <w:numId w:val="203"/>
        </w:numPr>
        <w:rPr>
          <w:rFonts w:ascii="Arial" w:cs="Arial" w:eastAsia="Arial" w:hAnsi="Arial"/>
          <w:sz w:val="19"/>
          <w:szCs w:val="19"/>
          <w:color w:val="auto"/>
        </w:rPr>
      </w:pPr>
      <w:r>
        <w:rPr>
          <w:rFonts w:ascii="Arial" w:cs="Arial" w:eastAsia="Arial" w:hAnsi="Arial"/>
          <w:sz w:val="19"/>
          <w:szCs w:val="19"/>
          <w:i w:val="1"/>
          <w:iCs w:val="1"/>
          <w:color w:val="auto"/>
        </w:rPr>
        <w:t>Special Meetings of Stockholders</w:t>
      </w:r>
      <w:r>
        <w:rPr>
          <w:rFonts w:ascii="Arial" w:cs="Arial" w:eastAsia="Arial" w:hAnsi="Arial"/>
          <w:sz w:val="19"/>
          <w:szCs w:val="19"/>
          <w:color w:val="auto"/>
        </w:rPr>
        <w:t>. At any special meeting of the stockholders, only such business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conducted or considered as shall have been properly brought before the meeting. To be properly brought before a special meeting, proposals of business must be (i) specified in the Corporation’s notice of meeting (or any supplement thereto) given by or at the direction of the Board of Directors, (ii) otherwise properly made at the special meeting by or at the direction of the Board of Directors or (iii) otherwise properly requested to be brought before the special meeting by a stockholder of the Corporation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415" w:name="page416"/>
    <w:bookmarkEnd w:id="415"/>
    <w:p>
      <w:pPr>
        <w:ind w:right="60"/>
        <w:spacing w:after="0" w:line="247" w:lineRule="auto"/>
        <w:rPr>
          <w:sz w:val="20"/>
          <w:szCs w:val="20"/>
          <w:color w:val="auto"/>
        </w:rPr>
      </w:pPr>
      <w:r>
        <w:rPr>
          <w:rFonts w:ascii="Arial" w:cs="Arial" w:eastAsia="Arial" w:hAnsi="Arial"/>
          <w:sz w:val="22"/>
          <w:szCs w:val="22"/>
          <w:color w:val="auto"/>
        </w:rPr>
        <w:t xml:space="preserve">has determined that directors shall be elected at such meeting, by any stockholder of the Corporation who (x) is a stockholder of record at the time of giving of notice of such special meeting and at the time of the special meeting, (y) is entitled to vote at the meeting and (z) complies with the procedures set forth in these Bylaws as to such nomination. Subject to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1.13(b)</w:t>
      </w:r>
      <w:r>
        <w:rPr>
          <w:rFonts w:ascii="Arial" w:cs="Arial" w:eastAsia="Arial" w:hAnsi="Arial"/>
          <w:sz w:val="22"/>
          <w:szCs w:val="22"/>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193" w:lineRule="exact"/>
        <w:rPr>
          <w:sz w:val="20"/>
          <w:szCs w:val="20"/>
          <w:color w:val="auto"/>
        </w:rPr>
      </w:pPr>
    </w:p>
    <w:p>
      <w:pPr>
        <w:ind w:right="120" w:firstLine="1304"/>
        <w:spacing w:after="0" w:line="247" w:lineRule="auto"/>
        <w:tabs>
          <w:tab w:leader="none" w:pos="1752"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Except as otherwise provided by applicable law, the Certificate of Incorporation or these Bylaws,</w:t>
      </w:r>
      <w:r>
        <w:rPr>
          <w:rFonts w:ascii="Arial" w:cs="Arial" w:eastAsia="Arial" w:hAnsi="Arial"/>
          <w:sz w:val="22"/>
          <w:szCs w:val="22"/>
          <w:i w:val="1"/>
          <w:iCs w:val="1"/>
          <w:color w:val="auto"/>
        </w:rPr>
        <w:t xml:space="preserve"> </w:t>
      </w:r>
      <w:r>
        <w:rPr>
          <w:rFonts w:ascii="Arial" w:cs="Arial" w:eastAsia="Arial" w:hAnsi="Arial"/>
          <w:sz w:val="22"/>
          <w:szCs w:val="22"/>
          <w:color w:val="auto"/>
        </w:rPr>
        <w:t>the chair of any annual or special meeting shall have the power to determine whether a nomination or any other business proposed to be brought before any stockholder meeting was made or proposed, as the case may be, in accordance with these Bylaws and, if any proposed nomination or other business is not in compliance with these Bylaws, to declare that no action shall be taken on such nomination or other proposed business and such nomination shall be disregarded or such other proposed business shall not be conducted.</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u w:val="single" w:color="auto"/>
          <w:color w:val="auto"/>
        </w:rPr>
        <w:t>Advance Notice of Stockholder Proposal</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47" w:lineRule="auto"/>
        <w:tabs>
          <w:tab w:leader="none" w:pos="1752"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 xml:space="preserve">Annual Meeting of Stockholders. </w:t>
      </w:r>
      <w:r>
        <w:rPr>
          <w:rFonts w:ascii="Arial" w:cs="Arial" w:eastAsia="Arial" w:hAnsi="Arial"/>
          <w:sz w:val="22"/>
          <w:szCs w:val="22"/>
          <w:color w:val="auto"/>
        </w:rPr>
        <w:t>Without qualification or limitation,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1.14(c)(iv)</w:t>
      </w:r>
      <w:r>
        <w:rPr>
          <w:rFonts w:ascii="Arial" w:cs="Arial" w:eastAsia="Arial" w:hAnsi="Arial"/>
          <w:sz w:val="22"/>
          <w:szCs w:val="22"/>
          <w:color w:val="auto"/>
        </w:rPr>
        <w:t>, for 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nominations or any other business to be properly brought before an annual meeting by a stockholder pursuant to </w:t>
      </w:r>
      <w:r>
        <w:rPr>
          <w:rFonts w:ascii="Arial" w:cs="Arial" w:eastAsia="Arial" w:hAnsi="Arial"/>
          <w:sz w:val="22"/>
          <w:szCs w:val="22"/>
          <w:u w:val="single" w:color="auto"/>
          <w:color w:val="auto"/>
        </w:rPr>
        <w:t>Section 1.13(a)</w:t>
      </w:r>
      <w:r>
        <w:rPr>
          <w:rFonts w:ascii="Arial" w:cs="Arial" w:eastAsia="Arial" w:hAnsi="Arial"/>
          <w:sz w:val="22"/>
          <w:szCs w:val="22"/>
          <w:color w:val="auto"/>
        </w:rPr>
        <w:t xml:space="preserve">, the stockholder must have given timely notice thereof (including, without limitation, in the case of nominations, the completed and signed questionnaire, representation and agreement required by </w:t>
      </w:r>
      <w:r>
        <w:rPr>
          <w:rFonts w:ascii="Arial" w:cs="Arial" w:eastAsia="Arial" w:hAnsi="Arial"/>
          <w:sz w:val="22"/>
          <w:szCs w:val="22"/>
          <w:u w:val="single" w:color="auto"/>
          <w:color w:val="auto"/>
        </w:rPr>
        <w:t>Section 2.16</w:t>
      </w:r>
      <w:r>
        <w:rPr>
          <w:rFonts w:ascii="Arial" w:cs="Arial" w:eastAsia="Arial" w:hAnsi="Arial"/>
          <w:sz w:val="22"/>
          <w:szCs w:val="22"/>
          <w:color w:val="auto"/>
        </w:rPr>
        <w:t>), and timely updates and supplements thereof, in each case in proper form, in writing to the Secretary, and such other business must otherwise be a proper matter for stockholder action.</w:t>
      </w:r>
    </w:p>
    <w:p>
      <w:pPr>
        <w:spacing w:after="0" w:line="193" w:lineRule="exact"/>
        <w:rPr>
          <w:sz w:val="20"/>
          <w:szCs w:val="20"/>
          <w:color w:val="auto"/>
        </w:rPr>
      </w:pPr>
    </w:p>
    <w:p>
      <w:pPr>
        <w:ind w:left="120" w:right="180" w:firstLine="648"/>
        <w:spacing w:after="0" w:line="288" w:lineRule="auto"/>
        <w:rPr>
          <w:sz w:val="20"/>
          <w:szCs w:val="20"/>
          <w:color w:val="auto"/>
        </w:rPr>
      </w:pPr>
      <w:r>
        <w:rPr>
          <w:rFonts w:ascii="Arial" w:cs="Arial" w:eastAsia="Arial" w:hAnsi="Arial"/>
          <w:sz w:val="19"/>
          <w:szCs w:val="19"/>
          <w:color w:val="auto"/>
        </w:rPr>
        <w:t xml:space="preserve">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rescheduling or postponement of an annual meeting, or the public announcement thereof, commence a new time period for the giving of a stockholder’s notice as described above.</w:t>
      </w:r>
    </w:p>
    <w:p>
      <w:pPr>
        <w:spacing w:after="0" w:line="200" w:lineRule="exact"/>
        <w:rPr>
          <w:sz w:val="20"/>
          <w:szCs w:val="20"/>
          <w:color w:val="auto"/>
        </w:rPr>
      </w:pPr>
    </w:p>
    <w:p>
      <w:pPr>
        <w:spacing w:after="0" w:line="216" w:lineRule="exact"/>
        <w:rPr>
          <w:sz w:val="20"/>
          <w:szCs w:val="20"/>
          <w:color w:val="auto"/>
        </w:rPr>
      </w:pPr>
    </w:p>
    <w:p>
      <w:pPr>
        <w:ind w:left="120" w:right="120" w:firstLine="648"/>
        <w:spacing w:after="0" w:line="312" w:lineRule="auto"/>
        <w:rPr>
          <w:sz w:val="20"/>
          <w:szCs w:val="20"/>
          <w:color w:val="auto"/>
        </w:rPr>
      </w:pPr>
      <w:r>
        <w:rPr>
          <w:rFonts w:ascii="Arial" w:cs="Arial" w:eastAsia="Arial" w:hAnsi="Arial"/>
          <w:sz w:val="19"/>
          <w:szCs w:val="19"/>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416" w:name="page417"/>
    <w:bookmarkEnd w:id="416"/>
    <w:p>
      <w:pPr>
        <w:ind w:left="120" w:right="100"/>
        <w:spacing w:after="0" w:line="302" w:lineRule="auto"/>
        <w:rPr>
          <w:sz w:val="20"/>
          <w:szCs w:val="20"/>
          <w:color w:val="auto"/>
        </w:rPr>
      </w:pPr>
      <w:r>
        <w:rPr>
          <w:rFonts w:ascii="Arial" w:cs="Arial" w:eastAsia="Arial" w:hAnsi="Arial"/>
          <w:sz w:val="19"/>
          <w:szCs w:val="19"/>
          <w:color w:val="auto"/>
        </w:rPr>
        <w:t xml:space="preserve">hundred (100) days prior to the first anniversary of the preceding year’s annual meeting, a stockholder’s notice required by this </w:t>
      </w:r>
      <w:r>
        <w:rPr>
          <w:rFonts w:ascii="Arial" w:cs="Arial" w:eastAsia="Arial" w:hAnsi="Arial"/>
          <w:sz w:val="19"/>
          <w:szCs w:val="19"/>
          <w:u w:val="single" w:color="auto"/>
          <w:color w:val="auto"/>
        </w:rPr>
        <w:t>Section 1.14(a)</w:t>
      </w:r>
      <w:r>
        <w:rPr>
          <w:rFonts w:ascii="Arial" w:cs="Arial" w:eastAsia="Arial" w:hAnsi="Arial"/>
          <w:sz w:val="19"/>
          <w:szCs w:val="19"/>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42" w:lineRule="exact"/>
        <w:rPr>
          <w:sz w:val="20"/>
          <w:szCs w:val="20"/>
          <w:color w:val="auto"/>
        </w:rPr>
      </w:pPr>
    </w:p>
    <w:p>
      <w:pPr>
        <w:ind w:left="120" w:firstLine="648"/>
        <w:spacing w:after="0" w:line="286" w:lineRule="auto"/>
        <w:rPr>
          <w:sz w:val="20"/>
          <w:szCs w:val="20"/>
          <w:color w:val="auto"/>
        </w:rPr>
      </w:pPr>
      <w:r>
        <w:rPr>
          <w:rFonts w:ascii="Arial" w:cs="Arial" w:eastAsia="Arial" w:hAnsi="Arial"/>
          <w:sz w:val="19"/>
          <w:szCs w:val="19"/>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without limitation, by changing or adding nominees, matters, business or resolutions proposed to be brought before a meeting of the stockholders.</w:t>
      </w:r>
    </w:p>
    <w:p>
      <w:pPr>
        <w:spacing w:after="0" w:line="166" w:lineRule="exact"/>
        <w:rPr>
          <w:sz w:val="20"/>
          <w:szCs w:val="20"/>
          <w:color w:val="auto"/>
        </w:rPr>
      </w:pPr>
    </w:p>
    <w:p>
      <w:pPr>
        <w:ind w:right="200" w:firstLine="1304"/>
        <w:spacing w:after="0" w:line="291" w:lineRule="auto"/>
        <w:tabs>
          <w:tab w:leader="none" w:pos="1764" w:val="left"/>
        </w:tabs>
        <w:numPr>
          <w:ilvl w:val="0"/>
          <w:numId w:val="206"/>
        </w:numPr>
        <w:rPr>
          <w:rFonts w:ascii="Arial" w:cs="Arial" w:eastAsia="Arial" w:hAnsi="Arial"/>
          <w:sz w:val="19"/>
          <w:szCs w:val="19"/>
          <w:color w:val="auto"/>
        </w:rPr>
      </w:pPr>
      <w:r>
        <w:rPr>
          <w:rFonts w:ascii="Arial" w:cs="Arial" w:eastAsia="Arial" w:hAnsi="Arial"/>
          <w:sz w:val="19"/>
          <w:szCs w:val="19"/>
          <w:i w:val="1"/>
          <w:iCs w:val="1"/>
          <w:color w:val="auto"/>
        </w:rPr>
        <w:t xml:space="preserve">Special Meeting of Stockholders. </w:t>
      </w:r>
      <w:r>
        <w:rPr>
          <w:rFonts w:ascii="Arial" w:cs="Arial" w:eastAsia="Arial" w:hAnsi="Arial"/>
          <w:sz w:val="19"/>
          <w:szCs w:val="19"/>
          <w:color w:val="auto"/>
        </w:rPr>
        <w:t>Without qualification or limitation,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1.14(c)(iv)</w:t>
      </w:r>
      <w:r>
        <w:rPr>
          <w:rFonts w:ascii="Arial" w:cs="Arial" w:eastAsia="Arial" w:hAnsi="Arial"/>
          <w:sz w:val="19"/>
          <w:szCs w:val="19"/>
          <w:color w:val="auto"/>
        </w:rPr>
        <w:t>,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to be properly requested to be brought before a special meeting of stockholders by a stockholder pursuant to</w:t>
      </w:r>
    </w:p>
    <w:p>
      <w:pPr>
        <w:spacing w:after="0" w:line="1" w:lineRule="exact"/>
        <w:rPr>
          <w:rFonts w:ascii="Arial" w:cs="Arial" w:eastAsia="Arial" w:hAnsi="Arial"/>
          <w:sz w:val="19"/>
          <w:szCs w:val="19"/>
          <w:color w:val="auto"/>
        </w:rPr>
      </w:pPr>
    </w:p>
    <w:p>
      <w:pPr>
        <w:ind w:right="100"/>
        <w:spacing w:after="0" w:line="323" w:lineRule="auto"/>
        <w:rPr>
          <w:rFonts w:ascii="Arial" w:cs="Arial" w:eastAsia="Arial" w:hAnsi="Arial"/>
          <w:sz w:val="19"/>
          <w:szCs w:val="19"/>
          <w:color w:val="auto"/>
        </w:rPr>
      </w:pPr>
      <w:r>
        <w:rPr>
          <w:rFonts w:ascii="Arial" w:cs="Arial" w:eastAsia="Arial" w:hAnsi="Arial"/>
          <w:sz w:val="19"/>
          <w:szCs w:val="19"/>
          <w:u w:val="single" w:color="auto"/>
          <w:color w:val="auto"/>
        </w:rPr>
        <w:t>Section 1.13(b)</w:t>
      </w:r>
      <w:r>
        <w:rPr>
          <w:rFonts w:ascii="Arial" w:cs="Arial" w:eastAsia="Arial" w:hAnsi="Arial"/>
          <w:sz w:val="19"/>
          <w:szCs w:val="19"/>
          <w:color w:val="auto"/>
        </w:rPr>
        <w:t>, the stockholder must have given timely notice thereof and timely updates and supplements thereof, in each case in proper form, in writing to the Secretary and such business must otherwise be a proper matter for stockholder action.</w:t>
      </w:r>
    </w:p>
    <w:p>
      <w:pPr>
        <w:spacing w:after="0" w:line="123" w:lineRule="exact"/>
        <w:rPr>
          <w:sz w:val="20"/>
          <w:szCs w:val="20"/>
          <w:color w:val="auto"/>
        </w:rPr>
      </w:pPr>
    </w:p>
    <w:p>
      <w:pPr>
        <w:ind w:left="120" w:right="20" w:firstLine="648"/>
        <w:spacing w:after="0" w:line="29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1.14(c)(iv)</w:t>
      </w:r>
      <w:r>
        <w:rPr>
          <w:rFonts w:ascii="Arial" w:cs="Arial" w:eastAsia="Arial" w:hAnsi="Arial"/>
          <w:sz w:val="19"/>
          <w:szCs w:val="19"/>
          <w:color w:val="auto"/>
        </w:rPr>
        <w:t xml:space="preserve">,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stockholder gives timely notice thereof (including, without limitation, the completed and signed questionnaire, representation and agreement required by </w:t>
      </w:r>
      <w:r>
        <w:rPr>
          <w:rFonts w:ascii="Arial" w:cs="Arial" w:eastAsia="Arial" w:hAnsi="Arial"/>
          <w:sz w:val="19"/>
          <w:szCs w:val="19"/>
          <w:u w:val="single" w:color="auto"/>
          <w:color w:val="auto"/>
        </w:rPr>
        <w:t>Section 2.16</w:t>
      </w:r>
      <w:r>
        <w:rPr>
          <w:rFonts w:ascii="Arial" w:cs="Arial" w:eastAsia="Arial" w:hAnsi="Arial"/>
          <w:sz w:val="19"/>
          <w:szCs w:val="19"/>
          <w:color w:val="auto"/>
        </w:rPr>
        <w:t>), and timely updates and supplements thereof, in each case in proper form, in writing to the Secretary.</w:t>
      </w:r>
    </w:p>
    <w:p>
      <w:pPr>
        <w:spacing w:after="0" w:line="147" w:lineRule="exact"/>
        <w:rPr>
          <w:sz w:val="20"/>
          <w:szCs w:val="20"/>
          <w:color w:val="auto"/>
        </w:rPr>
      </w:pPr>
    </w:p>
    <w:p>
      <w:pPr>
        <w:ind w:left="120" w:right="140" w:firstLine="648"/>
        <w:spacing w:after="0" w:line="250" w:lineRule="auto"/>
        <w:rPr>
          <w:sz w:val="20"/>
          <w:szCs w:val="20"/>
          <w:color w:val="auto"/>
        </w:rPr>
      </w:pPr>
      <w:r>
        <w:rPr>
          <w:rFonts w:ascii="Arial" w:cs="Arial" w:eastAsia="Arial" w:hAnsi="Arial"/>
          <w:sz w:val="22"/>
          <w:szCs w:val="22"/>
          <w:color w:val="auto"/>
        </w:rPr>
        <w:t>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7" w:right="379" w:bottom="1440" w:gutter="0" w:footer="0" w:header="0"/>
        </w:sectPr>
      </w:pPr>
    </w:p>
    <w:bookmarkStart w:id="417" w:name="page418"/>
    <w:bookmarkEnd w:id="417"/>
    <w:p>
      <w:pPr>
        <w:ind w:left="60" w:right="160"/>
        <w:spacing w:after="0" w:line="297" w:lineRule="auto"/>
        <w:rPr>
          <w:sz w:val="20"/>
          <w:szCs w:val="20"/>
          <w:color w:val="auto"/>
        </w:rPr>
      </w:pPr>
      <w:r>
        <w:rPr>
          <w:rFonts w:ascii="Arial" w:cs="Arial" w:eastAsia="Arial" w:hAnsi="Arial"/>
          <w:sz w:val="19"/>
          <w:szCs w:val="19"/>
          <w:color w:val="auto"/>
        </w:rPr>
        <w:t>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rescheduling or postponement of a special meeting of stockholders, or the public announcement thereof, commence a new time period for the giving of a stockholder’s notice as described above.</w:t>
      </w:r>
    </w:p>
    <w:p>
      <w:pPr>
        <w:spacing w:after="0" w:line="147" w:lineRule="exact"/>
        <w:rPr>
          <w:sz w:val="20"/>
          <w:szCs w:val="20"/>
          <w:color w:val="auto"/>
        </w:rPr>
      </w:pPr>
    </w:p>
    <w:p>
      <w:pPr>
        <w:ind w:left="60" w:firstLine="648"/>
        <w:spacing w:after="0" w:line="286" w:lineRule="auto"/>
        <w:rPr>
          <w:sz w:val="20"/>
          <w:szCs w:val="20"/>
          <w:color w:val="auto"/>
        </w:rPr>
      </w:pPr>
      <w:r>
        <w:rPr>
          <w:rFonts w:ascii="Arial" w:cs="Arial" w:eastAsia="Arial" w:hAnsi="Arial"/>
          <w:sz w:val="19"/>
          <w:szCs w:val="19"/>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without limitation, by changing or adding nominees, matters, business or resolutions proposed to be brought before a meeting of the stockholders.</w:t>
      </w:r>
    </w:p>
    <w:p>
      <w:pPr>
        <w:spacing w:after="0" w:line="166" w:lineRule="exact"/>
        <w:rPr>
          <w:sz w:val="20"/>
          <w:szCs w:val="20"/>
          <w:color w:val="auto"/>
        </w:rPr>
      </w:pPr>
    </w:p>
    <w:p>
      <w:pPr>
        <w:ind w:left="-60" w:right="140" w:firstLine="1304"/>
        <w:spacing w:after="0" w:line="263" w:lineRule="auto"/>
        <w:tabs>
          <w:tab w:leader="none" w:pos="1692" w:val="left"/>
        </w:tabs>
        <w:numPr>
          <w:ilvl w:val="1"/>
          <w:numId w:val="207"/>
        </w:numPr>
        <w:rPr>
          <w:rFonts w:ascii="Arial" w:cs="Arial" w:eastAsia="Arial" w:hAnsi="Arial"/>
          <w:sz w:val="22"/>
          <w:szCs w:val="22"/>
          <w:color w:val="auto"/>
        </w:rPr>
      </w:pPr>
      <w:r>
        <w:rPr>
          <w:rFonts w:ascii="Arial" w:cs="Arial" w:eastAsia="Arial" w:hAnsi="Arial"/>
          <w:sz w:val="22"/>
          <w:szCs w:val="22"/>
          <w:i w:val="1"/>
          <w:iCs w:val="1"/>
          <w:color w:val="auto"/>
        </w:rPr>
        <w:t xml:space="preserve">Disclosure Requirements. </w:t>
      </w:r>
      <w:r>
        <w:rPr>
          <w:rFonts w:ascii="Arial" w:cs="Arial" w:eastAsia="Arial" w:hAnsi="Arial"/>
          <w:sz w:val="22"/>
          <w:szCs w:val="22"/>
          <w:color w:val="auto"/>
        </w:rPr>
        <w:t>To be in proper form, a stockholder’s notice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1.3</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or this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must include the following, as applicable:</w:t>
      </w:r>
    </w:p>
    <w:p>
      <w:pPr>
        <w:spacing w:after="0" w:line="174" w:lineRule="exact"/>
        <w:rPr>
          <w:rFonts w:ascii="Arial" w:cs="Arial" w:eastAsia="Arial" w:hAnsi="Arial"/>
          <w:sz w:val="22"/>
          <w:szCs w:val="22"/>
          <w:color w:val="auto"/>
        </w:rPr>
      </w:pPr>
    </w:p>
    <w:p>
      <w:pPr>
        <w:ind w:left="600" w:right="200" w:firstLine="1292"/>
        <w:spacing w:after="0" w:line="291" w:lineRule="auto"/>
        <w:tabs>
          <w:tab w:leader="none" w:pos="2304" w:val="left"/>
        </w:tabs>
        <w:numPr>
          <w:ilvl w:val="2"/>
          <w:numId w:val="207"/>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or proposal, as applicable, is being made, a stockholder’s notice must set forth: (A) the name and address of</w:t>
      </w:r>
    </w:p>
    <w:p>
      <w:pPr>
        <w:spacing w:after="0" w:line="1" w:lineRule="exact"/>
        <w:rPr>
          <w:rFonts w:ascii="Arial" w:cs="Arial" w:eastAsia="Arial" w:hAnsi="Arial"/>
          <w:sz w:val="19"/>
          <w:szCs w:val="19"/>
          <w:color w:val="auto"/>
        </w:rPr>
      </w:pPr>
    </w:p>
    <w:p>
      <w:pPr>
        <w:ind w:left="900" w:hanging="304"/>
        <w:spacing w:after="0"/>
        <w:tabs>
          <w:tab w:leader="none" w:pos="9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each such person, (2) any holder of record of the stockholder’s shares as they appear on the Corporation’s books and</w:t>
      </w:r>
    </w:p>
    <w:p>
      <w:pPr>
        <w:spacing w:after="0" w:line="38" w:lineRule="exact"/>
        <w:rPr>
          <w:rFonts w:ascii="Arial" w:cs="Arial" w:eastAsia="Arial" w:hAnsi="Arial"/>
          <w:sz w:val="19"/>
          <w:szCs w:val="19"/>
          <w:color w:val="auto"/>
        </w:rPr>
      </w:pPr>
    </w:p>
    <w:p>
      <w:pPr>
        <w:ind w:left="600" w:right="300" w:hanging="4"/>
        <w:spacing w:after="0" w:line="281" w:lineRule="auto"/>
        <w:tabs>
          <w:tab w:leader="none" w:pos="90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each of their respective affiliates or associates or others acting in concert therewith (each person referred to in the foregoing clauses (2) and (3), a “</w:t>
      </w:r>
      <w:r>
        <w:rPr>
          <w:rFonts w:ascii="Arial" w:cs="Arial" w:eastAsia="Arial" w:hAnsi="Arial"/>
          <w:sz w:val="19"/>
          <w:szCs w:val="19"/>
          <w:u w:val="single" w:color="auto"/>
          <w:color w:val="auto"/>
        </w:rPr>
        <w:t>Stockholder Associated Person</w:t>
      </w:r>
      <w:r>
        <w:rPr>
          <w:rFonts w:ascii="Arial" w:cs="Arial" w:eastAsia="Arial" w:hAnsi="Arial"/>
          <w:sz w:val="19"/>
          <w:szCs w:val="19"/>
          <w:color w:val="auto"/>
        </w:rPr>
        <w:t>”), (B) (1) the class and number of all shares of capital stock of the Corporation that are owned, directly or indirectly, by (x) each such person (beneficially and of record) and</w:t>
      </w:r>
    </w:p>
    <w:p>
      <w:pPr>
        <w:spacing w:after="0" w:line="2" w:lineRule="exact"/>
        <w:rPr>
          <w:rFonts w:ascii="Arial" w:cs="Arial" w:eastAsia="Arial" w:hAnsi="Arial"/>
          <w:sz w:val="19"/>
          <w:szCs w:val="19"/>
          <w:color w:val="auto"/>
        </w:rPr>
      </w:pPr>
    </w:p>
    <w:p>
      <w:pPr>
        <w:ind w:left="600" w:right="80"/>
        <w:spacing w:after="0" w:line="244" w:lineRule="auto"/>
        <w:rPr>
          <w:rFonts w:ascii="Arial" w:cs="Arial" w:eastAsia="Arial" w:hAnsi="Arial"/>
          <w:sz w:val="19"/>
          <w:szCs w:val="19"/>
          <w:color w:val="auto"/>
        </w:rPr>
      </w:pPr>
      <w:r>
        <w:rPr>
          <w:rFonts w:ascii="Arial" w:cs="Arial" w:eastAsia="Arial" w:hAnsi="Arial"/>
          <w:sz w:val="22"/>
          <w:szCs w:val="22"/>
          <w:color w:val="auto"/>
        </w:rPr>
        <w:t>(y) each Stockholder Associated Person and (2) the name of each nominee holder of shares of stock of the Corporation owned but not of record by such person or any Stockholder Associated Person, the date such person or Stockholder Associated Person acquired each such share of capital stock of the Corporation and the number of such shares of stock of the Corporation held by each such nominee holder, (C) a description of any option, warrant, convertible security, stock appreciation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40"/>
          </w:cols>
          <w:pgMar w:left="380" w:top="1427" w:right="379" w:bottom="1440" w:gutter="0" w:footer="0" w:header="0"/>
        </w:sectPr>
      </w:pPr>
    </w:p>
    <w:bookmarkStart w:id="418" w:name="page419"/>
    <w:bookmarkEnd w:id="418"/>
    <w:p>
      <w:pPr>
        <w:ind w:left="4"/>
        <w:spacing w:after="0" w:line="282" w:lineRule="auto"/>
        <w:rPr>
          <w:sz w:val="20"/>
          <w:szCs w:val="20"/>
          <w:color w:val="auto"/>
        </w:rPr>
      </w:pPr>
      <w:r>
        <w:rPr>
          <w:rFonts w:ascii="Arial" w:cs="Arial" w:eastAsia="Arial" w:hAnsi="Arial"/>
          <w:sz w:val="19"/>
          <w:szCs w:val="19"/>
          <w:color w:val="auto"/>
        </w:rPr>
        <w:t>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any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9"/>
          <w:szCs w:val="19"/>
          <w:u w:val="single" w:color="auto"/>
          <w:color w:val="auto"/>
        </w:rPr>
        <w:t>Derivative Instrument</w:t>
      </w:r>
      <w:r>
        <w:rPr>
          <w:rFonts w:ascii="Arial" w:cs="Arial" w:eastAsia="Arial" w:hAnsi="Arial"/>
          <w:sz w:val="19"/>
          <w:szCs w:val="19"/>
          <w:color w:val="auto"/>
        </w:rPr>
        <w:t>”) directly or indirectly owned beneficially by any such person or any Stockholder Associated Person , (D) a description of any transaction, agreement, arrangement or understanding with respect to such nomination or business, as applicable, between or among any such person, any Stockholder Associated Person, and any other person (including their names) in connection with the proposal of such nomination or business, as applicable, and any material interest of any such person or any Stockholder Associated Person in such nomination or business, as applicable, including, without limitation, the contemplated benefit therefrom to such person or Stockholder Associated Person, (E) a description of any agreement, arrangement, understanding, relationship or otherwise, including, without limitation, any repurchase or similar so-called “stock borrowing” agreement or arrangement, involving any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Arial" w:cs="Arial" w:eastAsia="Arial" w:hAnsi="Arial"/>
          <w:sz w:val="19"/>
          <w:szCs w:val="19"/>
          <w:u w:val="single" w:color="auto"/>
          <w:color w:val="auto"/>
        </w:rPr>
        <w:t>Short Interest</w:t>
      </w:r>
      <w:r>
        <w:rPr>
          <w:rFonts w:ascii="Arial" w:cs="Arial" w:eastAsia="Arial" w:hAnsi="Arial"/>
          <w:sz w:val="19"/>
          <w:szCs w:val="19"/>
          <w:color w:val="auto"/>
        </w:rPr>
        <w:t>”), (F) any rights to dividends on the shares of the Corporation owned beneficially by any such person or any Stockholder Associated Person that are separated or separable from the underlying shares of the Corporation, (G) any proportionate interest in shares of the Corporation or Derivative Instruments held, directly or indirectly, by a general or limited partnership in which any such person or any Stockholder Associated Person is a general partner or, directly or indirectly, beneficially owns an interest in a general partner of such general or limited partnership,</w:t>
      </w:r>
    </w:p>
    <w:p>
      <w:pPr>
        <w:spacing w:after="0" w:line="11" w:lineRule="exact"/>
        <w:rPr>
          <w:sz w:val="20"/>
          <w:szCs w:val="20"/>
          <w:color w:val="auto"/>
        </w:rPr>
      </w:pPr>
    </w:p>
    <w:p>
      <w:pPr>
        <w:jc w:val="both"/>
        <w:ind w:left="4" w:right="40" w:hanging="4"/>
        <w:spacing w:after="0" w:line="245" w:lineRule="auto"/>
        <w:tabs>
          <w:tab w:leader="none" w:pos="35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any performance-related fees (other than an asset-based fee) to which any such person or any Stockholder Associated Person is entitled based on any increase or decrease in the value of shares of the Corporation or Derivative Instruments, if any, including, without limitation, any such interests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64"/>
          </w:cols>
          <w:pgMar w:left="976" w:top="1427" w:right="359" w:bottom="1440" w:gutter="0" w:footer="0" w:header="0"/>
        </w:sectPr>
      </w:pPr>
    </w:p>
    <w:bookmarkStart w:id="419" w:name="page420"/>
    <w:bookmarkEnd w:id="419"/>
    <w:p>
      <w:pPr>
        <w:spacing w:after="0" w:line="284" w:lineRule="auto"/>
        <w:rPr>
          <w:sz w:val="20"/>
          <w:szCs w:val="20"/>
          <w:color w:val="auto"/>
        </w:rPr>
      </w:pPr>
      <w:r>
        <w:rPr>
          <w:rFonts w:ascii="Arial" w:cs="Arial" w:eastAsia="Arial" w:hAnsi="Arial"/>
          <w:sz w:val="19"/>
          <w:szCs w:val="19"/>
          <w:color w:val="auto"/>
        </w:rPr>
        <w:t>members of the immediate family sharing the same household of such person or Stockholder Associated Person, (I) any significant equity interests or any Derivative Instruments or Short Interests in any principal competitor of the Corporation held by any such person or any Stockholder Associated Person, (J) any direct or indirect interest of any such person or any Stockholder Associated Person in any contract with the Corporation, any affiliate of the Corporation or any principal competitor of the Corporation (including, in any such case and without limitation, any employment agreement, collective bargaining agreement or consulting agreement), (K) all information that would be required to be set forth in a Schedule 13D filed pursuant to Rule 13d-1(a) or an amendment pursuant to Rule 13d-2(a) if such a statement were required to be filed under the Exchange Act and the rules and regulations promulgated thereunder by any such person or any Stockholder Associated Person, if any, (L) a representation that each such person is a holder of record or beneficial owner of shares of the Corporation entitled to vote at the meeting and intends to appear in person or by proxy at the meeting to nominate the person or persons specified in the notice or propose such business, as applicable, (M) a representation as to whether any such person intends to deliver a proxy statement and/or form of proxy to holders of at least the percentage of the Corporation’s outstanding capital stock required to elect the nominee or approve such proposed business, as applicable, and/or otherwise to solicit proxies from stockholders in support of the nomination or proposed business, as applicable, (N) a representation that each such person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 form of proxy or other filings required to be made in connection with the solicitation of proxies for, as applicable, the proposed business or for the election of directors in a contested election pursuant to Section 14 of the Exchange Act and the rules and regulations promulgated thereunder;</w:t>
      </w:r>
    </w:p>
    <w:p>
      <w:pPr>
        <w:spacing w:after="0" w:line="175" w:lineRule="exact"/>
        <w:rPr>
          <w:sz w:val="20"/>
          <w:szCs w:val="20"/>
          <w:color w:val="auto"/>
        </w:rPr>
      </w:pPr>
    </w:p>
    <w:p>
      <w:pPr>
        <w:ind w:right="40" w:firstLine="1292"/>
        <w:spacing w:after="0" w:line="246" w:lineRule="auto"/>
        <w:tabs>
          <w:tab w:leader="none" w:pos="177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If the notice includes any business other than a nomination of a director or directors that the stockholder proposes to bring before the meeting, a stockholder’s notice must, in addition to the matters set forth in </w:t>
      </w:r>
      <w:r>
        <w:rPr>
          <w:rFonts w:ascii="Arial" w:cs="Arial" w:eastAsia="Arial" w:hAnsi="Arial"/>
          <w:sz w:val="22"/>
          <w:szCs w:val="22"/>
          <w:u w:val="single" w:color="auto"/>
          <w:color w:val="auto"/>
        </w:rPr>
        <w:t>Section 1.14(c)(i)</w:t>
      </w:r>
      <w:r>
        <w:rPr>
          <w:rFonts w:ascii="Arial" w:cs="Arial" w:eastAsia="Arial" w:hAnsi="Arial"/>
          <w:sz w:val="22"/>
          <w:szCs w:val="22"/>
          <w:color w:val="auto"/>
        </w:rPr>
        <w:t>, also set forth, with respect to each such business matter: (A) a brief description of the business desired to be brought before the meeting, the reasons for conducting such business at the meeting and (B) the text of the proposal or business (including, without limitation, the text of any resolutions proposed for consideration and, in the event that such proposal or business includes a proposal to amend these Bylaws or the Certificate of Incorporation, the text of the proposed amendment);</w:t>
      </w:r>
    </w:p>
    <w:p>
      <w:pPr>
        <w:spacing w:after="0" w:line="196" w:lineRule="exact"/>
        <w:rPr>
          <w:rFonts w:ascii="Arial" w:cs="Arial" w:eastAsia="Arial" w:hAnsi="Arial"/>
          <w:sz w:val="22"/>
          <w:szCs w:val="22"/>
          <w:color w:val="auto"/>
        </w:rPr>
      </w:pPr>
    </w:p>
    <w:p>
      <w:pPr>
        <w:ind w:right="60" w:firstLine="1292"/>
        <w:spacing w:after="0" w:line="247" w:lineRule="auto"/>
        <w:tabs>
          <w:tab w:leader="none" w:pos="182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22"/>
          <w:szCs w:val="22"/>
          <w:u w:val="single" w:color="auto"/>
          <w:color w:val="auto"/>
        </w:rPr>
        <w:t>Section 1.14(c)(i)</w:t>
      </w:r>
      <w:r>
        <w:rPr>
          <w:rFonts w:ascii="Arial" w:cs="Arial" w:eastAsia="Arial" w:hAnsi="Arial"/>
          <w:sz w:val="22"/>
          <w:szCs w:val="22"/>
          <w:color w:val="auto"/>
        </w:rPr>
        <w:t>,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20"/>
          </w:cols>
          <w:pgMar w:left="980" w:top="1427" w:right="399" w:bottom="1440" w:gutter="0" w:footer="0" w:header="0"/>
        </w:sectPr>
      </w:pPr>
    </w:p>
    <w:bookmarkStart w:id="420" w:name="page421"/>
    <w:bookmarkEnd w:id="420"/>
    <w:p>
      <w:pPr>
        <w:ind w:left="4"/>
        <w:spacing w:after="0" w:line="289" w:lineRule="auto"/>
        <w:rPr>
          <w:sz w:val="20"/>
          <w:szCs w:val="20"/>
          <w:color w:val="auto"/>
        </w:rPr>
      </w:pPr>
      <w:r>
        <w:rPr>
          <w:rFonts w:ascii="Arial" w:cs="Arial" w:eastAsia="Arial" w:hAnsi="Arial"/>
          <w:sz w:val="19"/>
          <w:szCs w:val="19"/>
          <w:color w:val="auto"/>
        </w:rPr>
        <w:t>without limitation, such individual’s written consent to being named in the proxy statement as a nominee and to serving as a director if elected) and (B) a description of all direct and indirect compensation and other material monetary agreements, arrangements and understandings during the past three years, and any other material relationships, between or among such stockholder, such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157" w:lineRule="exact"/>
        <w:rPr>
          <w:sz w:val="20"/>
          <w:szCs w:val="20"/>
          <w:color w:val="auto"/>
        </w:rPr>
      </w:pPr>
    </w:p>
    <w:p>
      <w:pPr>
        <w:ind w:left="4" w:firstLine="1292"/>
        <w:spacing w:after="0" w:line="291" w:lineRule="auto"/>
        <w:tabs>
          <w:tab w:leader="none" w:pos="1816" w:val="left"/>
        </w:tabs>
        <w:numPr>
          <w:ilvl w:val="2"/>
          <w:numId w:val="212"/>
        </w:numPr>
        <w:rPr>
          <w:rFonts w:ascii="Arial" w:cs="Arial" w:eastAsia="Arial" w:hAnsi="Arial"/>
          <w:sz w:val="19"/>
          <w:szCs w:val="19"/>
          <w:color w:val="auto"/>
        </w:rPr>
      </w:pPr>
      <w:r>
        <w:rPr>
          <w:rFonts w:ascii="Arial" w:cs="Arial" w:eastAsia="Arial" w:hAnsi="Arial"/>
          <w:sz w:val="19"/>
          <w:szCs w:val="19"/>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19"/>
          <w:szCs w:val="19"/>
          <w:u w:val="single" w:color="auto"/>
          <w:color w:val="auto"/>
        </w:rPr>
        <w:t>Section 1.14(c)(i)</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auto"/>
        </w:rPr>
      </w:pPr>
    </w:p>
    <w:p>
      <w:pPr>
        <w:ind w:left="4" w:right="120"/>
        <w:spacing w:after="0" w:line="281" w:lineRule="auto"/>
        <w:rPr>
          <w:rFonts w:ascii="Arial" w:cs="Arial" w:eastAsia="Arial" w:hAnsi="Arial"/>
          <w:sz w:val="19"/>
          <w:szCs w:val="19"/>
          <w:color w:val="auto"/>
        </w:rPr>
      </w:pPr>
      <w:r>
        <w:rPr>
          <w:rFonts w:ascii="Arial" w:cs="Arial" w:eastAsia="Arial" w:hAnsi="Arial"/>
          <w:sz w:val="19"/>
          <w:szCs w:val="19"/>
          <w:u w:val="single" w:color="auto"/>
          <w:color w:val="auto"/>
        </w:rPr>
        <w:t>Section 1.14(c)(iii)</w:t>
      </w:r>
      <w:r>
        <w:rPr>
          <w:rFonts w:ascii="Arial" w:cs="Arial" w:eastAsia="Arial" w:hAnsi="Arial"/>
          <w:sz w:val="19"/>
          <w:szCs w:val="19"/>
          <w:color w:val="auto"/>
        </w:rPr>
        <w:t xml:space="preserve">, also include a completed and signed questionnaire, representation and agreement required by </w:t>
      </w:r>
      <w:r>
        <w:rPr>
          <w:rFonts w:ascii="Arial" w:cs="Arial" w:eastAsia="Arial" w:hAnsi="Arial"/>
          <w:sz w:val="19"/>
          <w:szCs w:val="19"/>
          <w:u w:val="single" w:color="auto"/>
          <w:color w:val="auto"/>
        </w:rPr>
        <w:t>Section 2.16</w:t>
      </w:r>
      <w:r>
        <w:rPr>
          <w:rFonts w:ascii="Arial" w:cs="Arial" w:eastAsia="Arial" w:hAnsi="Arial"/>
          <w:sz w:val="19"/>
          <w:szCs w:val="19"/>
          <w:color w:val="auto"/>
        </w:rPr>
        <w:t>. In addition to the information required pursuant to this paragraph or any other provision of these Bylaws, the Corporation may require any proposed nominee to 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Arial" w:cs="Arial" w:eastAsia="Arial" w:hAnsi="Arial"/>
          <w:sz w:val="19"/>
          <w:szCs w:val="19"/>
          <w:u w:val="single" w:color="auto"/>
          <w:color w:val="auto"/>
        </w:rPr>
        <w:t>Independence Standards</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ind w:left="4" w:right="60" w:hanging="4"/>
        <w:spacing w:after="0" w:line="295" w:lineRule="auto"/>
        <w:tabs>
          <w:tab w:leader="none" w:pos="346"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w:t>
      </w:r>
    </w:p>
    <w:p>
      <w:pPr>
        <w:spacing w:after="0" w:line="149" w:lineRule="exact"/>
        <w:rPr>
          <w:rFonts w:ascii="Arial" w:cs="Arial" w:eastAsia="Arial" w:hAnsi="Arial"/>
          <w:sz w:val="19"/>
          <w:szCs w:val="19"/>
          <w:color w:val="auto"/>
        </w:rPr>
      </w:pPr>
    </w:p>
    <w:p>
      <w:pPr>
        <w:ind w:left="1124" w:hanging="476"/>
        <w:spacing w:after="0"/>
        <w:tabs>
          <w:tab w:leader="none" w:pos="1124" w:val="left"/>
        </w:tabs>
        <w:numPr>
          <w:ilvl w:val="1"/>
          <w:numId w:val="213"/>
        </w:numPr>
        <w:rPr>
          <w:rFonts w:ascii="Arial" w:cs="Arial" w:eastAsia="Arial" w:hAnsi="Arial"/>
          <w:sz w:val="22"/>
          <w:szCs w:val="22"/>
          <w:color w:val="auto"/>
        </w:rPr>
      </w:pPr>
      <w:r>
        <w:rPr>
          <w:rFonts w:ascii="Arial" w:cs="Arial" w:eastAsia="Arial" w:hAnsi="Arial"/>
          <w:sz w:val="22"/>
          <w:szCs w:val="22"/>
          <w:i w:val="1"/>
          <w:iCs w:val="1"/>
          <w:color w:val="auto"/>
        </w:rPr>
        <w:t>Other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 w:right="180" w:firstLine="1292"/>
        <w:spacing w:after="0" w:line="250" w:lineRule="auto"/>
        <w:tabs>
          <w:tab w:leader="none" w:pos="1720" w:val="left"/>
        </w:tabs>
        <w:numPr>
          <w:ilvl w:val="2"/>
          <w:numId w:val="213"/>
        </w:numPr>
        <w:rPr>
          <w:rFonts w:ascii="Arial" w:cs="Arial" w:eastAsia="Arial" w:hAnsi="Arial"/>
          <w:sz w:val="22"/>
          <w:szCs w:val="22"/>
          <w:color w:val="auto"/>
        </w:rPr>
      </w:pPr>
      <w:r>
        <w:rPr>
          <w:rFonts w:ascii="Arial" w:cs="Arial" w:eastAsia="Arial" w:hAnsi="Arial"/>
          <w:sz w:val="22"/>
          <w:szCs w:val="22"/>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7" w:lineRule="exact"/>
        <w:rPr>
          <w:rFonts w:ascii="Arial" w:cs="Arial" w:eastAsia="Arial" w:hAnsi="Arial"/>
          <w:sz w:val="22"/>
          <w:szCs w:val="22"/>
          <w:color w:val="auto"/>
        </w:rPr>
      </w:pPr>
    </w:p>
    <w:p>
      <w:pPr>
        <w:ind w:left="4" w:right="180" w:firstLine="1292"/>
        <w:spacing w:after="0" w:line="312" w:lineRule="auto"/>
        <w:tabs>
          <w:tab w:leader="none" w:pos="1780" w:val="left"/>
        </w:tabs>
        <w:numPr>
          <w:ilvl w:val="2"/>
          <w:numId w:val="213"/>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these Bylaws, a stockholder shall also comply with all applicable requirements of state law and the Exchange Act and the rules and regulations thereunder with respect to the matters set forth in these Bylaws;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references in these Bylaws to state law and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4"/>
          </w:cols>
          <w:pgMar w:left="976" w:top="1427" w:right="339" w:bottom="1440" w:gutter="0" w:footer="0" w:header="0"/>
        </w:sectPr>
      </w:pPr>
    </w:p>
    <w:bookmarkStart w:id="421" w:name="page422"/>
    <w:bookmarkEnd w:id="421"/>
    <w:p>
      <w:pPr>
        <w:ind w:left="660" w:right="280"/>
        <w:spacing w:after="0" w:line="253" w:lineRule="auto"/>
        <w:rPr>
          <w:sz w:val="20"/>
          <w:szCs w:val="20"/>
          <w:color w:val="auto"/>
        </w:rPr>
      </w:pPr>
      <w:r>
        <w:rPr>
          <w:rFonts w:ascii="Arial" w:cs="Arial" w:eastAsia="Arial" w:hAnsi="Arial"/>
          <w:sz w:val="22"/>
          <w:szCs w:val="22"/>
          <w:color w:val="auto"/>
        </w:rPr>
        <w:t>or the rules and regulations promulgated thereunder are not intended to and shall not limit the separate and additional requirements set forth in these Bylaws with respect to nominations of directors or proposals of any other business to be considered.</w:t>
      </w:r>
    </w:p>
    <w:p>
      <w:pPr>
        <w:spacing w:after="0" w:line="185" w:lineRule="exact"/>
        <w:rPr>
          <w:sz w:val="20"/>
          <w:szCs w:val="20"/>
          <w:color w:val="auto"/>
        </w:rPr>
      </w:pPr>
    </w:p>
    <w:p>
      <w:pPr>
        <w:ind w:left="660" w:firstLine="1292"/>
        <w:spacing w:after="0" w:line="294" w:lineRule="auto"/>
        <w:tabs>
          <w:tab w:leader="none" w:pos="249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Nothing in these Bylaws shall be deemed to affect any rights (A) of stockholders to request inclusion of proposals in the Corporation’s proxy statement pursuant to Rule 14a-8 under the Exchange Act or (B) of the holders of any series of Preferred Stock if and to the extent provided for under applicable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a director or directors or any other business proposal.</w:t>
      </w:r>
    </w:p>
    <w:p>
      <w:pPr>
        <w:spacing w:after="0" w:line="143"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DIRECTORS</w:t>
      </w:r>
    </w:p>
    <w:p>
      <w:pPr>
        <w:spacing w:after="0" w:line="22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Duties and Powers</w:t>
      </w:r>
      <w:r>
        <w:rPr>
          <w:rFonts w:ascii="Arial" w:cs="Arial" w:eastAsia="Arial" w:hAnsi="Arial"/>
          <w:sz w:val="19"/>
          <w:szCs w:val="19"/>
          <w:color w:val="auto"/>
        </w:rPr>
        <w:t>. The business and affairs of the Corporation shall be managed by or under the direction of the Board of Directors. In addition to the powers and authorities expressly conferred upon the Board of Directors by these Bylaws,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4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Number; Election; Term</w:t>
      </w:r>
      <w:r>
        <w:rPr>
          <w:rFonts w:ascii="Arial" w:cs="Arial" w:eastAsia="Arial" w:hAnsi="Arial"/>
          <w:sz w:val="22"/>
          <w:szCs w:val="22"/>
          <w:color w:val="auto"/>
        </w:rPr>
        <w:t>.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spacing w:after="0" w:line="188" w:lineRule="exact"/>
        <w:rPr>
          <w:sz w:val="20"/>
          <w:szCs w:val="20"/>
          <w:color w:val="auto"/>
        </w:rPr>
      </w:pPr>
    </w:p>
    <w:p>
      <w:pPr>
        <w:jc w:val="both"/>
        <w:ind w:right="220" w:firstLine="648"/>
        <w:spacing w:after="0" w:line="271"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Vacancies and Newly Created Directorships</w:t>
      </w:r>
      <w:r>
        <w:rPr>
          <w:rFonts w:ascii="Arial" w:cs="Arial" w:eastAsia="Arial" w:hAnsi="Arial"/>
          <w:sz w:val="21"/>
          <w:szCs w:val="21"/>
          <w:color w:val="auto"/>
        </w:rPr>
        <w:t>.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spacing w:after="0" w:line="167"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color w:val="auto"/>
        </w:rPr>
        <w:t>Section 2.4 Removal. 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spacing w:after="0" w:line="18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Any director may resign at any time upon written or electronically transmitted notice to the Secretary of the Corporation. Except for resignations tendered pursuant to </w:t>
      </w:r>
      <w:r>
        <w:rPr>
          <w:rFonts w:ascii="Arial" w:cs="Arial" w:eastAsia="Arial" w:hAnsi="Arial"/>
          <w:sz w:val="19"/>
          <w:szCs w:val="19"/>
          <w:u w:val="single" w:color="auto"/>
          <w:color w:val="auto"/>
        </w:rPr>
        <w:t>Section 1.6(d)</w:t>
      </w:r>
      <w:r>
        <w:rPr>
          <w:rFonts w:ascii="Arial" w:cs="Arial" w:eastAsia="Arial" w:hAnsi="Arial"/>
          <w:sz w:val="19"/>
          <w:szCs w:val="19"/>
          <w:color w:val="auto"/>
        </w:rPr>
        <w:t>, any resignation shall take effect at the date of the receipt of that notice or at any later time specified in that notice and, unless otherwise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7" w:right="359" w:bottom="1440" w:gutter="0" w:footer="0" w:header="0"/>
        </w:sectPr>
      </w:pPr>
    </w:p>
    <w:bookmarkStart w:id="422" w:name="page423"/>
    <w:bookmarkEnd w:id="422"/>
    <w:p>
      <w:pPr>
        <w:spacing w:after="0"/>
        <w:rPr>
          <w:sz w:val="20"/>
          <w:szCs w:val="20"/>
          <w:color w:val="auto"/>
        </w:rPr>
      </w:pPr>
      <w:r>
        <w:rPr>
          <w:rFonts w:ascii="Arial" w:cs="Arial" w:eastAsia="Arial" w:hAnsi="Arial"/>
          <w:sz w:val="22"/>
          <w:szCs w:val="22"/>
          <w:color w:val="auto"/>
        </w:rPr>
        <w:t>notice of resignation, the acceptance of the resignation shall not be necessary to make it effective.</w:t>
      </w:r>
    </w:p>
    <w:p>
      <w:pPr>
        <w:spacing w:after="0" w:line="220"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Place of Meetings; Records</w:t>
      </w:r>
      <w:r>
        <w:rPr>
          <w:rFonts w:ascii="Arial" w:cs="Arial" w:eastAsia="Arial" w:hAnsi="Arial"/>
          <w:sz w:val="22"/>
          <w:szCs w:val="22"/>
          <w:color w:val="auto"/>
        </w:rPr>
        <w:t>. The directors may hold their meetings either within or without the State of Delaware and keep the books of the Corporation outside of the State of Delaware at such places as they may from time to time determine.</w:t>
      </w:r>
    </w:p>
    <w:p>
      <w:pPr>
        <w:spacing w:after="0" w:line="185"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Regular Meetings</w:t>
      </w:r>
      <w:r>
        <w:rPr>
          <w:rFonts w:ascii="Arial" w:cs="Arial" w:eastAsia="Arial" w:hAnsi="Arial"/>
          <w:sz w:val="19"/>
          <w:szCs w:val="19"/>
          <w:color w:val="auto"/>
        </w:rPr>
        <w:t>. Regular meetings of the Board of Directors may be held without notice at such time and place either within or without the State of Delaware as shall from time to time be determined by the Board of Directors.</w:t>
      </w:r>
    </w:p>
    <w:p>
      <w:pPr>
        <w:spacing w:after="0" w:line="104"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may be called by the Chair of the Board of Directors (or by any officer designated by the Chair of the Board of Directors), the Lead Independent Director, if any, or a majority of the Whole Board by the mailing of notice to each director at least forty-eight (48) hours before the meeting or by notifying each director of the meeting at least twenty-four (24) hours prior thereto either personally, by telephone or by electronic transmission; special meetings may be called on like notice by the Chair of the Board of Directors (or by any officer designated by the Chair of the Board of Directors) or the Lead Independent Director on such shorter notice as the person or persons calling such meeting may deem necessary or appropriate in the circumstances.</w:t>
      </w:r>
    </w:p>
    <w:p>
      <w:pPr>
        <w:spacing w:after="0" w:line="18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2.9 </w:t>
      </w:r>
      <w:r>
        <w:rPr>
          <w:rFonts w:ascii="Arial" w:cs="Arial" w:eastAsia="Arial" w:hAnsi="Arial"/>
          <w:sz w:val="19"/>
          <w:szCs w:val="19"/>
          <w:u w:val="single" w:color="auto"/>
          <w:color w:val="auto"/>
        </w:rPr>
        <w:t>Organization</w:t>
      </w:r>
      <w:r>
        <w:rPr>
          <w:rFonts w:ascii="Arial" w:cs="Arial" w:eastAsia="Arial" w:hAnsi="Arial"/>
          <w:sz w:val="19"/>
          <w:szCs w:val="19"/>
          <w:color w:val="auto"/>
        </w:rPr>
        <w:t>. At each meeting of the Board of Directors or any committee thereof, the Chair of the Board of Directors or the chair of such committee, as the case may be, or, in his or her absence or if there be none, the Lead Independent Director, or in his or her absence or if he or she has not been appointed, a director chosen by a majority of the directors present, shall act as chair. Except as provided below, the Secretary shall act as 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59"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Quorum</w:t>
      </w:r>
      <w:r>
        <w:rPr>
          <w:rFonts w:ascii="Arial" w:cs="Arial" w:eastAsia="Arial" w:hAnsi="Arial"/>
          <w:sz w:val="22"/>
          <w:szCs w:val="22"/>
          <w:color w:val="auto"/>
        </w:rPr>
        <w:t>.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applicable law, by the applicable rules of any securities exchange upon which the stock of the Corporation is listed or traded, by the Certificate of Incorporation or by these Bylaws.</w:t>
      </w:r>
    </w:p>
    <w:p>
      <w:pPr>
        <w:spacing w:after="0" w:line="19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Committees</w:t>
      </w:r>
      <w:r>
        <w:rPr>
          <w:rFonts w:ascii="Arial" w:cs="Arial" w:eastAsia="Arial" w:hAnsi="Arial"/>
          <w:sz w:val="22"/>
          <w:szCs w:val="22"/>
          <w:color w:val="auto"/>
        </w:rPr>
        <w:t>. The Board of Directors may, by resolution passed by a majority of the Whole Board, designate one or more committees, each committee to consist of one or more of the directors of the Corporation. Each member of a committee must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7" w:right="359" w:bottom="1440" w:gutter="0" w:footer="0" w:header="0"/>
        </w:sectPr>
      </w:pPr>
    </w:p>
    <w:bookmarkStart w:id="423" w:name="page424"/>
    <w:bookmarkEnd w:id="423"/>
    <w:p>
      <w:pPr>
        <w:spacing w:after="0" w:line="283" w:lineRule="auto"/>
        <w:rPr>
          <w:sz w:val="20"/>
          <w:szCs w:val="20"/>
          <w:color w:val="auto"/>
        </w:rPr>
      </w:pPr>
      <w:r>
        <w:rPr>
          <w:rFonts w:ascii="Arial" w:cs="Arial" w:eastAsia="Arial" w:hAnsi="Arial"/>
          <w:sz w:val="19"/>
          <w:szCs w:val="19"/>
          <w:color w:val="auto"/>
        </w:rPr>
        <w:t xml:space="preserve">requirements for membership, if any, imposed by applicable law or by the applicable rules of any securities exchange upon which the stock of the Corporation is listed or traded. Any committee, to the extent permitted by applicable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applicable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the resolution of the Board of Directors establishing any committee of the Board of Directors or the charter of any such committee may establish requirements or procedures relating to the membership, governance 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(i) a quorum for the transaction of business of such committee shall be a majority of the authorized number of members of such committee and</w:t>
      </w:r>
    </w:p>
    <w:p>
      <w:pPr>
        <w:spacing w:after="0" w:line="2" w:lineRule="exact"/>
        <w:rPr>
          <w:sz w:val="20"/>
          <w:szCs w:val="20"/>
          <w:color w:val="auto"/>
        </w:rPr>
      </w:pPr>
    </w:p>
    <w:p>
      <w:pPr>
        <w:jc w:val="both"/>
        <w:ind w:right="80" w:firstLine="8"/>
        <w:spacing w:after="0" w:line="245" w:lineRule="auto"/>
        <w:tabs>
          <w:tab w:leader="none" w:pos="31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act of a majority of the members of such committee present at any meeting of such committee at which there is a quorum shall be the act of the committee (except as otherwise specifically provided by applicable law, by the Certificate of Incorporation or by these Bylaws).</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Presence at Meeting</w:t>
      </w:r>
      <w:r>
        <w:rPr>
          <w:rFonts w:ascii="Arial" w:cs="Arial" w:eastAsia="Arial" w:hAnsi="Arial"/>
          <w:sz w:val="19"/>
          <w:szCs w:val="19"/>
          <w:color w:val="auto"/>
        </w:rPr>
        <w:t>.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w:t>
      </w:r>
    </w:p>
    <w:p>
      <w:pPr>
        <w:spacing w:after="0" w:line="142"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Action Without Meetings</w:t>
      </w:r>
      <w:r>
        <w:rPr>
          <w:rFonts w:ascii="Arial" w:cs="Arial" w:eastAsia="Arial" w:hAnsi="Arial"/>
          <w:sz w:val="21"/>
          <w:szCs w:val="21"/>
          <w:color w:val="auto"/>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without limitation, a time determined upon the happening of an event), no later than sixty (60) days after such instruction is given or such provision is made and such consent shall be deemed to have been given for purposes of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at such effective time so long as such person is then a director and did not revoke the consent prior to such time. Any such consent shall be revocable prior to its becoming effective.</w:t>
      </w:r>
    </w:p>
    <w:p>
      <w:pPr>
        <w:spacing w:after="0" w:line="18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Compensation</w:t>
      </w:r>
      <w:r>
        <w:rPr>
          <w:rFonts w:ascii="Arial" w:cs="Arial" w:eastAsia="Arial" w:hAnsi="Arial"/>
          <w:sz w:val="22"/>
          <w:szCs w:val="22"/>
          <w:color w:val="auto"/>
        </w:rPr>
        <w:t>. Unless otherwise restricted by the Certificate of Incorporation or these Bylaws, the Board of Directors shall have the authority to fix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7" w:right="359" w:bottom="1440" w:gutter="0" w:footer="0" w:header="0"/>
        </w:sectPr>
      </w:pPr>
    </w:p>
    <w:bookmarkStart w:id="424" w:name="page425"/>
    <w:bookmarkEnd w:id="424"/>
    <w:p>
      <w:pPr>
        <w:ind w:right="200"/>
        <w:spacing w:after="0" w:line="263" w:lineRule="auto"/>
        <w:rPr>
          <w:sz w:val="20"/>
          <w:szCs w:val="20"/>
          <w:color w:val="auto"/>
        </w:rPr>
      </w:pPr>
      <w:r>
        <w:rPr>
          <w:rFonts w:ascii="Arial" w:cs="Arial" w:eastAsia="Arial" w:hAnsi="Arial"/>
          <w:sz w:val="22"/>
          <w:szCs w:val="22"/>
          <w:color w:val="auto"/>
        </w:rPr>
        <w:t>compensation of directors. No such payment shall preclude any director from serving the Corporation in any other capacity and receiving compensation therefor.</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Compliance with Procedures</w:t>
      </w:r>
      <w:r>
        <w:rPr>
          <w:rFonts w:ascii="Arial" w:cs="Arial" w:eastAsia="Arial" w:hAnsi="Arial"/>
          <w:sz w:val="19"/>
          <w:szCs w:val="19"/>
          <w:color w:val="auto"/>
        </w:rPr>
        <w:t xml:space="preserve">. If the chair of any meeting of stockholders relating to the election of directors determines that a nomination of any candidate for election as a director was not made in accordance with the applicable provisions of these Bylaws, such nomination shall be void. Notwithstanding anything in these Bylaws to the contrary, unless otherwise required by applicable law, if a stockholder intending to make a nomination at an annual or special meeting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does not provide the notice and information required under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to the Corporation (including, without limitation, providing the updated information required by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by the deadlines specified therein), or the stockholder (or a qualified representative of such stockholder) does not appear at the meeting to present the nomination, such nomination shall be disregarded, notwithstanding that proxies in respect of such nomination may have been received by the Corporation.</w:t>
      </w:r>
    </w:p>
    <w:p>
      <w:pPr>
        <w:spacing w:after="0" w:line="156" w:lineRule="exact"/>
        <w:rPr>
          <w:sz w:val="20"/>
          <w:szCs w:val="20"/>
          <w:color w:val="auto"/>
        </w:rPr>
      </w:pPr>
    </w:p>
    <w:p>
      <w:pPr>
        <w:ind w:right="40" w:firstLine="648"/>
        <w:spacing w:after="0" w:line="285"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Submission of Questionnaire; Representation and Agreement</w:t>
      </w:r>
      <w:r>
        <w:rPr>
          <w:rFonts w:ascii="Arial" w:cs="Arial" w:eastAsia="Arial" w:hAnsi="Arial"/>
          <w:sz w:val="19"/>
          <w:szCs w:val="19"/>
          <w:color w:val="auto"/>
        </w:rPr>
        <w:t xml:space="preserve">. To be eligible to be a nominee for election or reelection as a director of the Corporation, a person must deliver (in accordance with the time periods prescribed for delivery of notice under </w:t>
      </w:r>
      <w:r>
        <w:rPr>
          <w:rFonts w:ascii="Arial" w:cs="Arial" w:eastAsia="Arial" w:hAnsi="Arial"/>
          <w:sz w:val="19"/>
          <w:szCs w:val="19"/>
          <w:u w:val="single" w:color="auto"/>
          <w:color w:val="auto"/>
        </w:rPr>
        <w:t>Section 1.14</w:t>
      </w:r>
      <w:r>
        <w:rPr>
          <w:rFonts w:ascii="Arial" w:cs="Arial" w:eastAsia="Arial" w:hAnsi="Arial"/>
          <w:sz w:val="19"/>
          <w:szCs w:val="19"/>
          <w:color w:val="auto"/>
        </w:rPr>
        <w:t>)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xml:space="preserve">”)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 (d) will abide by the requirements of </w:t>
      </w:r>
      <w:r>
        <w:rPr>
          <w:rFonts w:ascii="Arial" w:cs="Arial" w:eastAsia="Arial" w:hAnsi="Arial"/>
          <w:sz w:val="19"/>
          <w:szCs w:val="19"/>
          <w:u w:val="single" w:color="auto"/>
          <w:color w:val="auto"/>
        </w:rPr>
        <w:t>Section 1.6(d)</w:t>
      </w:r>
      <w:r>
        <w:rPr>
          <w:rFonts w:ascii="Arial" w:cs="Arial" w:eastAsia="Arial" w:hAnsi="Arial"/>
          <w:sz w:val="19"/>
          <w:szCs w:val="19"/>
          <w:color w:val="auto"/>
        </w:rPr>
        <w:t xml:space="preserve"> and (e) consents to being named as a nominee in the Corporation’s proxy statement pursuant to Rule 14a-4(d) under the Exchange Act and any associated proxy card of the Corporation and agrees to serve if elected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7" w:right="359" w:bottom="1440" w:gutter="0" w:footer="0" w:header="0"/>
        </w:sectPr>
      </w:pPr>
    </w:p>
    <w:bookmarkStart w:id="425" w:name="page426"/>
    <w:bookmarkEnd w:id="425"/>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OFFICERS</w:t>
      </w:r>
    </w:p>
    <w:p>
      <w:pPr>
        <w:spacing w:after="0" w:line="226" w:lineRule="exact"/>
        <w:rPr>
          <w:sz w:val="20"/>
          <w:szCs w:val="20"/>
          <w:color w:val="auto"/>
        </w:rPr>
      </w:pPr>
    </w:p>
    <w:p>
      <w:pPr>
        <w:ind w:right="80" w:firstLine="648"/>
        <w:spacing w:after="0" w:line="286"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Election; Term of Office; Appointments</w:t>
      </w:r>
      <w:r>
        <w:rPr>
          <w:rFonts w:ascii="Arial" w:cs="Arial" w:eastAsia="Arial" w:hAnsi="Arial"/>
          <w:sz w:val="19"/>
          <w:szCs w:val="19"/>
          <w:color w:val="auto"/>
        </w:rPr>
        <w:t xml:space="preserve">. The elected officers of the Corporation, which shall be elected by the Board of Directors, shall be a Chief Executive Officer, a President, a Chief Financial Officer, a Treasurer, a Secretary and such other officers as the Board of Directors from time to time may deem proper. All officers elected by the Board of Directors shall each have such powers and duties as generally pertain to their respective offices, subject to the specific provisions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without limitation, one or more Executive Vice Presidents, Senior Vice Presidents, Vice Presidents, Assistant Secretaries, Assistant Treasurers, Controllers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Removal and Resignation</w:t>
      </w:r>
      <w:r>
        <w:rPr>
          <w:rFonts w:ascii="Arial" w:cs="Arial" w:eastAsia="Arial" w:hAnsi="Arial"/>
          <w:sz w:val="21"/>
          <w:szCs w:val="21"/>
          <w:color w:val="auto"/>
        </w:rPr>
        <w:t>.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w:t>
      </w:r>
    </w:p>
    <w:p>
      <w:pPr>
        <w:spacing w:after="0" w:line="183"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Vacancies</w:t>
      </w:r>
      <w:r>
        <w:rPr>
          <w:rFonts w:ascii="Arial" w:cs="Arial" w:eastAsia="Arial" w:hAnsi="Arial"/>
          <w:sz w:val="19"/>
          <w:szCs w:val="19"/>
          <w:color w:val="auto"/>
        </w:rPr>
        <w:t>.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the Board of Directors, the Chief Executive Officer or the President, as applicable, or by the Board of Directors.</w:t>
      </w:r>
    </w:p>
    <w:p>
      <w:pPr>
        <w:spacing w:after="0" w:line="142" w:lineRule="exact"/>
        <w:rPr>
          <w:sz w:val="20"/>
          <w:szCs w:val="20"/>
          <w:color w:val="auto"/>
        </w:rPr>
      </w:pPr>
    </w:p>
    <w:p>
      <w:pPr>
        <w:ind w:right="560" w:firstLine="648"/>
        <w:spacing w:after="0" w:line="253"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Chair of the Board of Directors</w:t>
      </w:r>
      <w:r>
        <w:rPr>
          <w:rFonts w:ascii="Arial" w:cs="Arial" w:eastAsia="Arial" w:hAnsi="Arial"/>
          <w:sz w:val="22"/>
          <w:szCs w:val="22"/>
          <w:color w:val="auto"/>
        </w:rPr>
        <w:t>. The Chair of the Board of Directors shall be elected by the Board of Directors. The Board of Directors may determine whether the Chair of the Board of Directors is an executive Chair or non-executive Chair.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1" w:right="359" w:bottom="1440" w:gutter="0" w:footer="0" w:header="0"/>
        </w:sectPr>
      </w:pPr>
    </w:p>
    <w:bookmarkStart w:id="426" w:name="page427"/>
    <w:bookmarkEnd w:id="426"/>
    <w:p>
      <w:pPr>
        <w:ind w:right="520"/>
        <w:spacing w:after="0" w:line="297" w:lineRule="auto"/>
        <w:rPr>
          <w:sz w:val="20"/>
          <w:szCs w:val="20"/>
          <w:color w:val="auto"/>
        </w:rPr>
      </w:pPr>
      <w:r>
        <w:rPr>
          <w:rFonts w:ascii="Arial" w:cs="Arial" w:eastAsia="Arial" w:hAnsi="Arial"/>
          <w:sz w:val="19"/>
          <w:szCs w:val="19"/>
          <w:color w:val="auto"/>
        </w:rPr>
        <w:t>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President and/or Chief Executive Officer</w:t>
      </w:r>
      <w:r>
        <w:rPr>
          <w:rFonts w:ascii="Arial" w:cs="Arial" w:eastAsia="Arial" w:hAnsi="Arial"/>
          <w:sz w:val="19"/>
          <w:szCs w:val="19"/>
          <w:color w:val="auto"/>
        </w:rPr>
        <w:t>. The President or Chief Executive Officer, in the absence of the Chair of the Board of Directors or the Lead Independent Director, if any, shall preside at meetings of the stockholders and of the Board of Directors. The President and Chief Executive Officer shall have general supervision of the business of the Corporation and shall see that all orders and resolutions of the Board of Directors are carried into effect. The President and Chief Executive Officer shall have the power to execute all bonds, mortgages, contracts and other instruments of the Corporation requiring a seal, under the seal of the Corporation, except where required or permitted by applicable law to be otherwise signed and executed and except that the other officers of the Corporation may sign and execute documents when so authorized by these Bylaws, the Board of Directors or the President or Chief Executive Officer. The President and Chief Executive Officer shall have such authority and perform such duties in the management of the Corporation as from time to time shall be prescribed by the Board of Directors and, to the extent not so prescribed, the President and Chief Executive Officer shall have such authority and perform such duties in the management of the Corporation, subject to the control of the Board, as generally pertain to the office of President or Chief Executive Officer, respectively.</w:t>
      </w:r>
    </w:p>
    <w:p>
      <w:pPr>
        <w:spacing w:after="0" w:line="200" w:lineRule="exact"/>
        <w:rPr>
          <w:sz w:val="20"/>
          <w:szCs w:val="20"/>
          <w:color w:val="auto"/>
        </w:rPr>
      </w:pPr>
    </w:p>
    <w:p>
      <w:pPr>
        <w:spacing w:after="0" w:line="220"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Chief Financial Officer</w:t>
      </w:r>
      <w:r>
        <w:rPr>
          <w:rFonts w:ascii="Arial" w:cs="Arial" w:eastAsia="Arial" w:hAnsi="Arial"/>
          <w:sz w:val="19"/>
          <w:szCs w:val="19"/>
          <w:color w:val="auto"/>
        </w:rPr>
        <w:t>. The Chief Financial Officer shall be responsible for the overall management of the financial affairs of the Corporation. The Chief Financial Officer shall render a statement of the Corporation’s financial condition and an account of all transactions whenever requested by the Board of Directors, by the Chair of the Board of Directors or by the Chief Executive Officer or President. The Chief Financial Officer shall perform such other duties as may be prescribed by these Bylaws or as may be assigned to him or her by the Board of Directors, by the Chair of the Board of Directors or by the Chief Executive Officer or President, and, except as otherwise prescribed by the Board of Directors, he or she shall have such powers and duties as generally pertain to the office of Chief Financial Officer.</w:t>
      </w:r>
    </w:p>
    <w:p>
      <w:pPr>
        <w:spacing w:after="0" w:line="151"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Executive Vice Presidents, Senior Vice Presidents and Vice Presidents</w:t>
      </w:r>
      <w:r>
        <w:rPr>
          <w:rFonts w:ascii="Arial" w:cs="Arial" w:eastAsia="Arial" w:hAnsi="Arial"/>
          <w:sz w:val="22"/>
          <w:szCs w:val="22"/>
          <w:color w:val="auto"/>
        </w:rPr>
        <w:t>. Executive Vice Presidents, Senior Vice Presidents, Vice Presidents and such other officers/titles as established from time to time shall perform such duties as from time to time shall be prescribed by these Bylaws, by the Board of Directors, by the Chair of the Board of Directors or by the Chief Executive Officer or President, and, except as otherwise prescribed by the Board of Directors, they shall have such powers and duties as generally pertain to such office.</w:t>
      </w:r>
    </w:p>
    <w:p>
      <w:pPr>
        <w:spacing w:after="0" w:line="19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Secretary</w:t>
      </w:r>
      <w:r>
        <w:rPr>
          <w:rFonts w:ascii="Arial" w:cs="Arial" w:eastAsia="Arial" w:hAnsi="Arial"/>
          <w:sz w:val="22"/>
          <w:szCs w:val="22"/>
          <w:color w:val="auto"/>
        </w:rPr>
        <w:t>. The Secretary or person appointed as secretary at all meetings of the Board of Directors and of the stockholders shall record all votes and the minutes of all proceedings in a book to be kept for that purpose, and he or she shall perform like duties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427" w:name="page428"/>
    <w:bookmarkEnd w:id="427"/>
    <w:p>
      <w:pPr>
        <w:spacing w:after="0" w:line="287" w:lineRule="auto"/>
        <w:rPr>
          <w:sz w:val="20"/>
          <w:szCs w:val="20"/>
          <w:color w:val="auto"/>
        </w:rPr>
      </w:pPr>
      <w:r>
        <w:rPr>
          <w:rFonts w:ascii="Arial" w:cs="Arial" w:eastAsia="Arial" w:hAnsi="Arial"/>
          <w:sz w:val="19"/>
          <w:szCs w:val="19"/>
          <w:color w:val="auto"/>
        </w:rPr>
        <w:t>committees of the Board of Directors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and records pertaining to meetings and proceedings of the Board of Directors (and any committee thereof) and of the stockholders required by applicable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w:t>
      </w:r>
    </w:p>
    <w:p>
      <w:pPr>
        <w:spacing w:after="0" w:line="163"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Treasurer</w:t>
      </w:r>
      <w:r>
        <w:rPr>
          <w:rFonts w:ascii="Arial" w:cs="Arial" w:eastAsia="Arial" w:hAnsi="Arial"/>
          <w:sz w:val="22"/>
          <w:szCs w:val="22"/>
          <w:color w:val="auto"/>
        </w:rPr>
        <w:t>. The Treasurer shall have responsibility for the Corporation’s funds and securities. He or she shall perform such other duties as may be prescribed by these Bylaws or as may be assigned to him or her by the Chair of the Board of Directors, the President or Chief Executive Officer, the Chief Financial Officer or the Board of Directors, and, except as otherwise prescribed by the Board of Directors, he or she shall have such powers and duties as generally pertain to the office of Treasurer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w:t>
      </w:r>
    </w:p>
    <w:p>
      <w:pPr>
        <w:spacing w:after="0" w:line="22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Stock</w:t>
      </w:r>
      <w:r>
        <w:rPr>
          <w:rFonts w:ascii="Arial" w:cs="Arial" w:eastAsia="Arial" w:hAnsi="Arial"/>
          <w:sz w:val="19"/>
          <w:szCs w:val="19"/>
          <w:color w:val="auto"/>
        </w:rPr>
        <w:t>. The shares of the Corporation shall be represented by certificates 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 (2) authorized officers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without limitation,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27" w:right="359" w:bottom="1440" w:gutter="0" w:footer="0" w:header="0"/>
        </w:sectPr>
      </w:pPr>
    </w:p>
    <w:bookmarkStart w:id="428" w:name="page429"/>
    <w:bookmarkEnd w:id="428"/>
    <w:p>
      <w:pPr>
        <w:ind w:right="1020"/>
        <w:spacing w:after="0" w:line="263" w:lineRule="auto"/>
        <w:rPr>
          <w:sz w:val="20"/>
          <w:szCs w:val="20"/>
          <w:color w:val="auto"/>
        </w:rPr>
      </w:pPr>
      <w:r>
        <w:rPr>
          <w:rFonts w:ascii="Arial" w:cs="Arial" w:eastAsia="Arial" w:hAnsi="Arial"/>
          <w:sz w:val="22"/>
          <w:szCs w:val="22"/>
          <w:color w:val="auto"/>
        </w:rPr>
        <w:t>regulations as it may deem necessary or proper concerning the issue, transfer and registration of shares of stock of the Corporation in both the certificated and uncertificated forms.</w:t>
      </w:r>
    </w:p>
    <w:p>
      <w:pPr>
        <w:spacing w:after="0" w:line="17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Lost, Stolen or Destroyed Certificates</w:t>
      </w:r>
      <w:r>
        <w:rPr>
          <w:rFonts w:ascii="Arial" w:cs="Arial" w:eastAsia="Arial" w:hAnsi="Arial"/>
          <w:sz w:val="22"/>
          <w:szCs w:val="22"/>
          <w:color w:val="auto"/>
        </w:rPr>
        <w:t>. No new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of the Corporation may in its or his or her discretion require. A new certificate may be issued without requiring any bond when, in the judgment of the Board of Directors or such financial officer, it is proper to do so.</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Transfers of Stock</w:t>
      </w:r>
      <w:r>
        <w:rPr>
          <w:rFonts w:ascii="Arial" w:cs="Arial" w:eastAsia="Arial" w:hAnsi="Arial"/>
          <w:sz w:val="19"/>
          <w:szCs w:val="19"/>
          <w:color w:val="auto"/>
        </w:rPr>
        <w:t>. Transfers of shares of the stock of the Corporation shall be made upon the books of the Corporation (i)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(ii)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w:t>
      </w:r>
    </w:p>
    <w:p>
      <w:pPr>
        <w:spacing w:after="0" w:line="156"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Holder of Record</w:t>
      </w:r>
      <w:r>
        <w:rPr>
          <w:rFonts w:ascii="Arial" w:cs="Arial" w:eastAsia="Arial" w:hAnsi="Arial"/>
          <w:sz w:val="22"/>
          <w:szCs w:val="22"/>
          <w:color w:val="auto"/>
        </w:rPr>
        <w:t>.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Transfer and Registry Agents</w:t>
      </w:r>
      <w:r>
        <w:rPr>
          <w:rFonts w:ascii="Arial" w:cs="Arial" w:eastAsia="Arial" w:hAnsi="Arial"/>
          <w:sz w:val="22"/>
          <w:szCs w:val="22"/>
          <w:color w:val="auto"/>
        </w:rPr>
        <w:t>. The Corporation may from time to time maintain one or more transfer offices or agencies and registry offices or agencies at such place or places as may be determined from time to time by the Board of Directors.</w:t>
      </w:r>
    </w:p>
    <w:p>
      <w:pPr>
        <w:spacing w:after="0" w:line="18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Dividends</w:t>
      </w:r>
      <w:r>
        <w:rPr>
          <w:rFonts w:ascii="Arial" w:cs="Arial" w:eastAsia="Arial" w:hAnsi="Arial"/>
          <w:sz w:val="19"/>
          <w:szCs w:val="19"/>
          <w:color w:val="auto"/>
        </w:rPr>
        <w:t>. The Board of Directors may from time to time declare, and the Corporation may pay, dividends on the outstanding shares of capital stock of the Corporation, subject to the requirements of applicable law and the provisions of the Certificate of Incorporation.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1427" w:right="37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The Corporation shall indemnify and hold harmless, to the fullest extent permitted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by applicable law, as the same exists or may hereafter be amended, any person who was or is made or is threatened to be made a</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party or is otherwise involved in any action, suit or proceeding, whether civil, criminal, administrative or investigative (a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or a person for whom he or she is the legal representative, is or was, at 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time during which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in effect (whether or not such person continues to serve in such capacity at the time 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indemnification or advancement of expenses pursuant hereto is sought or at the time any Proceeding relating thereto exists or 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brought), a director or officer of the Corporation or by reason of the fact that such person, at the request of the Corporation, is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was serving any other corporation, partnership, joint venture, trust, employee benefit plan or other enterprise, in any capacity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Prepayment of Expenses</w:t>
      </w:r>
      <w:r>
        <w:rPr>
          <w:rFonts w:ascii="Arial" w:cs="Arial" w:eastAsia="Arial" w:hAnsi="Arial"/>
          <w:sz w:val="22"/>
          <w:szCs w:val="22"/>
          <w:color w:val="auto"/>
        </w:rPr>
        <w:t xml:space="preserve">. The Corporation shall pay the reasonable expenses (including, without limitation, attorneys’ fees) incurred by any Covered Person of the Corporation in defending any Proceeding in advance of its final disposition, except where such Covered Person pleads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in a criminal proceeding (excluding traffic violations and other minor offenses);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payment of such expenses shall be made only upon receipt of an undertaking by the Covered Person to repay all amounts advanced if it shall ultimately be determined that such person is not entitled to be indemnified.</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If a claim for indemnification or payment of expenses (including, without limitation, attorneys’ fees)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7" w:lineRule="exact"/>
        <w:rPr>
          <w:sz w:val="20"/>
          <w:szCs w:val="20"/>
          <w:color w:val="auto"/>
        </w:rPr>
      </w:pPr>
    </w:p>
    <w:p>
      <w:pPr>
        <w:ind w:right="320" w:firstLine="648"/>
        <w:spacing w:after="0" w:line="29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xml:space="preserve">. The rights conferred on any person by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applicable law.</w:t>
      </w:r>
    </w:p>
    <w:p>
      <w:pPr>
        <w:spacing w:after="0" w:line="149"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Insurance</w:t>
      </w:r>
      <w:r>
        <w:rPr>
          <w:rFonts w:ascii="Arial" w:cs="Arial" w:eastAsia="Arial" w:hAnsi="Arial"/>
          <w:sz w:val="22"/>
          <w:szCs w:val="22"/>
          <w:color w:val="auto"/>
        </w:rPr>
        <w:t>. The Corporation may purchase and maintain insurance on behalf of any Covered Person against any liability asserted against such person and incurred by such person in any such capacity, or arising out of such person’s status as such,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1" w:right="339" w:bottom="1440" w:gutter="0" w:footer="0" w:header="0"/>
        </w:sectPr>
      </w:pPr>
    </w:p>
    <w:bookmarkStart w:id="430" w:name="page431"/>
    <w:bookmarkEnd w:id="430"/>
    <w:p>
      <w:pPr>
        <w:ind w:right="260"/>
        <w:spacing w:after="0" w:line="263" w:lineRule="auto"/>
        <w:rPr>
          <w:sz w:val="20"/>
          <w:szCs w:val="20"/>
          <w:color w:val="auto"/>
        </w:rPr>
      </w:pPr>
      <w:r>
        <w:rPr>
          <w:rFonts w:ascii="Arial" w:cs="Arial" w:eastAsia="Arial" w:hAnsi="Arial"/>
          <w:sz w:val="22"/>
          <w:szCs w:val="22"/>
          <w:color w:val="auto"/>
        </w:rPr>
        <w:t xml:space="preserve">the Corporation would have the power or the obligation to indemnify such person against such liability under the provisions of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applicable law.</w:t>
      </w:r>
    </w:p>
    <w:p>
      <w:pPr>
        <w:spacing w:after="0" w:line="175"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Certain Definitions</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references to “the Corporation” shall include, in addition to the resulting corporation, any constituent corporation (including, without limitation,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at the request of such constituent corporation, serving any other corporation, partnership, joint venture, trust, employee benefit plan or other enterprise, in any capacity, shall stand in the same position under the provisions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21"/>
          <w:szCs w:val="21"/>
          <w:u w:val="single" w:color="auto"/>
          <w:color w:val="auto"/>
        </w:rPr>
        <w:t>Article V</w:t>
      </w:r>
      <w:r>
        <w:rPr>
          <w:rFonts w:ascii="Arial" w:cs="Arial" w:eastAsia="Arial" w:hAnsi="Arial"/>
          <w:sz w:val="21"/>
          <w:szCs w:val="21"/>
          <w:color w:val="auto"/>
        </w:rPr>
        <w:t>, references to any service “at the request of the Corporation” shall include, without limitation, any service that imposes duties, or involves services, with respect to an employee benefit plan, its participants or beneficiaries.</w:t>
      </w:r>
    </w:p>
    <w:p>
      <w:pPr>
        <w:spacing w:after="0" w:line="18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Survival of Indemnification and Advancement of Expenses</w:t>
      </w:r>
      <w:r>
        <w:rPr>
          <w:rFonts w:ascii="Arial" w:cs="Arial" w:eastAsia="Arial" w:hAnsi="Arial"/>
          <w:sz w:val="19"/>
          <w:szCs w:val="19"/>
          <w:color w:val="auto"/>
        </w:rPr>
        <w:t xml:space="preserve">. The indemnification and, subject to the discretion of the Board of Directors, advancement of expenses provided by, or granted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the Certificate of Incorporation shall, unless otherwise provided when authorized or ratified, continue as to a person who has ceased to be a Covered Person and shall inure to the benefit of the heirs, executors and administrators of such a person.</w:t>
      </w:r>
    </w:p>
    <w:p>
      <w:pPr>
        <w:spacing w:after="0" w:line="142"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u w:val="single" w:color="auto"/>
          <w:color w:val="auto"/>
        </w:rPr>
        <w:t>Other Indemnification</w:t>
      </w:r>
      <w:r>
        <w:rPr>
          <w:rFonts w:ascii="Arial" w:cs="Arial" w:eastAsia="Arial" w:hAnsi="Arial"/>
          <w:sz w:val="21"/>
          <w:szCs w:val="21"/>
          <w:color w:val="auto"/>
        </w:rPr>
        <w:t>. The Corporation’s obligation, if any, to indemnify any person who was or is serving at its request as a director, officer, employee or agent of another corporation, partnership, joint venture, trust, employee benefit plan or other enterprise shall be reduced by any amount such person may collect as indemnification from such other corporation, partnership, joint venture, trust, employee benefit plan or other enterprise.</w:t>
      </w:r>
    </w:p>
    <w:p>
      <w:pPr>
        <w:spacing w:after="0" w:line="175"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Amendment or Repeal</w:t>
      </w:r>
      <w:r>
        <w:rPr>
          <w:rFonts w:ascii="Arial" w:cs="Arial" w:eastAsia="Arial" w:hAnsi="Arial"/>
          <w:sz w:val="22"/>
          <w:szCs w:val="22"/>
          <w:color w:val="auto"/>
        </w:rPr>
        <w:t xml:space="preserve">. Any repeal or modification of the foregoing provisions of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any provision of the Certificate of Incorporation relating to a right to indemnification or to advancement of expenses, shall not adversely affect any right or protection hereunder of any person in respect of any act or omission occurring prior to the time of such repeal or modification.</w:t>
      </w:r>
    </w:p>
    <w:p>
      <w:pPr>
        <w:spacing w:after="0" w:line="188"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Indemnification of Employees and Agents</w:t>
      </w:r>
      <w:r>
        <w:rPr>
          <w:rFonts w:ascii="Arial" w:cs="Arial" w:eastAsia="Arial" w:hAnsi="Arial"/>
          <w:sz w:val="22"/>
          <w:szCs w:val="22"/>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to Covered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27" w:right="35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Delaware Office</w:t>
      </w:r>
      <w:r>
        <w:rPr>
          <w:rFonts w:ascii="Arial" w:cs="Arial" w:eastAsia="Arial" w:hAnsi="Arial"/>
          <w:sz w:val="22"/>
          <w:szCs w:val="22"/>
          <w:color w:val="auto"/>
        </w:rPr>
        <w:t>. The address of the registered office of the Corporation in the State of Delaware is 3500 South Dupont Highway, in the City of Dover, County of Kent, Delaware 19901 and the name of its registered agent at such address is Incorporating Services, Ltd.</w:t>
      </w:r>
    </w:p>
    <w:p>
      <w:pPr>
        <w:spacing w:after="0" w:line="185"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offices at other such places, both within and without the State of Delaware, as the Board of Directors from time to time may appoint or the business of the Corporation may require.</w:t>
      </w:r>
    </w:p>
    <w:p>
      <w:pPr>
        <w:spacing w:after="0" w:line="10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Seal</w:t>
      </w:r>
      <w:r>
        <w:rPr>
          <w:rFonts w:ascii="Arial" w:cs="Arial" w:eastAsia="Arial" w:hAnsi="Arial"/>
          <w:sz w:val="22"/>
          <w:szCs w:val="22"/>
          <w:color w:val="auto"/>
        </w:rPr>
        <w:t>. A corporate seal, if any, shall be in the form adopted by the Board of Directors. Such seal may be used by causing it or a facsimile thereof to be impressed or affixed or reproduced or otherwise. Such seal may be affixed by any officer of the Corporation to any instrument executed by authority of the Corporation, and such seal when so affixed may be attested by the signature of any officer of the Corporation.</w:t>
      </w:r>
    </w:p>
    <w:p>
      <w:pPr>
        <w:spacing w:after="0" w:line="188" w:lineRule="exact"/>
        <w:rPr>
          <w:sz w:val="20"/>
          <w:szCs w:val="20"/>
          <w:color w:val="auto"/>
        </w:rPr>
      </w:pPr>
    </w:p>
    <w:p>
      <w:pPr>
        <w:ind w:right="160" w:firstLine="648"/>
        <w:spacing w:after="0" w:line="260"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Notice</w:t>
      </w:r>
      <w:r>
        <w:rPr>
          <w:rFonts w:ascii="Arial" w:cs="Arial" w:eastAsia="Arial" w:hAnsi="Arial"/>
          <w:sz w:val="21"/>
          <w:szCs w:val="21"/>
          <w:color w:val="auto"/>
        </w:rPr>
        <w:t>. Whenever notice is required to be given by applicable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directors or committee members may be given personally or by means of electronic transmission.</w:t>
      </w:r>
    </w:p>
    <w:p>
      <w:pPr>
        <w:spacing w:after="0" w:line="18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Amendments</w:t>
      </w:r>
      <w:r>
        <w:rPr>
          <w:rFonts w:ascii="Arial" w:cs="Arial" w:eastAsia="Arial" w:hAnsi="Arial"/>
          <w:sz w:val="22"/>
          <w:szCs w:val="22"/>
          <w:color w:val="auto"/>
        </w:rPr>
        <w:t>. These Bylaws may be altered, amended or repealed, or new Bylaws adopted, only to the extent and in the manner provided in the Certificate of Incorporation.</w:t>
      </w:r>
    </w:p>
    <w:p>
      <w:pPr>
        <w:spacing w:after="0" w:line="175"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Checks</w:t>
      </w:r>
      <w:r>
        <w:rPr>
          <w:rFonts w:ascii="Arial" w:cs="Arial" w:eastAsia="Arial" w:hAnsi="Arial"/>
          <w:sz w:val="22"/>
          <w:szCs w:val="22"/>
          <w:color w:val="auto"/>
        </w:rPr>
        <w:t>.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fixed, and may thereafter be changed,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1" w:right="3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i w:val="1"/>
          <w:iCs w:val="1"/>
          <w:color w:val="auto"/>
        </w:rPr>
        <w:t>THIS WARRANT AND THE SECURITIES ISSUABLE UPON EXERCISE OF THIS WARRANT HAVE BEEN ACQUIRED FOR INVESTMENT AND HAVE NOT BEEN REGISTERED UNDER THE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i w:val="1"/>
          <w:iCs w:val="1"/>
          <w:color w:val="auto"/>
        </w:rPr>
        <w:t>”), OR UNDER THE SECURITIES LAWS OF APPLICABLE STATES. THESE SECURITIES ARE SUBJECT TO RESTRICTIONS ON TRANSFERABILITY AND RESALE AND MAY NOT BE SOLD, PLEDGED OR TRANSFERRED EXCEPT AS PERMITTED UNDER THE SECURITIES ACT AND THE APPLICABLE STATE SECURITIES LAWS, PURSUANT TO REGISTRATION UNDER SUCH LAWS OR A VALID EXEMPTION FROM SUCH REGISTRATION REQUIREMENTS. THE SECURITIES REPRESENTED HEREBY MAY BE TRANSFERRED ONLY IN ACCORDANCE WITH THE TERMS OF THE PURCHASE AGREEMENT (AS DEFINED BELOW), A COPY OF WHICH IS ON FILE WITH THE SECRETARY OF THE COMPANY. HOLDER SHOULD BE AWARE THAT IT, HE OR SHE MAY BE REQUIRED TO BEAR THE FINANCIAL RISKS OF THIS INVESTMENT FOR AN INDEFINITE PERIOD OF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TO PURCHASE STOCK</w:t>
      </w:r>
    </w:p>
    <w:p>
      <w:pPr>
        <w:sectPr>
          <w:pgSz w:w="11900" w:h="16838" w:orient="portrait"/>
          <w:cols w:equalWidth="0" w:num="1">
            <w:col w:w="11240"/>
          </w:cols>
          <w:pgMar w:left="320" w:top="121" w:right="339" w:bottom="1440" w:gutter="0" w:footer="0" w:header="0"/>
        </w:sectPr>
      </w:pPr>
    </w:p>
    <w:p>
      <w:pPr>
        <w:spacing w:after="0" w:line="280" w:lineRule="exact"/>
        <w:rPr>
          <w:sz w:val="20"/>
          <w:szCs w:val="20"/>
          <w:color w:val="auto"/>
        </w:rPr>
      </w:pPr>
    </w:p>
    <w:p>
      <w:pPr>
        <w:ind w:left="80"/>
        <w:spacing w:after="0"/>
        <w:rPr>
          <w:sz w:val="20"/>
          <w:szCs w:val="20"/>
          <w:color w:val="auto"/>
        </w:rPr>
      </w:pPr>
      <w:r>
        <w:rPr>
          <w:rFonts w:ascii="Arial" w:cs="Arial" w:eastAsia="Arial" w:hAnsi="Arial"/>
          <w:sz w:val="19"/>
          <w:szCs w:val="19"/>
          <w:color w:val="auto"/>
        </w:rPr>
        <w:t>Warrant No.: [ ]</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9"/>
          <w:szCs w:val="19"/>
          <w:color w:val="auto"/>
        </w:rPr>
        <w:t>Issued on February 12, 2021</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Void after February 12, 2031</w:t>
      </w:r>
    </w:p>
    <w:p>
      <w:pPr>
        <w:spacing w:after="0" w:line="200" w:lineRule="exact"/>
        <w:rPr>
          <w:sz w:val="20"/>
          <w:szCs w:val="20"/>
          <w:color w:val="auto"/>
        </w:rPr>
      </w:pPr>
    </w:p>
    <w:p>
      <w:pPr>
        <w:sectPr>
          <w:pgSz w:w="11900" w:h="16838" w:orient="portrait"/>
          <w:cols w:equalWidth="0" w:num="2">
            <w:col w:w="7940" w:space="720"/>
            <w:col w:w="2580"/>
          </w:cols>
          <w:pgMar w:left="320" w:top="121" w:right="339" w:bottom="1440" w:gutter="0" w:footer="0" w:header="0"/>
          <w:type w:val="continuous"/>
        </w:sectPr>
      </w:pP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certifies that for good and valuable consideration, [ ] or its registered assigns (the “</w:t>
      </w:r>
      <w:r>
        <w:rPr>
          <w:rFonts w:ascii="Arial" w:cs="Arial" w:eastAsia="Arial" w:hAnsi="Arial"/>
          <w:sz w:val="21"/>
          <w:szCs w:val="21"/>
          <w:b w:val="1"/>
          <w:bCs w:val="1"/>
          <w:i w:val="1"/>
          <w:iCs w:val="1"/>
          <w:color w:val="auto"/>
        </w:rPr>
        <w:t>Holder</w:t>
      </w:r>
      <w:r>
        <w:rPr>
          <w:rFonts w:ascii="Arial" w:cs="Arial" w:eastAsia="Arial" w:hAnsi="Arial"/>
          <w:sz w:val="21"/>
          <w:szCs w:val="21"/>
          <w:color w:val="auto"/>
        </w:rPr>
        <w:t>”) is entitled, subject to the terms and conditions of this Warrant, to purchase from Robinhood Markets,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with principal offices at 85 Willow Road, Menlo Park, CA 94025, at a price per share equal to the applicable Warrant Price at any time prior to the Expiration Date and after the earlier of (a) a Qualifying Financing and (b) February 12, 2022, up to that number of shares of Warrant Stock equal to the Maximum Purchase Amount divided by the Warrant Price, upon surrender of this Warrant at the principal offices of the Company, together with a duly executed subscription form in the form attached hereto as </w:t>
      </w:r>
      <w:r>
        <w:rPr>
          <w:rFonts w:ascii="Arial" w:cs="Arial" w:eastAsia="Arial" w:hAnsi="Arial"/>
          <w:sz w:val="21"/>
          <w:szCs w:val="21"/>
          <w:u w:val="single" w:color="auto"/>
          <w:color w:val="auto"/>
        </w:rPr>
        <w:t>Exhibit 1</w:t>
      </w:r>
      <w:r>
        <w:rPr>
          <w:rFonts w:ascii="Arial" w:cs="Arial" w:eastAsia="Arial" w:hAnsi="Arial"/>
          <w:sz w:val="21"/>
          <w:szCs w:val="21"/>
          <w:color w:val="auto"/>
        </w:rPr>
        <w:t xml:space="preserve"> and simultaneous payment of an amount equal to the product obtained by multiplying the Warrant Price by the number of shares of Warrant Stock so purchased in lawful money of the United States, or if permitted, by an election to net exercise as set forth in </w:t>
      </w:r>
      <w:r>
        <w:rPr>
          <w:rFonts w:ascii="Arial" w:cs="Arial" w:eastAsia="Arial" w:hAnsi="Arial"/>
          <w:sz w:val="21"/>
          <w:szCs w:val="21"/>
          <w:u w:val="single" w:color="auto"/>
          <w:color w:val="auto"/>
        </w:rPr>
        <w:t>Section 2.6</w:t>
      </w:r>
      <w:r>
        <w:rPr>
          <w:rFonts w:ascii="Arial" w:cs="Arial" w:eastAsia="Arial" w:hAnsi="Arial"/>
          <w:sz w:val="21"/>
          <w:szCs w:val="21"/>
          <w:color w:val="auto"/>
        </w:rPr>
        <w:t>. The Warrant Price and the number and character of shares of Warrant Stock purchasable under this Warrant are subject to adjustment as provided herein.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Warrant has been issued pursuant to that certain Tranche I Convertible Note and Warrant Purchase Agreement, dated as of February 12, 2021 (the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by and among the Company, the original holder of this Warrant and certain other investors, and is subject to the provisions thereof.</w:t>
      </w:r>
    </w:p>
    <w:p>
      <w:pPr>
        <w:spacing w:after="0" w:line="179"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definitions shall apply for purposes of this Warrant: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 weekday on which banks are open for general banking business in San Francisco, California.</w:t>
      </w:r>
    </w:p>
    <w:p>
      <w:pPr>
        <w:sectPr>
          <w:pgSz w:w="11900" w:h="16838" w:orient="portrait"/>
          <w:cols w:equalWidth="0" w:num="1">
            <w:col w:w="11240"/>
          </w:cols>
          <w:pgMar w:left="320" w:top="121" w:right="339" w:bottom="1440" w:gutter="0" w:footer="0" w:header="0"/>
          <w:type w:val="continuous"/>
        </w:sectPr>
      </w:pPr>
    </w:p>
    <w:bookmarkStart w:id="433" w:name="page434"/>
    <w:bookmarkEnd w:id="433"/>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Cash/Public Stock Change of Control</w:t>
      </w:r>
      <w:r>
        <w:rPr>
          <w:rFonts w:ascii="Arial" w:cs="Arial" w:eastAsia="Arial" w:hAnsi="Arial"/>
          <w:sz w:val="22"/>
          <w:szCs w:val="22"/>
          <w:color w:val="auto"/>
        </w:rPr>
        <w:t>” means a Change of Control where the consideration that the holders of the shares of Warrant Stock are entitled to receive on account of their ownership of the shares of Warrant Stock consists entirely of cash, shares of common stock, interests or units that are publicly traded and listed on a nationally recognized securities exchange in the United States or any combination thereof.</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Incorporation</w:t>
      </w:r>
      <w:r>
        <w:rPr>
          <w:rFonts w:ascii="Arial" w:cs="Arial" w:eastAsia="Arial" w:hAnsi="Arial"/>
          <w:sz w:val="22"/>
          <w:szCs w:val="22"/>
          <w:color w:val="auto"/>
        </w:rPr>
        <w:t>” means the Company’s Amended and Restated Certificate of Incorporation (as amended, modified, supplemented or restated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Change of Control</w:t>
      </w:r>
      <w:r>
        <w:rPr>
          <w:rFonts w:ascii="Arial" w:cs="Arial" w:eastAsia="Arial" w:hAnsi="Arial"/>
          <w:sz w:val="21"/>
          <w:szCs w:val="21"/>
          <w:color w:val="auto"/>
        </w:rPr>
        <w:t>” has means any Deemed Liquidation Event (as defined in the Certificate of Incorporation).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$0.0001 par value per share, of the Company.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include, in addition to the Company identified in the opening paragraph of this Warrant, any corporation or other entity that succeeds to the Company’s obligations under this Warrant, whether by permitted assignment, by merger or consolidation or otherwise.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Conversion Cap Price Per Share</w:t>
      </w:r>
      <w:r>
        <w:rPr>
          <w:rFonts w:ascii="Arial" w:cs="Arial" w:eastAsia="Arial" w:hAnsi="Arial"/>
          <w:sz w:val="19"/>
          <w:szCs w:val="19"/>
          <w:i w:val="1"/>
          <w:iCs w:val="1"/>
          <w:color w:val="auto"/>
        </w:rPr>
        <w:t>”</w:t>
      </w:r>
      <w:r>
        <w:rPr>
          <w:rFonts w:ascii="Arial" w:cs="Arial" w:eastAsia="Arial" w:hAnsi="Arial"/>
          <w:sz w:val="19"/>
          <w:szCs w:val="19"/>
          <w:color w:val="auto"/>
        </w:rPr>
        <w:t xml:space="preserve"> means the lesser of (a) the Qualifying Financing Cap Price Per Share or (b)(i) in the case of a Next Financing, 70% of the lowest cash price per share paid by the investors for the preferred stock of the Company issued in the Next Financing, and (ii) in the case of a Qualifying IPO, 70% of the Qualifying IPO Price Per Share.</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De-SPAC</w:t>
      </w:r>
      <w:r>
        <w:rPr>
          <w:rFonts w:ascii="Arial" w:cs="Arial" w:eastAsia="Arial" w:hAnsi="Arial"/>
          <w:sz w:val="19"/>
          <w:szCs w:val="19"/>
          <w:color w:val="auto"/>
        </w:rPr>
        <w:t>” means, with respect to the Company, an acquisition by, consolidation, amalgamation, merger, reorganization or other business combination with or into, a special purpose acquisition company (the successor public company following any such business combination, the “</w:t>
      </w:r>
      <w:r>
        <w:rPr>
          <w:rFonts w:ascii="Arial" w:cs="Arial" w:eastAsia="Arial" w:hAnsi="Arial"/>
          <w:sz w:val="19"/>
          <w:szCs w:val="19"/>
          <w:b w:val="1"/>
          <w:bCs w:val="1"/>
          <w:i w:val="1"/>
          <w:iCs w:val="1"/>
          <w:color w:val="auto"/>
        </w:rPr>
        <w:t>De-SPAC Entity</w:t>
      </w:r>
      <w:r>
        <w:rPr>
          <w:rFonts w:ascii="Arial" w:cs="Arial" w:eastAsia="Arial" w:hAnsi="Arial"/>
          <w:sz w:val="19"/>
          <w:szCs w:val="19"/>
          <w:color w:val="auto"/>
        </w:rPr>
        <w:t>”) that is publicly listed on a nationally recognized stock exchange in the United States and that does not conduct any material business or maintain any material assets other than cash.</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 Listing</w:t>
      </w:r>
      <w:r>
        <w:rPr>
          <w:rFonts w:ascii="Arial" w:cs="Arial" w:eastAsia="Arial" w:hAnsi="Arial"/>
          <w:sz w:val="22"/>
          <w:szCs w:val="22"/>
          <w:color w:val="auto"/>
        </w:rPr>
        <w:t>” means the effectiveness of the registration statement filed under the Securities Act that registers shares of existing Common Stock for resale not pursuant to an underwritten offering.</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xml:space="preserve">” means 5:00 p.m. Pacific Time on February 12, 2031 or such earlier date and time on which the Warrant ceases to be exercisable as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IPO</w:t>
      </w:r>
      <w:r>
        <w:rPr>
          <w:rFonts w:ascii="Arial" w:cs="Arial" w:eastAsia="Arial" w:hAnsi="Arial"/>
          <w:sz w:val="22"/>
          <w:szCs w:val="22"/>
          <w:color w:val="auto"/>
        </w:rPr>
        <w:t>” means the Company’s first underwritten public offering of its Common Stock pursuant to an effective registration statement under the Securities Act on a nationally recognized securities exchange in the United States.</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Mandatory Cap Price Per Share</w:t>
      </w:r>
      <w:r>
        <w:rPr>
          <w:rFonts w:ascii="Arial" w:cs="Arial" w:eastAsia="Arial" w:hAnsi="Arial"/>
          <w:sz w:val="19"/>
          <w:szCs w:val="19"/>
          <w:color w:val="auto"/>
        </w:rPr>
        <w:t>” means the Series G-1 Conversion Price (as defined in the Certificate of Incorporation), which amount is initially $18.60 and is subject to adjustment as provided in the Certificate of Incorporation.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Purchase Amount</w:t>
      </w:r>
      <w:r>
        <w:rPr>
          <w:rFonts w:ascii="Arial" w:cs="Arial" w:eastAsia="Arial" w:hAnsi="Arial"/>
          <w:sz w:val="22"/>
          <w:szCs w:val="22"/>
          <w:color w:val="auto"/>
        </w:rPr>
        <w:t xml:space="preserve">” means $[ ], as adjusted by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434" w:name="page435"/>
    <w:bookmarkEnd w:id="43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Next Financing</w:t>
      </w:r>
      <w:r>
        <w:rPr>
          <w:rFonts w:ascii="Arial" w:cs="Arial" w:eastAsia="Arial" w:hAnsi="Arial"/>
          <w:sz w:val="22"/>
          <w:szCs w:val="22"/>
          <w:color w:val="auto"/>
        </w:rPr>
        <w:t>” has the meaning ascribed to it in the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Next Financing Closing</w:t>
      </w:r>
      <w:r>
        <w:rPr>
          <w:rFonts w:ascii="Arial" w:cs="Arial" w:eastAsia="Arial" w:hAnsi="Arial"/>
          <w:sz w:val="22"/>
          <w:szCs w:val="22"/>
          <w:color w:val="auto"/>
        </w:rPr>
        <w:t>” has the meaning ascribed to it in the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color w:val="auto"/>
        </w:rPr>
        <w:t>” means the Tranche I Convertible Promissory Note of even date herewith initially payable to the initial Holder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Amount</w:t>
      </w:r>
      <w:r>
        <w:rPr>
          <w:rFonts w:ascii="Arial" w:cs="Arial" w:eastAsia="Arial" w:hAnsi="Arial"/>
          <w:sz w:val="22"/>
          <w:szCs w:val="22"/>
          <w:color w:val="auto"/>
        </w:rPr>
        <w:t xml:space="preserve">” means, (a) in the case of any exercise of this Warrant by net exercise pursuant to </w:t>
      </w:r>
      <w:r>
        <w:rPr>
          <w:rFonts w:ascii="Arial" w:cs="Arial" w:eastAsia="Arial" w:hAnsi="Arial"/>
          <w:sz w:val="22"/>
          <w:szCs w:val="22"/>
          <w:u w:val="single" w:color="auto"/>
          <w:color w:val="auto"/>
        </w:rPr>
        <w:t>Section 2.6</w:t>
      </w:r>
      <w:r>
        <w:rPr>
          <w:rFonts w:ascii="Arial" w:cs="Arial" w:eastAsia="Arial" w:hAnsi="Arial"/>
          <w:sz w:val="22"/>
          <w:szCs w:val="22"/>
          <w:color w:val="auto"/>
        </w:rPr>
        <w:t>, the amount specified in the subscription form for such exercise, and (b) in the case of any other exercise of this Warrant, (x) the number of shares of Warrant Stock specified in the subscription form for such exercise, multiplied by (y) the Warrant Price applicable to such exercise.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 individual, corporation, limited liability company, partnership, association, joint-stock company, trust, unincorporated organization, joint venture or other entity or any governmental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Financing</w:t>
      </w:r>
      <w:r>
        <w:rPr>
          <w:rFonts w:ascii="Arial" w:cs="Arial" w:eastAsia="Arial" w:hAnsi="Arial"/>
          <w:sz w:val="22"/>
          <w:szCs w:val="22"/>
          <w:color w:val="auto"/>
        </w:rPr>
        <w:t>” means the earlier to occur of (a) the Next Financing and (b) a Qualifying IPO.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Financing Cap Price Per Share</w:t>
      </w:r>
      <w:r>
        <w:rPr>
          <w:rFonts w:ascii="Arial" w:cs="Arial" w:eastAsia="Arial" w:hAnsi="Arial"/>
          <w:sz w:val="22"/>
          <w:szCs w:val="22"/>
          <w:color w:val="auto"/>
        </w:rPr>
        <w:t>” means $38.29.</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Financing Securities</w:t>
      </w:r>
      <w:r>
        <w:rPr>
          <w:rFonts w:ascii="Arial" w:cs="Arial" w:eastAsia="Arial" w:hAnsi="Arial"/>
          <w:sz w:val="22"/>
          <w:szCs w:val="22"/>
          <w:color w:val="auto"/>
        </w:rPr>
        <w:t>” means (a) in the case of a Next Financing, the preferred stock of the Company issued in the Next Financing or (b) in the case of a Qualifying IPO, Common Stock or common stock of the De-SPAC Entity, as applicable.</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Qualifying IPO</w:t>
      </w:r>
      <w:r>
        <w:rPr>
          <w:rFonts w:ascii="Arial" w:cs="Arial" w:eastAsia="Arial" w:hAnsi="Arial"/>
          <w:sz w:val="19"/>
          <w:szCs w:val="19"/>
          <w:color w:val="auto"/>
        </w:rPr>
        <w:t>” means (a) an IPO, (b) subject to Section 6.3 of the Purchase Agreement, a Direct Listing, or (c) a De-SPAC, and, in the case of clauses (a) and (c), resulting in aggregate gross proceeds to the Company of no less than Five Hundred Million Dollars ($500,000,000) (it being understood that (i) conversion of any Notes and Tranche II Subordinated Debt in connection with such offering will not contribute to the calculation of such aggregate gross proceeds and (ii) in the case of a De-SPAC, the amount of such proceeds will be measured by the net increase in the cash balance of the De-SPAC Entity and its subsidiaries immediately following the consummation of the De-SPAC transactions (including any related financing transactions) compared to the cash balance of the Company and its subsidiaries as of immediately prior to the consummation of the De-SPAC transactions (and any related financing transactions)).</w:t>
      </w:r>
    </w:p>
    <w:p>
      <w:pPr>
        <w:spacing w:after="0" w:line="15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IPO Price</w:t>
      </w:r>
      <w:r>
        <w:rPr>
          <w:rFonts w:ascii="Arial" w:cs="Arial" w:eastAsia="Arial" w:hAnsi="Arial"/>
          <w:sz w:val="22"/>
          <w:szCs w:val="22"/>
          <w:color w:val="auto"/>
        </w:rPr>
        <w:t>” means, (a) in the case of an IPO that is a Qualifying IPO, the price per share of Common Stock offered to the public as set forth on the final prospectus, (b) in the case of a Direct Listing that is a Qualifying IPO, the per share volume-weighted average price of the Common Stock as reported by Bloomberg L.P. for the three-day trading period starting on the first date of trading of the Common Stock on the stock exchange upon which the Common Stock is listed in connection with a Direct Listing and (c) in the case of a De-SPAC, the pro forma enterprise value minus debt of the De-SPAC Entity at the time of the De-SPAC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35" w:name="page436"/>
    <w:bookmarkEnd w:id="435"/>
    <w:p>
      <w:pPr>
        <w:jc w:val="both"/>
        <w:spacing w:after="0" w:line="263" w:lineRule="auto"/>
        <w:rPr>
          <w:sz w:val="20"/>
          <w:szCs w:val="20"/>
          <w:color w:val="auto"/>
        </w:rPr>
      </w:pPr>
      <w:r>
        <w:rPr>
          <w:rFonts w:ascii="Arial" w:cs="Arial" w:eastAsia="Arial" w:hAnsi="Arial"/>
          <w:sz w:val="22"/>
          <w:szCs w:val="22"/>
          <w:color w:val="auto"/>
        </w:rPr>
        <w:t>divided by the pro forma fully diluted shares of the De-SPAC Entity, subject to adjustment as provided in the relevant merger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G-1 Preferred Stock</w:t>
      </w:r>
      <w:r>
        <w:rPr>
          <w:rFonts w:ascii="Arial" w:cs="Arial" w:eastAsia="Arial" w:hAnsi="Arial"/>
          <w:sz w:val="19"/>
          <w:szCs w:val="19"/>
          <w:color w:val="auto"/>
        </w:rPr>
        <w:t>” means the Series G-1 Preferred Stock of the Company, par value $0.0001 per share.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Warrant</w:t>
      </w:r>
      <w:r>
        <w:rPr>
          <w:rFonts w:ascii="Arial" w:cs="Arial" w:eastAsia="Arial" w:hAnsi="Arial"/>
          <w:sz w:val="19"/>
          <w:szCs w:val="19"/>
          <w:color w:val="auto"/>
        </w:rPr>
        <w:t>” means this Warrant and any warrant(s) delivered in substitution or exchange therefor, as provided herein.</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Price</w:t>
      </w:r>
      <w:r>
        <w:rPr>
          <w:rFonts w:ascii="Arial" w:cs="Arial" w:eastAsia="Arial" w:hAnsi="Arial"/>
          <w:sz w:val="22"/>
          <w:szCs w:val="22"/>
          <w:color w:val="auto"/>
        </w:rPr>
        <w:t>” means (a) if the Warrant Stock is the Qualifying Financing Securities, an amount equal to the Conversion Cap Price Per Share, or (b) if the Warrant Stock is the Series G-1 Preferred Stock, an amount equal to the Mandatory Cap Price Per Share. The Warrant Price is subject to adjustment as provided herein.</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Stock</w:t>
      </w:r>
      <w:r>
        <w:rPr>
          <w:rFonts w:ascii="Arial" w:cs="Arial" w:eastAsia="Arial" w:hAnsi="Arial"/>
          <w:sz w:val="22"/>
          <w:szCs w:val="22"/>
          <w:color w:val="auto"/>
        </w:rPr>
        <w:t>” means, (i) following a Qualifying Financing within 12 months of the date hereof, the applicable Qualifying Financing Securities and (ii) if there is no Qualifying Financing within 12 months of the date hereof, the Series G-1 Preferred Stock. The number and character of shares of Warrant Stock are subject to adjustment as provided herein and the term “</w:t>
      </w:r>
      <w:r>
        <w:rPr>
          <w:rFonts w:ascii="Arial" w:cs="Arial" w:eastAsia="Arial" w:hAnsi="Arial"/>
          <w:sz w:val="22"/>
          <w:szCs w:val="22"/>
          <w:b w:val="1"/>
          <w:bCs w:val="1"/>
          <w:i w:val="1"/>
          <w:iCs w:val="1"/>
          <w:color w:val="auto"/>
        </w:rPr>
        <w:t>Warrant Stock</w:t>
      </w:r>
      <w:r>
        <w:rPr>
          <w:rFonts w:ascii="Arial" w:cs="Arial" w:eastAsia="Arial" w:hAnsi="Arial"/>
          <w:sz w:val="22"/>
          <w:szCs w:val="22"/>
          <w:color w:val="auto"/>
        </w:rPr>
        <w:t>” shall include stock and other securities and property at any time receivable or issuable upon exercise of this Warrant taking into account all such adjustments.</w:t>
      </w:r>
    </w:p>
    <w:p>
      <w:pPr>
        <w:spacing w:after="0" w:line="186"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EXERCISE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Method of Exercise</w:t>
      </w:r>
      <w:r>
        <w:rPr>
          <w:rFonts w:ascii="Arial" w:cs="Arial" w:eastAsia="Arial" w:hAnsi="Arial"/>
          <w:sz w:val="19"/>
          <w:szCs w:val="19"/>
          <w:color w:val="auto"/>
        </w:rPr>
        <w:t>. Subject to the terms and conditions of this Warrant, Holder may exercise this Warrant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whole or in part, at any time or from time to time, on any Business Day before the Expiration Date. This Warrant shall be exercised by surrendering this Warrant at the principal offices of the Company, with the subscription form attached hereto duly executed by Holder, and by payment in a form specified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for payment by net exercise, the amount payable upon exercise shall be equal to the product obtained by multiplying (i) the number of shares of Warrant Stock to be purchased by Holder by (ii) the Warrant Price as determined in accordance with the terms hereof.</w:t>
      </w:r>
    </w:p>
    <w:p>
      <w:pPr>
        <w:spacing w:after="0" w:line="14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b w:val="1"/>
          <w:bCs w:val="1"/>
          <w:u w:val="single" w:color="auto"/>
          <w:color w:val="auto"/>
        </w:rPr>
        <w:t>Form of Payment</w:t>
      </w:r>
      <w:r>
        <w:rPr>
          <w:rFonts w:ascii="Arial" w:cs="Arial" w:eastAsia="Arial" w:hAnsi="Arial"/>
          <w:sz w:val="22"/>
          <w:szCs w:val="22"/>
          <w:color w:val="auto"/>
        </w:rPr>
        <w:t>. Payment for the Warrant Stock upon exercise may be made by (a) wire transfer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immediately available funds to the Company pursuant to wire instructions that may be obtained upon request to the Company, (b) net exercise as provided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or (c) any combination of the foregoing.</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b w:val="1"/>
          <w:bCs w:val="1"/>
          <w:u w:val="single" w:color="auto"/>
          <w:color w:val="auto"/>
        </w:rPr>
        <w:t>Partial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Upon a partial exercise of this Warrant, this Warrant shall be cancelled and replaced with</w:t>
      </w:r>
      <w:r>
        <w:rPr>
          <w:rFonts w:ascii="Arial" w:cs="Arial" w:eastAsia="Arial" w:hAnsi="Arial"/>
          <w:sz w:val="22"/>
          <w:szCs w:val="22"/>
          <w:b w:val="1"/>
          <w:bCs w:val="1"/>
          <w:color w:val="auto"/>
        </w:rPr>
        <w:t xml:space="preserve"> </w:t>
      </w:r>
      <w:r>
        <w:rPr>
          <w:rFonts w:ascii="Arial" w:cs="Arial" w:eastAsia="Arial" w:hAnsi="Arial"/>
          <w:sz w:val="22"/>
          <w:szCs w:val="22"/>
          <w:color w:val="auto"/>
        </w:rPr>
        <w:t>a new Warrant of like tenor in which the stated Maximum Purchase Amount is reduced by the aggregate Purchase Amount of such partial exercise.</w:t>
      </w:r>
    </w:p>
    <w:p>
      <w:pPr>
        <w:spacing w:after="0" w:line="176"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b w:val="1"/>
          <w:bCs w:val="1"/>
          <w:u w:val="single" w:color="auto"/>
          <w:color w:val="auto"/>
        </w:rPr>
        <w:t>No Fractional Shares</w:t>
      </w:r>
      <w:r>
        <w:rPr>
          <w:rFonts w:ascii="Arial" w:cs="Arial" w:eastAsia="Arial" w:hAnsi="Arial"/>
          <w:sz w:val="19"/>
          <w:szCs w:val="19"/>
          <w:color w:val="auto"/>
        </w:rPr>
        <w:t>. No fractional shares may be issued upon any exercise of this Warrant. If upon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this Warrant in whole or in part, a fraction of a share would otherwise result, then in lieu of such fractional share, the Company shall pay to Holder an amount in cash equal to such fraction of a share multiplied by the applicable Warrant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436" w:name="page437"/>
    <w:bookmarkEnd w:id="436"/>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2.5 </w:t>
      </w:r>
      <w:r>
        <w:rPr>
          <w:rFonts w:ascii="Arial" w:cs="Arial" w:eastAsia="Arial" w:hAnsi="Arial"/>
          <w:sz w:val="21"/>
          <w:szCs w:val="21"/>
          <w:b w:val="1"/>
          <w:bCs w:val="1"/>
          <w:u w:val="single" w:color="auto"/>
          <w:color w:val="auto"/>
        </w:rPr>
        <w:t>Restrictions on Exercise</w:t>
      </w:r>
      <w:r>
        <w:rPr>
          <w:rFonts w:ascii="Arial" w:cs="Arial" w:eastAsia="Arial" w:hAnsi="Arial"/>
          <w:sz w:val="21"/>
          <w:szCs w:val="21"/>
          <w:color w:val="auto"/>
        </w:rPr>
        <w:t>. This Warrant may not be exercised if the issuance of the Warrant Stock upon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exercise would constitute a violation of any applicable federal or state securities laws or other laws or regulations. As a condition to the exercise of this Warrant, Holder shall execute the subscription form attached hereto as </w:t>
      </w:r>
      <w:r>
        <w:rPr>
          <w:rFonts w:ascii="Arial" w:cs="Arial" w:eastAsia="Arial" w:hAnsi="Arial"/>
          <w:sz w:val="21"/>
          <w:szCs w:val="21"/>
          <w:u w:val="single" w:color="auto"/>
          <w:color w:val="auto"/>
        </w:rPr>
        <w:t>Exhibit 1,</w:t>
      </w:r>
      <w:r>
        <w:rPr>
          <w:rFonts w:ascii="Arial" w:cs="Arial" w:eastAsia="Arial" w:hAnsi="Arial"/>
          <w:sz w:val="21"/>
          <w:szCs w:val="21"/>
          <w:color w:val="auto"/>
        </w:rPr>
        <w:t xml:space="preserve"> confirming and acknowledging that the representations and warranties of the original Holder set forth in Section 3 of the Purchase Agreement are true and complete in all material respects as of the date of exercise.</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Net Exercise Election</w:t>
      </w:r>
      <w:r>
        <w:rPr>
          <w:rFonts w:ascii="Arial" w:cs="Arial" w:eastAsia="Arial" w:hAnsi="Arial"/>
          <w:sz w:val="19"/>
          <w:szCs w:val="19"/>
          <w:color w:val="auto"/>
        </w:rPr>
        <w:t>.</w:t>
      </w:r>
    </w:p>
    <w:p>
      <w:pPr>
        <w:spacing w:after="0" w:line="226"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auto"/>
        </w:rPr>
        <w:t>2.6.1 Holder may elect to exercise all or any portion of this Warrant, without the payment by Holder of any additional consideration, by the surrender of this Warrant to the Company, with the net exercise election selected in the subscription form attached hereto as Exhibit 1, duly executed by Holder, into the number of shares of Warrant Stock that is obtained under the following formula:</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960" w:type="dxa"/>
            <w:vAlign w:val="bottom"/>
            <w:gridSpan w:val="4"/>
          </w:tcPr>
          <w:p>
            <w:pPr>
              <w:jc w:val="center"/>
              <w:ind w:right="4120"/>
              <w:spacing w:after="0"/>
              <w:rPr>
                <w:sz w:val="20"/>
                <w:szCs w:val="20"/>
                <w:color w:val="auto"/>
              </w:rPr>
            </w:pPr>
            <w:r>
              <w:rPr>
                <w:rFonts w:ascii="Arial" w:cs="Arial" w:eastAsia="Arial" w:hAnsi="Arial"/>
                <w:sz w:val="22"/>
                <w:szCs w:val="22"/>
                <w:b w:val="1"/>
                <w:bCs w:val="1"/>
                <w:color w:val="auto"/>
                <w:w w:val="99"/>
              </w:rPr>
              <w:t>X = Y*(A-B)</w:t>
            </w:r>
          </w:p>
        </w:tc>
      </w:tr>
      <w:tr>
        <w:trPr>
          <w:trHeight w:val="287"/>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top w:val="single" w:sz="8" w:color="auto"/>
            </w:tcBorders>
          </w:tcPr>
          <w:p>
            <w:pPr>
              <w:jc w:val="center"/>
              <w:ind w:right="272"/>
              <w:spacing w:after="0"/>
              <w:rPr>
                <w:sz w:val="20"/>
                <w:szCs w:val="20"/>
                <w:color w:val="auto"/>
              </w:rPr>
            </w:pPr>
            <w:r>
              <w:rPr>
                <w:rFonts w:ascii="Arial" w:cs="Arial" w:eastAsia="Arial" w:hAnsi="Arial"/>
                <w:sz w:val="22"/>
                <w:szCs w:val="22"/>
                <w:b w:val="1"/>
                <w:bCs w:val="1"/>
                <w:color w:val="auto"/>
              </w:rPr>
              <w:t>A</w:t>
            </w:r>
          </w:p>
        </w:tc>
        <w:tc>
          <w:tcPr>
            <w:tcW w:w="4960" w:type="dxa"/>
            <w:vAlign w:val="bottom"/>
          </w:tcPr>
          <w:p>
            <w:pPr>
              <w:spacing w:after="0"/>
              <w:rPr>
                <w:sz w:val="24"/>
                <w:szCs w:val="24"/>
                <w:color w:val="auto"/>
              </w:rPr>
            </w:pPr>
          </w:p>
        </w:tc>
      </w:tr>
      <w:tr>
        <w:trPr>
          <w:trHeight w:val="509"/>
        </w:trPr>
        <w:tc>
          <w:tcPr>
            <w:tcW w:w="860" w:type="dxa"/>
            <w:vAlign w:val="bottom"/>
          </w:tcPr>
          <w:p>
            <w:pPr>
              <w:spacing w:after="0"/>
              <w:rPr>
                <w:sz w:val="20"/>
                <w:szCs w:val="20"/>
                <w:color w:val="auto"/>
              </w:rPr>
            </w:pPr>
            <w:r>
              <w:rPr>
                <w:rFonts w:ascii="Arial" w:cs="Arial" w:eastAsia="Arial" w:hAnsi="Arial"/>
                <w:sz w:val="22"/>
                <w:szCs w:val="22"/>
                <w:color w:val="auto"/>
              </w:rPr>
              <w:t>where</w:t>
            </w:r>
          </w:p>
        </w:tc>
        <w:tc>
          <w:tcPr>
            <w:tcW w:w="940" w:type="dxa"/>
            <w:vAlign w:val="bottom"/>
          </w:tcPr>
          <w:p>
            <w:pPr>
              <w:ind w:left="340"/>
              <w:spacing w:after="0"/>
              <w:rPr>
                <w:sz w:val="20"/>
                <w:szCs w:val="20"/>
                <w:color w:val="auto"/>
              </w:rPr>
            </w:pPr>
            <w:r>
              <w:rPr>
                <w:rFonts w:ascii="Arial" w:cs="Arial" w:eastAsia="Arial" w:hAnsi="Arial"/>
                <w:sz w:val="22"/>
                <w:szCs w:val="22"/>
                <w:color w:val="auto"/>
              </w:rPr>
              <w:t>X =</w:t>
            </w:r>
          </w:p>
        </w:tc>
        <w:tc>
          <w:tcPr>
            <w:tcW w:w="9340" w:type="dxa"/>
            <w:vAlign w:val="bottom"/>
            <w:gridSpan w:val="7"/>
          </w:tcPr>
          <w:p>
            <w:pPr>
              <w:ind w:left="260"/>
              <w:spacing w:after="0"/>
              <w:rPr>
                <w:sz w:val="20"/>
                <w:szCs w:val="20"/>
                <w:color w:val="auto"/>
              </w:rPr>
            </w:pPr>
            <w:r>
              <w:rPr>
                <w:rFonts w:ascii="Arial" w:cs="Arial" w:eastAsia="Arial" w:hAnsi="Arial"/>
                <w:sz w:val="22"/>
                <w:szCs w:val="22"/>
                <w:color w:val="auto"/>
                <w:w w:val="90"/>
              </w:rPr>
              <w:t>the number of shares of Warrant Stock to be issued to Holder pursuant to a net exercise of this Warrant</w:t>
            </w:r>
          </w:p>
        </w:tc>
      </w:tr>
      <w:tr>
        <w:trPr>
          <w:trHeight w:val="224"/>
        </w:trPr>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340" w:type="dxa"/>
            <w:vAlign w:val="bottom"/>
            <w:gridSpan w:val="7"/>
          </w:tcPr>
          <w:p>
            <w:pPr>
              <w:ind w:left="260"/>
              <w:spacing w:after="0" w:line="224" w:lineRule="exact"/>
              <w:rPr>
                <w:sz w:val="20"/>
                <w:szCs w:val="20"/>
                <w:color w:val="auto"/>
              </w:rPr>
            </w:pPr>
            <w:r>
              <w:rPr>
                <w:rFonts w:ascii="Arial" w:cs="Arial" w:eastAsia="Arial" w:hAnsi="Arial"/>
                <w:sz w:val="22"/>
                <w:szCs w:val="22"/>
                <w:color w:val="auto"/>
              </w:rPr>
              <w:t>effected pursuant to this Section 2.6.</w:t>
            </w:r>
          </w:p>
        </w:tc>
      </w:tr>
      <w:tr>
        <w:trPr>
          <w:trHeight w:val="20"/>
        </w:trPr>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r>
      <w:tr>
        <w:trPr>
          <w:trHeight w:val="813"/>
        </w:trPr>
        <w:tc>
          <w:tcPr>
            <w:tcW w:w="86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22"/>
                <w:szCs w:val="22"/>
                <w:color w:val="auto"/>
              </w:rPr>
              <w:t>Y =</w:t>
            </w:r>
          </w:p>
        </w:tc>
        <w:tc>
          <w:tcPr>
            <w:tcW w:w="9340" w:type="dxa"/>
            <w:vAlign w:val="bottom"/>
            <w:gridSpan w:val="7"/>
          </w:tcPr>
          <w:p>
            <w:pPr>
              <w:ind w:left="260"/>
              <w:spacing w:after="0"/>
              <w:rPr>
                <w:sz w:val="20"/>
                <w:szCs w:val="20"/>
                <w:color w:val="auto"/>
              </w:rPr>
            </w:pPr>
            <w:r>
              <w:rPr>
                <w:rFonts w:ascii="Arial" w:cs="Arial" w:eastAsia="Arial" w:hAnsi="Arial"/>
                <w:sz w:val="22"/>
                <w:szCs w:val="22"/>
                <w:color w:val="auto"/>
                <w:w w:val="89"/>
              </w:rPr>
              <w:t>the Purchase Amount specified by Holder in the relevant subscription form divided by the Warrant Price.</w:t>
            </w:r>
          </w:p>
        </w:tc>
      </w:tr>
      <w:tr>
        <w:trPr>
          <w:trHeight w:val="563"/>
        </w:trPr>
        <w:tc>
          <w:tcPr>
            <w:tcW w:w="86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22"/>
                <w:szCs w:val="22"/>
                <w:color w:val="auto"/>
              </w:rPr>
              <w:t>A =</w:t>
            </w:r>
          </w:p>
        </w:tc>
        <w:tc>
          <w:tcPr>
            <w:tcW w:w="9340" w:type="dxa"/>
            <w:vAlign w:val="bottom"/>
            <w:gridSpan w:val="7"/>
          </w:tcPr>
          <w:p>
            <w:pPr>
              <w:ind w:left="260"/>
              <w:spacing w:after="0"/>
              <w:rPr>
                <w:sz w:val="20"/>
                <w:szCs w:val="20"/>
                <w:color w:val="auto"/>
              </w:rPr>
            </w:pPr>
            <w:r>
              <w:rPr>
                <w:rFonts w:ascii="Arial" w:cs="Arial" w:eastAsia="Arial" w:hAnsi="Arial"/>
                <w:sz w:val="22"/>
                <w:szCs w:val="22"/>
                <w:color w:val="auto"/>
                <w:w w:val="91"/>
              </w:rPr>
              <w:t>the fair market value of one share of Warrant Stock, determined at the time of such net exercise as set</w:t>
            </w:r>
          </w:p>
        </w:tc>
      </w:tr>
      <w:tr>
        <w:trPr>
          <w:trHeight w:val="224"/>
        </w:trPr>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340" w:type="dxa"/>
            <w:vAlign w:val="bottom"/>
            <w:gridSpan w:val="7"/>
          </w:tcPr>
          <w:p>
            <w:pPr>
              <w:ind w:left="260"/>
              <w:spacing w:after="0" w:line="224" w:lineRule="exact"/>
              <w:rPr>
                <w:sz w:val="20"/>
                <w:szCs w:val="20"/>
                <w:color w:val="auto"/>
              </w:rPr>
            </w:pPr>
            <w:r>
              <w:rPr>
                <w:rFonts w:ascii="Arial" w:cs="Arial" w:eastAsia="Arial" w:hAnsi="Arial"/>
                <w:sz w:val="22"/>
                <w:szCs w:val="22"/>
                <w:color w:val="auto"/>
              </w:rPr>
              <w:t>forth in Section 2.6.2.</w:t>
            </w:r>
          </w:p>
        </w:tc>
      </w:tr>
      <w:tr>
        <w:trPr>
          <w:trHeight w:val="20"/>
        </w:trPr>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611"/>
        </w:trPr>
        <w:tc>
          <w:tcPr>
            <w:tcW w:w="86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22"/>
                <w:szCs w:val="22"/>
                <w:color w:val="auto"/>
              </w:rPr>
              <w:t>B =</w:t>
            </w:r>
          </w:p>
        </w:tc>
        <w:tc>
          <w:tcPr>
            <w:tcW w:w="9340" w:type="dxa"/>
            <w:vAlign w:val="bottom"/>
            <w:gridSpan w:val="7"/>
          </w:tcPr>
          <w:p>
            <w:pPr>
              <w:ind w:left="260"/>
              <w:spacing w:after="0"/>
              <w:rPr>
                <w:sz w:val="20"/>
                <w:szCs w:val="20"/>
                <w:color w:val="auto"/>
              </w:rPr>
            </w:pPr>
            <w:r>
              <w:rPr>
                <w:rFonts w:ascii="Arial" w:cs="Arial" w:eastAsia="Arial" w:hAnsi="Arial"/>
                <w:sz w:val="22"/>
                <w:szCs w:val="22"/>
                <w:color w:val="auto"/>
              </w:rPr>
              <w:t>the Warrant Price.</w:t>
            </w:r>
          </w:p>
        </w:tc>
      </w:tr>
    </w:tbl>
    <w:p>
      <w:pPr>
        <w:spacing w:after="0" w:line="3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Company will promptly respond in writing to an inquiry by Holder as to the then current fair market value of one share of Warrant Stock.</w:t>
      </w:r>
    </w:p>
    <w:p>
      <w:pPr>
        <w:spacing w:after="0" w:line="175" w:lineRule="exact"/>
        <w:rPr>
          <w:sz w:val="20"/>
          <w:szCs w:val="20"/>
          <w:color w:val="auto"/>
        </w:rPr>
      </w:pPr>
    </w:p>
    <w:p>
      <w:pPr>
        <w:jc w:val="both"/>
        <w:ind w:firstLine="1944"/>
        <w:spacing w:after="0" w:line="302" w:lineRule="auto"/>
        <w:rPr>
          <w:sz w:val="20"/>
          <w:szCs w:val="20"/>
          <w:color w:val="auto"/>
        </w:rPr>
      </w:pPr>
      <w:r>
        <w:rPr>
          <w:rFonts w:ascii="Arial" w:cs="Arial" w:eastAsia="Arial" w:hAnsi="Arial"/>
          <w:sz w:val="19"/>
          <w:szCs w:val="19"/>
          <w:color w:val="auto"/>
        </w:rPr>
        <w:t xml:space="preserve">2.6.2 For purposes of the above calculation, fair market value of one share of Warrant Stock shall be determined by the Company’s Board of Directors in good faith; </w:t>
      </w:r>
      <w:r>
        <w:rPr>
          <w:rFonts w:ascii="Arial" w:cs="Arial" w:eastAsia="Arial" w:hAnsi="Arial"/>
          <w:sz w:val="19"/>
          <w:szCs w:val="19"/>
          <w:i w:val="1"/>
          <w:iCs w:val="1"/>
          <w:u w:val="single" w:color="auto"/>
          <w:color w:val="auto"/>
        </w:rPr>
        <w:t>provided, however</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if on the relevant exercise date for which such value must be determined, there is a public market for the Company’s Common Stock, then the fair market value per share of the Warrant Stock shall be determined by reference to the market price of the Common Stock as follows:</w:t>
      </w:r>
    </w:p>
    <w:p>
      <w:pPr>
        <w:spacing w:after="0" w:line="142" w:lineRule="exact"/>
        <w:rPr>
          <w:sz w:val="20"/>
          <w:szCs w:val="20"/>
          <w:color w:val="auto"/>
        </w:rPr>
      </w:pPr>
    </w:p>
    <w:p>
      <w:pPr>
        <w:jc w:val="both"/>
        <w:ind w:firstLine="1952"/>
        <w:spacing w:after="0" w:line="253" w:lineRule="auto"/>
        <w:tabs>
          <w:tab w:leader="none" w:pos="2589" w:val="left"/>
        </w:tabs>
        <w:numPr>
          <w:ilvl w:val="0"/>
          <w:numId w:val="218"/>
        </w:numPr>
        <w:rPr>
          <w:rFonts w:ascii="Arial" w:cs="Arial" w:eastAsia="Arial" w:hAnsi="Arial"/>
          <w:sz w:val="22"/>
          <w:szCs w:val="22"/>
          <w:color w:val="auto"/>
        </w:rPr>
      </w:pPr>
      <w:r>
        <w:rPr>
          <w:rFonts w:ascii="Arial" w:cs="Arial" w:eastAsia="Arial" w:hAnsi="Arial"/>
          <w:sz w:val="22"/>
          <w:szCs w:val="22"/>
          <w:color w:val="auto"/>
        </w:rPr>
        <w:t>if the Warrant is being exercised in connection with an IPO, the fair market value shall be the per-share offering price to the public as set forth in the Company’s final prospectus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437" w:name="page438"/>
    <w:bookmarkEnd w:id="437"/>
    <w:p>
      <w:pPr>
        <w:jc w:val="both"/>
        <w:ind w:firstLine="1952"/>
        <w:spacing w:after="0" w:line="250" w:lineRule="auto"/>
        <w:tabs>
          <w:tab w:leader="none" w:pos="2587" w:val="left"/>
        </w:tabs>
        <w:numPr>
          <w:ilvl w:val="2"/>
          <w:numId w:val="219"/>
        </w:numPr>
        <w:rPr>
          <w:rFonts w:ascii="Arial" w:cs="Arial" w:eastAsia="Arial" w:hAnsi="Arial"/>
          <w:sz w:val="22"/>
          <w:szCs w:val="22"/>
          <w:color w:val="auto"/>
        </w:rPr>
      </w:pPr>
      <w:r>
        <w:rPr>
          <w:rFonts w:ascii="Arial" w:cs="Arial" w:eastAsia="Arial" w:hAnsi="Arial"/>
          <w:sz w:val="22"/>
          <w:szCs w:val="22"/>
          <w:color w:val="auto"/>
        </w:rPr>
        <w:t>if the Warrant is being exercised in connection with a Direct Listing, the fair market value shall be the per share volume-weighted average price of the Common Stock as reported by Bloomberg L.P. for the three-day trading period starting on the first date of trading of the Common Stock on the stock exchange upon which the Common Stock is listed in connection with a Direct Listing;</w:t>
      </w:r>
    </w:p>
    <w:p>
      <w:pPr>
        <w:spacing w:after="0" w:line="187" w:lineRule="exact"/>
        <w:rPr>
          <w:rFonts w:ascii="Arial" w:cs="Arial" w:eastAsia="Arial" w:hAnsi="Arial"/>
          <w:sz w:val="22"/>
          <w:szCs w:val="22"/>
          <w:color w:val="auto"/>
        </w:rPr>
      </w:pPr>
    </w:p>
    <w:p>
      <w:pPr>
        <w:jc w:val="both"/>
        <w:ind w:right="20" w:firstLine="1952"/>
        <w:spacing w:after="0" w:line="271" w:lineRule="auto"/>
        <w:tabs>
          <w:tab w:leader="none" w:pos="2589" w:val="left"/>
        </w:tabs>
        <w:numPr>
          <w:ilvl w:val="2"/>
          <w:numId w:val="219"/>
        </w:numPr>
        <w:rPr>
          <w:rFonts w:ascii="Arial" w:cs="Arial" w:eastAsia="Arial" w:hAnsi="Arial"/>
          <w:sz w:val="21"/>
          <w:szCs w:val="21"/>
          <w:color w:val="auto"/>
        </w:rPr>
      </w:pPr>
      <w:r>
        <w:rPr>
          <w:rFonts w:ascii="Arial" w:cs="Arial" w:eastAsia="Arial" w:hAnsi="Arial"/>
          <w:sz w:val="21"/>
          <w:szCs w:val="21"/>
          <w:color w:val="auto"/>
        </w:rPr>
        <w:t>if the Warrant is being exercised in connection with a De-SPAC, the fair market value shall be the pro forma enterprise value minus debt of the De-SPAC Entity at the time of the De-SPAC divided by the pro forma fully diluted shares of the De-SPAC Entity, subject to adjustment as provided in the relevant merger agreement; or</w:t>
      </w:r>
    </w:p>
    <w:p>
      <w:pPr>
        <w:spacing w:after="0" w:line="167" w:lineRule="exact"/>
        <w:rPr>
          <w:rFonts w:ascii="Arial" w:cs="Arial" w:eastAsia="Arial" w:hAnsi="Arial"/>
          <w:sz w:val="21"/>
          <w:szCs w:val="21"/>
          <w:color w:val="auto"/>
        </w:rPr>
      </w:pPr>
    </w:p>
    <w:p>
      <w:pPr>
        <w:jc w:val="both"/>
        <w:ind w:firstLine="1952"/>
        <w:spacing w:after="0" w:line="248" w:lineRule="auto"/>
        <w:tabs>
          <w:tab w:leader="none" w:pos="2587" w:val="left"/>
        </w:tabs>
        <w:numPr>
          <w:ilvl w:val="2"/>
          <w:numId w:val="219"/>
        </w:numPr>
        <w:rPr>
          <w:rFonts w:ascii="Arial" w:cs="Arial" w:eastAsia="Arial" w:hAnsi="Arial"/>
          <w:sz w:val="22"/>
          <w:szCs w:val="22"/>
          <w:color w:val="auto"/>
        </w:rPr>
      </w:pPr>
      <w:r>
        <w:rPr>
          <w:rFonts w:ascii="Arial" w:cs="Arial" w:eastAsia="Arial" w:hAnsi="Arial"/>
          <w:sz w:val="22"/>
          <w:szCs w:val="22"/>
          <w:color w:val="auto"/>
        </w:rPr>
        <w:t>otherwise, the fair market value shall be the average of (i) the closing bid and asked prices of the Common Stock quoted in the Over-The-Counter Market Summary or (ii) the last reported sale price of the Common Stock or the closing price quoted on the principal nationally recognized exchange in the United States on which the Common Stock is listed, whichever is applicable, as published on the website of such exchange for the five (5) trading days prior to (and excluding) the date as of which the fair market value is to be determined.</w:t>
      </w:r>
    </w:p>
    <w:p>
      <w:pPr>
        <w:spacing w:after="0" w:line="185"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2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ISSUANCE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this Warrant shall be deemed to have been exercised</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prior to the close of business (4:00 p.m., San Francisco time) on the date that the Warrant is surrendered for exercise and payment has been made as provided above, and the Person entitled to receive the shares of Warrant Stock issuable upon such exercise shall be treated for all purposes as the holder of record of such shares as of the close of business on such date. As soon as practicable on or after such date, the Company shall issue and deliver to the Person or Persons entitled to receive the same either</w:t>
      </w:r>
    </w:p>
    <w:p>
      <w:pPr>
        <w:jc w:val="both"/>
        <w:ind w:firstLine="8"/>
        <w:spacing w:after="0" w:line="245" w:lineRule="auto"/>
        <w:tabs>
          <w:tab w:leader="none" w:pos="32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a certificate or certificates or (b) book-entry interests through the facilities of a depositary, in either case representing the number of whole shares of Warrant Stock issuable upon such exercise, together with payment in lieu of any fractional shares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line="295" w:lineRule="auto"/>
        <w:tabs>
          <w:tab w:leader="none" w:pos="1296" w:val="left"/>
        </w:tabs>
        <w:numPr>
          <w:ilvl w:val="1"/>
          <w:numId w:val="2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EXERCISES IN CONNECTION WITH CERTAIN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proposes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effect a Change of Control or a liquidation, dissolution or winding up of the Company, the Company shall give the Holder at least fifteen (15) days advance written notice of the anticipated closing date for such Change of Control, liquidation, dissolution or winding up of the Company. This Warrant shall survive a Change of Control or an IPO; provided, however, that in the event of a Cash/Public Stock Change of Control, then upon the effective date of such Cash/Public Stock Change of Control, this Warrant shall automatically be deemed net exercised in full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above.</w:t>
      </w:r>
    </w:p>
    <w:p>
      <w:pPr>
        <w:spacing w:after="0" w:line="143" w:lineRule="exact"/>
        <w:rPr>
          <w:rFonts w:ascii="Arial" w:cs="Arial" w:eastAsia="Arial" w:hAnsi="Arial"/>
          <w:sz w:val="19"/>
          <w:szCs w:val="19"/>
          <w:b w:val="1"/>
          <w:bCs w:val="1"/>
          <w:color w:val="auto"/>
        </w:rPr>
      </w:pPr>
    </w:p>
    <w:p>
      <w:pPr>
        <w:ind w:firstLine="656"/>
        <w:spacing w:after="0" w:line="269" w:lineRule="auto"/>
        <w:tabs>
          <w:tab w:leader="none" w:pos="1296" w:val="left"/>
        </w:tabs>
        <w:numPr>
          <w:ilvl w:val="1"/>
          <w:numId w:val="2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number and character of shares of Warrant Stock issuable upon exercise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and/or the Warrant Price therefor,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438" w:name="page439"/>
    <w:bookmarkEnd w:id="438"/>
    <w:p>
      <w:pPr>
        <w:spacing w:after="0" w:line="263" w:lineRule="auto"/>
        <w:rPr>
          <w:sz w:val="20"/>
          <w:szCs w:val="20"/>
          <w:color w:val="auto"/>
        </w:rPr>
      </w:pPr>
      <w:r>
        <w:rPr>
          <w:rFonts w:ascii="Arial" w:cs="Arial" w:eastAsia="Arial" w:hAnsi="Arial"/>
          <w:sz w:val="22"/>
          <w:szCs w:val="22"/>
          <w:color w:val="auto"/>
        </w:rPr>
        <w:t xml:space="preserve">adjustment upon each event in </w:t>
      </w:r>
      <w:r>
        <w:rPr>
          <w:rFonts w:ascii="Arial" w:cs="Arial" w:eastAsia="Arial" w:hAnsi="Arial"/>
          <w:sz w:val="22"/>
          <w:szCs w:val="22"/>
          <w:u w:val="single" w:color="auto"/>
          <w:color w:val="auto"/>
        </w:rPr>
        <w:t>Sections 5.1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5.4</w:t>
      </w:r>
      <w:r>
        <w:rPr>
          <w:rFonts w:ascii="Arial" w:cs="Arial" w:eastAsia="Arial" w:hAnsi="Arial"/>
          <w:sz w:val="22"/>
          <w:szCs w:val="22"/>
          <w:color w:val="auto"/>
        </w:rPr>
        <w:t xml:space="preserve"> occurring between the date this Warrant is issued and the earlier of the time that it is exercised in full or the Expiration Date:</w:t>
      </w:r>
    </w:p>
    <w:p>
      <w:pPr>
        <w:spacing w:after="0" w:line="169"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b w:val="1"/>
          <w:bCs w:val="1"/>
          <w:u w:val="single" w:color="auto"/>
          <w:color w:val="auto"/>
        </w:rPr>
        <w:t>Adjustments Prior to a Qualifying IPO</w:t>
      </w:r>
      <w:r>
        <w:rPr>
          <w:rFonts w:ascii="Arial" w:cs="Arial" w:eastAsia="Arial" w:hAnsi="Arial"/>
          <w:sz w:val="22"/>
          <w:szCs w:val="22"/>
          <w:color w:val="auto"/>
        </w:rPr>
        <w:t>. The Warrants shall be subject to the following adjustments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from and after the date this Warrant is issued and prior to a Qualifying IPO:</w:t>
      </w:r>
    </w:p>
    <w:p>
      <w:pPr>
        <w:spacing w:after="0" w:line="162" w:lineRule="exact"/>
        <w:rPr>
          <w:sz w:val="20"/>
          <w:szCs w:val="20"/>
          <w:color w:val="auto"/>
        </w:rPr>
      </w:pPr>
    </w:p>
    <w:p>
      <w:pPr>
        <w:jc w:val="both"/>
        <w:ind w:firstLine="1952"/>
        <w:spacing w:after="0" w:line="252" w:lineRule="auto"/>
        <w:tabs>
          <w:tab w:leader="none" w:pos="2589" w:val="left"/>
        </w:tabs>
        <w:numPr>
          <w:ilvl w:val="0"/>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 for Stock Splits and Stock Dividends</w:t>
      </w:r>
      <w:r>
        <w:rPr>
          <w:rFonts w:ascii="Arial" w:cs="Arial" w:eastAsia="Arial" w:hAnsi="Arial"/>
          <w:sz w:val="22"/>
          <w:szCs w:val="22"/>
          <w:color w:val="auto"/>
        </w:rPr>
        <w:t>. Prior to a Qualifying IPO, the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Financing Cap Price Per Share and the Mandatory Cap Price Per Share shall be proportionally adjusted to reflect any stock dividend, stock split, reverse stock split or other similar event affecting the number of outstanding shares of the Company’s capital stock.</w:t>
      </w:r>
    </w:p>
    <w:p>
      <w:pPr>
        <w:spacing w:after="0" w:line="179" w:lineRule="exact"/>
        <w:rPr>
          <w:rFonts w:ascii="Arial" w:cs="Arial" w:eastAsia="Arial" w:hAnsi="Arial"/>
          <w:sz w:val="22"/>
          <w:szCs w:val="22"/>
          <w:color w:val="auto"/>
        </w:rPr>
      </w:pPr>
    </w:p>
    <w:p>
      <w:pPr>
        <w:jc w:val="both"/>
        <w:ind w:firstLine="1952"/>
        <w:spacing w:after="0" w:line="247" w:lineRule="auto"/>
        <w:tabs>
          <w:tab w:leader="none" w:pos="2587" w:val="left"/>
        </w:tabs>
        <w:numPr>
          <w:ilvl w:val="0"/>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 for Other Dividends and Distributions</w:t>
      </w:r>
      <w:r>
        <w:rPr>
          <w:rFonts w:ascii="Arial" w:cs="Arial" w:eastAsia="Arial" w:hAnsi="Arial"/>
          <w:sz w:val="22"/>
          <w:szCs w:val="22"/>
          <w:color w:val="auto"/>
        </w:rPr>
        <w:t>. In case the Company shall make or issue,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fix a record date for the determination of eligible holders entitled to receive a dividend or other distribution payable with respect to the Warrant Stock that is payable in (a) securities of the Company (other than issuances with respect to which adjustment is made under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or (b) assets (other than cash) which dividend or distribution is actually made (each a “</w:t>
      </w:r>
      <w:r>
        <w:rPr>
          <w:rFonts w:ascii="Arial" w:cs="Arial" w:eastAsia="Arial" w:hAnsi="Arial"/>
          <w:sz w:val="22"/>
          <w:szCs w:val="22"/>
          <w:b w:val="1"/>
          <w:bCs w:val="1"/>
          <w:i w:val="1"/>
          <w:iCs w:val="1"/>
          <w:color w:val="auto"/>
        </w:rPr>
        <w:t>Dividend Event</w:t>
      </w:r>
      <w:r>
        <w:rPr>
          <w:rFonts w:ascii="Arial" w:cs="Arial" w:eastAsia="Arial" w:hAnsi="Arial"/>
          <w:sz w:val="22"/>
          <w:szCs w:val="22"/>
          <w:color w:val="auto"/>
        </w:rPr>
        <w:t>”), then, and in each such case, Holder, upon exercise of this Warrant at any time after such Dividend Event, shall receive, in addition to the shares of Warrant Stock, the securities or such other assets of the Company that would have been payable to Holder if Holder had completed such exercise of this Warrant, immediately prior to such Dividend Event.</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b w:val="1"/>
          <w:bCs w:val="1"/>
          <w:u w:val="single" w:color="auto"/>
          <w:color w:val="auto"/>
        </w:rPr>
        <w:t>Adjustments After a Qualifying IPO</w:t>
      </w:r>
      <w:r>
        <w:rPr>
          <w:rFonts w:ascii="Arial" w:cs="Arial" w:eastAsia="Arial" w:hAnsi="Arial"/>
          <w:sz w:val="22"/>
          <w:szCs w:val="22"/>
          <w:color w:val="auto"/>
        </w:rPr>
        <w:t>. Following a Qualifying IPO, the Warrants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adjustment as set forth on Exhibit 2.</w:t>
      </w:r>
    </w:p>
    <w:p>
      <w:pPr>
        <w:spacing w:after="0" w:line="16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Adjustment for Reorganization, Consolidation, Merger</w:t>
      </w:r>
      <w:r>
        <w:rPr>
          <w:rFonts w:ascii="Arial" w:cs="Arial" w:eastAsia="Arial" w:hAnsi="Arial"/>
          <w:sz w:val="19"/>
          <w:szCs w:val="19"/>
          <w:color w:val="auto"/>
        </w:rPr>
        <w:t>. (a) In case of any recapitalization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reorganization of the Company or (b) in case the Company shall consolidate with or merge into one or more other corporations or entities which results in a change of the Warrant Stock (each, a “</w:t>
      </w:r>
      <w:r>
        <w:rPr>
          <w:rFonts w:ascii="Arial" w:cs="Arial" w:eastAsia="Arial" w:hAnsi="Arial"/>
          <w:sz w:val="19"/>
          <w:szCs w:val="19"/>
          <w:b w:val="1"/>
          <w:bCs w:val="1"/>
          <w:i w:val="1"/>
          <w:iCs w:val="1"/>
          <w:color w:val="auto"/>
        </w:rPr>
        <w:t>Reorganization Event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Reorganization Event shall exclude a Cash/Public Stock Change of Control), then, and in each such case, Holder, upon the exercise of this Warrant after such Reorganization Event shall be entitled to receive, in lieu of the stock or other securities and property that Holder would have been entitled to receive upon such exercise prior to such Reorganization Event, the stock or other securities or property which Holder would have been entitled to receive upon such Reorganization Event if, immediately prior to such Reorganization Event, Holder had completed such exercise of this Warrant, all subject to further adjustment as provided in this Warrant. In determining the kind and amount of stock, securities or property receivable upon exercise of this Warrant following the consummation of such Reorganization Event, if the holders of Common Stock (or, if applicable, such other securities as are of the same class as the Warrant Stock) have the right to elect the kind or amount of consideration receivable upon consummation of such Reorganization Event, then the composition of the securities and property that Holder will be entitled to receive upon exercise of the Warrant following any such Reorganization Event shall be deemed to be the weighted average per share of Common Stock (or, if applicable, such other securities as are of the same class as the Warrant Stock) of the types and amounts of consideration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439" w:name="page440"/>
    <w:bookmarkEnd w:id="439"/>
    <w:p>
      <w:pPr>
        <w:jc w:val="both"/>
        <w:spacing w:after="0" w:line="297" w:lineRule="auto"/>
        <w:rPr>
          <w:sz w:val="20"/>
          <w:szCs w:val="20"/>
          <w:color w:val="auto"/>
        </w:rPr>
      </w:pPr>
      <w:r>
        <w:rPr>
          <w:rFonts w:ascii="Arial" w:cs="Arial" w:eastAsia="Arial" w:hAnsi="Arial"/>
          <w:sz w:val="19"/>
          <w:szCs w:val="19"/>
          <w:color w:val="auto"/>
        </w:rPr>
        <w:t>by the holders of Common Stock (or, if applicable, such other securities as are of the same class as the Warrant Stock). If after such Reorganization Event, the Warrant is exercisable for securities of a corporation or entity other than the Company, then such corporation or entity shall duly execute and deliver to Holder a supplement hereto acknowledging such corporation’s or other entity’s obligations under this Warrant; and in each such case, the terms of this Warrant shall be applicable to the shares of stock or other securities or property receivable upon the exercise of this Warrant after the consummation of such Reorganization Event.</w:t>
      </w:r>
    </w:p>
    <w:p>
      <w:pPr>
        <w:spacing w:after="0" w:line="14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b w:val="1"/>
          <w:bCs w:val="1"/>
          <w:u w:val="single" w:color="auto"/>
          <w:color w:val="auto"/>
        </w:rPr>
        <w:t>Conversion of Stock</w:t>
      </w:r>
      <w:r>
        <w:rPr>
          <w:rFonts w:ascii="Arial" w:cs="Arial" w:eastAsia="Arial" w:hAnsi="Arial"/>
          <w:sz w:val="21"/>
          <w:szCs w:val="21"/>
          <w:color w:val="auto"/>
        </w:rPr>
        <w:t>. In case all (a) the authorized Warrant Stock is converted, exchanged, reclassified,</w:t>
      </w:r>
      <w:r>
        <w:rPr>
          <w:rFonts w:ascii="Arial" w:cs="Arial" w:eastAsia="Arial" w:hAnsi="Arial"/>
          <w:sz w:val="21"/>
          <w:szCs w:val="21"/>
          <w:b w:val="1"/>
          <w:bCs w:val="1"/>
          <w:color w:val="auto"/>
        </w:rPr>
        <w:t xml:space="preserve"> </w:t>
      </w:r>
      <w:r>
        <w:rPr>
          <w:rFonts w:ascii="Arial" w:cs="Arial" w:eastAsia="Arial" w:hAnsi="Arial"/>
          <w:sz w:val="21"/>
          <w:szCs w:val="21"/>
          <w:color w:val="auto"/>
        </w:rPr>
        <w:t>redesignated or reconstituted pursuant to the Company’s Certificate of Incorporation, including any successive such transactions with respect thereto, into Common Stock or any other securities or property, or (b) the Warrant Stock otherwise ceases to exist or to be authorized by the Company’s Certificate of Incorporation (each, a “</w:t>
      </w:r>
      <w:r>
        <w:rPr>
          <w:rFonts w:ascii="Arial" w:cs="Arial" w:eastAsia="Arial" w:hAnsi="Arial"/>
          <w:sz w:val="21"/>
          <w:szCs w:val="21"/>
          <w:b w:val="1"/>
          <w:bCs w:val="1"/>
          <w:i w:val="1"/>
          <w:iCs w:val="1"/>
          <w:color w:val="auto"/>
        </w:rPr>
        <w:t>Stock Event</w:t>
      </w:r>
      <w:r>
        <w:rPr>
          <w:rFonts w:ascii="Arial" w:cs="Arial" w:eastAsia="Arial" w:hAnsi="Arial"/>
          <w:sz w:val="21"/>
          <w:szCs w:val="21"/>
          <w:color w:val="auto"/>
        </w:rPr>
        <w:t>”), then Holder, upon exercise of this Warrant at any time after such Stock Event, shall receive, in lieu of the number of shares of Warrant Stock that would have been issuable upon exercise of this Warrant immediately prior to such Stock Event, the stock and other securities and property that Holder would have been entitled to receive upon the Stock Event, if, immediately prior to such Stock Event, Holder had completed such exercise of this Warrant.</w:t>
      </w:r>
    </w:p>
    <w:p>
      <w:pPr>
        <w:spacing w:after="0" w:line="17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5.5 </w:t>
      </w:r>
      <w:r>
        <w:rPr>
          <w:rFonts w:ascii="Arial" w:cs="Arial" w:eastAsia="Arial" w:hAnsi="Arial"/>
          <w:sz w:val="21"/>
          <w:szCs w:val="21"/>
          <w:b w:val="1"/>
          <w:bCs w:val="1"/>
          <w:u w:val="single" w:color="auto"/>
          <w:color w:val="auto"/>
        </w:rPr>
        <w:t>Notice of Adjustments</w:t>
      </w:r>
      <w:r>
        <w:rPr>
          <w:rFonts w:ascii="Arial" w:cs="Arial" w:eastAsia="Arial" w:hAnsi="Arial"/>
          <w:sz w:val="21"/>
          <w:szCs w:val="21"/>
          <w:color w:val="auto"/>
        </w:rPr>
        <w:t>. The Company shall promptly give written notice of each adjustment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the Warrant Price, the number of shares of Warrant Stock or other securities issuable upon exercise of this Warrant, the Qualifying Financing Cap Price Per Share or the Mandatory Cap Price Per Share. The notice shall describe the adjustment and show in reasonable detail the facts on which the adjustment or readjustment is based.</w:t>
      </w:r>
    </w:p>
    <w:p>
      <w:pPr>
        <w:spacing w:after="0" w:line="16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b w:val="1"/>
          <w:bCs w:val="1"/>
          <w:color w:val="auto"/>
        </w:rPr>
        <w:t xml:space="preserve">5.6 </w:t>
      </w:r>
      <w:r>
        <w:rPr>
          <w:rFonts w:ascii="Arial" w:cs="Arial" w:eastAsia="Arial" w:hAnsi="Arial"/>
          <w:sz w:val="21"/>
          <w:szCs w:val="21"/>
          <w:b w:val="1"/>
          <w:bCs w:val="1"/>
          <w:u w:val="single" w:color="auto"/>
          <w:color w:val="auto"/>
        </w:rPr>
        <w:t>No Change Necessary</w:t>
      </w:r>
      <w:r>
        <w:rPr>
          <w:rFonts w:ascii="Arial" w:cs="Arial" w:eastAsia="Arial" w:hAnsi="Arial"/>
          <w:sz w:val="21"/>
          <w:szCs w:val="21"/>
          <w:color w:val="auto"/>
        </w:rPr>
        <w:t>. The form of this Warrant need not be changed because of any adjustment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Warrant Price or in the number or type of shares of Warrant Stock or other property issuable upon its exercise.</w:t>
      </w:r>
    </w:p>
    <w:p>
      <w:pPr>
        <w:spacing w:after="0" w:line="139" w:lineRule="exact"/>
        <w:rPr>
          <w:sz w:val="20"/>
          <w:szCs w:val="20"/>
          <w:color w:val="auto"/>
        </w:rPr>
      </w:pPr>
    </w:p>
    <w:p>
      <w:pPr>
        <w:jc w:val="both"/>
        <w:ind w:firstLine="656"/>
        <w:spacing w:after="0" w:line="262" w:lineRule="auto"/>
        <w:tabs>
          <w:tab w:leader="none" w:pos="1296" w:val="left"/>
        </w:tabs>
        <w:numPr>
          <w:ilvl w:val="0"/>
          <w:numId w:val="2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DILUTIVE EVENTS</w:t>
      </w:r>
      <w:r>
        <w:rPr>
          <w:rFonts w:ascii="Arial" w:cs="Arial" w:eastAsia="Arial" w:hAnsi="Arial"/>
          <w:sz w:val="21"/>
          <w:szCs w:val="21"/>
          <w:color w:val="auto"/>
        </w:rPr>
        <w:t>. Prior to a Qualifying IPO, if any event shall occur as to which the provisions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Warrant are not strictly applicable but with respect to which the failure to make any adjustment would not fairly protect the anti-dilution rights represented by this Warrant in accordance with its essential intent and principles, then the Company and Holder agree that they shall cooperate in good faith to determine an appropriate adjustment to the terms of this Warrant on a basis consistent with the essential intent and principles established in this Warrant, necessary to preserve, without dilution, the purchase rights represented by this Warrant.</w:t>
      </w:r>
    </w:p>
    <w:p>
      <w:pPr>
        <w:spacing w:after="0" w:line="173" w:lineRule="exact"/>
        <w:rPr>
          <w:rFonts w:ascii="Arial" w:cs="Arial" w:eastAsia="Arial" w:hAnsi="Arial"/>
          <w:sz w:val="21"/>
          <w:szCs w:val="21"/>
          <w:b w:val="1"/>
          <w:bCs w:val="1"/>
          <w:color w:val="auto"/>
        </w:rPr>
      </w:pPr>
    </w:p>
    <w:p>
      <w:pPr>
        <w:jc w:val="both"/>
        <w:ind w:firstLine="656"/>
        <w:spacing w:after="0" w:line="247" w:lineRule="auto"/>
        <w:tabs>
          <w:tab w:leader="none" w:pos="1296"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DILUTION OR IMPAIRMENT</w:t>
      </w:r>
      <w:r>
        <w:rPr>
          <w:rFonts w:ascii="Arial" w:cs="Arial" w:eastAsia="Arial" w:hAnsi="Arial"/>
          <w:sz w:val="22"/>
          <w:szCs w:val="22"/>
          <w:color w:val="auto"/>
        </w:rPr>
        <w:t>. The Company shall not, by amendment of its Certificate of Incorporation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bylaws, or through any consolidation, merger, reorganization, transfer of assets,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dilution or other impairment in accordance with the terms of this Warrant. Without limiting the generality of the foregoing, the Company (a) will not permit the par value of any Warrant Stock to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440" w:name="page441"/>
    <w:bookmarkEnd w:id="440"/>
    <w:p>
      <w:pPr>
        <w:jc w:val="both"/>
        <w:spacing w:after="0" w:line="297" w:lineRule="auto"/>
        <w:rPr>
          <w:sz w:val="20"/>
          <w:szCs w:val="20"/>
          <w:color w:val="auto"/>
        </w:rPr>
      </w:pPr>
      <w:r>
        <w:rPr>
          <w:rFonts w:ascii="Arial" w:cs="Arial" w:eastAsia="Arial" w:hAnsi="Arial"/>
          <w:sz w:val="19"/>
          <w:szCs w:val="19"/>
          <w:color w:val="auto"/>
        </w:rPr>
        <w:t>amount payable therefor upon such exercise, (b) will take all such action as may be reasonably necessary or appropriate in order that the Company may validly and legally issue the Warrant Stock and (c) will not take any action that results in any adjustment of the Warrant Price if the total number of any class or series of Warrant Stock issuable upon exercise of this Warrant after such action would exceed the total number of shares of Common Stock or other securities, as applicable, then authorized by the Certificate of Incorporation and available for the purpose of issuance upon such exercise.</w:t>
      </w:r>
    </w:p>
    <w:p>
      <w:pPr>
        <w:spacing w:after="0" w:line="141"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PROVISIONS RELATING TO STOCKHOLDER RIGHTS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b w:val="1"/>
          <w:bCs w:val="1"/>
          <w:u w:val="single" w:color="auto"/>
          <w:color w:val="auto"/>
        </w:rPr>
        <w:t>“Market Stand-Off” Agreement</w:t>
      </w:r>
      <w:r>
        <w:rPr>
          <w:rFonts w:ascii="Arial" w:cs="Arial" w:eastAsia="Arial" w:hAnsi="Arial"/>
          <w:sz w:val="22"/>
          <w:szCs w:val="22"/>
          <w:color w:val="auto"/>
        </w:rPr>
        <w:t>. With respect to the Warrant Stock, Holder hereby agrees that it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bound by the obligations contained in Section 2.11 of that certain Amended and Restated Investors’ Rights Agreement, dated as of August 13, 2020, by and among the Company and the other parties thereto, as in effect on such date, as if Holder was a party thereto.</w:t>
      </w:r>
    </w:p>
    <w:p>
      <w:pPr>
        <w:spacing w:after="0" w:line="18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b w:val="1"/>
          <w:bCs w:val="1"/>
          <w:u w:val="single" w:color="auto"/>
          <w:color w:val="auto"/>
        </w:rPr>
        <w:t>No Voting or Other Rights</w:t>
      </w:r>
      <w:r>
        <w:rPr>
          <w:rFonts w:ascii="Arial" w:cs="Arial" w:eastAsia="Arial" w:hAnsi="Arial"/>
          <w:sz w:val="22"/>
          <w:szCs w:val="22"/>
          <w:color w:val="auto"/>
        </w:rPr>
        <w:t>. This Warrant does not entitle Holder to any voting rights or other rights as a</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of the Company, unless and until (and only to the extent that) this Warrant is actually validly exercised for shares of the Company’s capital stock in accordance with its terms. In the absence of valid exercise of this Warrant, no provisions of this Warrant, and no enumeration herein of the rights or privileges of Holder, shall cause Holder to be a stockholder of the Company for any purpose.</w:t>
      </w:r>
    </w:p>
    <w:p>
      <w:pPr>
        <w:spacing w:after="0" w:line="186"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HOLDER AND COMPANY</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order to induce the Company to issue this Warrant to the original Holder, the original Holder has made representations and warranties to the Company as set forth in the Purchase Agreement. In order to induce Holder to purchase this Warrant from the Company, the Company has made representations and warranties to Holder as set forth in the Purchase Agreement.</w:t>
      </w:r>
    </w:p>
    <w:p>
      <w:pPr>
        <w:spacing w:after="0" w:line="127"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 OF THE COMPANY</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b w:val="1"/>
          <w:bCs w:val="1"/>
          <w:u w:val="single" w:color="auto"/>
          <w:color w:val="auto"/>
        </w:rPr>
        <w:t>Notices of Record Date</w:t>
      </w:r>
      <w:r>
        <w:rPr>
          <w:rFonts w:ascii="Arial" w:cs="Arial" w:eastAsia="Arial" w:hAnsi="Arial"/>
          <w:sz w:val="22"/>
          <w:szCs w:val="22"/>
          <w:color w:val="auto"/>
        </w:rPr>
        <w:t>. In the event of any taking by the Company of a record of the holders of any class</w:t>
      </w:r>
      <w:r>
        <w:rPr>
          <w:rFonts w:ascii="Arial" w:cs="Arial" w:eastAsia="Arial" w:hAnsi="Arial"/>
          <w:sz w:val="22"/>
          <w:szCs w:val="22"/>
          <w:b w:val="1"/>
          <w:bCs w:val="1"/>
          <w:color w:val="auto"/>
        </w:rPr>
        <w:t xml:space="preserve"> </w:t>
      </w:r>
      <w:r>
        <w:rPr>
          <w:rFonts w:ascii="Arial" w:cs="Arial" w:eastAsia="Arial" w:hAnsi="Arial"/>
          <w:sz w:val="22"/>
          <w:szCs w:val="22"/>
          <w:color w:val="auto"/>
        </w:rPr>
        <w:t>of securities for the purpose of determining the holders thereof who are entitled to receive any dividend (other than a cash dividend which is the same as cash dividends paid in previous quarters or a stock dividend) or other distribution, the Company shall transmit to the Holder, at least ten (10) days prior to such record date, a notice specifying the date on which any such record is to be taken for the purpose of such dividend or distribution.</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Covenants as to Warrant Stock</w:t>
      </w:r>
      <w:r>
        <w:rPr>
          <w:rFonts w:ascii="Arial" w:cs="Arial" w:eastAsia="Arial" w:hAnsi="Arial"/>
          <w:sz w:val="22"/>
          <w:szCs w:val="22"/>
          <w:color w:val="auto"/>
        </w:rPr>
        <w:t>. The Company covenants and agrees that all Warrant Stock that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upon the exercise of the rights represented by this Warrant will, upon issuance in accordance with the terms hereof, be validly issued and outstanding, fully paid and nonassessable, and, subject to Section 11.4, free from all taxes, liens and charges with respect to the issuance thereof. The Company further covenants and agrees that the Company will at all times during the exercise period have authorized and reserved, free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441" w:name="page442"/>
    <w:bookmarkEnd w:id="441"/>
    <w:p>
      <w:pPr>
        <w:jc w:val="both"/>
        <w:spacing w:after="0" w:line="294" w:lineRule="auto"/>
        <w:rPr>
          <w:sz w:val="20"/>
          <w:szCs w:val="20"/>
          <w:color w:val="auto"/>
        </w:rPr>
      </w:pPr>
      <w:r>
        <w:rPr>
          <w:rFonts w:ascii="Arial" w:cs="Arial" w:eastAsia="Arial" w:hAnsi="Arial"/>
          <w:sz w:val="19"/>
          <w:szCs w:val="19"/>
          <w:color w:val="auto"/>
        </w:rPr>
        <w:t>preemptive rights, a sufficient number of shares of its Preferred Stock to provide for the exercise of the rights represented by this Warrant; it being understood and agreed that any Qualifying Financing Securities will not be so authorized or reserved until the time of the Next Financing. If at any time during the exercise period the number of authorized but unissued shares of Warrant Stock shall not be sufficient to permit exercise of this Warrant, the Company take such corporate action and use commercially reasonable efforts to obtain any required shareholder approval as may, in the opinion of its counsel, be necessary to increase its authorized but unissued shares of Warrant Stock to such number of shares as shall be sufficient for such purposes.</w:t>
      </w:r>
    </w:p>
    <w:p>
      <w:pPr>
        <w:spacing w:after="0" w:line="143"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any party is required to engage the services of any attorneys for the purpose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enforcing this Warrant, or any provision thereof, the prevailing party shall be entitled to recover its reasonable expenses and costs in enforcing this Warrant, including attorneys’ fees. For the avoidance of doubt, this section shall not limit the rights of Holder under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and in the event of any conflict between the terms of this section and the terms of </w:t>
      </w:r>
      <w:r>
        <w:rPr>
          <w:rFonts w:ascii="Arial" w:cs="Arial" w:eastAsia="Arial" w:hAnsi="Arial"/>
          <w:sz w:val="22"/>
          <w:szCs w:val="22"/>
          <w:u w:val="single" w:color="auto"/>
          <w:color w:val="auto"/>
        </w:rPr>
        <w:t>Section 12, 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will be deemed to prevail and control.</w:t>
      </w:r>
    </w:p>
    <w:p>
      <w:pPr>
        <w:spacing w:after="0" w:line="18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b w:val="1"/>
          <w:bCs w:val="1"/>
          <w:u w:val="single" w:color="auto"/>
          <w:color w:val="auto"/>
        </w:rPr>
        <w:t>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this Warrant nor any rights hereunder may be assigned, conveyed or transferred,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whole or in part, by the Company without Holder’s prior written consent. Subject to the foregoing, the rights and obligations of the Company and Holder under this Warrant and the Purchase Agreement shall be binding upon and benefit their respective permitted successors, assigns, heirs, administrators and transferees. Subject to the transfer restrictions set forth in </w:t>
      </w:r>
      <w:r>
        <w:rPr>
          <w:rFonts w:ascii="Arial" w:cs="Arial" w:eastAsia="Arial" w:hAnsi="Arial"/>
          <w:sz w:val="19"/>
          <w:szCs w:val="19"/>
          <w:u w:val="single" w:color="auto"/>
          <w:color w:val="auto"/>
        </w:rPr>
        <w:t>Sections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7.10</w:t>
      </w:r>
      <w:r>
        <w:rPr>
          <w:rFonts w:ascii="Arial" w:cs="Arial" w:eastAsia="Arial" w:hAnsi="Arial"/>
          <w:sz w:val="19"/>
          <w:szCs w:val="19"/>
          <w:color w:val="auto"/>
        </w:rPr>
        <w:t xml:space="preserve"> of the Purchase Agreement (as applicable), the Holder shall have the right to assign, convey or transfer this Warrant to any Person (as defined in the Purchase Agreement) at any time as long as the transferee agrees to be bound by the terms hereof</w:t>
      </w:r>
    </w:p>
    <w:p>
      <w:pPr>
        <w:spacing w:after="0" w:line="14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b w:val="1"/>
          <w:bCs w:val="1"/>
          <w:u w:val="single" w:color="auto"/>
          <w:color w:val="auto"/>
        </w:rPr>
        <w:t>Tax Treatment</w:t>
      </w:r>
      <w:r>
        <w:rPr>
          <w:rFonts w:ascii="Arial" w:cs="Arial" w:eastAsia="Arial" w:hAnsi="Arial"/>
          <w:sz w:val="22"/>
          <w:szCs w:val="22"/>
          <w:color w:val="auto"/>
        </w:rPr>
        <w:t>. Holder shall, and shall cause its Affiliates to, report and file tax returns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Intended Tax Treatment and the Allocation, and Holder shall not take any position in connection with tax matters that is inconsistent with the Intended Tax Treatment or the Allocation, except to the extent required by a final “determination” within the meaning of Section 1313(a) of the Code. All capitalized terms used in this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but not defined herein shall have the meanings ascribed to them in the Purchase Agreement.</w:t>
      </w:r>
    </w:p>
    <w:p>
      <w:pPr>
        <w:spacing w:after="0" w:line="18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be entitled to deduct and withhold from any amounts paid, or deemed</w:t>
      </w:r>
      <w:r>
        <w:rPr>
          <w:rFonts w:ascii="Arial" w:cs="Arial" w:eastAsia="Arial" w:hAnsi="Arial"/>
          <w:sz w:val="22"/>
          <w:szCs w:val="22"/>
          <w:b w:val="1"/>
          <w:bCs w:val="1"/>
          <w:color w:val="auto"/>
        </w:rPr>
        <w:t xml:space="preserve"> </w:t>
      </w:r>
      <w:r>
        <w:rPr>
          <w:rFonts w:ascii="Arial" w:cs="Arial" w:eastAsia="Arial" w:hAnsi="Arial"/>
          <w:sz w:val="22"/>
          <w:szCs w:val="22"/>
          <w:color w:val="auto"/>
        </w:rPr>
        <w:t>paid, hereunder any amounts in respect of taxes as the Company is required to deduct and withhold under applicable law; provided, that the Company shall reasonably cooperate with the applicable payee to reduce or eliminate the amount required to be so deducted and withheld. To the extent that amounts are so deducted or withheld, such deducted or withheld amounts shall be treated for purposes of this Warrant as having been paid to the person in respect of which such deduction and withholding was made.</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shall be governed by the internal law of the State of Delaware, regardless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that might otherwise govern under applicable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442" w:name="page443"/>
    <w:bookmarkEnd w:id="442"/>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 headings and captions used in this Warrant are used only for convenience and are not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in construing or interpreting this Warrant. All references in this Warrant to sections and exhibits shall, unless otherwise provided, refer to sections hereof and exhibits attached hereto, all of which exhibits are incorporated herein by this reference.</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provided herein, any notice required or permitted under this Warrant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given in writing and shall be deemed effectively given (a) at the time of personal delivery, if delivery is in person; (b) when sent, if sent by electronic mail or facsimile during normal business hours of the recipient, and if not sent during normal business hours, then on the recipient’s next Business Day; (c) one (1) Business Day after deposit with an express overnight courier for United States deliveries, or three (3) Business Days after deposit with an international express overnight air courier for deliveries outside of the United States, in each case with proof of delivery from the courier requested; or (d) four (4) Business Days after deposit in the United States mail by certified mail (return receipt requested) for United States deliveries, when addressed to the party to be notified at the address indicated for such party in Section 8.6 of the Purchase Agreement, or at such other address as any party hereto may designate by giving ten (10) days’ advance written notice to all other parties in accordance with the provisions of this </w:t>
      </w:r>
      <w:r>
        <w:rPr>
          <w:rFonts w:ascii="Arial" w:cs="Arial" w:eastAsia="Arial" w:hAnsi="Arial"/>
          <w:sz w:val="21"/>
          <w:szCs w:val="21"/>
          <w:u w:val="single" w:color="auto"/>
          <w:color w:val="auto"/>
        </w:rPr>
        <w:t>Section 11.7</w:t>
      </w:r>
      <w:r>
        <w:rPr>
          <w:rFonts w:ascii="Arial" w:cs="Arial" w:eastAsia="Arial" w:hAnsi="Arial"/>
          <w:sz w:val="21"/>
          <w:szCs w:val="21"/>
          <w:color w:val="auto"/>
        </w:rPr>
        <w:t>.</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b w:val="1"/>
          <w:bCs w:val="1"/>
          <w:u w:val="single" w:color="auto"/>
          <w:color w:val="auto"/>
        </w:rPr>
        <w:t>Amendment; Waiver</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may be amended and provisions may be waived (either generally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a particular instance and either retroactively or prospectively), only with the written consent of the Company and the Holder. Any amendment or waiver effected in accordance with this </w:t>
      </w:r>
      <w:r>
        <w:rPr>
          <w:rFonts w:ascii="Arial" w:cs="Arial" w:eastAsia="Arial" w:hAnsi="Arial"/>
          <w:sz w:val="22"/>
          <w:szCs w:val="22"/>
          <w:u w:val="single" w:color="auto"/>
          <w:color w:val="auto"/>
        </w:rPr>
        <w:t>Section 11.8</w:t>
      </w:r>
      <w:r>
        <w:rPr>
          <w:rFonts w:ascii="Arial" w:cs="Arial" w:eastAsia="Arial" w:hAnsi="Arial"/>
          <w:sz w:val="22"/>
          <w:szCs w:val="22"/>
          <w:color w:val="auto"/>
        </w:rPr>
        <w:t xml:space="preserve"> shall be binding upon Holder and the Company and their respective successors.</w:t>
      </w:r>
    </w:p>
    <w:p>
      <w:pPr>
        <w:spacing w:after="0" w:line="18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one or more provisions of this Warrant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provision(s) shall be excluded from this Warrant to the extent they are unenforceable and the remainder of the Warrant shall be interpreted as if such provision(s) were so excluded and shall be enforceable in accordance with its terms.</w:t>
      </w:r>
    </w:p>
    <w:p>
      <w:pPr>
        <w:spacing w:after="0" w:line="12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11.10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may be executed in two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xml:space="preserve"> www.docusign.com) or other transmission method and any counterpart so delivered shall be deemed to have been duly and validly delivered and be valid and effective for all purposes.</w:t>
      </w:r>
    </w:p>
    <w:p>
      <w:pPr>
        <w:spacing w:after="0" w:line="186" w:lineRule="exact"/>
        <w:rPr>
          <w:sz w:val="20"/>
          <w:szCs w:val="20"/>
          <w:color w:val="auto"/>
        </w:rPr>
      </w:pPr>
    </w:p>
    <w:p>
      <w:pPr>
        <w:jc w:val="both"/>
        <w:ind w:firstLine="656"/>
        <w:spacing w:after="0" w:line="295" w:lineRule="auto"/>
        <w:tabs>
          <w:tab w:leader="none" w:pos="1296" w:val="left"/>
        </w:tabs>
        <w:numPr>
          <w:ilvl w:val="0"/>
          <w:numId w:val="2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The Company shall indemnify Holder and its officers, directors, shareholders,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trustees, employees, agents, representatives and affiliates against any and all actions, suits, proceedings (including investigations, litigation or inquiries), claims, losses, damages, liabilities and expenses of any kind arising out of or in connection with the preparation, execution or delivery of, any advance made under, the indebtedness evidenced by, the Company’s use of any proceeds of, or any amendment, waiver or consent (whether or not such amendment, waiver or consent becomes effective) relating to this Warrant any time prior to the consummation of an IPO, including (without limitation)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1" w:right="339" w:bottom="1440" w:gutter="0" w:footer="0" w:header="0"/>
        </w:sectPr>
      </w:pPr>
    </w:p>
    <w:bookmarkStart w:id="443" w:name="page444"/>
    <w:bookmarkEnd w:id="443"/>
    <w:p>
      <w:pPr>
        <w:jc w:val="both"/>
        <w:spacing w:after="0" w:line="287" w:lineRule="auto"/>
        <w:rPr>
          <w:sz w:val="20"/>
          <w:szCs w:val="20"/>
          <w:color w:val="auto"/>
        </w:rPr>
      </w:pPr>
      <w:r>
        <w:rPr>
          <w:rFonts w:ascii="Arial" w:cs="Arial" w:eastAsia="Arial" w:hAnsi="Arial"/>
          <w:sz w:val="19"/>
          <w:szCs w:val="19"/>
          <w:color w:val="auto"/>
        </w:rPr>
        <w:t xml:space="preserve">reasonable out-of-pocket costs and expenses (including, without limitation, reasonable attorneys’ fees) in connection with: (i) enforcing or defending any rights or remedies under this Warrant, (ii) responding to any subpoena or other legal process or participating in any legal or other proceeding or investigation concerning the transactions contemplated by the Purchase Agreement and (iii) any insolvency or bankruptcy (or any other event of the type set forth in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of the Company. Without limiting the generality of the foregoing, the Company shall, upon demand, pay or reimburse each indemnitee for all indemnified costs and expenses (including reasonable attorneys’ fees and expenses) incurred thereby. Notwithstanding the foregoing, no person shall be entitled to any indemnification, payment or reimbursement in respect of any suit, action or other proceeding or any claim, loss, damage, liability or expense to the extent arising out of or in connection with any gross negligence or willful misconduct of such person. Notwithstanding anything herein to the contrary, the Company’s obligations under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shall survive the payment, transfer, conversion, cancellation, enforcement, amendment, waiver or release of this Warrant.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shall not apply with respect to taxes other than any taxes arising from any non-tax claim.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444" w:name="page445"/>
    <w:bookmarkEnd w:id="444"/>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Warrant as of the date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ROBINHOOD MARKETS, INC.</w:t>
      </w:r>
      <w:r>
        <w:rPr>
          <w:rFonts w:ascii="Arial" w:cs="Arial" w:eastAsia="Arial" w:hAnsi="Arial"/>
          <w:sz w:val="22"/>
          <w:szCs w:val="22"/>
          <w:color w:val="auto"/>
        </w:rPr>
        <w: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24130</wp:posOffset>
            </wp:positionV>
            <wp:extent cx="30175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24130</wp:posOffset>
            </wp:positionV>
            <wp:extent cx="30175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24130</wp:posOffset>
            </wp:positionV>
            <wp:extent cx="30175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w:t>
      </w:r>
    </w:p>
    <w:p>
      <w:pPr>
        <w:spacing w:after="0" w:line="226" w:lineRule="exact"/>
        <w:rPr>
          <w:sz w:val="20"/>
          <w:szCs w:val="20"/>
          <w:color w:val="auto"/>
        </w:rPr>
      </w:pPr>
    </w:p>
    <w:p>
      <w:pPr>
        <w:ind w:left="720" w:hanging="712"/>
        <w:spacing w:after="0"/>
        <w:tabs>
          <w:tab w:leader="none" w:pos="72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0"/>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327" w:lineRule="exact"/>
        <w:rPr>
          <w:rFonts w:ascii="Arial" w:cs="Arial" w:eastAsia="Arial" w:hAnsi="Arial"/>
          <w:sz w:val="22"/>
          <w:szCs w:val="22"/>
          <w:color w:val="auto"/>
        </w:rPr>
      </w:pPr>
    </w:p>
    <w:p>
      <w:pPr>
        <w:ind w:left="20"/>
        <w:spacing w:after="0"/>
        <w:rPr>
          <w:rFonts w:ascii="Arial" w:cs="Arial" w:eastAsia="Arial" w:hAnsi="Arial"/>
          <w:sz w:val="22"/>
          <w:szCs w:val="22"/>
          <w:color w:val="auto"/>
        </w:rPr>
      </w:pPr>
      <w:r>
        <w:rPr>
          <w:rFonts w:ascii="Arial" w:cs="Arial" w:eastAsia="Arial" w:hAnsi="Arial"/>
          <w:sz w:val="22"/>
          <w:szCs w:val="22"/>
          <w:color w:val="auto"/>
        </w:rPr>
        <w:t>Name:</w:t>
      </w:r>
    </w:p>
    <w:p>
      <w:pPr>
        <w:spacing w:after="0" w:line="327" w:lineRule="exact"/>
        <w:rPr>
          <w:rFonts w:ascii="Arial" w:cs="Arial" w:eastAsia="Arial" w:hAnsi="Arial"/>
          <w:sz w:val="22"/>
          <w:szCs w:val="22"/>
          <w:color w:val="auto"/>
        </w:rPr>
      </w:pPr>
    </w:p>
    <w:p>
      <w:pPr>
        <w:ind w:left="20"/>
        <w:spacing w:after="0"/>
        <w:rPr>
          <w:rFonts w:ascii="Arial" w:cs="Arial" w:eastAsia="Arial" w:hAnsi="Arial"/>
          <w:sz w:val="22"/>
          <w:szCs w:val="22"/>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24130</wp:posOffset>
            </wp:positionV>
            <wp:extent cx="30175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-343535</wp:posOffset>
            </wp:positionV>
            <wp:extent cx="30175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-712470</wp:posOffset>
            </wp:positionV>
            <wp:extent cx="30175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39"/>
          </w:cols>
          <w:pgMar w:left="320" w:top="1421" w:right="1440"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22"/>
          <w:szCs w:val="22"/>
          <w:b w:val="1"/>
          <w:bCs w:val="1"/>
          <w:color w:val="auto"/>
        </w:rPr>
        <w:t>EXHIBIT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OF SUBSCRIPTION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(To be completed and signed only upon exercise of Warrant)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Robinhood Markets, Inc.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w:t>
      </w:r>
    </w:p>
    <w:p>
      <w:pPr>
        <w:sectPr>
          <w:pgSz w:w="11900" w:h="16838" w:orient="portrait"/>
          <w:cols w:equalWidth="0" w:num="1">
            <w:col w:w="11240"/>
          </w:cols>
          <w:pgMar w:left="320" w:top="1421" w:right="339" w:bottom="1440" w:gutter="0" w:footer="0" w:header="0"/>
        </w:sectPr>
      </w:pPr>
    </w:p>
    <w:p>
      <w:pPr>
        <w:spacing w:after="0" w:line="22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We refer to that certain Warrant to Purchase Stock of the Company, Warrant No. [ (the “</w:t>
      </w:r>
      <w:r>
        <w:rPr>
          <w:rFonts w:ascii="Arial" w:cs="Arial" w:eastAsia="Arial" w:hAnsi="Arial"/>
          <w:sz w:val="22"/>
          <w:szCs w:val="22"/>
          <w:b w:val="1"/>
          <w:bCs w:val="1"/>
          <w:i w:val="1"/>
          <w:iCs w:val="1"/>
          <w:color w:val="auto"/>
        </w:rPr>
        <w:t>Warrant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issued on February 12, 2021</w:t>
      </w:r>
    </w:p>
    <w:p>
      <w:pPr>
        <w:spacing w:after="0" w:line="504" w:lineRule="exact"/>
        <w:rPr>
          <w:sz w:val="20"/>
          <w:szCs w:val="20"/>
          <w:color w:val="auto"/>
        </w:rPr>
      </w:pPr>
    </w:p>
    <w:p>
      <w:pPr>
        <w:sectPr>
          <w:pgSz w:w="11900" w:h="16838" w:orient="portrait"/>
          <w:cols w:equalWidth="0" w:num="2">
            <w:col w:w="7860" w:space="720"/>
            <w:col w:w="2660"/>
          </w:cols>
          <w:pgMar w:left="320" w:top="1421"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Select one of the following two alternatives:</w:t>
      </w:r>
    </w:p>
    <w:p>
      <w:pPr>
        <w:sectPr>
          <w:pgSz w:w="11900" w:h="16838" w:orient="portrait"/>
          <w:cols w:equalWidth="0" w:num="1">
            <w:col w:w="11240"/>
          </w:cols>
          <w:pgMar w:left="320" w:top="1421" w:right="339" w:bottom="1440" w:gutter="0" w:footer="0" w:header="0"/>
          <w:type w:val="continuous"/>
        </w:sectPr>
      </w:pPr>
    </w:p>
    <w:p>
      <w:pPr>
        <w:spacing w:after="0" w:line="254" w:lineRule="exact"/>
        <w:rPr>
          <w:sz w:val="20"/>
          <w:szCs w:val="20"/>
          <w:color w:val="auto"/>
        </w:rPr>
      </w:pPr>
    </w:p>
    <w:p>
      <w:pPr>
        <w:jc w:val="both"/>
        <w:ind w:left="660" w:right="660"/>
        <w:spacing w:after="0" w:line="294" w:lineRule="auto"/>
        <w:rPr>
          <w:sz w:val="20"/>
          <w:szCs w:val="20"/>
          <w:color w:val="auto"/>
        </w:rPr>
      </w:pPr>
      <w:r>
        <w:rPr>
          <w:rFonts w:ascii="Arial" w:cs="Arial" w:eastAsia="Arial" w:hAnsi="Arial"/>
          <w:sz w:val="19"/>
          <w:szCs w:val="19"/>
          <w:b w:val="1"/>
          <w:bCs w:val="1"/>
          <w:u w:val="single" w:color="auto"/>
          <w:color w:val="auto"/>
        </w:rPr>
        <w:t>Cash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On the terms and conditions set forth in the Warrant, the undersigned Holder hereby elects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__________ shares of ____________________ Stock of Robinhood Markets, Inc. (the “</w:t>
      </w:r>
      <w:r>
        <w:rPr>
          <w:rFonts w:ascii="Arial" w:cs="Arial" w:eastAsia="Arial" w:hAnsi="Arial"/>
          <w:sz w:val="19"/>
          <w:szCs w:val="19"/>
          <w:b w:val="1"/>
          <w:bCs w:val="1"/>
          <w:i w:val="1"/>
          <w:iCs w:val="1"/>
          <w:color w:val="auto"/>
        </w:rPr>
        <w:t>Warrant</w:t>
      </w:r>
    </w:p>
    <w:p>
      <w:pPr>
        <w:spacing w:after="0" w:line="2" w:lineRule="exact"/>
        <w:rPr>
          <w:sz w:val="20"/>
          <w:szCs w:val="20"/>
          <w:color w:val="auto"/>
        </w:rPr>
      </w:pPr>
    </w:p>
    <w:p>
      <w:pPr>
        <w:jc w:val="both"/>
        <w:ind w:left="660" w:right="660"/>
        <w:spacing w:after="0" w:line="246" w:lineRule="auto"/>
        <w:rPr>
          <w:sz w:val="20"/>
          <w:szCs w:val="20"/>
          <w:color w:val="auto"/>
        </w:rPr>
      </w:pPr>
      <w:r>
        <w:rPr>
          <w:rFonts w:ascii="Arial" w:cs="Arial" w:eastAsia="Arial" w:hAnsi="Arial"/>
          <w:sz w:val="22"/>
          <w:szCs w:val="22"/>
          <w:b w:val="1"/>
          <w:bCs w:val="1"/>
          <w:i w:val="1"/>
          <w:iCs w:val="1"/>
          <w:color w:val="auto"/>
        </w:rPr>
        <w:t>Stock</w:t>
      </w:r>
      <w:r>
        <w:rPr>
          <w:rFonts w:ascii="Arial" w:cs="Arial" w:eastAsia="Arial" w:hAnsi="Arial"/>
          <w:sz w:val="22"/>
          <w:szCs w:val="22"/>
          <w:color w:val="auto"/>
        </w:rPr>
        <w:t>”), pursuant to the terms of the attached Warrant, and tenders herewith payment of the purchase price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such shares in full.</w:t>
      </w:r>
    </w:p>
    <w:p>
      <w:pPr>
        <w:spacing w:after="0" w:line="186" w:lineRule="exact"/>
        <w:rPr>
          <w:sz w:val="20"/>
          <w:szCs w:val="20"/>
          <w:color w:val="auto"/>
        </w:rPr>
      </w:pPr>
    </w:p>
    <w:p>
      <w:pPr>
        <w:jc w:val="both"/>
        <w:ind w:left="660" w:right="640"/>
        <w:spacing w:after="0" w:line="252" w:lineRule="auto"/>
        <w:rPr>
          <w:sz w:val="20"/>
          <w:szCs w:val="20"/>
          <w:color w:val="auto"/>
        </w:rPr>
      </w:pPr>
      <w:r>
        <w:rPr>
          <w:rFonts w:ascii="Arial" w:cs="Arial" w:eastAsia="Arial" w:hAnsi="Arial"/>
          <w:sz w:val="22"/>
          <w:szCs w:val="22"/>
          <w:b w:val="1"/>
          <w:bCs w:val="1"/>
          <w:u w:val="single" w:color="auto"/>
          <w:color w:val="auto"/>
        </w:rPr>
        <w:t>Net Exercise Election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terms and conditions set forth in the Warrant, the undersigned Holder elects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convert the Warrant into shares of Warrant Stock of Robinhood Markets, Inc.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Warrant Stock</w:t>
      </w:r>
      <w:r>
        <w:rPr>
          <w:rFonts w:ascii="Arial" w:cs="Arial" w:eastAsia="Arial" w:hAnsi="Arial"/>
          <w:sz w:val="22"/>
          <w:szCs w:val="22"/>
          <w:color w:val="auto"/>
        </w:rPr>
        <w:t>”) by net exercise election pursuant to Section 2.6 of the Warrant. This conversion is exercised with respect to a Purchase Amount of $_________________.</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exercising the Warrant, the undersigned Holder hereby confirms and acknowledges that the representations and warranties set forth in Section 3 of the Purchase Agreement as they apply to the undersigned Holder continue to be true and complete as of this date. Please issue a certificate or certificates representing such shares of Warrant Stock in Holder’s name and deliver such certificate(s) to Holder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235585</wp:posOffset>
            </wp:positionV>
            <wp:extent cx="24860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84"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298450</wp:posOffset>
            </wp:positionV>
            <wp:extent cx="24860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298450</wp:posOffset>
            </wp:positionV>
            <wp:extent cx="24860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(Federal Tax Identification Number)</w:t>
      </w:r>
    </w:p>
    <w:p>
      <w:pPr>
        <w:spacing w:after="0" w:line="3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Holder has executed and delivered the Warrant and this Subscription Form</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date set forth below.</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2280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8"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24130</wp:posOffset>
            </wp:positionV>
            <wp:extent cx="2400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2"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24130</wp:posOffset>
            </wp:positionV>
            <wp:extent cx="2400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92" w:lineRule="exact"/>
        <w:rPr>
          <w:sz w:val="20"/>
          <w:szCs w:val="20"/>
          <w:color w:val="auto"/>
        </w:rPr>
      </w:pPr>
    </w:p>
    <w:p>
      <w:pPr>
        <w:ind w:left="68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24130</wp:posOffset>
            </wp:positionV>
            <wp:extent cx="24003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46" w:name="page447"/>
    <w:bookmarkEnd w:id="446"/>
    <w:p>
      <w:pPr>
        <w:jc w:val="center"/>
        <w:spacing w:after="0"/>
        <w:rPr>
          <w:sz w:val="20"/>
          <w:szCs w:val="20"/>
          <w:color w:val="auto"/>
        </w:rPr>
      </w:pPr>
      <w:r>
        <w:rPr>
          <w:rFonts w:ascii="Arial" w:cs="Arial" w:eastAsia="Arial" w:hAnsi="Arial"/>
          <w:sz w:val="22"/>
          <w:szCs w:val="22"/>
          <w:b w:val="1"/>
          <w:bCs w:val="1"/>
          <w:color w:val="auto"/>
        </w:rPr>
        <w:t>EXHIBIT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POST-IPO WARRANT ADJUSTMENTS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any person, any person directly or indirectly controlling, controlled by or under common control with, such other person. For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when used with respect to any person, means the possession, directly or indirectly, of the power to cause the direction of management and/or policies of such person, whether through the ownership of voting securities by contract or otherwise.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Stock</w:t>
      </w:r>
      <w:r>
        <w:rPr>
          <w:rFonts w:ascii="Arial" w:cs="Arial" w:eastAsia="Arial" w:hAnsi="Arial"/>
          <w:sz w:val="22"/>
          <w:szCs w:val="22"/>
          <w:color w:val="auto"/>
        </w:rPr>
        <w:t>” means (A) with respect to any Person that is a corporation, any and all shares, interests, participations or other equivalents (however designated) of capital or capital stock of such Person and (B) with respect to any Person that is not a corporation, any and all partnership or other equity interests of such Person.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with respect to any security or other property, the fair market value of such security or other property as determined by the Board of Directors, acting in good faith.</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Market Price</w:t>
      </w:r>
      <w:r>
        <w:rPr>
          <w:rFonts w:ascii="Arial" w:cs="Arial" w:eastAsia="Arial" w:hAnsi="Arial"/>
          <w:sz w:val="19"/>
          <w:szCs w:val="19"/>
          <w:color w:val="auto"/>
        </w:rPr>
        <w:t>” means, with respect to the Common Stock, on any given day, the last sale price, regular way, or, in case no such sale takes place on such day, the average of the closing bid and asked prices, regular way, of the shares of the Common Stock on the Relevant Exchange on such day. If the Common Stock is not listed on the Relevant Exchange on any date of determination, the Market Price of the Common Stock on such date of determination means the closing sale price as reported in the composite transactions for the principal U.S. national or regional securities exchange on which the Common Stock is so listed or quoted, or, if no closing sale price is reported, the last reported sale price on the principal U.S. national or regional securities exchange on which the Common Stock is so listed or quoted, or, if the Common Stock is not so listed or quoted on a U.S. national or regional securities exchange, the last quoted bid price for the Common Stock in the over-the-counter market as reported by Pink Sheets LLC or a similar organization, or, if that bid price is not available, the Market Price of the Common Stock on that date shall mean the Fair Market Value per share as determined by the Board of Directors in reliance on an opinion of a nationally recognized independent investment banking firm retained by the Company for this purpose. For the purposes of determining the Market Price of the Common Stock on the “trading day” preceding, on or following the occurrence of an event,</w:t>
      </w:r>
    </w:p>
    <w:p>
      <w:pPr>
        <w:spacing w:after="0" w:line="4" w:lineRule="exact"/>
        <w:rPr>
          <w:sz w:val="20"/>
          <w:szCs w:val="20"/>
          <w:color w:val="auto"/>
        </w:rPr>
      </w:pPr>
    </w:p>
    <w:p>
      <w:pPr>
        <w:jc w:val="both"/>
        <w:ind w:firstLine="8"/>
        <w:spacing w:after="0" w:line="244" w:lineRule="auto"/>
        <w:tabs>
          <w:tab w:leader="none" w:pos="2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that trading day shall be deemed to commence immediately after the regular scheduled closing time of trading on the Relevant Exchange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19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Cash Dividends</w:t>
      </w:r>
      <w:r>
        <w:rPr>
          <w:rFonts w:ascii="Arial" w:cs="Arial" w:eastAsia="Arial" w:hAnsi="Arial"/>
          <w:sz w:val="22"/>
          <w:szCs w:val="22"/>
          <w:color w:val="auto"/>
        </w:rPr>
        <w:t>” means a regular quarterly cash dividend, consistent with the Company’s then-current dividend policy, on shares of Common Stock out of surplus or net</w:t>
      </w:r>
    </w:p>
    <w:p>
      <w:pPr>
        <w:sectPr>
          <w:pgSz w:w="11900" w:h="16838" w:orient="portrait"/>
          <w:cols w:equalWidth="0" w:num="1">
            <w:col w:w="11240"/>
          </w:cols>
          <w:pgMar w:left="320" w:top="1421" w:right="339" w:bottom="1440" w:gutter="0" w:footer="0" w:header="0"/>
        </w:sectPr>
      </w:pPr>
    </w:p>
    <w:bookmarkStart w:id="447" w:name="page448"/>
    <w:bookmarkEnd w:id="447"/>
    <w:p>
      <w:pPr>
        <w:jc w:val="both"/>
        <w:ind w:right="20"/>
        <w:spacing w:after="0" w:line="263" w:lineRule="auto"/>
        <w:rPr>
          <w:sz w:val="20"/>
          <w:szCs w:val="20"/>
          <w:color w:val="auto"/>
        </w:rPr>
      </w:pPr>
      <w:r>
        <w:rPr>
          <w:rFonts w:ascii="Arial" w:cs="Arial" w:eastAsia="Arial" w:hAnsi="Arial"/>
          <w:sz w:val="22"/>
          <w:szCs w:val="22"/>
          <w:color w:val="auto"/>
        </w:rPr>
        <w:t>profits legally available therefor (determined in accordance with generally accepted accounting principles in effect from time to time).</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Pro Rata Repurchases</w:t>
      </w:r>
      <w:r>
        <w:rPr>
          <w:rFonts w:ascii="Arial" w:cs="Arial" w:eastAsia="Arial" w:hAnsi="Arial"/>
          <w:sz w:val="21"/>
          <w:szCs w:val="21"/>
          <w:color w:val="auto"/>
        </w:rPr>
        <w:t>” means any purchase of shares of Common Stock by the Company or any Affiliate thereof</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“effective date” of a Pro Rata Repurchase shall mean the date of acceptance of shares for purchase or exchange by the Company under any tender or exchange offer that is a Pro Rata Repurchase or the date of purchase with respect to any Pro Rata Repurchase that is not a tender or exchange offer.</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Relevant Exchange</w:t>
      </w:r>
      <w:r>
        <w:rPr>
          <w:rFonts w:ascii="Arial" w:cs="Arial" w:eastAsia="Arial" w:hAnsi="Arial"/>
          <w:sz w:val="22"/>
          <w:szCs w:val="22"/>
          <w:color w:val="auto"/>
        </w:rPr>
        <w:t>” means the principal nationally recognized securities exchange in the United States on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is listed.</w:t>
      </w:r>
    </w:p>
    <w:p>
      <w:pPr>
        <w:spacing w:after="0" w:line="162" w:lineRule="exact"/>
        <w:rPr>
          <w:sz w:val="20"/>
          <w:szCs w:val="20"/>
          <w:color w:val="auto"/>
        </w:rPr>
      </w:pPr>
    </w:p>
    <w:p>
      <w:pPr>
        <w:jc w:val="both"/>
        <w:ind w:firstLine="656"/>
        <w:spacing w:after="0" w:line="287" w:lineRule="auto"/>
        <w:tabs>
          <w:tab w:leader="none" w:pos="1026" w:val="left"/>
        </w:tabs>
        <w:numPr>
          <w:ilvl w:val="0"/>
          <w:numId w:val="2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Stock Splits, Subdivisions, Reclassifications or Combinations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shall (i) declare and pay a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or make a distribution on its Common Stock in shares of Common Stock, (ii) subdivide or reclassify the outstanding shares of Common Stock into a greater number of shares, or (iii) combine or reclassify the outstanding shares of Common Stock into a smaller number of shares, the number of shares of Warrant Stock issuable upon exercise of this Warrant at the time of the record date for such dividend or distribution or the effective date of such subdivision, combination or reclassification shall be proportionately adjusted so that the Holder after such date shall be entitled to purchase the number of shares of Warrant Stock that such holder would have owned or been entitled to receive in respect of the shares of Warrant Stock subject to this Warrant after such date had this Warrant been exercised immediately prior to such date. In such event, the Warrant Price in effect at the time of the record date for such dividend or distribution or the effective date of such subdivision, combination or reclassification shall be adjusted to the number obtained by dividing (x) the product of (1) the number of shares of Warrant Stock issuable upon the exercise of this Warrant before such adjustment and (2) the Warrant Price in effect immediately prior to the record or effective date, as the case may be, for the dividend, distribution, subdivision, combination or reclassification giving rise to this adjustment by (y) the new number of shares of Warrant Stock issuable upon exercise of the Warrant determined pursuant to the immediately preceding sentence.</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656"/>
        <w:spacing w:after="0" w:line="248" w:lineRule="auto"/>
        <w:tabs>
          <w:tab w:leader="none" w:pos="1107"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Issuances of Common Stock or Convertible Securities</w:t>
      </w:r>
      <w:r>
        <w:rPr>
          <w:rFonts w:ascii="Arial" w:cs="Arial" w:eastAsia="Arial" w:hAnsi="Arial"/>
          <w:sz w:val="22"/>
          <w:szCs w:val="22"/>
          <w:color w:val="auto"/>
        </w:rPr>
        <w:t>. If the Company shall issue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(or rights or warrants or other securities exercisable or convertible into or exchangeable (collectively, a “</w:t>
      </w:r>
      <w:r>
        <w:rPr>
          <w:rFonts w:ascii="Arial" w:cs="Arial" w:eastAsia="Arial" w:hAnsi="Arial"/>
          <w:sz w:val="22"/>
          <w:szCs w:val="22"/>
          <w:u w:val="single" w:color="auto"/>
          <w:color w:val="auto"/>
        </w:rPr>
        <w:t>conversion</w:t>
      </w:r>
      <w:r>
        <w:rPr>
          <w:rFonts w:ascii="Arial" w:cs="Arial" w:eastAsia="Arial" w:hAnsi="Arial"/>
          <w:sz w:val="22"/>
          <w:szCs w:val="22"/>
          <w:color w:val="auto"/>
        </w:rPr>
        <w:t>”) for shares of Common Stock (collectively, “</w:t>
      </w:r>
      <w:r>
        <w:rPr>
          <w:rFonts w:ascii="Arial" w:cs="Arial" w:eastAsia="Arial" w:hAnsi="Arial"/>
          <w:sz w:val="22"/>
          <w:szCs w:val="22"/>
          <w:b w:val="1"/>
          <w:bCs w:val="1"/>
          <w:i w:val="1"/>
          <w:iCs w:val="1"/>
          <w:color w:val="auto"/>
        </w:rPr>
        <w:t>convertible securities</w:t>
      </w:r>
      <w:r>
        <w:rPr>
          <w:rFonts w:ascii="Arial" w:cs="Arial" w:eastAsia="Arial" w:hAnsi="Arial"/>
          <w:sz w:val="22"/>
          <w:szCs w:val="22"/>
          <w:color w:val="auto"/>
        </w:rPr>
        <w:t xml:space="preserve">”)) (other than in Permitted Transactions (as defined below) or a transaction to which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is applicable) without consideration or at a consideration per share (or having a conversion price per share) that is less than 95% of the Market Price on the last trading day preceding the date of the agreement establishing the price</w:t>
      </w:r>
    </w:p>
    <w:p>
      <w:pPr>
        <w:sectPr>
          <w:pgSz w:w="11900" w:h="16838" w:orient="portrait"/>
          <w:cols w:equalWidth="0" w:num="1">
            <w:col w:w="11240"/>
          </w:cols>
          <w:pgMar w:left="320" w:top="1427" w:right="339" w:bottom="1440" w:gutter="0" w:footer="0" w:header="0"/>
        </w:sectPr>
      </w:pPr>
    </w:p>
    <w:bookmarkStart w:id="448" w:name="page449"/>
    <w:bookmarkEnd w:id="448"/>
    <w:p>
      <w:pPr>
        <w:spacing w:after="0" w:line="263" w:lineRule="auto"/>
        <w:rPr>
          <w:sz w:val="20"/>
          <w:szCs w:val="20"/>
          <w:color w:val="auto"/>
        </w:rPr>
      </w:pPr>
      <w:r>
        <w:rPr>
          <w:rFonts w:ascii="Arial" w:cs="Arial" w:eastAsia="Arial" w:hAnsi="Arial"/>
          <w:sz w:val="22"/>
          <w:szCs w:val="22"/>
          <w:color w:val="auto"/>
        </w:rPr>
        <w:t>(or the relevant date for establishing such price set forth in such agreement) such shares (or such convertible securities) then, in such event:</w:t>
      </w:r>
    </w:p>
    <w:p>
      <w:pPr>
        <w:spacing w:after="0" w:line="175" w:lineRule="exact"/>
        <w:rPr>
          <w:sz w:val="20"/>
          <w:szCs w:val="20"/>
          <w:color w:val="auto"/>
        </w:rPr>
      </w:pPr>
    </w:p>
    <w:p>
      <w:pPr>
        <w:jc w:val="both"/>
        <w:ind w:left="660" w:firstLine="644"/>
        <w:spacing w:after="0" w:line="287" w:lineRule="auto"/>
        <w:tabs>
          <w:tab w:leader="none" w:pos="180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number of shares of Warrant Stock issuable upon the exercise of this Warrant immediately prior to the date of the agreement establishing the price (or the relevant date for establishing such price set forth in such agreement) of such shares (or of such convertible securities) (the “</w:t>
      </w:r>
      <w:r>
        <w:rPr>
          <w:rFonts w:ascii="Arial" w:cs="Arial" w:eastAsia="Arial" w:hAnsi="Arial"/>
          <w:sz w:val="19"/>
          <w:szCs w:val="19"/>
          <w:b w:val="1"/>
          <w:bCs w:val="1"/>
          <w:i w:val="1"/>
          <w:iCs w:val="1"/>
          <w:color w:val="auto"/>
        </w:rPr>
        <w:t>Initial Number</w:t>
      </w:r>
      <w:r>
        <w:rPr>
          <w:rFonts w:ascii="Arial" w:cs="Arial" w:eastAsia="Arial" w:hAnsi="Arial"/>
          <w:sz w:val="19"/>
          <w:szCs w:val="19"/>
          <w:color w:val="auto"/>
        </w:rPr>
        <w:t>”) shall be increased to the number obtained by multiplying the Initial Number by a fraction (a) the numerator of which shall be the sum of (x) the number of shares of Common Stock of the Company outstanding on such date and (y) the number of additional shares of Common Stock issued (or into which convertible securities may be exercised or convert) and (b) the denominator of which shall be the sum of (x) the number of shares of Common Stock outstanding on such date and (y) the number of shares of Common Stock that the aggregate consideration receivable by the Company for the total number of shares of Common Stock so issued (or into which convertible securities may be exercised or convert) would purchase at the Market Price on the last trading day preceding the date of the agreement establishing the price (or the relevant date for establishing such price set forth in such agreement) such shares (or such convertible securities); and</w:t>
      </w:r>
    </w:p>
    <w:p>
      <w:pPr>
        <w:spacing w:after="0" w:line="163" w:lineRule="exact"/>
        <w:rPr>
          <w:rFonts w:ascii="Arial" w:cs="Arial" w:eastAsia="Arial" w:hAnsi="Arial"/>
          <w:sz w:val="19"/>
          <w:szCs w:val="19"/>
          <w:color w:val="auto"/>
        </w:rPr>
      </w:pPr>
    </w:p>
    <w:p>
      <w:pPr>
        <w:jc w:val="both"/>
        <w:ind w:left="660" w:firstLine="644"/>
        <w:spacing w:after="0" w:line="297" w:lineRule="auto"/>
        <w:tabs>
          <w:tab w:leader="none" w:pos="182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Warrant Price payable upon exercise of the Warrant shall be adjusted by multiplying such Warrant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(i) above.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For purposes of the foregoing, the aggregate consideration receivable by the Company in connection with the issuance of such shares of Common Stock or convertible securities shall be deemed to be equal to the sum of the net offering price (after deduction of any related expenses payable to third parties) of all such securities plus the minimum aggregate amount, if any, payable upon exercise or conversion of any such convertible securities into shares of Common Stock; and “</w:t>
      </w:r>
      <w:r>
        <w:rPr>
          <w:rFonts w:ascii="Arial" w:cs="Arial" w:eastAsia="Arial" w:hAnsi="Arial"/>
          <w:sz w:val="19"/>
          <w:szCs w:val="19"/>
          <w:b w:val="1"/>
          <w:bCs w:val="1"/>
          <w:i w:val="1"/>
          <w:iCs w:val="1"/>
          <w:color w:val="auto"/>
        </w:rPr>
        <w:t>Permitted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Transactions</w:t>
      </w:r>
      <w:r>
        <w:rPr>
          <w:rFonts w:ascii="Arial" w:cs="Arial" w:eastAsia="Arial" w:hAnsi="Arial"/>
          <w:sz w:val="19"/>
          <w:szCs w:val="19"/>
          <w:color w:val="auto"/>
        </w:rPr>
        <w:t>” shall include issuances (1) as consideration for or to fund the acquisition by the Company of businesses and/or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constituting a significant part of a business, (2) in connection with employee benefit plans and compensation related arrangements of the Company approved by the Board of Directors of the Company (the “</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and (3) in connection with a broadly marketed public offering (which shall include a Rule 144A offering of convertible securities) and sale of Common Stock or convertible securities for cash conducted by the Company on a basis consistent with public companies similar to the Company in their own capital raising transactions. Any adjustment made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become effective immediately upon the date of such issuance.</w:t>
      </w: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56" w:lineRule="auto"/>
        <w:tabs>
          <w:tab w:leader="none" w:pos="108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Distributions</w:t>
      </w:r>
      <w:r>
        <w:rPr>
          <w:rFonts w:ascii="Arial" w:cs="Arial" w:eastAsia="Arial" w:hAnsi="Arial"/>
          <w:sz w:val="22"/>
          <w:szCs w:val="22"/>
          <w:color w:val="auto"/>
        </w:rPr>
        <w:t>. In case the Company shall fix a record date for the making of a distribution to all holders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its Common Stock of securities, evidences of indebtedness, assets, cash, rights or warrants (excluding (x) Ordinary Cash Dividends and</w:t>
      </w:r>
    </w:p>
    <w:p>
      <w:pPr>
        <w:sectPr>
          <w:pgSz w:w="11900" w:h="16838" w:orient="portrait"/>
          <w:cols w:equalWidth="0" w:num="1">
            <w:col w:w="11240"/>
          </w:cols>
          <w:pgMar w:left="320" w:top="1427" w:right="339" w:bottom="1440" w:gutter="0" w:footer="0" w:header="0"/>
        </w:sectPr>
      </w:pPr>
    </w:p>
    <w:bookmarkStart w:id="449" w:name="page450"/>
    <w:bookmarkEnd w:id="449"/>
    <w:p>
      <w:pPr>
        <w:jc w:val="both"/>
        <w:ind w:left="-8" w:firstLine="8"/>
        <w:spacing w:after="0" w:line="284" w:lineRule="auto"/>
        <w:tabs>
          <w:tab w:leader="none" w:pos="30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dividends of its Common Stock and other dividends or distributions referred to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 in each such case, the Warrant Price in effect prior to such record date shall be reduced immediately thereafter to the price determined by multiplying the Warrant Price in effect immediately prior to the reduction by the quotient of (i) the Market Price of the Common Stock on the last trading day preceding the first date on which the Common Stock trades regular way on the Relevant Exchange without the right to receive such distribution, minus the amount of cash or the Fair Market Value of the securities, evidences of indebtedness, assets, rights or warrants to be so distributed in respect of one share of Common Stock (the “</w:t>
      </w:r>
      <w:r>
        <w:rPr>
          <w:rFonts w:ascii="Arial" w:cs="Arial" w:eastAsia="Arial" w:hAnsi="Arial"/>
          <w:sz w:val="19"/>
          <w:szCs w:val="19"/>
          <w:b w:val="1"/>
          <w:bCs w:val="1"/>
          <w:i w:val="1"/>
          <w:iCs w:val="1"/>
          <w:color w:val="auto"/>
        </w:rPr>
        <w:t>Per Share Fair Market Value</w:t>
      </w:r>
      <w:r>
        <w:rPr>
          <w:rFonts w:ascii="Arial" w:cs="Arial" w:eastAsia="Arial" w:hAnsi="Arial"/>
          <w:sz w:val="19"/>
          <w:szCs w:val="19"/>
          <w:color w:val="auto"/>
        </w:rPr>
        <w:t xml:space="preserve">”) divided by (ii) such Market Price on such date specified in clause (i); such adjustment shall be made successively whenever such a record date is fixed. In such event, the number of shares of Warrant Stock issuable upon the exercise of this Warrant shall be increased to the number obtained by dividing (x) the product of (1) the number of shares of Warrant Stock issuable upon the exercise of this Warrant before such adjustment, and (2) the Warrant Price in effect immediately prior to the distribution giving rise to this adjustment by (y) the new Warrant Price determined in accordance with the immediately preceding sentence. In the case of adjustment for a cash dividend that is, or is coincident with, a regular quarterly dividend, the Per Share Fair Market Value shall be reduced by the per share amount of the portion of the cash dividend that would constitute an Ordinary Cash Dividend. In the event that such distribution is not so made, the Warrant Price and the number of shares of Warrant Stock issuable upon exercise of this Warrant then in effect shall be readjusted, effective as of the date when the Board of Directors determines not to distribute such shares, evidences of indebtedness, assets, rights, cash or warrants, as the case may be, to the Warrant Price that would then be in effect and the number of shares of Warrant Stock that would then be issuable upon exercise of this Warrant if such record date had not been fixed. Notwithstanding the foregoing, in the case of any distribution that would result in an adjustment pursuant to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the Company in its sole discretion may, in lieu of making such adjustment, provide that upon exercise of this Warrant the Holder shall receive, in addition to the shares of Warrant Stock, the securities, evidences of indebtedness, assets, cash, rights or warrants that would have been payable to Holder if Holder had exercised this Warrant immediately prior to such distribution.</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left="-8" w:firstLine="656"/>
        <w:spacing w:after="0" w:line="288" w:lineRule="auto"/>
        <w:tabs>
          <w:tab w:leader="none" w:pos="1072" w:val="left"/>
        </w:tabs>
        <w:numPr>
          <w:ilvl w:val="1"/>
          <w:numId w:val="2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Certain Repurchases of Common Stock</w:t>
      </w:r>
      <w:r>
        <w:rPr>
          <w:rFonts w:ascii="Arial" w:cs="Arial" w:eastAsia="Arial" w:hAnsi="Arial"/>
          <w:sz w:val="19"/>
          <w:szCs w:val="19"/>
          <w:color w:val="auto"/>
        </w:rPr>
        <w:t>. In case the Company effects a Pro Rata Repurchase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Warrant Price shall be adjusted to the price determined by multiplying the Warrant Price in effect immediately prior to the effective date of such Pro Rata Repurchase by a fraction of which the numerator shall be (i) the product of (x) the number of shares of Common Stock outstanding immediately before such Pro Rata Repurchase and (y) the Market Price of a share of Common Stock on the trading day immediately preceding the first public announcement by the Company or any of its Affiliates of the intent to effect such Pro Rata Repurchase, minus (ii) the aggregate purchase price of the Pro Rata Repurchase, and of which the denominator shall be the product of (x) the number of shares of Common Stock outstanding immediately prior to such Pro Rata Repurchase minus the number of shares of Common Stock so repurchased and (y) the Market Price per share of Common Stock on the trading day immediately preceding the first public announcement by the Company or any of its Affiliates of the intent to effect such Pro Rata Repurchase. In such event, the number of shares of Warrant Stock issuable upon the exercise of this Warrant shall be adjusted to the number obtained by dividing (a) the product of (1) the number of shares of Warrant Stock issuable upon</w:t>
      </w:r>
    </w:p>
    <w:p>
      <w:pPr>
        <w:sectPr>
          <w:pgSz w:w="11900" w:h="16838" w:orient="portrait"/>
          <w:cols w:equalWidth="0" w:num="1">
            <w:col w:w="11232"/>
          </w:cols>
          <w:pgMar w:left="328" w:top="1427" w:right="339" w:bottom="1440" w:gutter="0" w:footer="0" w:header="0"/>
        </w:sectPr>
      </w:pPr>
    </w:p>
    <w:bookmarkStart w:id="450" w:name="page451"/>
    <w:bookmarkEnd w:id="450"/>
    <w:p>
      <w:pPr>
        <w:jc w:val="both"/>
        <w:spacing w:after="0" w:line="253" w:lineRule="auto"/>
        <w:rPr>
          <w:sz w:val="20"/>
          <w:szCs w:val="20"/>
          <w:color w:val="auto"/>
        </w:rPr>
      </w:pPr>
      <w:r>
        <w:rPr>
          <w:rFonts w:ascii="Arial" w:cs="Arial" w:eastAsia="Arial" w:hAnsi="Arial"/>
          <w:sz w:val="22"/>
          <w:szCs w:val="22"/>
          <w:color w:val="auto"/>
        </w:rPr>
        <w:t>the exercise of this Warrant before such adjustment, and (2) the Warrant Price in effect immediately prior to the Pro Rata Repurchase giving rise to this adjustment by (b) the new Warrant Price determined in accordance with the immediately preceding sentence.</w:t>
      </w:r>
    </w:p>
    <w:p>
      <w:pPr>
        <w:spacing w:after="0" w:line="179" w:lineRule="exact"/>
        <w:rPr>
          <w:sz w:val="20"/>
          <w:szCs w:val="20"/>
          <w:color w:val="auto"/>
        </w:rPr>
      </w:pPr>
    </w:p>
    <w:p>
      <w:pPr>
        <w:jc w:val="both"/>
        <w:ind w:firstLine="656"/>
        <w:spacing w:after="0" w:line="291" w:lineRule="auto"/>
        <w:tabs>
          <w:tab w:leader="none" w:pos="1026"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Timing of Issuance of Additional Warrant Stock Upon Certain Adjustments</w:t>
      </w:r>
      <w:r>
        <w:rPr>
          <w:rFonts w:ascii="Arial" w:cs="Arial" w:eastAsia="Arial" w:hAnsi="Arial"/>
          <w:sz w:val="19"/>
          <w:szCs w:val="19"/>
          <w:color w:val="auto"/>
        </w:rPr>
        <w:t>. In any case in which the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shall require that an adjustment shall become effective immediately after a record date for an event, the Company may defer until the occurrence of such event (i) issuing to the Holder of this Warrant exercised after such record date and before the occurrence of such event the additional shares of Warrant Stock issuable upon such exercise by reason of the adjustment required by such event over and above the shares of Warrant Stock issuable upon such exercise before giving effect to such adjustment and (ii) paying to such Holder any amount of cash in lieu of a fractional share of Warrant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upon request shall deliver to such Holder a due bill or other appropriate instrument evidencing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Holder’s right to receive such additional shares, and such cash, upon the occurrence of the event requiring such adjustment.</w:t>
      </w:r>
    </w:p>
    <w:p>
      <w:pPr>
        <w:sectPr>
          <w:pgSz w:w="11900" w:h="16838" w:orient="portrait"/>
          <w:cols w:equalWidth="0" w:num="1">
            <w:col w:w="11240"/>
          </w:cols>
          <w:pgMar w:left="320" w:top="1427" w:right="3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ROBINHOOD MARKETS, INC.</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2020 EQUITY INCENTIVE PLAN</w:t>
      </w:r>
    </w:p>
    <w:p>
      <w:pPr>
        <w:spacing w:after="0" w:line="16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As Adopted on April 3,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on June 18, 2020</w:t>
      </w:r>
    </w:p>
    <w:p>
      <w:pPr>
        <w:spacing w:after="0" w:line="142" w:lineRule="exact"/>
        <w:rPr>
          <w:sz w:val="20"/>
          <w:szCs w:val="20"/>
          <w:color w:val="auto"/>
        </w:rPr>
      </w:pPr>
    </w:p>
    <w:p>
      <w:pPr>
        <w:ind w:right="40" w:firstLine="656"/>
        <w:spacing w:after="0" w:line="261" w:lineRule="auto"/>
        <w:tabs>
          <w:tab w:leader="none" w:pos="1296" w:val="left"/>
        </w:tabs>
        <w:numPr>
          <w:ilvl w:val="0"/>
          <w:numId w:val="2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w:t>
      </w:r>
      <w:r>
        <w:rPr>
          <w:rFonts w:ascii="Arial" w:cs="Arial" w:eastAsia="Arial" w:hAnsi="Arial"/>
          <w:sz w:val="21"/>
          <w:szCs w:val="21"/>
          <w:color w:val="auto"/>
        </w:rPr>
        <w:t>. The purpose of this Plan is to provide incentives to attract, retain and motivate eligible persons whose</w:t>
      </w:r>
      <w:r>
        <w:rPr>
          <w:rFonts w:ascii="Arial" w:cs="Arial" w:eastAsia="Arial" w:hAnsi="Arial"/>
          <w:sz w:val="21"/>
          <w:szCs w:val="21"/>
          <w:b w:val="1"/>
          <w:bCs w:val="1"/>
          <w:color w:val="auto"/>
        </w:rPr>
        <w:t xml:space="preserve"> </w:t>
      </w:r>
      <w:r>
        <w:rPr>
          <w:rFonts w:ascii="Arial" w:cs="Arial" w:eastAsia="Arial" w:hAnsi="Arial"/>
          <w:sz w:val="21"/>
          <w:szCs w:val="21"/>
          <w:color w:val="auto"/>
        </w:rPr>
        <w:t>present and potential 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19"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SUBJECT TO THE PLAN</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Number of Shares Available</w:t>
      </w:r>
      <w:r>
        <w:rPr>
          <w:rFonts w:ascii="Arial" w:cs="Arial" w:eastAsia="Arial" w:hAnsi="Arial"/>
          <w:sz w:val="19"/>
          <w:szCs w:val="19"/>
          <w:color w:val="auto"/>
        </w:rPr>
        <w:t>. Subject to Sections 2.2 and 11 hereof, the total number of Shares reserved</w:t>
      </w:r>
      <w:r>
        <w:rPr>
          <w:rFonts w:ascii="Arial" w:cs="Arial" w:eastAsia="Arial" w:hAnsi="Arial"/>
          <w:sz w:val="19"/>
          <w:szCs w:val="19"/>
          <w:b w:val="1"/>
          <w:bCs w:val="1"/>
          <w:color w:val="auto"/>
        </w:rPr>
        <w:t xml:space="preserve"> </w:t>
      </w:r>
      <w:r>
        <w:rPr>
          <w:rFonts w:ascii="Arial" w:cs="Arial" w:eastAsia="Arial" w:hAnsi="Arial"/>
          <w:sz w:val="19"/>
          <w:szCs w:val="19"/>
          <w:color w:val="auto"/>
        </w:rPr>
        <w:t>and available for grant and issuance pursuant to this Plan will be 24,020,008 shares, plus the sum of (a) any authorized shares not issued or subject to outstanding grants under the Company’s Amended and Restated 2013 Stock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the Effective Date (as defined in Section 13.1 hereof); (b) shares that are subject to issuance under the Prior 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308,578,328 Shares (adjusted in proportion to any adjustments under Section 2.2 hereof) over the term of the Plan.</w:t>
      </w:r>
    </w:p>
    <w:p>
      <w:pPr>
        <w:sectPr>
          <w:pgSz w:w="11900" w:h="16838" w:orient="portrait"/>
          <w:cols w:equalWidth="0" w:num="1">
            <w:col w:w="11240"/>
          </w:cols>
          <w:pgMar w:left="320" w:top="121" w:right="339" w:bottom="1440" w:gutter="0" w:footer="0" w:header="0"/>
        </w:sectPr>
      </w:pPr>
    </w:p>
    <w:bookmarkStart w:id="452" w:name="page453"/>
    <w:bookmarkEnd w:id="452"/>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b w:val="1"/>
          <w:bCs w:val="1"/>
          <w:u w:val="single" w:color="auto"/>
          <w:color w:val="auto"/>
        </w:rPr>
        <w:t>Adjustment of Shares</w:t>
      </w:r>
      <w:r>
        <w:rPr>
          <w:rFonts w:ascii="Arial" w:cs="Arial" w:eastAsia="Arial" w:hAnsi="Arial"/>
          <w:sz w:val="21"/>
          <w:szCs w:val="21"/>
          <w:color w:val="auto"/>
        </w:rPr>
        <w:t>. In the event that the Common Stock is changed by a stock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and class of Shares reserved for issuance under this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fractions of a Share will not be issued but will either be paid in cash at the Fair Market Value of such fraction of a Share or will be rounded down to the nearest whole Share, as determined by the Committee.</w:t>
      </w:r>
    </w:p>
    <w:p>
      <w:pPr>
        <w:spacing w:after="0" w:line="121" w:lineRule="exact"/>
        <w:rPr>
          <w:sz w:val="20"/>
          <w:szCs w:val="20"/>
          <w:color w:val="auto"/>
        </w:rPr>
      </w:pPr>
    </w:p>
    <w:p>
      <w:pPr>
        <w:ind w:left="1300" w:hanging="644"/>
        <w:spacing w:after="0"/>
        <w:tabs>
          <w:tab w:leader="none" w:pos="130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FOR BENEFIT OF SERVICE PROVIDERS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Eligibility</w:t>
      </w:r>
      <w:r>
        <w:rPr>
          <w:rFonts w:ascii="Arial" w:cs="Arial" w:eastAsia="Arial" w:hAnsi="Arial"/>
          <w:sz w:val="19"/>
          <w:szCs w:val="19"/>
          <w:color w:val="auto"/>
        </w:rPr>
        <w:t>. The Committee will have the authority to select persons to receive Awards. ISOs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such consultants render bona fide services not in connection with the offer and sale of securities in a capital-raising transaction when Rule 701 is to apply to the Award granted in connection with such services. A person may be granted more than one Award under this Plan.</w:t>
      </w:r>
    </w:p>
    <w:p>
      <w:pPr>
        <w:spacing w:after="0" w:line="90"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1"/>
          <w:szCs w:val="21"/>
          <w:b w:val="1"/>
          <w:bCs w:val="1"/>
          <w:color w:val="auto"/>
        </w:rPr>
        <w:t xml:space="preserve">3.2 </w:t>
      </w:r>
      <w:r>
        <w:rPr>
          <w:rFonts w:ascii="Arial" w:cs="Arial" w:eastAsia="Arial" w:hAnsi="Arial"/>
          <w:sz w:val="21"/>
          <w:szCs w:val="21"/>
          <w:b w:val="1"/>
          <w:bCs w:val="1"/>
          <w:u w:val="single" w:color="auto"/>
          <w:color w:val="auto"/>
        </w:rPr>
        <w:t>No Obligation to Employ</w:t>
      </w:r>
      <w:r>
        <w:rPr>
          <w:rFonts w:ascii="Arial" w:cs="Arial" w:eastAsia="Arial" w:hAnsi="Arial"/>
          <w:sz w:val="21"/>
          <w:szCs w:val="21"/>
          <w:color w:val="auto"/>
        </w:rPr>
        <w:t>. Nothing in this Plan or any Award granted under this Plan will confer or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confer on any Participant any right to continue in the employ of, or to continue any other relationship with, the Company or any Subsidiary or Parent of the Company or limit in any way the right of the Company or any Subsidiary or Parent of the Company to terminate Participant’s employment or other relationship at any time, with or without Cause.</w:t>
      </w:r>
    </w:p>
    <w:p>
      <w:pPr>
        <w:spacing w:after="0" w:line="113" w:lineRule="exact"/>
        <w:rPr>
          <w:sz w:val="20"/>
          <w:szCs w:val="20"/>
          <w:color w:val="auto"/>
        </w:rPr>
      </w:pPr>
    </w:p>
    <w:p>
      <w:pPr>
        <w:ind w:right="60" w:firstLine="656"/>
        <w:spacing w:after="0" w:line="267" w:lineRule="auto"/>
        <w:tabs>
          <w:tab w:leader="none" w:pos="1296" w:val="left"/>
        </w:tabs>
        <w:numPr>
          <w:ilvl w:val="0"/>
          <w:numId w:val="2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OPTIONS</w:t>
      </w:r>
      <w:r>
        <w:rPr>
          <w:rFonts w:ascii="Arial" w:cs="Arial" w:eastAsia="Arial" w:hAnsi="Arial"/>
          <w:sz w:val="21"/>
          <w:szCs w:val="21"/>
          <w:color w:val="auto"/>
        </w:rPr>
        <w:t>. The Committee may grant Options to eligible persons described in Section 3 hereof and will</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 whether such Options will be Incentive Stock Options within the meaning of the Code (“</w:t>
      </w:r>
      <w:r>
        <w:rPr>
          <w:rFonts w:ascii="Arial" w:cs="Arial" w:eastAsia="Arial" w:hAnsi="Arial"/>
          <w:sz w:val="21"/>
          <w:szCs w:val="21"/>
          <w:b w:val="1"/>
          <w:bCs w:val="1"/>
          <w:i w:val="1"/>
          <w:iCs w:val="1"/>
          <w:color w:val="auto"/>
        </w:rPr>
        <w:t>ISOs</w:t>
      </w:r>
      <w:r>
        <w:rPr>
          <w:rFonts w:ascii="Arial" w:cs="Arial" w:eastAsia="Arial" w:hAnsi="Arial"/>
          <w:sz w:val="21"/>
          <w:szCs w:val="21"/>
          <w:color w:val="auto"/>
        </w:rPr>
        <w:t>”) or Nonqualified Stock Options (“</w:t>
      </w:r>
      <w:r>
        <w:rPr>
          <w:rFonts w:ascii="Arial" w:cs="Arial" w:eastAsia="Arial" w:hAnsi="Arial"/>
          <w:sz w:val="21"/>
          <w:szCs w:val="21"/>
          <w:b w:val="1"/>
          <w:bCs w:val="1"/>
          <w:i w:val="1"/>
          <w:iCs w:val="1"/>
          <w:color w:val="auto"/>
        </w:rPr>
        <w:t>NQSOs</w:t>
      </w:r>
      <w:r>
        <w:rPr>
          <w:rFonts w:ascii="Arial" w:cs="Arial" w:eastAsia="Arial" w:hAnsi="Arial"/>
          <w:sz w:val="21"/>
          <w:szCs w:val="21"/>
          <w:color w:val="auto"/>
        </w:rPr>
        <w:t>”), the number of Shares subject to the Option, the Exercise Price of the Option, the period during which the Option may be exercised, and all other terms and conditions of the Option, subject to the following.</w:t>
      </w:r>
    </w:p>
    <w:p>
      <w:pPr>
        <w:spacing w:after="0" w:line="11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b w:val="1"/>
          <w:bCs w:val="1"/>
          <w:u w:val="single" w:color="auto"/>
          <w:color w:val="auto"/>
        </w:rPr>
        <w:t>Form of Option Grant</w:t>
      </w:r>
      <w:r>
        <w:rPr>
          <w:rFonts w:ascii="Arial" w:cs="Arial" w:eastAsia="Arial" w:hAnsi="Arial"/>
          <w:sz w:val="22"/>
          <w:szCs w:val="22"/>
          <w:color w:val="auto"/>
        </w:rPr>
        <w:t>. Each Option granted under this Plan will be evidenced by an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which will expressly identify the Option as an ISO or an NQSO (“</w:t>
      </w:r>
      <w:r>
        <w:rPr>
          <w:rFonts w:ascii="Arial" w:cs="Arial" w:eastAsia="Arial" w:hAnsi="Arial"/>
          <w:sz w:val="22"/>
          <w:szCs w:val="22"/>
          <w:b w:val="1"/>
          <w:bCs w:val="1"/>
          <w:i w:val="1"/>
          <w:iCs w:val="1"/>
          <w:color w:val="auto"/>
        </w:rPr>
        <w:t>Stock Option Agreement</w:t>
      </w:r>
      <w:r>
        <w:rPr>
          <w:rFonts w:ascii="Arial" w:cs="Arial" w:eastAsia="Arial" w:hAnsi="Arial"/>
          <w:sz w:val="22"/>
          <w:szCs w:val="22"/>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26"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b w:val="1"/>
          <w:bCs w:val="1"/>
          <w:u w:val="single" w:color="auto"/>
          <w:color w:val="auto"/>
        </w:rPr>
        <w:t>Date of Grant</w:t>
      </w:r>
      <w:r>
        <w:rPr>
          <w:rFonts w:ascii="Arial" w:cs="Arial" w:eastAsia="Arial" w:hAnsi="Arial"/>
          <w:sz w:val="22"/>
          <w:szCs w:val="22"/>
          <w:color w:val="auto"/>
        </w:rPr>
        <w:t>. The date of grant of an Option will be the date on which the Committee makes the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to grant such Option, unless a later date is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453" w:name="page454"/>
    <w:bookmarkEnd w:id="453"/>
    <w:p>
      <w:pPr>
        <w:jc w:val="both"/>
        <w:ind w:right="20"/>
        <w:spacing w:after="0" w:line="263" w:lineRule="auto"/>
        <w:rPr>
          <w:sz w:val="20"/>
          <w:szCs w:val="20"/>
          <w:color w:val="auto"/>
        </w:rPr>
      </w:pPr>
      <w:r>
        <w:rPr>
          <w:rFonts w:ascii="Arial" w:cs="Arial" w:eastAsia="Arial" w:hAnsi="Arial"/>
          <w:sz w:val="22"/>
          <w:szCs w:val="22"/>
          <w:color w:val="auto"/>
        </w:rPr>
        <w:t>specified by the Committee. The Stock Option Agreement and a copy of this Plan will be delivered to the Participant within a reasonable time after the granting of the Option.</w:t>
      </w:r>
    </w:p>
    <w:p>
      <w:pPr>
        <w:spacing w:after="0" w:line="11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b w:val="1"/>
          <w:bCs w:val="1"/>
          <w:u w:val="single" w:color="auto"/>
          <w:color w:val="auto"/>
        </w:rPr>
        <w:t>Exercise Period</w:t>
      </w:r>
      <w:r>
        <w:rPr>
          <w:rFonts w:ascii="Arial" w:cs="Arial" w:eastAsia="Arial" w:hAnsi="Arial"/>
          <w:sz w:val="21"/>
          <w:szCs w:val="21"/>
          <w:color w:val="auto"/>
        </w:rPr>
        <w:t>. Options may be exercisable within the time or upon the events determined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Committee in the Award Agreement 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Subsidiary or Parent of the Company (“</w:t>
      </w:r>
      <w:r>
        <w:rPr>
          <w:rFonts w:ascii="Arial" w:cs="Arial" w:eastAsia="Arial" w:hAnsi="Arial"/>
          <w:sz w:val="21"/>
          <w:szCs w:val="21"/>
          <w:b w:val="1"/>
          <w:bCs w:val="1"/>
          <w:i w:val="1"/>
          <w:iCs w:val="1"/>
          <w:color w:val="auto"/>
        </w:rPr>
        <w:t>Ten Percent Stockholder</w:t>
      </w:r>
      <w:r>
        <w:rPr>
          <w:rFonts w:ascii="Arial" w:cs="Arial" w:eastAsia="Arial" w:hAnsi="Arial"/>
          <w:sz w:val="21"/>
          <w:szCs w:val="21"/>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 In addition, if an Option is determined to otherwise be subject to Section 409A of the Code, the Option shall be exercisable for the Shares subject to the Option no later than the end of the applicable short-term deferral period determined under Section 409A of the Code by the Committee, except as otherwise determined by the Committee.</w:t>
      </w:r>
    </w:p>
    <w:p>
      <w:pPr>
        <w:spacing w:after="0" w:line="1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b w:val="1"/>
          <w:bCs w:val="1"/>
          <w:u w:val="single" w:color="auto"/>
          <w:color w:val="auto"/>
        </w:rPr>
        <w:t>Exercise Price</w:t>
      </w:r>
      <w:r>
        <w:rPr>
          <w:rFonts w:ascii="Arial" w:cs="Arial" w:eastAsia="Arial" w:hAnsi="Arial"/>
          <w:sz w:val="22"/>
          <w:szCs w:val="22"/>
          <w:color w:val="auto"/>
        </w:rPr>
        <w:t>. The Exercise Price of an Option will be determined by the Committee when the Option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granted and shall not be less than the Fair Market Value per Share on the date of grant unless expressly determined in writing by the Committee;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3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b w:val="1"/>
          <w:bCs w:val="1"/>
          <w:u w:val="single" w:color="auto"/>
          <w:color w:val="auto"/>
        </w:rPr>
        <w:t>Method of Exercise</w:t>
      </w:r>
      <w:r>
        <w:rPr>
          <w:rFonts w:ascii="Arial" w:cs="Arial" w:eastAsia="Arial" w:hAnsi="Arial"/>
          <w:sz w:val="19"/>
          <w:szCs w:val="19"/>
          <w:color w:val="auto"/>
        </w:rPr>
        <w:t>. Options may be exercised only by delivery to the Company of a stock option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agreement (accepted via written, electronic or other means) (the “</w:t>
      </w:r>
      <w:r>
        <w:rPr>
          <w:rFonts w:ascii="Arial" w:cs="Arial" w:eastAsia="Arial" w:hAnsi="Arial"/>
          <w:sz w:val="19"/>
          <w:szCs w:val="19"/>
          <w:b w:val="1"/>
          <w:bCs w:val="1"/>
          <w:i w:val="1"/>
          <w:iCs w:val="1"/>
          <w:color w:val="auto"/>
        </w:rPr>
        <w:t>Exercise Agreement</w:t>
      </w:r>
      <w:r>
        <w:rPr>
          <w:rFonts w:ascii="Arial" w:cs="Arial" w:eastAsia="Arial" w:hAnsi="Arial"/>
          <w:sz w:val="19"/>
          <w:szCs w:val="19"/>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 be made for a dividend or other right for which the record date is prior to the date the Shares are issued, except as provided in Section 2.2 of the Plan. Exercising an Option in any manner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454" w:name="page455"/>
    <w:bookmarkEnd w:id="454"/>
    <w:p>
      <w:pPr>
        <w:jc w:val="both"/>
        <w:spacing w:after="0" w:line="263" w:lineRule="auto"/>
        <w:rPr>
          <w:sz w:val="20"/>
          <w:szCs w:val="20"/>
          <w:color w:val="auto"/>
        </w:rPr>
      </w:pPr>
      <w:r>
        <w:rPr>
          <w:rFonts w:ascii="Arial" w:cs="Arial" w:eastAsia="Arial" w:hAnsi="Arial"/>
          <w:sz w:val="22"/>
          <w:szCs w:val="22"/>
          <w:color w:val="auto"/>
        </w:rPr>
        <w:t>decrease the number of Shares thereafter available, both for purposes of the Plan and for sale under the Option, by the number of Shares as to which the Option is exercised.</w:t>
      </w:r>
    </w:p>
    <w:p>
      <w:pPr>
        <w:spacing w:after="0" w:line="11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Subject to earlier termination pursuant to Sections 11 and 13 hereof and notwithstanding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periods set forth in the Stock Option Agreement, exercise of an Option will always be subject to the following terms and conditions.</w:t>
      </w:r>
    </w:p>
    <w:p>
      <w:pPr>
        <w:spacing w:after="0" w:line="128"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21"/>
          <w:szCs w:val="21"/>
          <w:color w:val="auto"/>
        </w:rPr>
        <w:t xml:space="preserve">4.6.1 </w:t>
      </w:r>
      <w:r>
        <w:rPr>
          <w:rFonts w:ascii="Arial" w:cs="Arial" w:eastAsia="Arial" w:hAnsi="Arial"/>
          <w:sz w:val="21"/>
          <w:szCs w:val="21"/>
          <w:u w:val="single" w:color="auto"/>
          <w:color w:val="auto"/>
        </w:rPr>
        <w:t>Other than Death or Disability or for Cause</w:t>
      </w:r>
      <w:r>
        <w:rPr>
          <w:rFonts w:ascii="Arial" w:cs="Arial" w:eastAsia="Arial" w:hAnsi="Arial"/>
          <w:sz w:val="21"/>
          <w:szCs w:val="21"/>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1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color w:val="auto"/>
        </w:rPr>
        <w:t xml:space="preserve">4.6.2 </w:t>
      </w:r>
      <w:r>
        <w:rPr>
          <w:rFonts w:ascii="Arial" w:cs="Arial" w:eastAsia="Arial" w:hAnsi="Arial"/>
          <w:sz w:val="19"/>
          <w:szCs w:val="19"/>
          <w:u w:val="single" w:color="auto"/>
          <w:color w:val="auto"/>
        </w:rPr>
        <w:t>Death or Disability</w:t>
      </w:r>
      <w:r>
        <w:rPr>
          <w:rFonts w:ascii="Arial" w:cs="Arial" w:eastAsia="Arial" w:hAnsi="Arial"/>
          <w:sz w:val="19"/>
          <w:szCs w:val="19"/>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 required by applicable law. Such Options must be exercised by Participant (or Participant’s legal representative or authorized assignee or designated beneficiary),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05" w:lineRule="exact"/>
        <w:rPr>
          <w:sz w:val="20"/>
          <w:szCs w:val="20"/>
          <w:color w:val="auto"/>
        </w:rPr>
      </w:pPr>
    </w:p>
    <w:p>
      <w:pPr>
        <w:jc w:val="both"/>
        <w:ind w:right="20" w:firstLine="1944"/>
        <w:spacing w:after="0" w:line="250" w:lineRule="auto"/>
        <w:rPr>
          <w:sz w:val="20"/>
          <w:szCs w:val="20"/>
          <w:color w:val="auto"/>
        </w:rPr>
      </w:pPr>
      <w:r>
        <w:rPr>
          <w:rFonts w:ascii="Arial" w:cs="Arial" w:eastAsia="Arial" w:hAnsi="Arial"/>
          <w:sz w:val="22"/>
          <w:szCs w:val="22"/>
          <w:color w:val="auto"/>
        </w:rPr>
        <w:t xml:space="preserve">4.6.3 </w:t>
      </w:r>
      <w:r>
        <w:rPr>
          <w:rFonts w:ascii="Arial" w:cs="Arial" w:eastAsia="Arial" w:hAnsi="Arial"/>
          <w:sz w:val="22"/>
          <w:szCs w:val="22"/>
          <w:u w:val="single" w:color="auto"/>
          <w:color w:val="auto"/>
        </w:rPr>
        <w:t>For Cause</w:t>
      </w:r>
      <w:r>
        <w:rPr>
          <w:rFonts w:ascii="Arial" w:cs="Arial" w:eastAsia="Arial" w:hAnsi="Arial"/>
          <w:sz w:val="22"/>
          <w:szCs w:val="22"/>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2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b w:val="1"/>
          <w:bCs w:val="1"/>
          <w:u w:val="single" w:color="auto"/>
          <w:color w:val="auto"/>
        </w:rPr>
        <w:t>Limitations on Exercise</w:t>
      </w:r>
      <w:r>
        <w:rPr>
          <w:rFonts w:ascii="Arial" w:cs="Arial" w:eastAsia="Arial" w:hAnsi="Arial"/>
          <w:sz w:val="22"/>
          <w:szCs w:val="22"/>
          <w:color w:val="auto"/>
        </w:rPr>
        <w:t>. The Committee may specify a reasonable minimum number of Shares that may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purchased on any exercise of an Option,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such minimum number will not prevent Participant from exercising the Option for the full number of Shares for which it is then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455" w:name="page456"/>
    <w:bookmarkEnd w:id="455"/>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4.8 </w:t>
      </w:r>
      <w:r>
        <w:rPr>
          <w:rFonts w:ascii="Arial" w:cs="Arial" w:eastAsia="Arial" w:hAnsi="Arial"/>
          <w:sz w:val="19"/>
          <w:szCs w:val="19"/>
          <w:b w:val="1"/>
          <w:bCs w:val="1"/>
          <w:u w:val="single" w:color="auto"/>
          <w:color w:val="auto"/>
        </w:rPr>
        <w:t>Limitations on ISOs</w:t>
      </w:r>
      <w:r>
        <w:rPr>
          <w:rFonts w:ascii="Arial" w:cs="Arial" w:eastAsia="Arial" w:hAnsi="Arial"/>
          <w:sz w:val="19"/>
          <w:szCs w:val="19"/>
          <w:color w:val="auto"/>
        </w:rPr>
        <w:t>. The aggregate Fair Market Value (determined as of the date of grant) of Shares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which ISOs are 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9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4.9 </w:t>
      </w:r>
      <w:r>
        <w:rPr>
          <w:rFonts w:ascii="Arial" w:cs="Arial" w:eastAsia="Arial" w:hAnsi="Arial"/>
          <w:sz w:val="19"/>
          <w:szCs w:val="19"/>
          <w:b w:val="1"/>
          <w:bCs w:val="1"/>
          <w:u w:val="single" w:color="auto"/>
          <w:color w:val="auto"/>
        </w:rPr>
        <w:t>Modification, Extension or Renewal</w:t>
      </w:r>
      <w:r>
        <w:rPr>
          <w:rFonts w:ascii="Arial" w:cs="Arial" w:eastAsia="Arial" w:hAnsi="Arial"/>
          <w:sz w:val="19"/>
          <w:szCs w:val="19"/>
          <w:color w:val="auto"/>
        </w:rPr>
        <w:t>. The Committee may modify, extend or renew outstanding Options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authorize the grant of new Options in substitution therefor,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Exercise Price may not be reduced below the minimum Exercise Price that would be permitted under Section 4.4 hereof for Options granted on the date the action is taken to reduce the Exercise Price.</w:t>
      </w:r>
    </w:p>
    <w:p>
      <w:pPr>
        <w:spacing w:after="0" w:line="9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4.10 </w:t>
      </w:r>
      <w:r>
        <w:rPr>
          <w:rFonts w:ascii="Arial" w:cs="Arial" w:eastAsia="Arial" w:hAnsi="Arial"/>
          <w:sz w:val="22"/>
          <w:szCs w:val="22"/>
          <w:b w:val="1"/>
          <w:bCs w:val="1"/>
          <w:u w:val="single" w:color="auto"/>
          <w:color w:val="auto"/>
        </w:rPr>
        <w:t>No Disqualification</w:t>
      </w:r>
      <w:r>
        <w:rPr>
          <w:rFonts w:ascii="Arial" w:cs="Arial" w:eastAsia="Arial" w:hAnsi="Arial"/>
          <w:sz w:val="22"/>
          <w:szCs w:val="22"/>
          <w:color w:val="auto"/>
        </w:rPr>
        <w:t>. Notwithstanding any other provision in this Plan, no term of this Plan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ISOs will be interpreted, amended or altered, nor will any discretion or authority granted under this Plan be exercised, so as to disqualify this Plan under Section 422 of the Code or, without the written consent of the Participant, to disqualify any Participant’s ISO under Section 422 of the Code.</w:t>
      </w:r>
    </w:p>
    <w:p>
      <w:pPr>
        <w:spacing w:after="0" w:line="126" w:lineRule="exact"/>
        <w:rPr>
          <w:sz w:val="20"/>
          <w:szCs w:val="20"/>
          <w:color w:val="auto"/>
        </w:rPr>
      </w:pPr>
    </w:p>
    <w:p>
      <w:pPr>
        <w:ind w:right="20" w:firstLine="656"/>
        <w:spacing w:after="0" w:line="267" w:lineRule="auto"/>
        <w:tabs>
          <w:tab w:leader="none" w:pos="1296" w:val="left"/>
        </w:tabs>
        <w:numPr>
          <w:ilvl w:val="0"/>
          <w:numId w:val="2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RESTRICTED STOCK</w:t>
      </w:r>
      <w:r>
        <w:rPr>
          <w:rFonts w:ascii="Arial" w:cs="Arial" w:eastAsia="Arial" w:hAnsi="Arial"/>
          <w:sz w:val="21"/>
          <w:szCs w:val="21"/>
          <w:color w:val="auto"/>
        </w:rPr>
        <w:t>. A Restricted Stock Award is an offer by the Company to sell to an eligible person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are subject to certain 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1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b w:val="1"/>
          <w:bCs w:val="1"/>
          <w:u w:val="single" w:color="auto"/>
          <w:color w:val="auto"/>
        </w:rPr>
        <w:t>Form of Restricted Stock Award</w:t>
      </w:r>
      <w:r>
        <w:rPr>
          <w:rFonts w:ascii="Arial" w:cs="Arial" w:eastAsia="Arial" w:hAnsi="Arial"/>
          <w:sz w:val="22"/>
          <w:szCs w:val="22"/>
          <w:color w:val="auto"/>
        </w:rPr>
        <w:t>. All purchases under a Restricted Stock Award made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 will be evidenced by an Award Agreement (“</w:t>
      </w:r>
      <w:r>
        <w:rPr>
          <w:rFonts w:ascii="Arial" w:cs="Arial" w:eastAsia="Arial" w:hAnsi="Arial"/>
          <w:sz w:val="22"/>
          <w:szCs w:val="22"/>
          <w:b w:val="1"/>
          <w:bCs w:val="1"/>
          <w:i w:val="1"/>
          <w:iCs w:val="1"/>
          <w:color w:val="auto"/>
        </w:rPr>
        <w:t>Restricted Stock Purchase Agreement</w:t>
      </w:r>
      <w:r>
        <w:rPr>
          <w:rFonts w:ascii="Arial" w:cs="Arial" w:eastAsia="Arial" w:hAnsi="Arial"/>
          <w:sz w:val="22"/>
          <w:szCs w:val="22"/>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456" w:name="page457"/>
    <w:bookmarkEnd w:id="456"/>
    <w:p>
      <w:pPr>
        <w:jc w:val="both"/>
        <w:spacing w:after="0" w:line="250" w:lineRule="auto"/>
        <w:rPr>
          <w:sz w:val="20"/>
          <w:szCs w:val="20"/>
          <w:color w:val="auto"/>
        </w:rPr>
      </w:pPr>
      <w:r>
        <w:rPr>
          <w:rFonts w:ascii="Arial" w:cs="Arial" w:eastAsia="Arial" w:hAnsi="Arial"/>
          <w:sz w:val="22"/>
          <w:szCs w:val="22"/>
          <w:color w:val="auto"/>
        </w:rPr>
        <w:t>via written, electronic or other means)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2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b w:val="1"/>
          <w:bCs w:val="1"/>
          <w:u w:val="single" w:color="auto"/>
          <w:color w:val="auto"/>
        </w:rPr>
        <w:t>Purchase Price</w:t>
      </w:r>
      <w:r>
        <w:rPr>
          <w:rFonts w:ascii="Arial" w:cs="Arial" w:eastAsia="Arial" w:hAnsi="Arial"/>
          <w:sz w:val="22"/>
          <w:szCs w:val="22"/>
          <w:color w:val="auto"/>
        </w:rPr>
        <w:t>. The Purchase Price of Shares sold pursuant to a Restricted Stock Award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Committee on the date the Restricted Stock Award is granted. Payment of the Purchase Price must be made in accordance with Section 8 hereof.</w:t>
      </w:r>
    </w:p>
    <w:p>
      <w:pPr>
        <w:spacing w:after="0" w:line="12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Dividends and Other Distributions</w:t>
      </w:r>
      <w:r>
        <w:rPr>
          <w:rFonts w:ascii="Arial" w:cs="Arial" w:eastAsia="Arial" w:hAnsi="Arial"/>
          <w:sz w:val="19"/>
          <w:szCs w:val="19"/>
          <w:color w:val="auto"/>
        </w:rPr>
        <w:t>. Participants holding Restricted Stock Awards will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all dividends and other 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81"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b w:val="1"/>
          <w:bCs w:val="1"/>
          <w:u w:val="single" w:color="auto"/>
          <w:color w:val="auto"/>
        </w:rPr>
        <w:t>Restrictions</w:t>
      </w:r>
      <w:r>
        <w:rPr>
          <w:rFonts w:ascii="Arial" w:cs="Arial" w:eastAsia="Arial" w:hAnsi="Arial"/>
          <w:sz w:val="22"/>
          <w:szCs w:val="22"/>
          <w:color w:val="auto"/>
        </w:rPr>
        <w:t>. Restricted Stock Awards may be subject to the restrictions set forth in Sections 9 and 10</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or, with respect to a Restricted Stock Award to which Section 25102(o) is to apply, such other restrictions not inconsistent with Section 25102(o).</w:t>
      </w:r>
    </w:p>
    <w:p>
      <w:pPr>
        <w:spacing w:after="0" w:line="122"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RESTRICTED STOCK UNITS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21"/>
          <w:szCs w:val="21"/>
          <w:b w:val="1"/>
          <w:bCs w:val="1"/>
          <w:u w:val="single" w:color="auto"/>
          <w:color w:val="auto"/>
        </w:rPr>
        <w:t>Awards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A Restricted Stock Unit (“</w:t>
      </w:r>
      <w:r>
        <w:rPr>
          <w:rFonts w:ascii="Arial" w:cs="Arial" w:eastAsia="Arial" w:hAnsi="Arial"/>
          <w:sz w:val="21"/>
          <w:szCs w:val="21"/>
          <w:b w:val="1"/>
          <w:bCs w:val="1"/>
          <w:i w:val="1"/>
          <w:iCs w:val="1"/>
          <w:color w:val="auto"/>
        </w:rPr>
        <w:t>RSU</w:t>
      </w:r>
      <w:r>
        <w:rPr>
          <w:rFonts w:ascii="Arial" w:cs="Arial" w:eastAsia="Arial" w:hAnsi="Arial"/>
          <w:sz w:val="21"/>
          <w:szCs w:val="21"/>
          <w:color w:val="auto"/>
        </w:rPr>
        <w:t>”) is an Award covering a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may be settled in cash, by issuance of those Shares at a date in the future, or by a combination of cash and Shares. No Purchase Price shall apply to an RSU settled in Shares. All grants of RSUs will be evidenced by an Award Agreement (the “</w:t>
      </w:r>
      <w:r>
        <w:rPr>
          <w:rFonts w:ascii="Arial" w:cs="Arial" w:eastAsia="Arial" w:hAnsi="Arial"/>
          <w:sz w:val="21"/>
          <w:szCs w:val="21"/>
          <w:b w:val="1"/>
          <w:bCs w:val="1"/>
          <w:i w:val="1"/>
          <w:iCs w:val="1"/>
          <w:color w:val="auto"/>
        </w:rPr>
        <w:t>RSU</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that will be in such form (which need not be the same for each Participant) as the Committee will from time to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approve, and will comply with and be subject to the terms and conditions of this Plan. No RSU will have a term longer than ten (10) years from the date the RSU is granted.</w:t>
      </w:r>
    </w:p>
    <w:p>
      <w:pPr>
        <w:spacing w:after="0" w:line="119"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6.2 </w:t>
      </w:r>
      <w:r>
        <w:rPr>
          <w:rFonts w:ascii="Arial" w:cs="Arial" w:eastAsia="Arial" w:hAnsi="Arial"/>
          <w:sz w:val="21"/>
          <w:szCs w:val="21"/>
          <w:b w:val="1"/>
          <w:bCs w:val="1"/>
          <w:u w:val="single" w:color="auto"/>
          <w:color w:val="auto"/>
        </w:rPr>
        <w:t>Form and Timing of Settlement</w:t>
      </w:r>
      <w:r>
        <w:rPr>
          <w:rFonts w:ascii="Arial" w:cs="Arial" w:eastAsia="Arial" w:hAnsi="Arial"/>
          <w:sz w:val="21"/>
          <w:szCs w:val="21"/>
          <w:color w:val="auto"/>
        </w:rPr>
        <w:t>. To the extent permissible under applicable law, the Committee may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permit a Participant to defer payment (including settlement) under an RSU to a date or dates after the RSU has vested,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the terms of the RSU and any deferral satisfy the requirements of Section 409A of the Code and any regulations or rulings promulgated thereunder, to the extent the Participant is subject to Section 409A of the Code. Payment may be made in the form of cash or whole Shares or a combination thereof, all as the Committee determines.</w:t>
      </w:r>
    </w:p>
    <w:p>
      <w:pPr>
        <w:spacing w:after="0" w:line="11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b w:val="1"/>
          <w:bCs w:val="1"/>
          <w:u w:val="single" w:color="auto"/>
          <w:color w:val="auto"/>
        </w:rPr>
        <w:t>Dividend Equivalent Payments</w:t>
      </w:r>
      <w:r>
        <w:rPr>
          <w:rFonts w:ascii="Arial" w:cs="Arial" w:eastAsia="Arial" w:hAnsi="Arial"/>
          <w:sz w:val="22"/>
          <w:szCs w:val="22"/>
          <w:color w:val="auto"/>
        </w:rPr>
        <w:t>. The Board may permit Participants holding RSUs to receive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payments on outstanding RSUs if and 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457" w:name="page458"/>
    <w:bookmarkEnd w:id="457"/>
    <w:p>
      <w:pPr>
        <w:spacing w:after="0" w:line="263" w:lineRule="auto"/>
        <w:rPr>
          <w:sz w:val="20"/>
          <w:szCs w:val="20"/>
          <w:color w:val="auto"/>
        </w:rPr>
      </w:pPr>
      <w:r>
        <w:rPr>
          <w:rFonts w:ascii="Arial" w:cs="Arial" w:eastAsia="Arial" w:hAnsi="Arial"/>
          <w:sz w:val="22"/>
          <w:szCs w:val="22"/>
          <w:color w:val="auto"/>
        </w:rPr>
        <w:t>the Board permits dividend equivalent payments to be made on RSUs, the terms and conditions for such dividend equivalent payments will be set forth in the RSU Agreement.</w:t>
      </w:r>
    </w:p>
    <w:p>
      <w:pPr>
        <w:spacing w:after="0" w:line="115" w:lineRule="exact"/>
        <w:rPr>
          <w:sz w:val="20"/>
          <w:szCs w:val="20"/>
          <w:color w:val="auto"/>
        </w:rPr>
      </w:pPr>
    </w:p>
    <w:p>
      <w:pPr>
        <w:ind w:left="1300" w:hanging="644"/>
        <w:spacing w:after="0"/>
        <w:tabs>
          <w:tab w:leader="none" w:pos="130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 APPRECIATION RIGHTS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Awards of SARs</w:t>
      </w:r>
      <w:r>
        <w:rPr>
          <w:rFonts w:ascii="Arial" w:cs="Arial" w:eastAsia="Arial" w:hAnsi="Arial"/>
          <w:sz w:val="19"/>
          <w:szCs w:val="19"/>
          <w:color w:val="auto"/>
        </w:rPr>
        <w:t>. Stock Appreciation Rights (“</w:t>
      </w:r>
      <w:r>
        <w:rPr>
          <w:rFonts w:ascii="Arial" w:cs="Arial" w:eastAsia="Arial" w:hAnsi="Arial"/>
          <w:sz w:val="19"/>
          <w:szCs w:val="19"/>
          <w:b w:val="1"/>
          <w:bCs w:val="1"/>
          <w:i w:val="1"/>
          <w:iCs w:val="1"/>
          <w:color w:val="auto"/>
        </w:rPr>
        <w:t>SARs</w:t>
      </w:r>
      <w:r>
        <w:rPr>
          <w:rFonts w:ascii="Arial" w:cs="Arial" w:eastAsia="Arial" w:hAnsi="Arial"/>
          <w:sz w:val="19"/>
          <w:szCs w:val="19"/>
          <w:color w:val="auto"/>
        </w:rPr>
        <w:t>”) may be settled in cash or Shares (which may</w:t>
      </w:r>
      <w:r>
        <w:rPr>
          <w:rFonts w:ascii="Arial" w:cs="Arial" w:eastAsia="Arial" w:hAnsi="Arial"/>
          <w:sz w:val="19"/>
          <w:szCs w:val="19"/>
          <w:b w:val="1"/>
          <w:bCs w:val="1"/>
          <w:color w:val="auto"/>
        </w:rPr>
        <w:t xml:space="preserve"> </w:t>
      </w:r>
      <w:r>
        <w:rPr>
          <w:rFonts w:ascii="Arial" w:cs="Arial" w:eastAsia="Arial" w:hAnsi="Arial"/>
          <w:sz w:val="19"/>
          <w:szCs w:val="19"/>
          <w:color w:val="auto"/>
        </w:rPr>
        <w:t>consist of Restricted Stock or RSUs) or a 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Arial" w:cs="Arial" w:eastAsia="Arial" w:hAnsi="Arial"/>
          <w:sz w:val="19"/>
          <w:szCs w:val="19"/>
          <w:b w:val="1"/>
          <w:bCs w:val="1"/>
          <w:i w:val="1"/>
          <w:iCs w:val="1"/>
          <w:color w:val="auto"/>
        </w:rPr>
        <w:t>SAR Agreement</w:t>
      </w:r>
      <w:r>
        <w:rPr>
          <w:rFonts w:ascii="Arial" w:cs="Arial" w:eastAsia="Arial" w:hAnsi="Arial"/>
          <w:sz w:val="19"/>
          <w:szCs w:val="19"/>
          <w:color w:val="auto"/>
        </w:rPr>
        <w:t>”) that will be in such form (which need not be the same for each Participant) as the Committee will from time to time approve, and will comply with and be subject to the terms and conditions of this Plan.</w:t>
      </w:r>
    </w:p>
    <w:p>
      <w:pPr>
        <w:spacing w:after="0" w:line="90"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b w:val="1"/>
          <w:bCs w:val="1"/>
          <w:u w:val="single" w:color="auto"/>
          <w:color w:val="auto"/>
        </w:rPr>
        <w:t>Exercise Period and Expiration Date</w:t>
      </w:r>
      <w:r>
        <w:rPr>
          <w:rFonts w:ascii="Arial" w:cs="Arial" w:eastAsia="Arial" w:hAnsi="Arial"/>
          <w:sz w:val="19"/>
          <w:szCs w:val="19"/>
          <w:color w:val="auto"/>
        </w:rPr>
        <w:t>. A SAR will be exercisable within the times or upon the occurrence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events determined by the Committee and set forth in the SAR Agreement. The SAR Agreement shall set forth the expiration date;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no SAR will be exercisable after the expiration of ten (10) years from the date the SAR is granted.</w:t>
      </w:r>
    </w:p>
    <w:p>
      <w:pPr>
        <w:spacing w:after="0" w:line="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b w:val="1"/>
          <w:bCs w:val="1"/>
          <w:u w:val="single" w:color="auto"/>
          <w:color w:val="auto"/>
        </w:rPr>
        <w:t>Exercise Price</w:t>
      </w:r>
      <w:r>
        <w:rPr>
          <w:rFonts w:ascii="Arial" w:cs="Arial" w:eastAsia="Arial" w:hAnsi="Arial"/>
          <w:sz w:val="22"/>
          <w:szCs w:val="22"/>
          <w:color w:val="auto"/>
        </w:rPr>
        <w:t>. The Committee will determine the Exercise Price of the SAR when the SAR is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which may not be less than the Fair Market Value on the date of grant.</w:t>
      </w:r>
    </w:p>
    <w:p>
      <w:pPr>
        <w:spacing w:after="0" w:line="108"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Subject to earlier termination pursuant to Sections 11 and 13 hereof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periods set forth in the SAR Agreement, exercise of SARs will always be subject to the following terms and conditions.</w:t>
      </w:r>
    </w:p>
    <w:p>
      <w:pPr>
        <w:spacing w:after="0" w:line="46" w:lineRule="exact"/>
        <w:rPr>
          <w:sz w:val="20"/>
          <w:szCs w:val="20"/>
          <w:color w:val="auto"/>
        </w:rPr>
      </w:pPr>
    </w:p>
    <w:p>
      <w:pPr>
        <w:jc w:val="both"/>
        <w:ind w:firstLine="1944"/>
        <w:spacing w:after="0" w:line="292"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u w:val="single" w:color="auto"/>
          <w:color w:val="auto"/>
        </w:rPr>
        <w:t>Other than Death or Disability or for Cause</w:t>
      </w:r>
      <w:r>
        <w:rPr>
          <w:rFonts w:ascii="Arial" w:cs="Arial" w:eastAsia="Arial" w:hAnsi="Arial"/>
          <w:sz w:val="19"/>
          <w:szCs w:val="19"/>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97"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1"/>
          <w:szCs w:val="21"/>
          <w:color w:val="auto"/>
        </w:rPr>
        <w:t xml:space="preserve">7.4.2 </w:t>
      </w:r>
      <w:r>
        <w:rPr>
          <w:rFonts w:ascii="Arial" w:cs="Arial" w:eastAsia="Arial" w:hAnsi="Arial"/>
          <w:sz w:val="21"/>
          <w:szCs w:val="21"/>
          <w:u w:val="single" w:color="auto"/>
          <w:color w:val="auto"/>
        </w:rPr>
        <w:t>Death or Disability</w:t>
      </w:r>
      <w:r>
        <w:rPr>
          <w:rFonts w:ascii="Arial" w:cs="Arial" w:eastAsia="Arial" w:hAnsi="Arial"/>
          <w:sz w:val="21"/>
          <w:szCs w:val="21"/>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 determined by the Committee or as required by applicable law. Such SARs must be exercised by Participant (or Participant’s legal representative or authorized assignee or designated beneficiary), if at all, as to all or some of the Vested Shares calculated as of the Termination Date or such other date determined by the Committee, within twelve (12) months after the Termination Date (or within such shorter time period, not less than six (6) months, or within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458" w:name="page459"/>
    <w:bookmarkEnd w:id="458"/>
    <w:p>
      <w:pPr>
        <w:jc w:val="both"/>
        <w:spacing w:after="0" w:line="263" w:lineRule="auto"/>
        <w:rPr>
          <w:sz w:val="20"/>
          <w:szCs w:val="20"/>
          <w:color w:val="auto"/>
        </w:rPr>
      </w:pPr>
      <w:r>
        <w:rPr>
          <w:rFonts w:ascii="Arial" w:cs="Arial" w:eastAsia="Arial" w:hAnsi="Arial"/>
          <w:sz w:val="22"/>
          <w:szCs w:val="22"/>
          <w:color w:val="auto"/>
        </w:rPr>
        <w:t>longer time period after the Termination Date as may be determined by the Committee or as required by applicable law), but in any event no later than the expiration date of the SARs.</w:t>
      </w:r>
    </w:p>
    <w:p>
      <w:pPr>
        <w:spacing w:after="0" w:line="121"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color w:val="auto"/>
        </w:rPr>
        <w:t xml:space="preserve">7.4.3 </w:t>
      </w:r>
      <w:r>
        <w:rPr>
          <w:rFonts w:ascii="Arial" w:cs="Arial" w:eastAsia="Arial" w:hAnsi="Arial"/>
          <w:sz w:val="22"/>
          <w:szCs w:val="22"/>
          <w:u w:val="single" w:color="auto"/>
          <w:color w:val="auto"/>
        </w:rPr>
        <w:t>For Cause</w:t>
      </w:r>
      <w:r>
        <w:rPr>
          <w:rFonts w:ascii="Arial" w:cs="Arial" w:eastAsia="Arial" w:hAnsi="Arial"/>
          <w:sz w:val="22"/>
          <w:szCs w:val="22"/>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28"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FOR PURCHASES AND EXERCISES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8.1 </w:t>
      </w:r>
      <w:r>
        <w:rPr>
          <w:rFonts w:ascii="Arial" w:cs="Arial" w:eastAsia="Arial" w:hAnsi="Arial"/>
          <w:sz w:val="22"/>
          <w:szCs w:val="22"/>
          <w:b w:val="1"/>
          <w:bCs w:val="1"/>
          <w:u w:val="single" w:color="auto"/>
          <w:color w:val="auto"/>
        </w:rPr>
        <w:t>Payment in General</w:t>
      </w:r>
      <w:r>
        <w:rPr>
          <w:rFonts w:ascii="Arial" w:cs="Arial" w:eastAsia="Arial" w:hAnsi="Arial"/>
          <w:sz w:val="22"/>
          <w:szCs w:val="22"/>
          <w:color w:val="auto"/>
        </w:rPr>
        <w:t>. Payment for Shares acquired pursuant to this Plan may be made in cash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by check or Automated Clearing House (“</w:t>
      </w:r>
      <w:r>
        <w:rPr>
          <w:rFonts w:ascii="Arial" w:cs="Arial" w:eastAsia="Arial" w:hAnsi="Arial"/>
          <w:sz w:val="22"/>
          <w:szCs w:val="22"/>
          <w:b w:val="1"/>
          <w:bCs w:val="1"/>
          <w:i w:val="1"/>
          <w:iCs w:val="1"/>
          <w:color w:val="auto"/>
        </w:rPr>
        <w:t>ACH</w:t>
      </w:r>
      <w:r>
        <w:rPr>
          <w:rFonts w:ascii="Arial" w:cs="Arial" w:eastAsia="Arial" w:hAnsi="Arial"/>
          <w:sz w:val="22"/>
          <w:szCs w:val="22"/>
          <w:color w:val="auto"/>
        </w:rPr>
        <w:t>”) transfer) or, where expressly approved for the Participant by the Committee and subject to compliance with applicable law:</w:t>
      </w:r>
    </w:p>
    <w:p>
      <w:pPr>
        <w:spacing w:after="0" w:line="128" w:lineRule="exact"/>
        <w:rPr>
          <w:sz w:val="20"/>
          <w:szCs w:val="20"/>
          <w:color w:val="auto"/>
        </w:rPr>
      </w:pPr>
    </w:p>
    <w:p>
      <w:pPr>
        <w:ind w:left="2600" w:hanging="648"/>
        <w:spacing w:after="0"/>
        <w:tabs>
          <w:tab w:leader="none" w:pos="26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by cancellation of indebtedness of the Company owed to the Participant;</w:t>
      </w:r>
    </w:p>
    <w:p>
      <w:pPr>
        <w:spacing w:after="0" w:line="165" w:lineRule="exact"/>
        <w:rPr>
          <w:rFonts w:ascii="Arial" w:cs="Arial" w:eastAsia="Arial" w:hAnsi="Arial"/>
          <w:sz w:val="22"/>
          <w:szCs w:val="22"/>
          <w:color w:val="auto"/>
        </w:rPr>
      </w:pPr>
    </w:p>
    <w:p>
      <w:pPr>
        <w:jc w:val="both"/>
        <w:ind w:firstLine="1952"/>
        <w:spacing w:after="0" w:line="265" w:lineRule="auto"/>
        <w:tabs>
          <w:tab w:leader="none" w:pos="2587" w:val="left"/>
        </w:tabs>
        <w:numPr>
          <w:ilvl w:val="0"/>
          <w:numId w:val="243"/>
        </w:numPr>
        <w:rPr>
          <w:rFonts w:ascii="Arial" w:cs="Arial" w:eastAsia="Arial" w:hAnsi="Arial"/>
          <w:sz w:val="21"/>
          <w:szCs w:val="21"/>
          <w:color w:val="auto"/>
        </w:rPr>
      </w:pPr>
      <w:r>
        <w:rPr>
          <w:rFonts w:ascii="Arial" w:cs="Arial" w:eastAsia="Arial" w:hAnsi="Arial"/>
          <w:sz w:val="21"/>
          <w:szCs w:val="21"/>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21" w:lineRule="exact"/>
        <w:rPr>
          <w:rFonts w:ascii="Arial" w:cs="Arial" w:eastAsia="Arial" w:hAnsi="Arial"/>
          <w:sz w:val="21"/>
          <w:szCs w:val="21"/>
          <w:color w:val="auto"/>
        </w:rPr>
      </w:pPr>
    </w:p>
    <w:p>
      <w:pPr>
        <w:jc w:val="both"/>
        <w:ind w:firstLine="1952"/>
        <w:spacing w:after="0" w:line="260" w:lineRule="auto"/>
        <w:tabs>
          <w:tab w:leader="none" w:pos="2589"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further</w:t>
      </w:r>
      <w:r>
        <w:rPr>
          <w:rFonts w:ascii="Arial" w:cs="Arial" w:eastAsia="Arial" w:hAnsi="Arial"/>
          <w:sz w:val="21"/>
          <w:szCs w:val="21"/>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26" w:lineRule="exact"/>
        <w:rPr>
          <w:rFonts w:ascii="Arial" w:cs="Arial" w:eastAsia="Arial" w:hAnsi="Arial"/>
          <w:sz w:val="21"/>
          <w:szCs w:val="21"/>
          <w:color w:val="auto"/>
        </w:rPr>
      </w:pPr>
    </w:p>
    <w:p>
      <w:pPr>
        <w:ind w:left="2600" w:hanging="648"/>
        <w:spacing w:after="0"/>
        <w:tabs>
          <w:tab w:leader="none" w:pos="26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by waiver of compensation due or accrued to the Participant from the Company for services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rendered;</w:t>
      </w:r>
    </w:p>
    <w:p>
      <w:pPr>
        <w:spacing w:after="0" w:line="147" w:lineRule="exact"/>
        <w:rPr>
          <w:rFonts w:ascii="Arial" w:cs="Arial" w:eastAsia="Arial" w:hAnsi="Arial"/>
          <w:sz w:val="21"/>
          <w:szCs w:val="21"/>
          <w:color w:val="auto"/>
        </w:rPr>
      </w:pPr>
    </w:p>
    <w:p>
      <w:pPr>
        <w:ind w:left="2600" w:hanging="648"/>
        <w:spacing w:after="0"/>
        <w:tabs>
          <w:tab w:leader="none" w:pos="26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by participating in a formal cashless exercise program implemented by the Committee in</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connection with the Plan;</w:t>
      </w:r>
    </w:p>
    <w:p>
      <w:pPr>
        <w:spacing w:after="0" w:line="147" w:lineRule="exact"/>
        <w:rPr>
          <w:rFonts w:ascii="Arial" w:cs="Arial" w:eastAsia="Arial" w:hAnsi="Arial"/>
          <w:sz w:val="22"/>
          <w:szCs w:val="22"/>
          <w:color w:val="auto"/>
        </w:rPr>
      </w:pPr>
    </w:p>
    <w:p>
      <w:pPr>
        <w:jc w:val="both"/>
        <w:ind w:firstLine="1952"/>
        <w:spacing w:after="0" w:line="248" w:lineRule="auto"/>
        <w:tabs>
          <w:tab w:leader="none" w:pos="259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provided that a public market for the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459" w:name="page460"/>
    <w:bookmarkEnd w:id="459"/>
    <w:p>
      <w:pPr>
        <w:ind w:left="2600" w:hanging="648"/>
        <w:spacing w:after="0"/>
        <w:tabs>
          <w:tab w:leader="none" w:pos="260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by any combination of the foregoing or any other method of payment approved by the Committee.</w:t>
      </w:r>
    </w:p>
    <w:p>
      <w:pPr>
        <w:spacing w:after="0" w:line="200"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7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Prior to any relevant taxable or tax withholding events in connection with an Award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Plan, the Company may require the Participant to pay or make adequate arrangements satisfactory to the Company with respect to any or all foreign, federal, state and local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9"/>
          <w:szCs w:val="19"/>
          <w:b w:val="1"/>
          <w:bCs w:val="1"/>
          <w:i w:val="1"/>
          <w:iCs w:val="1"/>
          <w:color w:val="auto"/>
        </w:rPr>
        <w:t>Tax-Related Obligations</w:t>
      </w:r>
      <w:r>
        <w:rPr>
          <w:rFonts w:ascii="Arial" w:cs="Arial" w:eastAsia="Arial" w:hAnsi="Arial"/>
          <w:sz w:val="19"/>
          <w:szCs w:val="19"/>
          <w:color w:val="auto"/>
        </w:rPr>
        <w:t xml:space="preserve">”). The Committee may, in its sole discretion and pursuant to such procedures as it may specify from time to time, require or permit a Participant to satisfy withholding obligations for such Tax-Related Obligations, in whole or in part by (without limitation) (a) paying cash, (b) having the Company withhold otherwise deliverable cash or Shares having a value equal to the Tax-Related Obligations to be withheld, (c) delivering to the Company already-owned Shares having a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Whenever, under this Plan, payments in satisfaction of Awards are to be made in cash by the Company, such payment will be net of an amount sufficient to satisfy applicable tax withholding requirements.</w:t>
      </w:r>
    </w:p>
    <w:p>
      <w:pPr>
        <w:spacing w:after="0" w:line="36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8.3 </w:t>
      </w:r>
      <w:r>
        <w:rPr>
          <w:rFonts w:ascii="Arial" w:cs="Arial" w:eastAsia="Arial" w:hAnsi="Arial"/>
          <w:sz w:val="22"/>
          <w:szCs w:val="22"/>
          <w:b w:val="1"/>
          <w:bCs w:val="1"/>
          <w:u w:val="single" w:color="auto"/>
          <w:color w:val="auto"/>
        </w:rPr>
        <w:t>Elections Under Section 83(i) of the Code</w:t>
      </w:r>
      <w:r>
        <w:rPr>
          <w:rFonts w:ascii="Arial" w:cs="Arial" w:eastAsia="Arial" w:hAnsi="Arial"/>
          <w:sz w:val="22"/>
          <w:szCs w:val="22"/>
          <w:color w:val="auto"/>
        </w:rPr>
        <w:t>. A Participant will not make an election under Section 83(i)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Code if the Company determines that the Participant is then ineligible to make such an election under applicable law or without the Company’s prior written consent (which will not be unreasonably withheld or delayed, but may be conditioned upon the Participant’s entry into additional commitments as determined by the Company).</w:t>
      </w:r>
    </w:p>
    <w:p>
      <w:pPr>
        <w:spacing w:after="0" w:line="126"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RESTRICTIONS ON AWARDS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Except as permitted by the Committee, Awards granted under this Plan, and any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therein, will not be transferable or assignable by Participant, other than by will or by the laws of descent and distribution or by beneficiary designation (made or changed by filing the prescribed form with the Company at any time before the Participant’s death)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460" w:name="page461"/>
    <w:bookmarkEnd w:id="460"/>
    <w:p>
      <w:pPr>
        <w:jc w:val="both"/>
        <w:spacing w:after="0" w:line="260" w:lineRule="auto"/>
        <w:rPr>
          <w:sz w:val="20"/>
          <w:szCs w:val="20"/>
          <w:color w:val="auto"/>
        </w:rPr>
      </w:pPr>
      <w:r>
        <w:rPr>
          <w:rFonts w:ascii="Arial" w:cs="Arial" w:eastAsia="Arial" w:hAnsi="Arial"/>
          <w:sz w:val="21"/>
          <w:szCs w:val="21"/>
          <w:color w:val="auto"/>
        </w:rPr>
        <w:t>Awards prior to the 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1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b w:val="1"/>
          <w:bCs w:val="1"/>
          <w:u w:val="single" w:color="auto"/>
          <w:color w:val="auto"/>
        </w:rPr>
        <w:t>Securities Law and Other Regulatory Compliance</w:t>
      </w:r>
      <w:r>
        <w:rPr>
          <w:rFonts w:ascii="Arial" w:cs="Arial" w:eastAsia="Arial" w:hAnsi="Arial"/>
          <w:sz w:val="19"/>
          <w:szCs w:val="19"/>
          <w:color w:val="auto"/>
        </w:rPr>
        <w:t>. Although this Plan is intended to be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compensatory benefit plan within the meaning 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36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b w:val="1"/>
          <w:bCs w:val="1"/>
          <w:u w:val="single" w:color="auto"/>
          <w:color w:val="auto"/>
        </w:rPr>
        <w:t>Exchange and Buyout of Awards</w:t>
      </w:r>
      <w:r>
        <w:rPr>
          <w:rFonts w:ascii="Arial" w:cs="Arial" w:eastAsia="Arial" w:hAnsi="Arial"/>
          <w:sz w:val="21"/>
          <w:szCs w:val="21"/>
          <w:color w:val="auto"/>
        </w:rPr>
        <w:t>. The Committee may, at any time or from time to time, authorize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with the consent of 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19"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RESTRICTIONS ON SHARES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b w:val="1"/>
          <w:bCs w:val="1"/>
          <w:u w:val="single" w:color="auto"/>
          <w:color w:val="auto"/>
        </w:rPr>
        <w:t>Privileges of Stock Ownership</w:t>
      </w:r>
      <w:r>
        <w:rPr>
          <w:rFonts w:ascii="Arial" w:cs="Arial" w:eastAsia="Arial" w:hAnsi="Arial"/>
          <w:sz w:val="22"/>
          <w:szCs w:val="22"/>
          <w:color w:val="auto"/>
        </w:rPr>
        <w:t>. No Participant will have any of the rights of a stockholder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any Shares until such Shares are issued to the Participant. After Shares are issued to the Participant, the Participant will be a stockholder and have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461" w:name="page462"/>
    <w:bookmarkEnd w:id="461"/>
    <w:p>
      <w:pPr>
        <w:jc w:val="both"/>
        <w:spacing w:after="0" w:line="261" w:lineRule="auto"/>
        <w:rPr>
          <w:sz w:val="20"/>
          <w:szCs w:val="20"/>
          <w:color w:val="auto"/>
        </w:rPr>
      </w:pPr>
      <w:r>
        <w:rPr>
          <w:rFonts w:ascii="Arial" w:cs="Arial" w:eastAsia="Arial" w:hAnsi="Arial"/>
          <w:sz w:val="21"/>
          <w:szCs w:val="21"/>
          <w:color w:val="auto"/>
        </w:rPr>
        <w:t xml:space="preserve">rights of a stockholder with respect to such Shares, including the right to vote and receive all dividends or other distributions made or paid with respect to such Shares;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1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b w:val="1"/>
          <w:bCs w:val="1"/>
          <w:u w:val="single" w:color="auto"/>
          <w:color w:val="auto"/>
        </w:rPr>
        <w:t>Rights of First Refusal and Repurchase</w:t>
      </w:r>
      <w:r>
        <w:rPr>
          <w:rFonts w:ascii="Arial" w:cs="Arial" w:eastAsia="Arial" w:hAnsi="Arial"/>
          <w:sz w:val="19"/>
          <w:szCs w:val="19"/>
          <w:color w:val="auto"/>
        </w:rPr>
        <w:t>. At the discretion of the Committee, the Company may reserve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itself and/or its assignee(s) in the Award Agreement (a) a right of first refusal to purchase all Shares that a Participant (or a subsequent transferee) may propose to transfer to a third party,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such right of first refusal terminates upon (i) subject to any applicable market standoff 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10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Agreement to Vote Shares</w:t>
      </w:r>
      <w:r>
        <w:rPr>
          <w:rFonts w:ascii="Arial" w:cs="Arial" w:eastAsia="Arial" w:hAnsi="Arial"/>
          <w:sz w:val="22"/>
          <w:szCs w:val="22"/>
          <w:color w:val="auto"/>
        </w:rPr>
        <w:t>. At the discretion of the Committee, the Company may require that, as a</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to the receipt of the Shares upon 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12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b w:val="1"/>
          <w:bCs w:val="1"/>
          <w:u w:val="single" w:color="auto"/>
          <w:color w:val="auto"/>
        </w:rPr>
        <w:t>Escrow; Pledge of Shares</w:t>
      </w:r>
      <w:r>
        <w:rPr>
          <w:rFonts w:ascii="Arial" w:cs="Arial" w:eastAsia="Arial" w:hAnsi="Arial"/>
          <w:sz w:val="19"/>
          <w:szCs w:val="19"/>
          <w:color w:val="auto"/>
        </w:rPr>
        <w:t>. To enforce any restrictions on a Participant’s Shares, the Committee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 the Participant 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462" w:name="page463"/>
    <w:bookmarkEnd w:id="462"/>
    <w:p>
      <w:pPr>
        <w:jc w:val="both"/>
        <w:spacing w:after="0" w:line="271" w:lineRule="auto"/>
        <w:rPr>
          <w:sz w:val="20"/>
          <w:szCs w:val="20"/>
          <w:color w:val="auto"/>
        </w:rPr>
      </w:pPr>
      <w:r>
        <w:rPr>
          <w:rFonts w:ascii="Arial" w:cs="Arial" w:eastAsia="Arial" w:hAnsi="Arial"/>
          <w:sz w:val="21"/>
          <w:szCs w:val="21"/>
          <w:color w:val="auto"/>
        </w:rPr>
        <w:t>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7"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22"/>
          <w:szCs w:val="22"/>
          <w:b w:val="1"/>
          <w:bCs w:val="1"/>
          <w:u w:val="single" w:color="auto"/>
          <w:color w:val="auto"/>
        </w:rPr>
        <w:t>Securities Law Restrictions</w:t>
      </w:r>
      <w:r>
        <w:rPr>
          <w:rFonts w:ascii="Arial" w:cs="Arial" w:eastAsia="Arial" w:hAnsi="Arial"/>
          <w:sz w:val="22"/>
          <w:szCs w:val="22"/>
          <w:color w:val="auto"/>
        </w:rPr>
        <w:t>. All written or electronic certificates for Shares or other securities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Plan will be subject to such 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13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10.6 </w:t>
      </w:r>
      <w:r>
        <w:rPr>
          <w:rFonts w:ascii="Arial" w:cs="Arial" w:eastAsia="Arial" w:hAnsi="Arial"/>
          <w:sz w:val="22"/>
          <w:szCs w:val="22"/>
          <w:b w:val="1"/>
          <w:bCs w:val="1"/>
          <w:u w:val="single" w:color="auto"/>
          <w:color w:val="auto"/>
        </w:rPr>
        <w:t>Transfer Restrictions</w:t>
      </w:r>
      <w:r>
        <w:rPr>
          <w:rFonts w:ascii="Arial" w:cs="Arial" w:eastAsia="Arial" w:hAnsi="Arial"/>
          <w:sz w:val="22"/>
          <w:szCs w:val="22"/>
          <w:color w:val="auto"/>
        </w:rPr>
        <w:t>. All Shares or other securities delivered under this Plan will be subject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on transfers of securities as set forth in the Company’s Bylaws, including Article 11, as may be amended from time to time.</w:t>
      </w:r>
    </w:p>
    <w:p>
      <w:pPr>
        <w:spacing w:after="0" w:line="122"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CORPORATE TRANSACTIONS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b w:val="1"/>
          <w:bCs w:val="1"/>
          <w:u w:val="single" w:color="auto"/>
          <w:color w:val="auto"/>
        </w:rPr>
        <w:t>Acquisitions or Other Combinations</w:t>
      </w:r>
      <w:r>
        <w:rPr>
          <w:rFonts w:ascii="Arial" w:cs="Arial" w:eastAsia="Arial" w:hAnsi="Arial"/>
          <w:sz w:val="22"/>
          <w:szCs w:val="22"/>
          <w:color w:val="auto"/>
        </w:rPr>
        <w:t>. In the event that the Company is subject to an Acquisition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outstanding 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38" w:lineRule="exact"/>
        <w:rPr>
          <w:sz w:val="20"/>
          <w:szCs w:val="20"/>
          <w:color w:val="auto"/>
        </w:rPr>
      </w:pPr>
    </w:p>
    <w:p>
      <w:pPr>
        <w:ind w:left="2600" w:hanging="648"/>
        <w:spacing w:after="0"/>
        <w:tabs>
          <w:tab w:leader="none" w:pos="26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continuation of such outstanding Awards by the Company (if the Company is the successor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entity).</w:t>
      </w:r>
    </w:p>
    <w:p>
      <w:pPr>
        <w:spacing w:after="0" w:line="148" w:lineRule="exact"/>
        <w:rPr>
          <w:sz w:val="20"/>
          <w:szCs w:val="20"/>
          <w:color w:val="auto"/>
        </w:rPr>
      </w:pPr>
    </w:p>
    <w:p>
      <w:pPr>
        <w:jc w:val="both"/>
        <w:ind w:firstLine="1952"/>
        <w:spacing w:after="0" w:line="257" w:lineRule="auto"/>
        <w:tabs>
          <w:tab w:leader="none" w:pos="2587"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463" w:name="page464"/>
    <w:bookmarkEnd w:id="463"/>
    <w:p>
      <w:pPr>
        <w:spacing w:after="0"/>
        <w:rPr>
          <w:sz w:val="20"/>
          <w:szCs w:val="20"/>
          <w:color w:val="auto"/>
        </w:rPr>
      </w:pPr>
      <w:r>
        <w:rPr>
          <w:rFonts w:ascii="Arial" w:cs="Arial" w:eastAsia="Arial" w:hAnsi="Arial"/>
          <w:sz w:val="22"/>
          <w:szCs w:val="22"/>
          <w:color w:val="auto"/>
        </w:rPr>
        <w:t>the per share consideration received by holders of Common Stock in the Acquisition or Other Combination.</w:t>
      </w:r>
    </w:p>
    <w:p>
      <w:pPr>
        <w:spacing w:after="0" w:line="166" w:lineRule="exact"/>
        <w:rPr>
          <w:sz w:val="20"/>
          <w:szCs w:val="20"/>
          <w:color w:val="auto"/>
        </w:rPr>
      </w:pPr>
    </w:p>
    <w:p>
      <w:pPr>
        <w:jc w:val="both"/>
        <w:ind w:firstLine="1952"/>
        <w:spacing w:after="0" w:line="248" w:lineRule="auto"/>
        <w:tabs>
          <w:tab w:leader="none" w:pos="2589"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37" w:lineRule="exact"/>
        <w:rPr>
          <w:rFonts w:ascii="Arial" w:cs="Arial" w:eastAsia="Arial" w:hAnsi="Arial"/>
          <w:sz w:val="22"/>
          <w:szCs w:val="22"/>
          <w:color w:val="auto"/>
        </w:rPr>
      </w:pPr>
    </w:p>
    <w:p>
      <w:pPr>
        <w:ind w:left="2600" w:hanging="648"/>
        <w:spacing w:after="0"/>
        <w:tabs>
          <w:tab w:leader="none" w:pos="26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full or partial exercisability or vesting and accelerated expiration of outstanding Awards.</w:t>
      </w:r>
    </w:p>
    <w:p>
      <w:pPr>
        <w:spacing w:after="0" w:line="177" w:lineRule="exact"/>
        <w:rPr>
          <w:rFonts w:ascii="Arial" w:cs="Arial" w:eastAsia="Arial" w:hAnsi="Arial"/>
          <w:sz w:val="21"/>
          <w:szCs w:val="21"/>
          <w:color w:val="auto"/>
        </w:rPr>
      </w:pPr>
    </w:p>
    <w:p>
      <w:pPr>
        <w:jc w:val="both"/>
        <w:ind w:firstLine="1952"/>
        <w:spacing w:after="0" w:line="289" w:lineRule="auto"/>
        <w:tabs>
          <w:tab w:leader="none" w:pos="258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102" w:lineRule="exact"/>
        <w:rPr>
          <w:rFonts w:ascii="Arial" w:cs="Arial" w:eastAsia="Arial" w:hAnsi="Arial"/>
          <w:sz w:val="19"/>
          <w:szCs w:val="19"/>
          <w:color w:val="auto"/>
        </w:rPr>
      </w:pPr>
    </w:p>
    <w:p>
      <w:pPr>
        <w:jc w:val="both"/>
        <w:ind w:firstLine="1952"/>
        <w:spacing w:after="0" w:line="250" w:lineRule="auto"/>
        <w:tabs>
          <w:tab w:leader="none" w:pos="259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34" w:lineRule="exact"/>
        <w:rPr>
          <w:sz w:val="20"/>
          <w:szCs w:val="20"/>
          <w:color w:val="auto"/>
        </w:rPr>
      </w:pPr>
    </w:p>
    <w:p>
      <w:pPr>
        <w:jc w:val="both"/>
        <w:ind w:right="280"/>
        <w:spacing w:after="0" w:line="343" w:lineRule="auto"/>
        <w:rPr>
          <w:sz w:val="20"/>
          <w:szCs w:val="20"/>
          <w:color w:val="auto"/>
        </w:rPr>
      </w:pPr>
      <w:r>
        <w:rPr>
          <w:rFonts w:ascii="Arial" w:cs="Arial" w:eastAsia="Arial" w:hAnsi="Arial"/>
          <w:sz w:val="19"/>
          <w:szCs w:val="19"/>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4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b w:val="1"/>
          <w:bCs w:val="1"/>
          <w:u w:val="single" w:color="auto"/>
          <w:color w:val="auto"/>
        </w:rPr>
        <w:t>Substitution or Assumption of Awards by the Company</w:t>
      </w:r>
      <w:r>
        <w:rPr>
          <w:rFonts w:ascii="Arial" w:cs="Arial" w:eastAsia="Arial" w:hAnsi="Arial"/>
          <w:sz w:val="21"/>
          <w:szCs w:val="21"/>
          <w:color w:val="auto"/>
        </w:rPr>
        <w:t>. The Company, from time to time, also may</w:t>
      </w:r>
      <w:r>
        <w:rPr>
          <w:rFonts w:ascii="Arial" w:cs="Arial" w:eastAsia="Arial" w:hAnsi="Arial"/>
          <w:sz w:val="21"/>
          <w:szCs w:val="21"/>
          <w:b w:val="1"/>
          <w:bCs w:val="1"/>
          <w:color w:val="auto"/>
        </w:rPr>
        <w:t xml:space="preserve"> </w:t>
      </w:r>
      <w:r>
        <w:rPr>
          <w:rFonts w:ascii="Arial" w:cs="Arial" w:eastAsia="Arial" w:hAnsi="Arial"/>
          <w:sz w:val="21"/>
          <w:szCs w:val="21"/>
          <w:color w:val="auto"/>
        </w:rPr>
        <w:t>substitute or assume outstanding awards 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464" w:name="page465"/>
    <w:bookmarkEnd w:id="464"/>
    <w:p>
      <w:pPr>
        <w:jc w:val="both"/>
        <w:spacing w:after="0" w:line="248" w:lineRule="auto"/>
        <w:rPr>
          <w:sz w:val="20"/>
          <w:szCs w:val="20"/>
          <w:color w:val="auto"/>
        </w:rPr>
      </w:pPr>
      <w:r>
        <w:rPr>
          <w:rFonts w:ascii="Arial" w:cs="Arial" w:eastAsia="Arial" w:hAnsi="Arial"/>
          <w:sz w:val="22"/>
          <w:szCs w:val="22"/>
          <w:color w:val="auto"/>
        </w:rPr>
        <w:t>right, or any award that is subject to Section 409A of the Code, will be adjusted appropriately pursuant to Section 424(a) or Section 409A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132"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b w:val="1"/>
          <w:bCs w:val="1"/>
          <w:u w:val="single" w:color="auto"/>
          <w:color w:val="auto"/>
        </w:rPr>
        <w:t>Committee Authority</w:t>
      </w:r>
      <w:r>
        <w:rPr>
          <w:rFonts w:ascii="Arial" w:cs="Arial" w:eastAsia="Arial" w:hAnsi="Arial"/>
          <w:sz w:val="22"/>
          <w:szCs w:val="22"/>
          <w:color w:val="auto"/>
        </w:rPr>
        <w:t>. This Plan will be administered by the Committee. Subject to the general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this Plan, and to the direction of the Board, the Committee will have full power to implement and carry out this Plan. Without limitation, the Committee will have the authority to:</w:t>
      </w:r>
    </w:p>
    <w:p>
      <w:pPr>
        <w:spacing w:after="0" w:line="128" w:lineRule="exact"/>
        <w:rPr>
          <w:sz w:val="20"/>
          <w:szCs w:val="20"/>
          <w:color w:val="auto"/>
        </w:rPr>
      </w:pPr>
    </w:p>
    <w:p>
      <w:pPr>
        <w:ind w:right="20" w:firstLine="1952"/>
        <w:spacing w:after="0" w:line="263" w:lineRule="auto"/>
        <w:tabs>
          <w:tab w:leader="none" w:pos="258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construe and interpret this Plan, any Award Agreement and any other agreement or document executed pursuant to this Plan;</w:t>
      </w:r>
    </w:p>
    <w:p>
      <w:pPr>
        <w:spacing w:after="0" w:line="120" w:lineRule="exact"/>
        <w:rPr>
          <w:rFonts w:ascii="Arial" w:cs="Arial" w:eastAsia="Arial" w:hAnsi="Arial"/>
          <w:sz w:val="22"/>
          <w:szCs w:val="22"/>
          <w:color w:val="auto"/>
        </w:rPr>
      </w:pPr>
    </w:p>
    <w:p>
      <w:pPr>
        <w:ind w:left="2600" w:hanging="648"/>
        <w:spacing w:after="0"/>
        <w:tabs>
          <w:tab w:leader="none" w:pos="26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prescribe, amend, expand, modify and rescind or terminate rules and regulations relating to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147" w:lineRule="exact"/>
        <w:rPr>
          <w:rFonts w:ascii="Arial" w:cs="Arial" w:eastAsia="Arial" w:hAnsi="Arial"/>
          <w:sz w:val="19"/>
          <w:szCs w:val="19"/>
          <w:color w:val="auto"/>
        </w:rPr>
      </w:pPr>
    </w:p>
    <w:p>
      <w:pPr>
        <w:ind w:left="2600" w:hanging="648"/>
        <w:spacing w:after="0"/>
        <w:tabs>
          <w:tab w:leader="none" w:pos="26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approve persons to receive Awards;</w:t>
      </w:r>
    </w:p>
    <w:p>
      <w:pPr>
        <w:spacing w:after="0" w:line="165" w:lineRule="exact"/>
        <w:rPr>
          <w:rFonts w:ascii="Arial" w:cs="Arial" w:eastAsia="Arial" w:hAnsi="Arial"/>
          <w:sz w:val="22"/>
          <w:szCs w:val="22"/>
          <w:color w:val="auto"/>
        </w:rPr>
      </w:pPr>
    </w:p>
    <w:p>
      <w:pPr>
        <w:ind w:left="2600" w:hanging="648"/>
        <w:spacing w:after="0"/>
        <w:tabs>
          <w:tab w:leader="none" w:pos="26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determine the form and terms of Awards;</w:t>
      </w:r>
    </w:p>
    <w:p>
      <w:pPr>
        <w:spacing w:after="0" w:line="165" w:lineRule="exact"/>
        <w:rPr>
          <w:rFonts w:ascii="Arial" w:cs="Arial" w:eastAsia="Arial" w:hAnsi="Arial"/>
          <w:sz w:val="22"/>
          <w:szCs w:val="22"/>
          <w:color w:val="auto"/>
        </w:rPr>
      </w:pPr>
    </w:p>
    <w:p>
      <w:pPr>
        <w:ind w:left="2600" w:hanging="648"/>
        <w:spacing w:after="0"/>
        <w:tabs>
          <w:tab w:leader="none" w:pos="26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determine the number of Shares or other consideration subject to Awards granted under this Plan;</w:t>
      </w:r>
    </w:p>
    <w:p>
      <w:pPr>
        <w:spacing w:after="0" w:line="200" w:lineRule="exact"/>
        <w:rPr>
          <w:rFonts w:ascii="Arial" w:cs="Arial" w:eastAsia="Arial" w:hAnsi="Arial"/>
          <w:sz w:val="19"/>
          <w:szCs w:val="19"/>
          <w:color w:val="auto"/>
        </w:rPr>
      </w:pPr>
    </w:p>
    <w:p>
      <w:pPr>
        <w:ind w:firstLine="1952"/>
        <w:spacing w:after="0" w:line="343" w:lineRule="auto"/>
        <w:tabs>
          <w:tab w:leader="none" w:pos="2592" w:val="left"/>
        </w:tabs>
        <w:numPr>
          <w:ilvl w:val="0"/>
          <w:numId w:val="252"/>
        </w:numPr>
        <w:rPr>
          <w:rFonts w:ascii="Arial" w:cs="Arial" w:eastAsia="Arial" w:hAnsi="Arial"/>
          <w:sz w:val="19"/>
          <w:szCs w:val="19"/>
          <w:color w:val="auto"/>
        </w:rPr>
      </w:pPr>
      <w:r>
        <w:rPr>
          <w:rFonts w:ascii="Arial" w:cs="Arial" w:eastAsia="Arial" w:hAnsi="Arial"/>
          <w:sz w:val="19"/>
          <w:szCs w:val="19"/>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50"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31" w:lineRule="exact"/>
        <w:rPr>
          <w:rFonts w:ascii="Arial" w:cs="Arial" w:eastAsia="Arial" w:hAnsi="Arial"/>
          <w:sz w:val="22"/>
          <w:szCs w:val="22"/>
          <w:color w:val="auto"/>
        </w:rPr>
      </w:pPr>
    </w:p>
    <w:p>
      <w:pPr>
        <w:ind w:left="2600" w:hanging="648"/>
        <w:spacing w:after="0"/>
        <w:tabs>
          <w:tab w:leader="none" w:pos="26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grant waivers of any conditions of this Plan or any Award;</w:t>
      </w:r>
    </w:p>
    <w:p>
      <w:pPr>
        <w:spacing w:after="0" w:line="165" w:lineRule="exact"/>
        <w:rPr>
          <w:rFonts w:ascii="Arial" w:cs="Arial" w:eastAsia="Arial" w:hAnsi="Arial"/>
          <w:sz w:val="22"/>
          <w:szCs w:val="22"/>
          <w:color w:val="auto"/>
        </w:rPr>
      </w:pPr>
    </w:p>
    <w:p>
      <w:pPr>
        <w:ind w:left="2580" w:hanging="628"/>
        <w:spacing w:after="0"/>
        <w:tabs>
          <w:tab w:leader="none" w:pos="258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determine the terms of vesting, exercisability, settlement and payment of Awards to be granted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 to this Plan;</w:t>
      </w:r>
    </w:p>
    <w:p>
      <w:pPr>
        <w:spacing w:after="0" w:line="147" w:lineRule="exact"/>
        <w:rPr>
          <w:rFonts w:ascii="Arial" w:cs="Arial" w:eastAsia="Arial" w:hAnsi="Arial"/>
          <w:sz w:val="19"/>
          <w:szCs w:val="19"/>
          <w:color w:val="auto"/>
        </w:rPr>
      </w:pPr>
    </w:p>
    <w:p>
      <w:pPr>
        <w:ind w:firstLine="1952"/>
        <w:spacing w:after="0" w:line="263" w:lineRule="auto"/>
        <w:tabs>
          <w:tab w:leader="none" w:pos="258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correct any defect, supply any omission, or reconcile any inconsistency in this Plan, any Award, any Award Agreement or any Exercise Agreement;</w:t>
      </w:r>
    </w:p>
    <w:p>
      <w:pPr>
        <w:spacing w:after="0" w:line="120" w:lineRule="exact"/>
        <w:rPr>
          <w:rFonts w:ascii="Arial" w:cs="Arial" w:eastAsia="Arial" w:hAnsi="Arial"/>
          <w:sz w:val="22"/>
          <w:szCs w:val="22"/>
          <w:color w:val="auto"/>
        </w:rPr>
      </w:pPr>
    </w:p>
    <w:p>
      <w:pPr>
        <w:ind w:left="2600" w:hanging="648"/>
        <w:spacing w:after="0"/>
        <w:tabs>
          <w:tab w:leader="none" w:pos="26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determine whether an Award has vested or become exercisable;</w:t>
      </w:r>
    </w:p>
    <w:p>
      <w:pPr>
        <w:spacing w:after="0" w:line="165" w:lineRule="exact"/>
        <w:rPr>
          <w:rFonts w:ascii="Arial" w:cs="Arial" w:eastAsia="Arial" w:hAnsi="Arial"/>
          <w:sz w:val="22"/>
          <w:szCs w:val="22"/>
          <w:color w:val="auto"/>
        </w:rPr>
      </w:pPr>
    </w:p>
    <w:p>
      <w:pPr>
        <w:ind w:left="2580" w:hanging="628"/>
        <w:spacing w:after="0"/>
        <w:tabs>
          <w:tab w:leader="none" w:pos="258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extend the vesting period beyond a Participant’s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465" w:name="page466"/>
    <w:bookmarkEnd w:id="465"/>
    <w:p>
      <w:pPr>
        <w:jc w:val="both"/>
        <w:ind w:firstLine="1952"/>
        <w:spacing w:after="0" w:line="253" w:lineRule="auto"/>
        <w:tabs>
          <w:tab w:leader="none" w:pos="258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131" w:lineRule="exact"/>
        <w:rPr>
          <w:rFonts w:ascii="Arial" w:cs="Arial" w:eastAsia="Arial" w:hAnsi="Arial"/>
          <w:sz w:val="22"/>
          <w:szCs w:val="22"/>
          <w:color w:val="auto"/>
        </w:rPr>
      </w:pPr>
    </w:p>
    <w:p>
      <w:pPr>
        <w:ind w:firstLine="1952"/>
        <w:spacing w:after="0" w:line="263" w:lineRule="auto"/>
        <w:tabs>
          <w:tab w:leader="none" w:pos="2587" w:val="left"/>
        </w:tabs>
        <w:numPr>
          <w:ilvl w:val="0"/>
          <w:numId w:val="253"/>
        </w:numPr>
        <w:rPr>
          <w:rFonts w:ascii="Arial" w:cs="Arial" w:eastAsia="Arial" w:hAnsi="Arial"/>
          <w:sz w:val="22"/>
          <w:szCs w:val="22"/>
          <w:color w:val="auto"/>
        </w:rPr>
      </w:pPr>
      <w:r>
        <w:rPr>
          <w:rFonts w:ascii="Arial" w:cs="Arial" w:eastAsia="Arial" w:hAnsi="Arial"/>
          <w:sz w:val="22"/>
          <w:szCs w:val="22"/>
          <w:color w:val="auto"/>
        </w:rPr>
        <w:t>delegate any of the foregoing to a subcommittee consisting of one or more directors or executive officers pursuant to a specific delegation as may otherwise be permitted by applicable law;</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253"/>
        </w:numPr>
        <w:rPr>
          <w:rFonts w:ascii="Arial" w:cs="Arial" w:eastAsia="Arial" w:hAnsi="Arial"/>
          <w:sz w:val="22"/>
          <w:szCs w:val="22"/>
          <w:color w:val="auto"/>
        </w:rPr>
      </w:pPr>
      <w:r>
        <w:rPr>
          <w:rFonts w:ascii="Arial" w:cs="Arial" w:eastAsia="Arial" w:hAnsi="Arial"/>
          <w:sz w:val="22"/>
          <w:szCs w:val="22"/>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31" w:lineRule="exact"/>
        <w:rPr>
          <w:rFonts w:ascii="Arial" w:cs="Arial" w:eastAsia="Arial" w:hAnsi="Arial"/>
          <w:sz w:val="22"/>
          <w:szCs w:val="22"/>
          <w:color w:val="auto"/>
        </w:rPr>
      </w:pPr>
    </w:p>
    <w:p>
      <w:pPr>
        <w:ind w:left="2600" w:hanging="648"/>
        <w:spacing w:after="0"/>
        <w:tabs>
          <w:tab w:leader="none" w:pos="260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make all other determinations necessary or advisable in connection with the administration of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14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b w:val="1"/>
          <w:bCs w:val="1"/>
          <w:u w:val="single" w:color="auto"/>
          <w:color w:val="auto"/>
        </w:rPr>
        <w:t>Standalone, Tandem and Substitute Awards</w:t>
      </w:r>
      <w:r>
        <w:rPr>
          <w:rFonts w:ascii="Arial" w:cs="Arial" w:eastAsia="Arial" w:hAnsi="Arial"/>
          <w:sz w:val="22"/>
          <w:szCs w:val="22"/>
          <w:color w:val="auto"/>
        </w:rPr>
        <w:t>. Awards granted under the Plan may, in the sole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Committee, be granted either 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12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b w:val="1"/>
          <w:bCs w:val="1"/>
          <w:u w:val="single" w:color="auto"/>
          <w:color w:val="auto"/>
        </w:rPr>
        <w:t>Committee Composition and Discretion</w:t>
      </w:r>
      <w:r>
        <w:rPr>
          <w:rFonts w:ascii="Arial" w:cs="Arial" w:eastAsia="Arial" w:hAnsi="Arial"/>
          <w:sz w:val="19"/>
          <w:szCs w:val="19"/>
          <w:color w:val="auto"/>
        </w:rPr>
        <w:t>. The Board may delegate full administrative authority over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Awards to a 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9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b w:val="1"/>
          <w:bCs w:val="1"/>
          <w:u w:val="single" w:color="auto"/>
          <w:color w:val="auto"/>
        </w:rPr>
        <w:t>Nonexclusivity of the Plan</w:t>
      </w:r>
      <w:r>
        <w:rPr>
          <w:rFonts w:ascii="Arial" w:cs="Arial" w:eastAsia="Arial" w:hAnsi="Arial"/>
          <w:sz w:val="22"/>
          <w:szCs w:val="22"/>
          <w:color w:val="auto"/>
        </w:rPr>
        <w:t>. Neither the adoption of this Plan by the Board, the submission of this Plan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stockholders 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3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b w:val="1"/>
          <w:bCs w:val="1"/>
          <w:color w:val="auto"/>
        </w:rPr>
        <w:t xml:space="preserve">12.5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Plan and all agreements hereunder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Delaware, without giving effect to that body of laws pertaining to conflict of laws.</w:t>
      </w:r>
    </w:p>
    <w:p>
      <w:pPr>
        <w:spacing w:after="0" w:line="85"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 AMENDMENT AND TERMINATION OF THE PLAN</w:t>
      </w:r>
      <w:r>
        <w:rPr>
          <w:rFonts w:ascii="Arial" w:cs="Arial" w:eastAsia="Arial" w:hAnsi="Arial"/>
          <w:sz w:val="22"/>
          <w:szCs w:val="22"/>
          <w:color w:val="auto"/>
        </w:rPr>
        <w:t>.</w:t>
      </w:r>
    </w:p>
    <w:p>
      <w:pPr>
        <w:spacing w:after="0" w:line="166"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b w:val="1"/>
          <w:bCs w:val="1"/>
          <w:u w:val="single" w:color="auto"/>
          <w:color w:val="auto"/>
        </w:rPr>
        <w:t>Adoption and Stockholder Approval</w:t>
      </w:r>
      <w:r>
        <w:rPr>
          <w:rFonts w:ascii="Arial" w:cs="Arial" w:eastAsia="Arial" w:hAnsi="Arial"/>
          <w:sz w:val="22"/>
          <w:szCs w:val="22"/>
          <w:color w:val="auto"/>
        </w:rPr>
        <w:t>. This Plan will become effective on the date that it has been</w:t>
      </w:r>
      <w:r>
        <w:rPr>
          <w:rFonts w:ascii="Arial" w:cs="Arial" w:eastAsia="Arial" w:hAnsi="Arial"/>
          <w:sz w:val="22"/>
          <w:szCs w:val="22"/>
          <w:b w:val="1"/>
          <w:bCs w:val="1"/>
          <w:color w:val="auto"/>
        </w:rPr>
        <w:t xml:space="preserve"> </w:t>
      </w:r>
      <w:r>
        <w:rPr>
          <w:rFonts w:ascii="Arial" w:cs="Arial" w:eastAsia="Arial" w:hAnsi="Arial"/>
          <w:sz w:val="22"/>
          <w:szCs w:val="22"/>
          <w:color w:val="auto"/>
        </w:rPr>
        <w:t>adopted by both the Board and approved by the stockholder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466" w:name="page467"/>
    <w:bookmarkEnd w:id="466"/>
    <w:p>
      <w:pPr>
        <w:jc w:val="both"/>
        <w:spacing w:after="0" w:line="286" w:lineRule="auto"/>
        <w:rPr>
          <w:sz w:val="20"/>
          <w:szCs w:val="20"/>
          <w:color w:val="auto"/>
        </w:rPr>
      </w:pPr>
      <w:r>
        <w:rPr>
          <w:rFonts w:ascii="Arial" w:cs="Arial" w:eastAsia="Arial" w:hAnsi="Arial"/>
          <w:sz w:val="19"/>
          <w:szCs w:val="19"/>
          <w:color w:val="auto"/>
        </w:rPr>
        <w:t>Company, including the holders of a majority of the then-outstanding shares of the Company’s Voting Preferred Stock as required by the Company’s Amended and Restated Certificate of Incorporation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xml:space="preserve">”). This Plan will be approved by the stockholders of the Company (excluding Shares issued pursuant to this Plan), consistent with applicable laws, within twelve (12) months before or after the date of the Board’s adoption of this Plan. Upon the Effective Date, the Committee may grant Awards pursuant to this Plan;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0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b w:val="1"/>
          <w:bCs w:val="1"/>
          <w:u w:val="single" w:color="auto"/>
          <w:color w:val="auto"/>
        </w:rPr>
        <w:t>Term of Plan</w:t>
      </w:r>
      <w:r>
        <w:rPr>
          <w:rFonts w:ascii="Arial" w:cs="Arial" w:eastAsia="Arial" w:hAnsi="Arial"/>
          <w:sz w:val="22"/>
          <w:szCs w:val="22"/>
          <w:color w:val="auto"/>
        </w:rPr>
        <w:t>. Unless earlier terminated as provided herein, this Plan will automatically terminate ten (10)</w:t>
      </w:r>
      <w:r>
        <w:rPr>
          <w:rFonts w:ascii="Arial" w:cs="Arial" w:eastAsia="Arial" w:hAnsi="Arial"/>
          <w:sz w:val="22"/>
          <w:szCs w:val="22"/>
          <w:b w:val="1"/>
          <w:bCs w:val="1"/>
          <w:color w:val="auto"/>
        </w:rPr>
        <w:t xml:space="preserve"> </w:t>
      </w:r>
      <w:r>
        <w:rPr>
          <w:rFonts w:ascii="Arial" w:cs="Arial" w:eastAsia="Arial" w:hAnsi="Arial"/>
          <w:sz w:val="22"/>
          <w:szCs w:val="22"/>
          <w:color w:val="auto"/>
        </w:rPr>
        <w:t>years after the Effective Date.</w:t>
      </w:r>
    </w:p>
    <w:p>
      <w:pPr>
        <w:spacing w:after="0" w:line="10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u w:val="single" w:color="auto"/>
          <w:color w:val="auto"/>
        </w:rPr>
        <w:t>Amendment or Termination of Plan</w:t>
      </w:r>
      <w:r>
        <w:rPr>
          <w:rFonts w:ascii="Arial" w:cs="Arial" w:eastAsia="Arial" w:hAnsi="Arial"/>
          <w:sz w:val="19"/>
          <w:szCs w:val="19"/>
          <w:color w:val="auto"/>
        </w:rPr>
        <w:t>. Subject to Section 4.9 hereof, the Board may at any time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 or amend this Plan in any respect, 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95" w:lineRule="exact"/>
        <w:rPr>
          <w:sz w:val="20"/>
          <w:szCs w:val="20"/>
          <w:color w:val="auto"/>
        </w:rPr>
      </w:pPr>
    </w:p>
    <w:p>
      <w:pPr>
        <w:ind w:left="1300" w:right="1160" w:hanging="644"/>
        <w:spacing w:after="0" w:line="399" w:lineRule="auto"/>
        <w:tabs>
          <w:tab w:leader="none" w:pos="130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For all purposes of this Plan, the following terms will have the following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w:t>
      </w:r>
      <w:r>
        <w:rPr>
          <w:rFonts w:ascii="Arial" w:cs="Arial" w:eastAsia="Arial" w:hAnsi="Arial"/>
          <w:sz w:val="22"/>
          <w:szCs w:val="22"/>
          <w:color w:val="auto"/>
        </w:rPr>
        <w:t>,” for purposes of Section 11, means:</w:t>
      </w:r>
    </w:p>
    <w:p>
      <w:pPr>
        <w:spacing w:after="0" w:line="1" w:lineRule="exact"/>
        <w:rPr>
          <w:rFonts w:ascii="Arial" w:cs="Arial" w:eastAsia="Arial" w:hAnsi="Arial"/>
          <w:sz w:val="22"/>
          <w:szCs w:val="22"/>
          <w:b w:val="1"/>
          <w:bCs w:val="1"/>
          <w:color w:val="auto"/>
        </w:rPr>
      </w:pPr>
    </w:p>
    <w:p>
      <w:pPr>
        <w:jc w:val="both"/>
        <w:ind w:firstLine="1952"/>
        <w:spacing w:after="0" w:line="248" w:lineRule="auto"/>
        <w:tabs>
          <w:tab w:leader="none" w:pos="2589"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467" w:name="page468"/>
    <w:bookmarkEnd w:id="467"/>
    <w:p>
      <w:pPr>
        <w:spacing w:after="0" w:line="263" w:lineRule="auto"/>
        <w:rPr>
          <w:sz w:val="20"/>
          <w:szCs w:val="20"/>
          <w:color w:val="auto"/>
        </w:rPr>
      </w:pPr>
      <w:r>
        <w:rPr>
          <w:rFonts w:ascii="Arial" w:cs="Arial" w:eastAsia="Arial" w:hAnsi="Arial"/>
          <w:sz w:val="22"/>
          <w:szCs w:val="22"/>
          <w:color w:val="auto"/>
        </w:rPr>
        <w:t>securities of such surviving entity (or of any of its Parents, if any) that are outstanding immediately after the consummation of such consolidation or merger</w:t>
      </w:r>
      <w:r>
        <w:rPr>
          <w:rFonts w:ascii="Arial" w:cs="Arial" w:eastAsia="Arial" w:hAnsi="Arial"/>
          <w:sz w:val="22"/>
          <w:szCs w:val="22"/>
          <w:i w:val="1"/>
          <w:iCs w:val="1"/>
          <w:color w:val="auto"/>
        </w:rPr>
        <w:t>;</w:t>
      </w:r>
    </w:p>
    <w:p>
      <w:pPr>
        <w:spacing w:after="0" w:line="121" w:lineRule="exact"/>
        <w:rPr>
          <w:sz w:val="20"/>
          <w:szCs w:val="20"/>
          <w:color w:val="auto"/>
        </w:rPr>
      </w:pPr>
    </w:p>
    <w:p>
      <w:pPr>
        <w:jc w:val="both"/>
        <w:ind w:firstLine="1952"/>
        <w:spacing w:after="0" w:line="261" w:lineRule="auto"/>
        <w:tabs>
          <w:tab w:leader="none" w:pos="2587"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w:t>
      </w:r>
      <w:r>
        <w:rPr>
          <w:rFonts w:ascii="Arial" w:cs="Arial" w:eastAsia="Arial" w:hAnsi="Arial"/>
          <w:sz w:val="21"/>
          <w:szCs w:val="21"/>
          <w:i w:val="1"/>
          <w:iCs w:val="1"/>
          <w:color w:val="auto"/>
        </w:rPr>
        <w:t>;</w:t>
      </w:r>
      <w:r>
        <w:rPr>
          <w:rFonts w:ascii="Arial" w:cs="Arial" w:eastAsia="Arial" w:hAnsi="Arial"/>
          <w:sz w:val="21"/>
          <w:szCs w:val="21"/>
          <w:color w:val="auto"/>
        </w:rPr>
        <w:t xml:space="preserve"> or</w:t>
      </w:r>
    </w:p>
    <w:p>
      <w:pPr>
        <w:spacing w:after="0" w:line="125" w:lineRule="exact"/>
        <w:rPr>
          <w:rFonts w:ascii="Arial" w:cs="Arial" w:eastAsia="Arial" w:hAnsi="Arial"/>
          <w:sz w:val="21"/>
          <w:szCs w:val="21"/>
          <w:color w:val="auto"/>
        </w:rPr>
      </w:pPr>
    </w:p>
    <w:p>
      <w:pPr>
        <w:jc w:val="both"/>
        <w:ind w:firstLine="1952"/>
        <w:spacing w:after="0" w:line="261" w:lineRule="auto"/>
        <w:tabs>
          <w:tab w:leader="none" w:pos="2589"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25"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Notwithstanding the foregoing, the following transactions shall not constitute an “Acquisition”: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88" w:lineRule="exact"/>
        <w:rPr>
          <w:sz w:val="20"/>
          <w:szCs w:val="20"/>
          <w:color w:val="auto"/>
        </w:rPr>
      </w:pPr>
    </w:p>
    <w:p>
      <w:pPr>
        <w:jc w:val="both"/>
        <w:ind w:right="26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Arial" w:cs="Arial" w:eastAsia="Arial" w:hAnsi="Arial"/>
          <w:sz w:val="21"/>
          <w:szCs w:val="21"/>
          <w:b w:val="1"/>
          <w:bCs w:val="1"/>
          <w:i w:val="1"/>
          <w:iCs w:val="1"/>
          <w:color w:val="auto"/>
        </w:rPr>
        <w:t>control”</w:t>
      </w:r>
      <w:r>
        <w:rPr>
          <w:rFonts w:ascii="Arial" w:cs="Arial" w:eastAsia="Arial" w:hAnsi="Arial"/>
          <w:sz w:val="21"/>
          <w:szCs w:val="21"/>
          <w:color w:val="auto"/>
        </w:rPr>
        <w:t xml:space="preserve"> (including the terms “</w:t>
      </w:r>
      <w:r>
        <w:rPr>
          <w:rFonts w:ascii="Arial" w:cs="Arial" w:eastAsia="Arial" w:hAnsi="Arial"/>
          <w:sz w:val="21"/>
          <w:szCs w:val="21"/>
          <w:b w:val="1"/>
          <w:bCs w:val="1"/>
          <w:i w:val="1"/>
          <w:iCs w:val="1"/>
          <w:color w:val="auto"/>
        </w:rPr>
        <w:t>controlling</w:t>
      </w:r>
      <w:r>
        <w:rPr>
          <w:rFonts w:ascii="Arial" w:cs="Arial" w:eastAsia="Arial" w:hAnsi="Arial"/>
          <w:sz w:val="21"/>
          <w:szCs w:val="21"/>
          <w:color w:val="auto"/>
        </w:rPr>
        <w:t>,” “</w:t>
      </w:r>
      <w:r>
        <w:rPr>
          <w:rFonts w:ascii="Arial" w:cs="Arial" w:eastAsia="Arial" w:hAnsi="Arial"/>
          <w:sz w:val="21"/>
          <w:szCs w:val="21"/>
          <w:b w:val="1"/>
          <w:bCs w:val="1"/>
          <w:i w:val="1"/>
          <w:iCs w:val="1"/>
          <w:color w:val="auto"/>
        </w:rPr>
        <w:t>controlled by</w:t>
      </w:r>
      <w:r>
        <w:rPr>
          <w:rFonts w:ascii="Arial" w:cs="Arial" w:eastAsia="Arial" w:hAnsi="Arial"/>
          <w:sz w:val="21"/>
          <w:szCs w:val="21"/>
          <w:color w:val="auto"/>
        </w:rPr>
        <w:t>” and “</w:t>
      </w:r>
      <w:r>
        <w:rPr>
          <w:rFonts w:ascii="Arial" w:cs="Arial" w:eastAsia="Arial" w:hAnsi="Arial"/>
          <w:sz w:val="21"/>
          <w:szCs w:val="21"/>
          <w:b w:val="1"/>
          <w:bCs w:val="1"/>
          <w:i w:val="1"/>
          <w:iCs w:val="1"/>
          <w:color w:val="auto"/>
        </w:rPr>
        <w:t>under common control with</w:t>
      </w:r>
      <w:r>
        <w:rPr>
          <w:rFonts w:ascii="Arial" w:cs="Arial" w:eastAsia="Arial" w:hAnsi="Arial"/>
          <w:sz w:val="21"/>
          <w:szCs w:val="21"/>
          <w:color w:val="auto"/>
        </w:rPr>
        <w:t>”) means the possession, direct or indirect, of the power to direct or cause the direction of the management and policies of a person, whether through the ownership of voting securities, by contract, or otherwise.</w:t>
      </w:r>
    </w:p>
    <w:p>
      <w:pPr>
        <w:spacing w:after="0" w:line="121" w:lineRule="exact"/>
        <w:rPr>
          <w:sz w:val="20"/>
          <w:szCs w:val="20"/>
          <w:color w:val="auto"/>
        </w:rPr>
      </w:pPr>
    </w:p>
    <w:p>
      <w:pPr>
        <w:ind w:right="4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award pursuant to the terms and conditions of this Plan, including any Option, Restricted Stock Unit, Stock Appreciation Right or Restricted Stock Award.</w:t>
      </w:r>
    </w:p>
    <w:p>
      <w:pPr>
        <w:spacing w:after="0" w:line="121"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468" w:name="page469"/>
    <w:bookmarkEnd w:id="468"/>
    <w:p>
      <w:pPr>
        <w:ind w:right="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w:t>
      </w:r>
    </w:p>
    <w:p>
      <w:pPr>
        <w:spacing w:after="0" w:line="166" w:lineRule="exact"/>
        <w:rPr>
          <w:sz w:val="20"/>
          <w:szCs w:val="20"/>
          <w:color w:val="auto"/>
        </w:rPr>
      </w:pPr>
    </w:p>
    <w:p>
      <w:pPr>
        <w:ind w:right="9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committee appointed by the Board to administer this Plan, or if no committee is appointed, the Board.</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Company’s Voting Common Stock, $0.0001 par value per share.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Robinhood Markets, Inc., a Delaware corporation, or any successor corporation.</w:t>
      </w:r>
    </w:p>
    <w:p>
      <w:pPr>
        <w:spacing w:after="0" w:line="166" w:lineRule="exact"/>
        <w:rPr>
          <w:sz w:val="20"/>
          <w:szCs w:val="20"/>
          <w:color w:val="auto"/>
        </w:rPr>
      </w:pPr>
    </w:p>
    <w:p>
      <w:pPr>
        <w:ind w:right="2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of adoption as set forth in Section 13.1 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w:t>
      </w:r>
    </w:p>
    <w:p>
      <w:pPr>
        <w:spacing w:after="0" w:line="166" w:lineRule="exact"/>
        <w:rPr>
          <w:sz w:val="20"/>
          <w:szCs w:val="20"/>
          <w:color w:val="auto"/>
        </w:rPr>
      </w:pPr>
    </w:p>
    <w:p>
      <w:pPr>
        <w:ind w:right="7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the price per Share at which a holder of an Option or a SAR may purchase Shares issuable upon exercise of the Option or the SAR.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a Share determined as follows:</w:t>
      </w:r>
    </w:p>
    <w:p>
      <w:pPr>
        <w:spacing w:after="0" w:line="166" w:lineRule="exact"/>
        <w:rPr>
          <w:sz w:val="20"/>
          <w:szCs w:val="20"/>
          <w:color w:val="auto"/>
        </w:rPr>
      </w:pPr>
    </w:p>
    <w:p>
      <w:pPr>
        <w:jc w:val="both"/>
        <w:ind w:firstLine="1952"/>
        <w:spacing w:after="0" w:line="253" w:lineRule="auto"/>
        <w:tabs>
          <w:tab w:leader="none" w:pos="258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if such Share is then publicly traded on a national securities exchange, its closing price on the date of determination on the principal national securities exchange on which the Share is listed or admitted to trading as reported in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jc w:val="both"/>
        <w:ind w:firstLine="1952"/>
        <w:spacing w:after="0" w:line="271" w:lineRule="auto"/>
        <w:tabs>
          <w:tab w:leader="none" w:pos="2587"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if such Share is publicly traded but is not listed or admitted to trading on a national securities exchange, the average of the closing bid and ask prices on the date of determination as reported by </w:t>
      </w:r>
      <w:r>
        <w:rPr>
          <w:rFonts w:ascii="Arial" w:cs="Arial" w:eastAsia="Arial" w:hAnsi="Arial"/>
          <w:sz w:val="21"/>
          <w:szCs w:val="21"/>
          <w:u w:val="single" w:color="auto"/>
          <w:color w:val="auto"/>
        </w:rPr>
        <w:t>The Wall Street Journal</w:t>
      </w:r>
      <w:r>
        <w:rPr>
          <w:rFonts w:ascii="Arial" w:cs="Arial" w:eastAsia="Arial" w:hAnsi="Arial"/>
          <w:sz w:val="21"/>
          <w:szCs w:val="21"/>
          <w:color w:val="auto"/>
        </w:rPr>
        <w:t xml:space="preserve"> (or as otherwise reported by any newspaper or other source as the Committee may determine); or</w:t>
      </w:r>
    </w:p>
    <w:p>
      <w:pPr>
        <w:spacing w:after="0" w:line="113" w:lineRule="exact"/>
        <w:rPr>
          <w:rFonts w:ascii="Arial" w:cs="Arial" w:eastAsia="Arial" w:hAnsi="Arial"/>
          <w:sz w:val="21"/>
          <w:szCs w:val="21"/>
          <w:color w:val="auto"/>
        </w:rPr>
      </w:pPr>
    </w:p>
    <w:p>
      <w:pPr>
        <w:ind w:left="2600" w:hanging="648"/>
        <w:spacing w:after="0"/>
        <w:tabs>
          <w:tab w:leader="none" w:pos="260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if none of the foregoing is applicable to the valuation in question, by the Committee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469" w:name="page470"/>
    <w:bookmarkEnd w:id="46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award of an option to purchase Shares pursuant to Section 4 of this Plan.</w:t>
      </w:r>
    </w:p>
    <w:p>
      <w:pPr>
        <w:spacing w:after="0" w:line="166" w:lineRule="exact"/>
        <w:rPr>
          <w:sz w:val="20"/>
          <w:szCs w:val="20"/>
          <w:color w:val="auto"/>
        </w:rPr>
      </w:pPr>
    </w:p>
    <w:p>
      <w:pPr>
        <w:ind w:right="6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Combination</w:t>
      </w:r>
      <w:r>
        <w:rPr>
          <w:rFonts w:ascii="Arial" w:cs="Arial" w:eastAsia="Arial" w:hAnsi="Arial"/>
          <w:sz w:val="19"/>
          <w:szCs w:val="19"/>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such consolidation, merger or conversion does not constitute an Acquisition.</w:t>
      </w:r>
    </w:p>
    <w:p>
      <w:pPr>
        <w:spacing w:after="0" w:line="79"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of a specified entity means, any entity that, either directly or indirectly, owns or controls such specified entity, where for this purpose,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who receives an Award under this Plan.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2020 Equity Incentive Plan, as amended from time to time.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means the price at which a Participant may purchase Restricted Stock pursuant to this Plan.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means Shares purchased pursuant to a Restricted Stock Award under this Plan.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of Shares pursuant to Section 5 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an award made pursuant to Section 6 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701</w:t>
      </w:r>
      <w:r>
        <w:rPr>
          <w:rFonts w:ascii="Arial" w:cs="Arial" w:eastAsia="Arial" w:hAnsi="Arial"/>
          <w:sz w:val="22"/>
          <w:szCs w:val="22"/>
          <w:color w:val="auto"/>
        </w:rPr>
        <w:t xml:space="preserve">” means Rule 701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promulgated by the SEC under the Securities Act.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U.S. Securities and Exchange Commission.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25102(o)</w:t>
      </w:r>
      <w:r>
        <w:rPr>
          <w:rFonts w:ascii="Arial" w:cs="Arial" w:eastAsia="Arial" w:hAnsi="Arial"/>
          <w:sz w:val="22"/>
          <w:szCs w:val="22"/>
          <w:color w:val="auto"/>
        </w:rPr>
        <w:t>” means Section 25102(o) of the California Corporations Code.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U.S. Securities Act of 1933, as amended.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means service as an employee, outside director or consultant to the Company or a Parent or Subsidiary.</w:t>
      </w:r>
    </w:p>
    <w:p>
      <w:pPr>
        <w:spacing w:after="0" w:line="200" w:lineRule="exact"/>
        <w:rPr>
          <w:sz w:val="20"/>
          <w:szCs w:val="20"/>
          <w:color w:val="auto"/>
        </w:rPr>
      </w:pPr>
    </w:p>
    <w:p>
      <w:pPr>
        <w:ind w:right="6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the Common Stock reserved for issuance under this Plan, as adjusted pursuant to Sections 2.2 and 11 hereof, and any successor security.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an award granted pursuant to Section 7 hereof.</w:t>
      </w:r>
    </w:p>
    <w:p>
      <w:pPr>
        <w:spacing w:after="0" w:line="166"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entity (other than the Company) in an unbroken chain of entities beginning with the Company if each of the entities other than the last entity in the unbroken chain owns stock or other equity securities representing fifty percent (50%)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27" w:right="379" w:bottom="1440" w:gutter="0" w:footer="0" w:header="0"/>
        </w:sectPr>
      </w:pPr>
    </w:p>
    <w:bookmarkStart w:id="470" w:name="page471"/>
    <w:bookmarkEnd w:id="470"/>
    <w:p>
      <w:pPr>
        <w:spacing w:after="0"/>
        <w:rPr>
          <w:sz w:val="20"/>
          <w:szCs w:val="20"/>
          <w:color w:val="auto"/>
        </w:rPr>
      </w:pPr>
      <w:r>
        <w:rPr>
          <w:rFonts w:ascii="Arial" w:cs="Arial" w:eastAsia="Arial" w:hAnsi="Arial"/>
          <w:sz w:val="19"/>
          <w:szCs w:val="19"/>
          <w:color w:val="auto"/>
        </w:rPr>
        <w:t>the total combined voting power of all classes of stock or other equity securities in one of the other entities in such chain.</w:t>
      </w:r>
    </w:p>
    <w:p>
      <w:pPr>
        <w:spacing w:after="0" w:line="200"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means, for purposes of this Plan with respect to a Participant, that the Participant has for any reason ceased to provide Service. A Participant will not be deemed to have ceased to provide Service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 and the effective date on which the Participant ceased to provide Service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Unvested Shares</w:t>
      </w:r>
      <w:r>
        <w:rPr>
          <w:rFonts w:ascii="Arial" w:cs="Arial" w:eastAsia="Arial" w:hAnsi="Arial"/>
          <w:sz w:val="22"/>
          <w:szCs w:val="22"/>
          <w:color w:val="auto"/>
        </w:rPr>
        <w:t>” means “</w:t>
      </w:r>
      <w:r>
        <w:rPr>
          <w:rFonts w:ascii="Arial" w:cs="Arial" w:eastAsia="Arial" w:hAnsi="Arial"/>
          <w:sz w:val="22"/>
          <w:szCs w:val="22"/>
          <w:b w:val="1"/>
          <w:bCs w:val="1"/>
          <w:i w:val="1"/>
          <w:iCs w:val="1"/>
          <w:color w:val="auto"/>
        </w:rPr>
        <w:t>Unvested Shares</w:t>
      </w:r>
      <w:r>
        <w:rPr>
          <w:rFonts w:ascii="Arial" w:cs="Arial" w:eastAsia="Arial" w:hAnsi="Arial"/>
          <w:sz w:val="22"/>
          <w:szCs w:val="22"/>
          <w:color w:val="auto"/>
        </w:rPr>
        <w:t>” as defined in the Award Agreement for an Award.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Vested Shares</w:t>
      </w:r>
      <w:r>
        <w:rPr>
          <w:rFonts w:ascii="Arial" w:cs="Arial" w:eastAsia="Arial" w:hAnsi="Arial"/>
          <w:sz w:val="22"/>
          <w:szCs w:val="22"/>
          <w:color w:val="auto"/>
        </w:rPr>
        <w:t>” means “</w:t>
      </w:r>
      <w:r>
        <w:rPr>
          <w:rFonts w:ascii="Arial" w:cs="Arial" w:eastAsia="Arial" w:hAnsi="Arial"/>
          <w:sz w:val="22"/>
          <w:szCs w:val="22"/>
          <w:b w:val="1"/>
          <w:bCs w:val="1"/>
          <w:i w:val="1"/>
          <w:iCs w:val="1"/>
          <w:color w:val="auto"/>
        </w:rPr>
        <w:t>Vested Shares</w:t>
      </w:r>
      <w:r>
        <w:rPr>
          <w:rFonts w:ascii="Arial" w:cs="Arial" w:eastAsia="Arial" w:hAnsi="Arial"/>
          <w:sz w:val="22"/>
          <w:szCs w:val="22"/>
          <w:color w:val="auto"/>
        </w:rPr>
        <w:t>” as defined in the Award Agreement for an Award.</w:t>
      </w:r>
    </w:p>
    <w:p>
      <w:pPr>
        <w:spacing w:after="0" w:line="166"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20"/>
          </w:cols>
          <w:pgMar w:left="320" w:top="1427" w:right="459" w:bottom="1440" w:gutter="0" w:footer="0" w:header="0"/>
        </w:sectPr>
      </w:pPr>
    </w:p>
    <w:bookmarkStart w:id="471" w:name="page472"/>
    <w:bookmarkEnd w:id="471"/>
    <w:p>
      <w:pPr>
        <w:jc w:val="right"/>
        <w:spacing w:after="0"/>
        <w:rPr>
          <w:sz w:val="20"/>
          <w:szCs w:val="20"/>
          <w:color w:val="auto"/>
        </w:rPr>
      </w:pPr>
      <w:r>
        <w:rPr>
          <w:rFonts w:ascii="Arial" w:cs="Arial" w:eastAsia="Arial" w:hAnsi="Arial"/>
          <w:sz w:val="20"/>
          <w:szCs w:val="20"/>
          <w:color w:val="auto"/>
        </w:rPr>
        <w:t>Time-Based RSU Award Agreement for D. Gallagher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defined in the Company’s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Unless otherwise defined herein, the terms defined in the Plan shall have the same defined meanings in this Notice of Grant.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Participant named below has been granted an award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xml:space="preserve">”), subject to the terms and conditions of the Plan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under the Plan, as follows: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 Name:</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Daniel Gallagher</w:t>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Number of RSUs: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8"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48"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spacing w:after="0" w:line="13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 The earlier to occur of: (a) the date on which settlement of all vested RSUs granted hereunder occurs and (b) the seventh</w:t>
      </w:r>
      <w:r>
        <w:rPr>
          <w:rFonts w:ascii="Arial" w:cs="Arial" w:eastAsia="Arial" w:hAnsi="Arial"/>
          <w:sz w:val="20"/>
          <w:szCs w:val="20"/>
          <w:b w:val="1"/>
          <w:bCs w:val="1"/>
          <w:color w:val="auto"/>
        </w:rPr>
        <w:t xml:space="preserve"> </w:t>
      </w:r>
      <w:r>
        <w:rPr>
          <w:rFonts w:ascii="Arial" w:cs="Arial" w:eastAsia="Arial" w:hAnsi="Arial"/>
          <w:sz w:val="20"/>
          <w:szCs w:val="20"/>
          <w:color w:val="auto"/>
        </w:rPr>
        <w:t>(7th) anniversary of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16" w:lineRule="exact"/>
        <w:rPr>
          <w:sz w:val="20"/>
          <w:szCs w:val="20"/>
          <w:color w:val="auto"/>
        </w:rPr>
      </w:pPr>
    </w:p>
    <w:p>
      <w:pPr>
        <w:ind w:left="660" w:hanging="652"/>
        <w:spacing w:after="0" w:line="294" w:lineRule="auto"/>
        <w:tabs>
          <w:tab w:leader="none" w:pos="443"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Two-Tiered Vesting</w:t>
      </w:r>
      <w:r>
        <w:rPr>
          <w:rFonts w:ascii="Arial" w:cs="Arial" w:eastAsia="Arial" w:hAnsi="Arial"/>
          <w:sz w:val="18"/>
          <w:szCs w:val="18"/>
          <w:color w:val="auto"/>
        </w:rPr>
        <w:t>. The vesting of the RSUs is conditioned on satisfaction of two vesting requirements before the Expiration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of the RSUs pursuant to the Plan or the RSU Agreement: a time- and service-based requirement (the “</w:t>
      </w:r>
      <w:r>
        <w:rPr>
          <w:rFonts w:ascii="Arial" w:cs="Arial" w:eastAsia="Arial" w:hAnsi="Arial"/>
          <w:sz w:val="18"/>
          <w:szCs w:val="18"/>
          <w:b w:val="1"/>
          <w:bCs w:val="1"/>
          <w:i w:val="1"/>
          <w:iCs w:val="1"/>
          <w:color w:val="auto"/>
        </w:rPr>
        <w:t>Time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 Requirement</w:t>
      </w:r>
      <w:r>
        <w:rPr>
          <w:rFonts w:ascii="Arial" w:cs="Arial" w:eastAsia="Arial" w:hAnsi="Arial"/>
          <w:sz w:val="18"/>
          <w:szCs w:val="18"/>
          <w:color w:val="auto"/>
        </w:rPr>
        <w:t>”) and a liquidity-event requirement (the “</w:t>
      </w:r>
      <w:r>
        <w:rPr>
          <w:rFonts w:ascii="Arial" w:cs="Arial" w:eastAsia="Arial" w:hAnsi="Arial"/>
          <w:sz w:val="18"/>
          <w:szCs w:val="18"/>
          <w:b w:val="1"/>
          <w:bCs w:val="1"/>
          <w:i w:val="1"/>
          <w:iCs w:val="1"/>
          <w:color w:val="auto"/>
        </w:rPr>
        <w:t>Liquidity Event Requirement</w:t>
      </w:r>
      <w:r>
        <w:rPr>
          <w:rFonts w:ascii="Arial" w:cs="Arial" w:eastAsia="Arial" w:hAnsi="Arial"/>
          <w:sz w:val="18"/>
          <w:szCs w:val="18"/>
          <w:color w:val="auto"/>
        </w:rPr>
        <w:t>”), each as described below.</w:t>
      </w:r>
    </w:p>
    <w:p>
      <w:pPr>
        <w:spacing w:after="0" w:line="143" w:lineRule="exact"/>
        <w:rPr>
          <w:rFonts w:ascii="Arial" w:cs="Arial" w:eastAsia="Arial" w:hAnsi="Arial"/>
          <w:sz w:val="18"/>
          <w:szCs w:val="18"/>
          <w:color w:val="auto"/>
        </w:rPr>
      </w:pPr>
    </w:p>
    <w:p>
      <w:pPr>
        <w:ind w:left="2480" w:hanging="528"/>
        <w:spacing w:after="0"/>
        <w:tabs>
          <w:tab w:leader="none" w:pos="2480" w:val="left"/>
        </w:tabs>
        <w:numPr>
          <w:ilvl w:val="2"/>
          <w:numId w:val="258"/>
        </w:numPr>
        <w:rPr>
          <w:rFonts w:ascii="Arial" w:cs="Arial" w:eastAsia="Arial" w:hAnsi="Arial"/>
          <w:sz w:val="19"/>
          <w:szCs w:val="19"/>
          <w:color w:val="auto"/>
        </w:rPr>
      </w:pPr>
      <w:r>
        <w:rPr>
          <w:rFonts w:ascii="Arial" w:cs="Arial" w:eastAsia="Arial" w:hAnsi="Arial"/>
          <w:sz w:val="19"/>
          <w:szCs w:val="19"/>
          <w:b w:val="1"/>
          <w:bCs w:val="1"/>
          <w:color w:val="auto"/>
        </w:rPr>
        <w:t>Time and Service Requirement</w:t>
      </w:r>
      <w:r>
        <w:rPr>
          <w:rFonts w:ascii="Arial" w:cs="Arial" w:eastAsia="Arial" w:hAnsi="Arial"/>
          <w:sz w:val="19"/>
          <w:szCs w:val="19"/>
          <w:color w:val="auto"/>
        </w:rPr>
        <w:t>. The Time and Service Requirement will be satisfied in installments as</w:t>
      </w:r>
    </w:p>
    <w:p>
      <w:pPr>
        <w:spacing w:after="0" w:line="3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follows: (A) the requirement will be satisfied as to [●] of the Total Number of RSUs (as set forth above) [when Participant completes</w:t>
      </w:r>
    </w:p>
    <w:p>
      <w:pPr>
        <w:spacing w:after="0" w:line="22" w:lineRule="exact"/>
        <w:rPr>
          <w:rFonts w:ascii="Arial" w:cs="Arial" w:eastAsia="Arial" w:hAnsi="Arial"/>
          <w:sz w:val="19"/>
          <w:szCs w:val="19"/>
          <w:color w:val="auto"/>
        </w:rPr>
      </w:pPr>
    </w:p>
    <w:p>
      <w:pPr>
        <w:jc w:val="both"/>
        <w:ind w:left="660" w:hanging="4"/>
        <w:spacing w:after="0" w:line="241" w:lineRule="auto"/>
        <w:tabs>
          <w:tab w:leader="none" w:pos="988" w:val="left"/>
        </w:tabs>
        <w:numPr>
          <w:ilvl w:val="1"/>
          <w:numId w:val="258"/>
        </w:numPr>
        <w:rPr>
          <w:rFonts w:ascii="Arial" w:cs="Arial" w:eastAsia="Arial" w:hAnsi="Arial"/>
          <w:sz w:val="20"/>
          <w:szCs w:val="20"/>
          <w:color w:val="auto"/>
        </w:rPr>
      </w:pPr>
      <w:r>
        <w:rPr>
          <w:rFonts w:ascii="Arial" w:cs="Arial" w:eastAsia="Arial" w:hAnsi="Arial"/>
          <w:sz w:val="20"/>
          <w:szCs w:val="20"/>
          <w:color w:val="auto"/>
        </w:rPr>
        <w:t>of continuous Service beginning with] [on] the Vesting Commencement Date; and (B) the requirement will be satisfied as to an additional [ ● ]% of the Total Number of RSUs when Participant completes each successive [ ● ] period of continuous Service thereafter.</w:t>
      </w:r>
    </w:p>
    <w:p>
      <w:pPr>
        <w:spacing w:after="0" w:line="189" w:lineRule="exact"/>
        <w:rPr>
          <w:rFonts w:ascii="Arial" w:cs="Arial" w:eastAsia="Arial" w:hAnsi="Arial"/>
          <w:sz w:val="20"/>
          <w:szCs w:val="20"/>
          <w:color w:val="auto"/>
        </w:rPr>
      </w:pPr>
    </w:p>
    <w:p>
      <w:pPr>
        <w:ind w:left="2420" w:hanging="468"/>
        <w:spacing w:after="0"/>
        <w:tabs>
          <w:tab w:leader="none" w:pos="2420" w:val="left"/>
        </w:tabs>
        <w:numPr>
          <w:ilvl w:val="2"/>
          <w:numId w:val="259"/>
        </w:numPr>
        <w:rPr>
          <w:rFonts w:ascii="Arial" w:cs="Arial" w:eastAsia="Arial" w:hAnsi="Arial"/>
          <w:sz w:val="18"/>
          <w:szCs w:val="18"/>
          <w:color w:val="auto"/>
        </w:rPr>
      </w:pPr>
      <w:r>
        <w:rPr>
          <w:rFonts w:ascii="Arial" w:cs="Arial" w:eastAsia="Arial" w:hAnsi="Arial"/>
          <w:sz w:val="18"/>
          <w:szCs w:val="18"/>
          <w:b w:val="1"/>
          <w:bCs w:val="1"/>
          <w:color w:val="auto"/>
        </w:rPr>
        <w:t xml:space="preserve">Liquidity Event Requirement. </w:t>
      </w:r>
      <w:r>
        <w:rPr>
          <w:rFonts w:ascii="Arial" w:cs="Arial" w:eastAsia="Arial" w:hAnsi="Arial"/>
          <w:sz w:val="18"/>
          <w:szCs w:val="18"/>
          <w:color w:val="auto"/>
        </w:rPr>
        <w:t>The Liquidity Event Requirement will be satisfied on the earliest to occur of:</w:t>
      </w:r>
    </w:p>
    <w:p>
      <w:pPr>
        <w:spacing w:after="0" w:line="44" w:lineRule="exact"/>
        <w:rPr>
          <w:rFonts w:ascii="Arial" w:cs="Arial" w:eastAsia="Arial" w:hAnsi="Arial"/>
          <w:sz w:val="18"/>
          <w:szCs w:val="18"/>
          <w:color w:val="auto"/>
        </w:rPr>
      </w:pPr>
    </w:p>
    <w:p>
      <w:pPr>
        <w:jc w:val="both"/>
        <w:ind w:left="660"/>
        <w:spacing w:after="0" w:line="274" w:lineRule="auto"/>
        <w:rPr>
          <w:rFonts w:ascii="Arial" w:cs="Arial" w:eastAsia="Arial" w:hAnsi="Arial"/>
          <w:sz w:val="18"/>
          <w:szCs w:val="18"/>
          <w:color w:val="auto"/>
        </w:rPr>
      </w:pPr>
      <w:r>
        <w:rPr>
          <w:rFonts w:ascii="Arial" w:cs="Arial" w:eastAsia="Arial" w:hAnsi="Arial"/>
          <w:sz w:val="18"/>
          <w:szCs w:val="18"/>
          <w:color w:val="auto"/>
        </w:rPr>
        <w:t>(A) the date that is the earlier of (1) six (6) months after the effective date of the initial public offering of the Company’s securities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(provided that the IPO occurs by the seventh year anniversary of the RSU Grant Date) and (2) March 15 of the calendar year following the year in which the IPO was declared effective (provided that such date occurs by the seventh year anniversary of the grant date); and (B) the date of an Acquisition, but only if constituting a permissible payment event as a change in ownership, effective control, or sale of substantially all of the assets, as provided under Section 409A (provided that such date</w:t>
      </w:r>
    </w:p>
    <w:p>
      <w:pPr>
        <w:sectPr>
          <w:pgSz w:w="11900" w:h="16838" w:orient="portrait"/>
          <w:cols w:equalWidth="0" w:num="1">
            <w:col w:w="11240"/>
          </w:cols>
          <w:pgMar w:left="320" w:top="121" w:right="339" w:bottom="1440" w:gutter="0" w:footer="0" w:header="0"/>
          <w:type w:val="continuous"/>
        </w:sectPr>
      </w:pPr>
    </w:p>
    <w:bookmarkStart w:id="472" w:name="page473"/>
    <w:bookmarkEnd w:id="472"/>
    <w:p>
      <w:pPr>
        <w:spacing w:after="0" w:line="19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occurs by the seventh year anniversary of the RSU Grant Date) (the earliest of the prong (A) or (B) to occur, the “</w:t>
      </w:r>
      <w:r>
        <w:rPr>
          <w:rFonts w:ascii="Arial" w:cs="Arial" w:eastAsia="Arial" w:hAnsi="Arial"/>
          <w:sz w:val="20"/>
          <w:szCs w:val="20"/>
          <w:b w:val="1"/>
          <w:bCs w:val="1"/>
          <w:i w:val="1"/>
          <w:iCs w:val="1"/>
          <w:color w:val="auto"/>
        </w:rPr>
        <w:t>Initial Vesting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Event</w:t>
      </w:r>
      <w:r>
        <w:rPr>
          <w:rFonts w:ascii="Arial" w:cs="Arial" w:eastAsia="Arial" w:hAnsi="Arial"/>
          <w:sz w:val="20"/>
          <w:szCs w:val="20"/>
          <w:color w:val="auto"/>
        </w:rPr>
        <w:t>”).</w:t>
      </w:r>
    </w:p>
    <w:p>
      <w:pPr>
        <w:spacing w:after="0" w:line="177" w:lineRule="exact"/>
        <w:rPr>
          <w:sz w:val="20"/>
          <w:szCs w:val="20"/>
          <w:color w:val="auto"/>
        </w:rPr>
      </w:pPr>
    </w:p>
    <w:p>
      <w:pPr>
        <w:ind w:left="660" w:hanging="652"/>
        <w:spacing w:after="0" w:line="257" w:lineRule="auto"/>
        <w:tabs>
          <w:tab w:leader="none" w:pos="467"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RSUs Vested at Initial Vesting Event</w:t>
      </w:r>
      <w:r>
        <w:rPr>
          <w:rFonts w:ascii="Arial" w:cs="Arial" w:eastAsia="Arial" w:hAnsi="Arial"/>
          <w:sz w:val="19"/>
          <w:szCs w:val="19"/>
          <w:color w:val="auto"/>
        </w:rPr>
        <w:t>. If at the time of the Initial Vesting Event Participant is not in Continuous Service Status and did not meet the Time and Service Requirement with respect to any portion of the RSUs, then no portion of the RSUs shall vest. If at the time of the Initial Vesting Event, Participant is in Continuous Service Status or has ceased to be in Continuous Service Status but did meet the Time and Service Requirement with respect to any portion of the RSUs, then the RSUs shall vest as to the number of RSUs, if any, that have satisfied the Time and Service Requirement as of the Initial Vesting Event in accordance with clause (a)(i) above. “</w:t>
      </w:r>
      <w:r>
        <w:rPr>
          <w:rFonts w:ascii="Arial" w:cs="Arial" w:eastAsia="Arial" w:hAnsi="Arial"/>
          <w:sz w:val="19"/>
          <w:szCs w:val="19"/>
          <w:b w:val="1"/>
          <w:bCs w:val="1"/>
          <w:i w:val="1"/>
          <w:iCs w:val="1"/>
          <w:color w:val="auto"/>
        </w:rPr>
        <w:t>Continuous Service Status</w:t>
      </w:r>
      <w:r>
        <w:rPr>
          <w:rFonts w:ascii="Arial" w:cs="Arial" w:eastAsia="Arial" w:hAnsi="Arial"/>
          <w:sz w:val="19"/>
          <w:szCs w:val="19"/>
          <w:color w:val="auto"/>
        </w:rPr>
        <w:t>” means Participant continues to provide services as an employee, officer, director or consultant to the Company or a Subsidiary, Parent or Affiliate of the Company.</w:t>
      </w:r>
    </w:p>
    <w:p>
      <w:pPr>
        <w:spacing w:after="0" w:line="184" w:lineRule="exact"/>
        <w:rPr>
          <w:rFonts w:ascii="Arial" w:cs="Arial" w:eastAsia="Arial" w:hAnsi="Arial"/>
          <w:sz w:val="19"/>
          <w:szCs w:val="19"/>
          <w:color w:val="auto"/>
        </w:rPr>
      </w:pPr>
    </w:p>
    <w:p>
      <w:pPr>
        <w:ind w:left="660" w:hanging="652"/>
        <w:spacing w:after="0" w:line="246" w:lineRule="auto"/>
        <w:tabs>
          <w:tab w:leader="none" w:pos="443"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RSUs Vested after Initial Vesting Event</w:t>
      </w:r>
      <w:r>
        <w:rPr>
          <w:rFonts w:ascii="Arial" w:cs="Arial" w:eastAsia="Arial" w:hAnsi="Arial"/>
          <w:sz w:val="20"/>
          <w:szCs w:val="20"/>
          <w:color w:val="auto"/>
        </w:rPr>
        <w:t>. If Participant is in Continuous Service Status at the time of the Initial Vesting Event, then with respect to RSUs that have not vested as of such Initial Vesting Event under the preceding clause (b) above, vesting shall continue after the Initial Vesting Event in accordance with the Time and Service Requirement set forth in clause (a)(i) above (each subsequent vesting date, a “</w:t>
      </w:r>
      <w:r>
        <w:rPr>
          <w:rFonts w:ascii="Arial" w:cs="Arial" w:eastAsia="Arial" w:hAnsi="Arial"/>
          <w:sz w:val="20"/>
          <w:szCs w:val="20"/>
          <w:b w:val="1"/>
          <w:bCs w:val="1"/>
          <w:i w:val="1"/>
          <w:iCs w:val="1"/>
          <w:color w:val="auto"/>
        </w:rPr>
        <w:t>Subsequent Vesting Event</w:t>
      </w:r>
      <w:r>
        <w:rPr>
          <w:rFonts w:ascii="Arial" w:cs="Arial" w:eastAsia="Arial" w:hAnsi="Arial"/>
          <w:sz w:val="20"/>
          <w:szCs w:val="20"/>
          <w:color w:val="auto"/>
        </w:rPr>
        <w: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Acceleration</w:t>
      </w:r>
      <w:r>
        <w:rPr>
          <w:rFonts w:ascii="Arial" w:cs="Arial" w:eastAsia="Arial" w:hAnsi="Arial"/>
          <w:sz w:val="19"/>
          <w:szCs w:val="19"/>
          <w:color w:val="auto"/>
        </w:rPr>
        <w:t>: In addition, (1) if the Participant is subject to an Involuntary Termination (as defined below) within 12 months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first day of employment with the Company, then the Service-Based Requirement will be deemed satisfied as to 25% of the Total Number of RSUs as if the Participant completed one year of continuous Service, and (2) if the Participant is subject to an Involuntary Termination during the period beginning three months prior to or within 18 months after a Change in Control (as defined below), then the Service-Based Requirement will be deemed satisfied as to 100% of the Total Number of RSUs, subject in each case to the Participant executing a general release of all claims that the Participant may have against the Company or entities or persons affiliated with the Company, in the form prescribed and to be provided to the Participant by the Company, and such release becoming effective, on or before the 60th day following the date of the Involuntary Termination and, to the extent not settled in connection with the Change in Control, the RSUs shall not expire until the expiration of the RSUs. As used herein:</w:t>
      </w:r>
    </w:p>
    <w:p>
      <w:pPr>
        <w:spacing w:after="0" w:line="182" w:lineRule="exact"/>
        <w:rPr>
          <w:sz w:val="20"/>
          <w:szCs w:val="20"/>
          <w:color w:val="auto"/>
        </w:rPr>
      </w:pPr>
    </w:p>
    <w:p>
      <w:pPr>
        <w:jc w:val="both"/>
        <w:ind w:left="340" w:hanging="332"/>
        <w:spacing w:after="0" w:line="255" w:lineRule="auto"/>
        <w:tabs>
          <w:tab w:leader="none" w:pos="389" w:val="left"/>
        </w:tabs>
        <w:numPr>
          <w:ilvl w:val="0"/>
          <w:numId w:val="2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(i) an unauthorized use or disclosure by the Participant of the Company’s confidential information or trade secrets, which use or disclosure causes material harm to the Company; (ii) a breach by the Participant of any agreement between the Participant and the Company, which breach causes material harm to the Company; (iii) failure by the Participant to comply with the Company’s written policies or rules, which failure causes material harm to the Company; (iv) the Participant’s conviction of, or plea of “guilty” or “no contest” to, a felony under the laws of the United States or any state thereof; (v) the Participant’s gross negligence or willful misconduct; (vi) a willful continuing failure by the Participant to perform assigned duties after having received written notification of such failure from the Chief Executive Officer and failing to have reasonably cured such failure within 30 days of that notice; or (vii) a failure by the Participant to cooperate in good faith with a governmental or internal investigation of the Company or its directors, officers or employees, if the Company has requested the Participant’s cooperation, provided that, as to prongs (ii) and (iii), an event will only constitute Cause after the Participant has been given written notice of the breach or non-compliance from the Chief Executive Officer and the Participant has failed to reasonably cure those conditions, including any material harm resulting to the Company from such breach or non-compliance, within 30 days of such notice.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95" w:lineRule="exact"/>
        <w:rPr>
          <w:sz w:val="20"/>
          <w:szCs w:val="20"/>
          <w:color w:val="auto"/>
        </w:rPr>
      </w:pPr>
    </w:p>
    <w:p>
      <w:pPr>
        <w:ind w:left="660" w:hanging="652"/>
        <w:spacing w:after="0" w:line="242" w:lineRule="auto"/>
        <w:tabs>
          <w:tab w:leader="none" w:pos="48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shall mean (i) the consummation of a merger or consolidation of the Company with or into another entity, (ii) a sale of all or substantially all of the assets of the Company, or (iii) the dissolution, liquidation or winding up of the Company. The foregoing notwithstanding, neither (A) a merger or consolidation of the Company, nor (B) any rollup, consolidation or similar corporate transformation of any subsidiary or affiliate of the Company that may be the Participant’s employer, will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94" w:lineRule="exact"/>
        <w:rPr>
          <w:rFonts w:ascii="Arial" w:cs="Arial" w:eastAsia="Arial" w:hAnsi="Arial"/>
          <w:sz w:val="20"/>
          <w:szCs w:val="20"/>
          <w:color w:val="auto"/>
        </w:rPr>
      </w:pPr>
    </w:p>
    <w:p>
      <w:pPr>
        <w:ind w:left="660" w:hanging="652"/>
        <w:spacing w:after="0" w:line="246" w:lineRule="auto"/>
        <w:tabs>
          <w:tab w:leader="none" w:pos="524"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shall mean the individual serving in the role of Chief Executive Officer (or, if applicable, either of the individuals serving as co-Chief Executive Officer) of the Company or, if no one is serving in the role of Chief Executive Officer or co-Chief Executive Officer, the individual serving in the role of President (or, if applicable, either of the individuals serving as co-President) of the Company.</w:t>
      </w:r>
    </w:p>
    <w:p>
      <w:pPr>
        <w:spacing w:after="0" w:line="191" w:lineRule="exact"/>
        <w:rPr>
          <w:rFonts w:ascii="Arial" w:cs="Arial" w:eastAsia="Arial" w:hAnsi="Arial"/>
          <w:sz w:val="20"/>
          <w:szCs w:val="20"/>
          <w:color w:val="auto"/>
        </w:rPr>
      </w:pPr>
    </w:p>
    <w:p>
      <w:pPr>
        <w:ind w:left="660" w:hanging="652"/>
        <w:spacing w:after="0" w:line="270" w:lineRule="auto"/>
        <w:tabs>
          <w:tab w:leader="none" w:pos="55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the Participant’s resignation following the occurrence of one or more of the following, without the Participant’s express written consent: (i) a material reduction of the Participant’s duties, authority or responsibilities; (ii) a material reduction in the Participant’s base salary (for illustrative purposes, a reduction of less than 10% of the Participant’s base salary in any one year will not alone constitute Good Reason); (iii) a material change in the geographic location of the Participant’s primary work facility or location provided, that a relocation of less than 30 miles from its then present location will not be considered a material change in geographic location; or (iv) the Company’s material breach of any obligations under any written agreement or covenant with the Participant. Notwithstanding the foregoing, the Participant will be not entitled to resign for Good Reason without first providing the Company with written notice of the acts or omissions constituting the grounds for “Good Reason” within 90 days of the initial existence of the grounds for “Good Reason” and the Company’s failure to reasonably cure such grounds within a reasonable cure period of not less than 30 days following the date of such notice. In addition, the Participant’s resignation will not qualify as a resignation for “Good Reason” unless: (A) the grounds for “Good Reason” are not reasonably cured within the cure period specified in the preceding sentence; and (B) the Participant resigns within 30 days following the end of such cure period.</w:t>
      </w:r>
    </w:p>
    <w:p>
      <w:pPr>
        <w:spacing w:after="0" w:line="175" w:lineRule="exact"/>
        <w:rPr>
          <w:rFonts w:ascii="Arial" w:cs="Arial" w:eastAsia="Arial" w:hAnsi="Arial"/>
          <w:sz w:val="18"/>
          <w:szCs w:val="18"/>
          <w:color w:val="auto"/>
        </w:rPr>
      </w:pPr>
    </w:p>
    <w:p>
      <w:pPr>
        <w:ind w:left="660" w:hanging="652"/>
        <w:spacing w:after="0" w:line="246" w:lineRule="auto"/>
        <w:tabs>
          <w:tab w:leader="none" w:pos="468" w:val="left"/>
        </w:tabs>
        <w:numPr>
          <w:ilvl w:val="0"/>
          <w:numId w:val="2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means the Participant’s termination by the Company, other than for Cause, or the Participant’s resignation for Good Reason. An Involuntary Termination will not include a termination of the Participant’s employment by reason of the Participant’s death or disability, termination of the Participant’s employment for Cause or the Participant’s resignation from employment without Good Reason.</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RSUs that vest as of the Initial Vesting Event shall be settled immediately. Settlement means the delivery of the Shares vested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 RSU. Settlement of RSUs on the Initial Vesting Event or any Subsequent Vesting Event shall be in Shares. Settlement of vested RSUs shall occur whether or not Participant is in Continuous Service Status at the time of settlement. No fractional RSUs or rights for fractional Shares shall be created pursuant to this Notice of Grant. Notwithstanding the foregoing, any RSUs that vest upon a Subsequent Vesting Event that falls within the restricted period set forth in Section 15 of the RSU Agreement shall be settled within 30 days following the expiration of such restricted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period, and in all cases all RSUs shall be settled no later than the calendar year in which such Subsequent Vesting Event occurs.</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Participant understands that Participant’s employment or consulting relationship with the Company is for an unspecified duration, can be terminated at any time (i.e.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each of which are incorporated herein by reference. Participant has read both the RSU Agreement and the Plan.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such third party or via email, or such other means of electronic delivery specified by the Company.</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By Participant’s and the Company’s acceptance hereof (in each case, whether written, electronic or otherwise), Participant and the Company agree that this RSU is granted under and governed by the terms and conditions of the Plan, the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and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Unless otherwise defined herein or in the Notice of Grant, the terms defined in the Plan shall have the same defined meanings in this Agreement.</w:t>
      </w:r>
    </w:p>
    <w:p>
      <w:pPr>
        <w:spacing w:after="0" w:line="185" w:lineRule="exact"/>
        <w:rPr>
          <w:sz w:val="20"/>
          <w:szCs w:val="20"/>
          <w:color w:val="auto"/>
        </w:rPr>
      </w:pPr>
    </w:p>
    <w:p>
      <w:pPr>
        <w:jc w:val="both"/>
        <w:ind w:firstLine="8"/>
        <w:spacing w:after="0" w:line="248" w:lineRule="auto"/>
        <w:tabs>
          <w:tab w:leader="none" w:pos="468"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83" w:lineRule="exact"/>
        <w:rPr>
          <w:rFonts w:ascii="Arial" w:cs="Arial" w:eastAsia="Arial" w:hAnsi="Arial"/>
          <w:sz w:val="20"/>
          <w:szCs w:val="20"/>
          <w:b w:val="1"/>
          <w:bCs w:val="1"/>
          <w:color w:val="auto"/>
        </w:rPr>
      </w:pPr>
    </w:p>
    <w:p>
      <w:pPr>
        <w:ind w:right="20" w:firstLine="8"/>
        <w:spacing w:after="0" w:line="267" w:lineRule="auto"/>
        <w:tabs>
          <w:tab w:leader="none" w:pos="441"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permitted by the Committee.</w:t>
      </w:r>
    </w:p>
    <w:p>
      <w:pPr>
        <w:spacing w:after="0" w:line="163" w:lineRule="exact"/>
        <w:rPr>
          <w:rFonts w:ascii="Arial" w:cs="Arial" w:eastAsia="Arial" w:hAnsi="Arial"/>
          <w:sz w:val="20"/>
          <w:szCs w:val="20"/>
          <w:b w:val="1"/>
          <w:bCs w:val="1"/>
          <w:color w:val="auto"/>
        </w:rPr>
      </w:pPr>
    </w:p>
    <w:p>
      <w:pPr>
        <w:jc w:val="both"/>
        <w:ind w:firstLine="8"/>
        <w:spacing w:after="0" w:line="280" w:lineRule="auto"/>
        <w:tabs>
          <w:tab w:leader="none" w:pos="346"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56" w:lineRule="exact"/>
        <w:rPr>
          <w:rFonts w:ascii="Arial" w:cs="Arial" w:eastAsia="Arial" w:hAnsi="Arial"/>
          <w:sz w:val="18"/>
          <w:szCs w:val="18"/>
          <w:b w:val="1"/>
          <w:bCs w:val="1"/>
          <w:color w:val="auto"/>
        </w:rPr>
      </w:pPr>
    </w:p>
    <w:p>
      <w:pPr>
        <w:jc w:val="both"/>
        <w:ind w:firstLine="8"/>
        <w:spacing w:after="0" w:line="246" w:lineRule="auto"/>
        <w:tabs>
          <w:tab w:leader="none" w:pos="373"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shall terminate on the Expiration Date or earlier as provided in this Section 4. If Participant’s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84" w:lineRule="exact"/>
        <w:rPr>
          <w:rFonts w:ascii="Arial" w:cs="Arial" w:eastAsia="Arial" w:hAnsi="Arial"/>
          <w:sz w:val="20"/>
          <w:szCs w:val="20"/>
          <w:b w:val="1"/>
          <w:bCs w:val="1"/>
          <w:color w:val="auto"/>
        </w:rPr>
      </w:pPr>
    </w:p>
    <w:p>
      <w:pPr>
        <w:jc w:val="both"/>
        <w:ind w:firstLine="8"/>
        <w:spacing w:after="0" w:line="285" w:lineRule="auto"/>
        <w:tabs>
          <w:tab w:leader="none" w:pos="41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of Grant,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and the Notice of Grant.</w:t>
      </w:r>
    </w:p>
    <w:p>
      <w:pPr>
        <w:spacing w:after="0" w:line="150" w:lineRule="exact"/>
        <w:rPr>
          <w:rFonts w:ascii="Arial" w:cs="Arial" w:eastAsia="Arial" w:hAnsi="Arial"/>
          <w:sz w:val="18"/>
          <w:szCs w:val="18"/>
          <w:b w:val="1"/>
          <w:bCs w:val="1"/>
          <w:color w:val="auto"/>
        </w:rPr>
      </w:pPr>
    </w:p>
    <w:p>
      <w:pPr>
        <w:jc w:val="both"/>
        <w:ind w:firstLine="8"/>
        <w:spacing w:after="0" w:line="246" w:lineRule="auto"/>
        <w:tabs>
          <w:tab w:leader="none" w:pos="360"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Limitations on Transfer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any other limitation on transfer created by applicable securities laws, Participant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assign, encumber or dispose of any interest in the Shares issued pursuant to this Agreement except with the Company’s prior written consent and in compliance with the provisions of Sections 9 and 10 of the Plan, the Company’s then-current insider trading policy and applicable securities laws. The restrictions on transfer also include a prohibition on any short position, any “put equivalent position” or any “call equivalent position” by the RSU holder with respect</w:t>
      </w:r>
    </w:p>
    <w:p>
      <w:pPr>
        <w:sectPr>
          <w:pgSz w:w="11900" w:h="16838" w:orient="portrait"/>
          <w:cols w:equalWidth="0" w:num="1">
            <w:col w:w="11240"/>
          </w:cols>
          <w:pgMar w:left="320" w:top="1413" w:right="339" w:bottom="1440" w:gutter="0" w:footer="0" w:header="0"/>
        </w:sectPr>
      </w:pPr>
    </w:p>
    <w:bookmarkStart w:id="476" w:name="page477"/>
    <w:bookmarkEnd w:id="476"/>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w:t>
      </w:r>
    </w:p>
    <w:p>
      <w:pPr>
        <w:spacing w:after="0" w:line="146" w:lineRule="exact"/>
        <w:rPr>
          <w:sz w:val="20"/>
          <w:szCs w:val="20"/>
          <w:color w:val="auto"/>
        </w:rPr>
      </w:pPr>
    </w:p>
    <w:p>
      <w:pPr>
        <w:jc w:val="both"/>
        <w:ind w:firstLine="8"/>
        <w:spacing w:after="0" w:line="294" w:lineRule="auto"/>
        <w:tabs>
          <w:tab w:leader="none" w:pos="427"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43" w:lineRule="exact"/>
        <w:rPr>
          <w:rFonts w:ascii="Arial" w:cs="Arial" w:eastAsia="Arial" w:hAnsi="Arial"/>
          <w:sz w:val="18"/>
          <w:szCs w:val="18"/>
          <w:b w:val="1"/>
          <w:bCs w:val="1"/>
          <w:color w:val="auto"/>
        </w:rPr>
      </w:pPr>
    </w:p>
    <w:p>
      <w:pPr>
        <w:jc w:val="both"/>
        <w:ind w:firstLine="8"/>
        <w:spacing w:after="0" w:line="269" w:lineRule="auto"/>
        <w:tabs>
          <w:tab w:leader="none" w:pos="3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xml:space="preserve">”). In this regard, Participant authorizes the Company to withhold all applicable Tax-Related Obligations legally payable by Participant from Participant’s 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(iii) Participant’s payment of a cash amount; or (iv) any other arrangement approved by the Company; all under such rules as may be established by the Committee and in compliance with the Company’s insider trading policy and 10b5-1 trading plan policy, if applicable;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Participant is a Section 16 officer of the Company under the Exchange Act, then the method of withholding shall be through a mandatory sale under (ii) above.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66" w:lineRule="exact"/>
        <w:rPr>
          <w:rFonts w:ascii="Arial" w:cs="Arial" w:eastAsia="Arial" w:hAnsi="Arial"/>
          <w:sz w:val="18"/>
          <w:szCs w:val="18"/>
          <w:b w:val="1"/>
          <w:bCs w:val="1"/>
          <w:color w:val="auto"/>
        </w:rPr>
      </w:pPr>
    </w:p>
    <w:p>
      <w:pPr>
        <w:jc w:val="both"/>
        <w:ind w:firstLine="8"/>
        <w:spacing w:after="0" w:line="273" w:lineRule="auto"/>
        <w:tabs>
          <w:tab w:leader="none" w:pos="3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 termination of employment will be determined consistent with the rules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1" w:lineRule="exact"/>
        <w:rPr>
          <w:sz w:val="20"/>
          <w:szCs w:val="20"/>
          <w:color w:val="auto"/>
        </w:rPr>
      </w:pPr>
    </w:p>
    <w:p>
      <w:pPr>
        <w:jc w:val="both"/>
        <w:ind w:firstLine="8"/>
        <w:spacing w:after="0" w:line="253" w:lineRule="auto"/>
        <w:tabs>
          <w:tab w:leader="none" w:pos="486" w:val="left"/>
        </w:tabs>
        <w:numPr>
          <w:ilvl w:val="0"/>
          <w:numId w:val="2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b w:val="1"/>
          <w:bCs w:val="1"/>
          <w:color w:val="auto"/>
        </w:rPr>
      </w:pPr>
    </w:p>
    <w:p>
      <w:pPr>
        <w:jc w:val="both"/>
        <w:ind w:firstLine="8"/>
        <w:spacing w:after="0" w:line="257" w:lineRule="auto"/>
        <w:tabs>
          <w:tab w:leader="none" w:pos="434" w:val="left"/>
        </w:tabs>
        <w:numPr>
          <w:ilvl w:val="0"/>
          <w:numId w:val="2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5" w:lineRule="exact"/>
        <w:rPr>
          <w:rFonts w:ascii="Arial" w:cs="Arial" w:eastAsia="Arial" w:hAnsi="Arial"/>
          <w:sz w:val="19"/>
          <w:szCs w:val="19"/>
          <w:b w:val="1"/>
          <w:bCs w:val="1"/>
          <w:color w:val="auto"/>
        </w:rPr>
      </w:pPr>
    </w:p>
    <w:p>
      <w:pPr>
        <w:jc w:val="both"/>
        <w:ind w:firstLine="8"/>
        <w:spacing w:after="0" w:line="246" w:lineRule="auto"/>
        <w:tabs>
          <w:tab w:leader="none" w:pos="445" w:val="left"/>
        </w:tabs>
        <w:numPr>
          <w:ilvl w:val="0"/>
          <w:numId w:val="2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b w:val="1"/>
          <w:bCs w:val="1"/>
          <w:color w:val="auto"/>
        </w:rPr>
      </w:pPr>
    </w:p>
    <w:p>
      <w:pPr>
        <w:jc w:val="both"/>
        <w:ind w:firstLine="8"/>
        <w:spacing w:after="0" w:line="294" w:lineRule="auto"/>
        <w:tabs>
          <w:tab w:leader="none" w:pos="459"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Agreement. This Agreement shall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43" w:lineRule="exact"/>
        <w:rPr>
          <w:rFonts w:ascii="Arial" w:cs="Arial" w:eastAsia="Arial" w:hAnsi="Arial"/>
          <w:sz w:val="18"/>
          <w:szCs w:val="18"/>
          <w:b w:val="1"/>
          <w:bCs w:val="1"/>
          <w:color w:val="auto"/>
        </w:rPr>
      </w:pPr>
    </w:p>
    <w:p>
      <w:pPr>
        <w:jc w:val="both"/>
        <w:ind w:firstLine="8"/>
        <w:spacing w:after="0" w:line="294" w:lineRule="auto"/>
        <w:tabs>
          <w:tab w:leader="none" w:pos="44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Notice of Grant are incorporated herein by reference. The Plan, the Notice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Agreement constitute the entire agreement of the parties with respect to the subject matter hereof and supersede in their entirety all prior undertakings and agreements of the Company and Participant with respect to the subject matter hereof (including, without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5" w:lineRule="exact"/>
        <w:rPr>
          <w:sz w:val="20"/>
          <w:szCs w:val="20"/>
          <w:color w:val="auto"/>
        </w:rPr>
      </w:pPr>
    </w:p>
    <w:p>
      <w:pPr>
        <w:jc w:val="both"/>
        <w:ind w:firstLine="8"/>
        <w:spacing w:after="0" w:line="270" w:lineRule="auto"/>
        <w:tabs>
          <w:tab w:leader="none" w:pos="486"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 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5" w:lineRule="exact"/>
        <w:rPr>
          <w:rFonts w:ascii="Arial" w:cs="Arial" w:eastAsia="Arial" w:hAnsi="Arial"/>
          <w:sz w:val="18"/>
          <w:szCs w:val="18"/>
          <w:b w:val="1"/>
          <w:bCs w:val="1"/>
          <w:color w:val="auto"/>
        </w:rPr>
      </w:pPr>
    </w:p>
    <w:p>
      <w:pPr>
        <w:jc w:val="both"/>
        <w:ind w:firstLine="8"/>
        <w:spacing w:after="0" w:line="253" w:lineRule="auto"/>
        <w:tabs>
          <w:tab w:leader="none" w:pos="445" w:val="left"/>
        </w:tabs>
        <w:numPr>
          <w:ilvl w:val="0"/>
          <w:numId w:val="2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affect in any manner whatsoever the right or power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or a Parent or Subsidiary of the Company, to terminate Participant’s Continuous Service Status, for any reason, with or without cause.</w:t>
      </w:r>
    </w:p>
    <w:p>
      <w:pPr>
        <w:spacing w:after="0" w:line="177" w:lineRule="exact"/>
        <w:rPr>
          <w:rFonts w:ascii="Arial" w:cs="Arial" w:eastAsia="Arial" w:hAnsi="Arial"/>
          <w:sz w:val="20"/>
          <w:szCs w:val="20"/>
          <w:b w:val="1"/>
          <w:bCs w:val="1"/>
          <w:color w:val="auto"/>
        </w:rPr>
      </w:pPr>
    </w:p>
    <w:p>
      <w:pPr>
        <w:jc w:val="both"/>
        <w:ind w:firstLine="8"/>
        <w:spacing w:after="0" w:line="265" w:lineRule="auto"/>
        <w:tabs>
          <w:tab w:leader="none" w:pos="459"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Information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is relying on an exemption from registration under Section 12(h)-1 of the Exchange 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such information is required to be provided by such Section 12(h)-1, the Company shall provide the information described in Rules 701(e)(3), (4) and (5) of the Securities Act by a method allowed under Section 12(h)-1 of the Exchange Act in accordance with Section 12(h)-1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Participant agrees to keep the information confidential.</w:t>
      </w:r>
    </w:p>
    <w:p>
      <w:pPr>
        <w:spacing w:after="0" w:line="169" w:lineRule="exact"/>
        <w:rPr>
          <w:rFonts w:ascii="Arial" w:cs="Arial" w:eastAsia="Arial" w:hAnsi="Arial"/>
          <w:sz w:val="19"/>
          <w:szCs w:val="19"/>
          <w:b w:val="1"/>
          <w:bCs w:val="1"/>
          <w:color w:val="auto"/>
        </w:rPr>
      </w:pPr>
    </w:p>
    <w:p>
      <w:pPr>
        <w:jc w:val="both"/>
        <w:ind w:firstLine="8"/>
        <w:spacing w:after="0" w:line="280" w:lineRule="auto"/>
        <w:tabs>
          <w:tab w:leader="none" w:pos="459"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b w:val="1"/>
          <w:bCs w:val="1"/>
          <w:color w:val="auto"/>
        </w:rPr>
      </w:pPr>
    </w:p>
    <w:p>
      <w:pPr>
        <w:jc w:val="both"/>
        <w:ind w:firstLine="8"/>
        <w:spacing w:after="0" w:line="253" w:lineRule="auto"/>
        <w:tabs>
          <w:tab w:leader="none" w:pos="445" w:val="left"/>
        </w:tabs>
        <w:numPr>
          <w:ilvl w:val="0"/>
          <w:numId w:val="2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construed in accordance with, the laws of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as such laws are applied to contracts entered into and performed in such State. For purposes of any action, lawsuit or other proceedings brought to enforce this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9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80" w:lineRule="exact"/>
        <w:rPr>
          <w:sz w:val="20"/>
          <w:szCs w:val="20"/>
          <w:color w:val="auto"/>
        </w:rPr>
      </w:pPr>
    </w:p>
    <w:p>
      <w:pPr>
        <w:ind w:firstLine="8"/>
        <w:spacing w:after="0" w:line="267" w:lineRule="auto"/>
        <w:tabs>
          <w:tab w:leader="none" w:pos="472" w:val="left"/>
        </w:tabs>
        <w:numPr>
          <w:ilvl w:val="0"/>
          <w:numId w:val="2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Uncertificated Shares</w:t>
      </w:r>
      <w:r>
        <w:rPr>
          <w:rFonts w:ascii="Arial" w:cs="Arial" w:eastAsia="Arial" w:hAnsi="Arial"/>
          <w:sz w:val="20"/>
          <w:szCs w:val="20"/>
          <w:color w:val="auto"/>
        </w:rPr>
        <w:t>. The Participant agrees and acknowledges that to the extent the shares issued upon settlement of the RSUs are</w:t>
      </w:r>
      <w:r>
        <w:rPr>
          <w:rFonts w:ascii="Arial" w:cs="Arial" w:eastAsia="Arial" w:hAnsi="Arial"/>
          <w:sz w:val="20"/>
          <w:szCs w:val="20"/>
          <w:b w:val="1"/>
          <w:bCs w:val="1"/>
          <w:color w:val="auto"/>
        </w:rPr>
        <w:t xml:space="preserve"> </w:t>
      </w:r>
      <w:r>
        <w:rPr>
          <w:rFonts w:ascii="Arial" w:cs="Arial" w:eastAsia="Arial" w:hAnsi="Arial"/>
          <w:sz w:val="20"/>
          <w:szCs w:val="20"/>
          <w:color w:val="auto"/>
        </w:rPr>
        <w:t>uncertificated then all references herein to stock certificates also includes electronic or uncertificated equivalents.</w:t>
      </w:r>
    </w:p>
    <w:p>
      <w:pPr>
        <w:spacing w:after="0" w:line="169" w:lineRule="exact"/>
        <w:rPr>
          <w:rFonts w:ascii="Arial" w:cs="Arial" w:eastAsia="Arial" w:hAnsi="Arial"/>
          <w:sz w:val="20"/>
          <w:szCs w:val="20"/>
          <w:b w:val="1"/>
          <w:bCs w:val="1"/>
          <w:color w:val="auto"/>
        </w:rPr>
      </w:pPr>
    </w:p>
    <w:p>
      <w:pPr>
        <w:ind w:left="4900"/>
        <w:spacing w:after="0"/>
        <w:rPr>
          <w:rFonts w:ascii="Arial" w:cs="Arial" w:eastAsia="Arial" w:hAnsi="Arial"/>
          <w:sz w:val="20"/>
          <w:szCs w:val="20"/>
          <w:b w:val="1"/>
          <w:bCs w:val="1"/>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480" w:name="page481"/>
    <w:bookmarkEnd w:id="480"/>
    <w:p>
      <w:pPr>
        <w:jc w:val="right"/>
        <w:spacing w:after="0"/>
        <w:rPr>
          <w:sz w:val="20"/>
          <w:szCs w:val="20"/>
          <w:color w:val="auto"/>
        </w:rPr>
      </w:pPr>
      <w:r>
        <w:rPr>
          <w:rFonts w:ascii="Arial" w:cs="Arial" w:eastAsia="Arial" w:hAnsi="Arial"/>
          <w:sz w:val="20"/>
          <w:szCs w:val="20"/>
          <w:color w:val="auto"/>
        </w:rPr>
        <w:t>Time-Based RSU Award Agreement for C. Smedley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defined in the Company’s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Unless otherwise defined herein, the terms defined in the Plan shall have the same defined meanings in this Notice of Grant.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Participant named below has been granted an award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xml:space="preserve">”), subject to the terms and conditions of the Plan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under the Plan,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Participant 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Christina Smedley</w:t>
      </w:r>
    </w:p>
    <w:p>
      <w:pPr>
        <w:spacing w:after="0" w:line="71"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48"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48"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 The earlier to occur of: (a) the date on which settlement of all vested RSUs granted hereunder occurs and (b) the seventh</w:t>
      </w:r>
      <w:r>
        <w:rPr>
          <w:rFonts w:ascii="Arial" w:cs="Arial" w:eastAsia="Arial" w:hAnsi="Arial"/>
          <w:sz w:val="20"/>
          <w:szCs w:val="20"/>
          <w:b w:val="1"/>
          <w:bCs w:val="1"/>
          <w:color w:val="auto"/>
        </w:rPr>
        <w:t xml:space="preserve"> </w:t>
      </w:r>
      <w:r>
        <w:rPr>
          <w:rFonts w:ascii="Arial" w:cs="Arial" w:eastAsia="Arial" w:hAnsi="Arial"/>
          <w:sz w:val="20"/>
          <w:szCs w:val="20"/>
          <w:color w:val="auto"/>
        </w:rPr>
        <w:t>(7th) anniversary of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16" w:lineRule="exact"/>
        <w:rPr>
          <w:sz w:val="20"/>
          <w:szCs w:val="20"/>
          <w:color w:val="auto"/>
        </w:rPr>
      </w:pPr>
    </w:p>
    <w:p>
      <w:pPr>
        <w:ind w:left="660" w:hanging="652"/>
        <w:spacing w:after="0" w:line="294" w:lineRule="auto"/>
        <w:tabs>
          <w:tab w:leader="none" w:pos="443"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Two-Tiered Vesting</w:t>
      </w:r>
      <w:r>
        <w:rPr>
          <w:rFonts w:ascii="Arial" w:cs="Arial" w:eastAsia="Arial" w:hAnsi="Arial"/>
          <w:sz w:val="18"/>
          <w:szCs w:val="18"/>
          <w:color w:val="auto"/>
        </w:rPr>
        <w:t>. The vesting of the RSUs is conditioned on satisfaction of two vesting requirements before the Expiration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of the RSUs pursuant to the Plan or the RSU Agreement: a time- and service-based requirement (the “</w:t>
      </w:r>
      <w:r>
        <w:rPr>
          <w:rFonts w:ascii="Arial" w:cs="Arial" w:eastAsia="Arial" w:hAnsi="Arial"/>
          <w:sz w:val="18"/>
          <w:szCs w:val="18"/>
          <w:b w:val="1"/>
          <w:bCs w:val="1"/>
          <w:i w:val="1"/>
          <w:iCs w:val="1"/>
          <w:color w:val="auto"/>
        </w:rPr>
        <w:t>Time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 Requirement</w:t>
      </w:r>
      <w:r>
        <w:rPr>
          <w:rFonts w:ascii="Arial" w:cs="Arial" w:eastAsia="Arial" w:hAnsi="Arial"/>
          <w:sz w:val="18"/>
          <w:szCs w:val="18"/>
          <w:color w:val="auto"/>
        </w:rPr>
        <w:t>”) and a liquidity-event requirement (the “</w:t>
      </w:r>
      <w:r>
        <w:rPr>
          <w:rFonts w:ascii="Arial" w:cs="Arial" w:eastAsia="Arial" w:hAnsi="Arial"/>
          <w:sz w:val="18"/>
          <w:szCs w:val="18"/>
          <w:b w:val="1"/>
          <w:bCs w:val="1"/>
          <w:i w:val="1"/>
          <w:iCs w:val="1"/>
          <w:color w:val="auto"/>
        </w:rPr>
        <w:t>Liquidity Event Requirement</w:t>
      </w:r>
      <w:r>
        <w:rPr>
          <w:rFonts w:ascii="Arial" w:cs="Arial" w:eastAsia="Arial" w:hAnsi="Arial"/>
          <w:sz w:val="18"/>
          <w:szCs w:val="18"/>
          <w:color w:val="auto"/>
        </w:rPr>
        <w:t>”), each as described below.</w:t>
      </w:r>
    </w:p>
    <w:p>
      <w:pPr>
        <w:spacing w:after="0" w:line="143" w:lineRule="exact"/>
        <w:rPr>
          <w:rFonts w:ascii="Arial" w:cs="Arial" w:eastAsia="Arial" w:hAnsi="Arial"/>
          <w:sz w:val="18"/>
          <w:szCs w:val="18"/>
          <w:color w:val="auto"/>
        </w:rPr>
      </w:pPr>
    </w:p>
    <w:p>
      <w:pPr>
        <w:jc w:val="both"/>
        <w:ind w:left="660" w:hanging="4"/>
        <w:spacing w:after="0" w:line="246" w:lineRule="auto"/>
        <w:tabs>
          <w:tab w:leader="none" w:pos="1153" w:val="left"/>
        </w:tabs>
        <w:numPr>
          <w:ilvl w:val="1"/>
          <w:numId w:val="268"/>
        </w:numPr>
        <w:rPr>
          <w:rFonts w:ascii="Arial" w:cs="Arial" w:eastAsia="Arial" w:hAnsi="Arial"/>
          <w:sz w:val="20"/>
          <w:szCs w:val="20"/>
          <w:color w:val="auto"/>
        </w:rPr>
      </w:pPr>
      <w:r>
        <w:rPr>
          <w:rFonts w:ascii="Arial" w:cs="Arial" w:eastAsia="Arial" w:hAnsi="Arial"/>
          <w:sz w:val="20"/>
          <w:szCs w:val="20"/>
          <w:b w:val="1"/>
          <w:bCs w:val="1"/>
          <w:color w:val="auto"/>
        </w:rPr>
        <w:t>Time and Service Requirement</w:t>
      </w:r>
      <w:r>
        <w:rPr>
          <w:rFonts w:ascii="Arial" w:cs="Arial" w:eastAsia="Arial" w:hAnsi="Arial"/>
          <w:sz w:val="20"/>
          <w:szCs w:val="20"/>
          <w:color w:val="auto"/>
        </w:rPr>
        <w:t>. The Time and Service Requirement will be satisfied in installments as follows: (A)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 will be satisfied as to 25% of the Total Number of RSUs (as set forth above) when Participant completes one year of continuous Service beginning with the Vesting Commencement Date; and (B) the requirement will be satisfied as to an additional 6.25% of the Total Number of RSUs when Participant completes each successive three-month period of continuous Service thereafter.</w:t>
      </w:r>
    </w:p>
    <w:p>
      <w:pPr>
        <w:spacing w:after="0" w:line="184" w:lineRule="exact"/>
        <w:rPr>
          <w:rFonts w:ascii="Arial" w:cs="Arial" w:eastAsia="Arial" w:hAnsi="Arial"/>
          <w:sz w:val="20"/>
          <w:szCs w:val="20"/>
          <w:color w:val="auto"/>
        </w:rPr>
      </w:pPr>
    </w:p>
    <w:p>
      <w:pPr>
        <w:jc w:val="both"/>
        <w:ind w:left="660" w:hanging="4"/>
        <w:spacing w:after="0" w:line="277" w:lineRule="auto"/>
        <w:tabs>
          <w:tab w:leader="none" w:pos="1113" w:val="left"/>
        </w:tabs>
        <w:numPr>
          <w:ilvl w:val="1"/>
          <w:numId w:val="268"/>
        </w:numPr>
        <w:rPr>
          <w:rFonts w:ascii="Arial" w:cs="Arial" w:eastAsia="Arial" w:hAnsi="Arial"/>
          <w:sz w:val="18"/>
          <w:szCs w:val="18"/>
          <w:color w:val="auto"/>
        </w:rPr>
      </w:pPr>
      <w:r>
        <w:rPr>
          <w:rFonts w:ascii="Arial" w:cs="Arial" w:eastAsia="Arial" w:hAnsi="Arial"/>
          <w:sz w:val="18"/>
          <w:szCs w:val="18"/>
          <w:b w:val="1"/>
          <w:bCs w:val="1"/>
          <w:color w:val="auto"/>
        </w:rPr>
        <w:t xml:space="preserve">Liquidity Event Requirement. </w:t>
      </w:r>
      <w:r>
        <w:rPr>
          <w:rFonts w:ascii="Arial" w:cs="Arial" w:eastAsia="Arial" w:hAnsi="Arial"/>
          <w:sz w:val="18"/>
          <w:szCs w:val="18"/>
          <w:color w:val="auto"/>
        </w:rPr>
        <w:t>The Liquidity Event Requirement will be satisfied on the earliest to occur of: (A) the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the earlier of (1) six (6) months after the effective date of the initial public offering of the Company’s securities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(provided that the IPO occurs by the seventh year anniversary of the RSU Grant Date) and (2) March 15 of the calendar year following the year in which the IPO was declared effective (provided that such date occurs by the seventh year anniversary of the grant date); and (B) the date of an Acquisition, but only if constituting a permissible payment event as a change in ownership, effective control, or sale of substantially all of the assets, as provided under Section 409A (provided that such date</w:t>
      </w:r>
    </w:p>
    <w:p>
      <w:pPr>
        <w:sectPr>
          <w:pgSz w:w="11900" w:h="16838" w:orient="portrait"/>
          <w:cols w:equalWidth="0" w:num="1">
            <w:col w:w="11240"/>
          </w:cols>
          <w:pgMar w:left="320" w:top="121" w:right="339" w:bottom="1440" w:gutter="0" w:footer="0" w:header="0"/>
          <w:type w:val="continuous"/>
        </w:sectPr>
      </w:pPr>
    </w:p>
    <w:bookmarkStart w:id="481" w:name="page482"/>
    <w:bookmarkEnd w:id="481"/>
    <w:p>
      <w:pPr>
        <w:ind w:left="660"/>
        <w:spacing w:after="0" w:line="260" w:lineRule="auto"/>
        <w:rPr>
          <w:sz w:val="20"/>
          <w:szCs w:val="20"/>
          <w:color w:val="auto"/>
        </w:rPr>
      </w:pPr>
      <w:r>
        <w:rPr>
          <w:rFonts w:ascii="Arial" w:cs="Arial" w:eastAsia="Arial" w:hAnsi="Arial"/>
          <w:sz w:val="20"/>
          <w:szCs w:val="20"/>
          <w:color w:val="auto"/>
        </w:rPr>
        <w:t>occurs by the seventh year anniversary of the RSU Grant Date) (the earliest of the prong (A) or (B) to occur, the “</w:t>
      </w:r>
      <w:r>
        <w:rPr>
          <w:rFonts w:ascii="Arial" w:cs="Arial" w:eastAsia="Arial" w:hAnsi="Arial"/>
          <w:sz w:val="20"/>
          <w:szCs w:val="20"/>
          <w:b w:val="1"/>
          <w:bCs w:val="1"/>
          <w:i w:val="1"/>
          <w:iCs w:val="1"/>
          <w:color w:val="auto"/>
        </w:rPr>
        <w:t>Initial Vesting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Event</w:t>
      </w:r>
      <w:r>
        <w:rPr>
          <w:rFonts w:ascii="Arial" w:cs="Arial" w:eastAsia="Arial" w:hAnsi="Arial"/>
          <w:sz w:val="20"/>
          <w:szCs w:val="20"/>
          <w:color w:val="auto"/>
        </w:rPr>
        <w:t>”).</w:t>
      </w:r>
    </w:p>
    <w:p>
      <w:pPr>
        <w:spacing w:after="0" w:line="177" w:lineRule="exact"/>
        <w:rPr>
          <w:sz w:val="20"/>
          <w:szCs w:val="20"/>
          <w:color w:val="auto"/>
        </w:rPr>
      </w:pPr>
    </w:p>
    <w:p>
      <w:pPr>
        <w:ind w:left="660" w:hanging="652"/>
        <w:spacing w:after="0" w:line="257" w:lineRule="auto"/>
        <w:tabs>
          <w:tab w:leader="none" w:pos="467"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RSUs Vested at Initial Vesting Event</w:t>
      </w:r>
      <w:r>
        <w:rPr>
          <w:rFonts w:ascii="Arial" w:cs="Arial" w:eastAsia="Arial" w:hAnsi="Arial"/>
          <w:sz w:val="19"/>
          <w:szCs w:val="19"/>
          <w:color w:val="auto"/>
        </w:rPr>
        <w:t>. If at the time of the Initial Vesting Event Participant is not in Continuous Service Status and did not meet the Time and Service Requirement with respect to any portion of the RSUs, then no portion of the RSUs shall vest. If at the time of the Initial Vesting Event, Participant is in Continuous Service Status or has ceased to be in Continuous Service Status but did meet the Time and Service Requirement with respect to any portion of the RSUs, then the RSUs shall vest as to the number of RSUs, if any, that have satisfied the Time and Service Requirement as of the Initial Vesting Event in accordance with clause (a)(i) above. “</w:t>
      </w:r>
      <w:r>
        <w:rPr>
          <w:rFonts w:ascii="Arial" w:cs="Arial" w:eastAsia="Arial" w:hAnsi="Arial"/>
          <w:sz w:val="19"/>
          <w:szCs w:val="19"/>
          <w:b w:val="1"/>
          <w:bCs w:val="1"/>
          <w:i w:val="1"/>
          <w:iCs w:val="1"/>
          <w:color w:val="auto"/>
        </w:rPr>
        <w:t>Continuous Service Status</w:t>
      </w:r>
      <w:r>
        <w:rPr>
          <w:rFonts w:ascii="Arial" w:cs="Arial" w:eastAsia="Arial" w:hAnsi="Arial"/>
          <w:sz w:val="19"/>
          <w:szCs w:val="19"/>
          <w:color w:val="auto"/>
        </w:rPr>
        <w:t>” means Participant continues to provide services as an employee, officer, director or consultant to the Company or a Subsidiary, Parent or Affiliate of the Company.</w:t>
      </w:r>
    </w:p>
    <w:p>
      <w:pPr>
        <w:spacing w:after="0" w:line="184" w:lineRule="exact"/>
        <w:rPr>
          <w:rFonts w:ascii="Arial" w:cs="Arial" w:eastAsia="Arial" w:hAnsi="Arial"/>
          <w:sz w:val="19"/>
          <w:szCs w:val="19"/>
          <w:color w:val="auto"/>
        </w:rPr>
      </w:pPr>
    </w:p>
    <w:p>
      <w:pPr>
        <w:ind w:left="660" w:hanging="652"/>
        <w:spacing w:after="0" w:line="246" w:lineRule="auto"/>
        <w:tabs>
          <w:tab w:leader="none" w:pos="443"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RSUs Vested after Initial Vesting Event</w:t>
      </w:r>
      <w:r>
        <w:rPr>
          <w:rFonts w:ascii="Arial" w:cs="Arial" w:eastAsia="Arial" w:hAnsi="Arial"/>
          <w:sz w:val="20"/>
          <w:szCs w:val="20"/>
          <w:color w:val="auto"/>
        </w:rPr>
        <w:t>. If Participant is in Continuous Service Status at the time of the Initial Vesting Event, then with respect to RSUs that have not vested as of such Initial Vesting Event under the preceding clause (b) above, vesting shall continue after the Initial Vesting Event in accordance with the Time and Service Requirement set forth in clause (a)(i) above (each subsequent vesting date, a “</w:t>
      </w:r>
      <w:r>
        <w:rPr>
          <w:rFonts w:ascii="Arial" w:cs="Arial" w:eastAsia="Arial" w:hAnsi="Arial"/>
          <w:sz w:val="20"/>
          <w:szCs w:val="20"/>
          <w:b w:val="1"/>
          <w:bCs w:val="1"/>
          <w:i w:val="1"/>
          <w:iCs w:val="1"/>
          <w:color w:val="auto"/>
        </w:rPr>
        <w:t>Subsequent Vesting Event</w:t>
      </w:r>
      <w:r>
        <w:rPr>
          <w:rFonts w:ascii="Arial" w:cs="Arial" w:eastAsia="Arial" w:hAnsi="Arial"/>
          <w:sz w:val="20"/>
          <w:szCs w:val="20"/>
          <w:color w:val="auto"/>
        </w:rPr>
        <w:t>”).</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RSUs that vest as of the Initial Vesting Event shall be settled immediately. Settlement means the delivery of the Shares vested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 RSU. Settlement of RSUs on the Initial Vesting Event or any Subsequent Vesting Event shall be in Shares. Settlement of vested RSUs shall occur whether or not Participant is in Continuous Service Status at the time of settlement. No fractional RSUs or rights for fractional Shares shall be created pursuant to this Notice of Grant. Notwithstanding the foregoing, any RSUs that vest upon a Subsequent Vesting Event that falls within the restricted period set forth in Section 15 of the RSU Agreement shall be settled within 30 days following the expiration of such restricted period, and in all cases all RSUs shall be settled no later than the calendar year in which such Subsequent Vesting Event occurs.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Participant understands that Participant’s employment or consulting relationship with the Company is for an unspecified duration, can be terminated at any time (i.e.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each of which are incorporated herein by reference. Participant has read both the RSU Agreement and the Plan.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such third party or via email, or such other means of electronic delivery specified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482" w:name="page483"/>
    <w:bookmarkEnd w:id="482"/>
    <w:p>
      <w:pPr>
        <w:spacing w:after="0" w:line="316" w:lineRule="auto"/>
        <w:rPr>
          <w:sz w:val="20"/>
          <w:szCs w:val="20"/>
          <w:color w:val="auto"/>
        </w:rPr>
      </w:pPr>
      <w:r>
        <w:rPr>
          <w:rFonts w:ascii="Arial" w:cs="Arial" w:eastAsia="Arial" w:hAnsi="Arial"/>
          <w:sz w:val="18"/>
          <w:szCs w:val="18"/>
          <w:color w:val="auto"/>
        </w:rPr>
        <w:t>By Participant’s and the Company’s acceptance hereof (in each case, whether written, electronic or otherwise), Participant and the Company agree that this RSU is granted under and governed by the terms and conditions of the Plan, the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483" w:name="page484"/>
    <w:bookmarkEnd w:id="483"/>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and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Unless otherwise defined herein or in the Notice of Grant, the terms defined in the Plan shall have the same defined meanings in this Agreement.</w:t>
      </w:r>
    </w:p>
    <w:p>
      <w:pPr>
        <w:spacing w:after="0" w:line="185" w:lineRule="exact"/>
        <w:rPr>
          <w:sz w:val="20"/>
          <w:szCs w:val="20"/>
          <w:color w:val="auto"/>
        </w:rPr>
      </w:pPr>
    </w:p>
    <w:p>
      <w:pPr>
        <w:jc w:val="both"/>
        <w:ind w:left="20" w:firstLine="645"/>
        <w:spacing w:after="0" w:line="248" w:lineRule="auto"/>
        <w:tabs>
          <w:tab w:leader="none" w:pos="1028"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83" w:lineRule="exact"/>
        <w:rPr>
          <w:rFonts w:ascii="Arial" w:cs="Arial" w:eastAsia="Arial" w:hAnsi="Arial"/>
          <w:sz w:val="20"/>
          <w:szCs w:val="20"/>
          <w:b w:val="1"/>
          <w:bCs w:val="1"/>
          <w:color w:val="auto"/>
        </w:rPr>
      </w:pPr>
    </w:p>
    <w:p>
      <w:pPr>
        <w:ind w:left="20" w:firstLine="645"/>
        <w:spacing w:after="0" w:line="267" w:lineRule="auto"/>
        <w:tabs>
          <w:tab w:leader="none" w:pos="1028"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w:t>
      </w:r>
      <w:r>
        <w:rPr>
          <w:rFonts w:ascii="Arial" w:cs="Arial" w:eastAsia="Arial" w:hAnsi="Arial"/>
          <w:sz w:val="20"/>
          <w:szCs w:val="20"/>
          <w:b w:val="1"/>
          <w:bCs w:val="1"/>
          <w:color w:val="auto"/>
        </w:rPr>
        <w:t xml:space="preserve"> </w:t>
      </w:r>
      <w:r>
        <w:rPr>
          <w:rFonts w:ascii="Arial" w:cs="Arial" w:eastAsia="Arial" w:hAnsi="Arial"/>
          <w:sz w:val="20"/>
          <w:szCs w:val="20"/>
          <w:color w:val="auto"/>
        </w:rPr>
        <w:t>as otherwise permitted by the Committee.</w:t>
      </w:r>
    </w:p>
    <w:p>
      <w:pPr>
        <w:spacing w:after="0" w:line="163" w:lineRule="exact"/>
        <w:rPr>
          <w:rFonts w:ascii="Arial" w:cs="Arial" w:eastAsia="Arial" w:hAnsi="Arial"/>
          <w:sz w:val="20"/>
          <w:szCs w:val="20"/>
          <w:b w:val="1"/>
          <w:bCs w:val="1"/>
          <w:color w:val="auto"/>
        </w:rPr>
      </w:pPr>
    </w:p>
    <w:p>
      <w:pPr>
        <w:jc w:val="both"/>
        <w:ind w:left="20" w:firstLine="645"/>
        <w:spacing w:after="0" w:line="245" w:lineRule="auto"/>
        <w:tabs>
          <w:tab w:leader="none" w:pos="1082"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 any interest therein shall not be sold, assigned, transferred, pledged, hypothecated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disposed of, 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84" w:lineRule="exact"/>
        <w:rPr>
          <w:rFonts w:ascii="Arial" w:cs="Arial" w:eastAsia="Arial" w:hAnsi="Arial"/>
          <w:sz w:val="20"/>
          <w:szCs w:val="20"/>
          <w:b w:val="1"/>
          <w:bCs w:val="1"/>
          <w:color w:val="auto"/>
        </w:rPr>
      </w:pPr>
    </w:p>
    <w:p>
      <w:pPr>
        <w:jc w:val="both"/>
        <w:ind w:left="20" w:firstLine="645"/>
        <w:spacing w:after="0" w:line="246" w:lineRule="auto"/>
        <w:tabs>
          <w:tab w:leader="none" w:pos="1055"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shall terminate on the Expiration Date or earlier as provided in this Section 4. If Participant’s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84" w:lineRule="exact"/>
        <w:rPr>
          <w:rFonts w:ascii="Arial" w:cs="Arial" w:eastAsia="Arial" w:hAnsi="Arial"/>
          <w:sz w:val="20"/>
          <w:szCs w:val="20"/>
          <w:b w:val="1"/>
          <w:bCs w:val="1"/>
          <w:color w:val="auto"/>
        </w:rPr>
      </w:pPr>
    </w:p>
    <w:p>
      <w:pPr>
        <w:jc w:val="both"/>
        <w:ind w:left="20" w:firstLine="645"/>
        <w:spacing w:after="0" w:line="330" w:lineRule="auto"/>
        <w:tabs>
          <w:tab w:leader="none" w:pos="1028"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Participant agree that the RSUs are granted under and governed by the Notice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and the Notice of Grant.</w:t>
      </w:r>
    </w:p>
    <w:p>
      <w:pPr>
        <w:spacing w:after="0" w:line="122" w:lineRule="exact"/>
        <w:rPr>
          <w:rFonts w:ascii="Arial" w:cs="Arial" w:eastAsia="Arial" w:hAnsi="Arial"/>
          <w:sz w:val="16"/>
          <w:szCs w:val="16"/>
          <w:b w:val="1"/>
          <w:bCs w:val="1"/>
          <w:color w:val="auto"/>
        </w:rPr>
      </w:pPr>
    </w:p>
    <w:p>
      <w:pPr>
        <w:jc w:val="both"/>
        <w:ind w:left="20" w:firstLine="645"/>
        <w:spacing w:after="0" w:line="265" w:lineRule="auto"/>
        <w:tabs>
          <w:tab w:leader="none" w:pos="1163" w:val="left"/>
        </w:tabs>
        <w:numPr>
          <w:ilvl w:val="0"/>
          <w:numId w:val="2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Limitations on Transfer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any other limitation on transfer created by applicable securities laws,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not assign, encumber or dispose of any interest in the Shares issued pursuant to this Agreement except with the Company’s prior written consent and in compliance with the provisions of Sections 9 and 10 of the Plan, the Company’s then-current insider trading policy and applicable securities laws. The restrictions on transfer also include a prohibition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2" w:right="339" w:bottom="1440" w:gutter="0" w:footer="0" w:header="0"/>
        </w:sectPr>
      </w:pPr>
    </w:p>
    <w:bookmarkStart w:id="484" w:name="page485"/>
    <w:bookmarkEnd w:id="484"/>
    <w:p>
      <w:pPr>
        <w:jc w:val="both"/>
        <w:spacing w:after="0" w:line="250" w:lineRule="auto"/>
        <w:rPr>
          <w:sz w:val="20"/>
          <w:szCs w:val="20"/>
          <w:color w:val="auto"/>
        </w:rPr>
      </w:pPr>
      <w:r>
        <w:rPr>
          <w:rFonts w:ascii="Arial" w:cs="Arial" w:eastAsia="Arial" w:hAnsi="Arial"/>
          <w:sz w:val="20"/>
          <w:szCs w:val="20"/>
          <w:color w:val="auto"/>
        </w:rPr>
        <w:t>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w:t>
      </w:r>
    </w:p>
    <w:p>
      <w:pPr>
        <w:spacing w:after="0" w:line="180" w:lineRule="exact"/>
        <w:rPr>
          <w:sz w:val="20"/>
          <w:szCs w:val="20"/>
          <w:color w:val="auto"/>
        </w:rPr>
      </w:pPr>
    </w:p>
    <w:p>
      <w:pPr>
        <w:jc w:val="both"/>
        <w:ind w:firstLine="645"/>
        <w:spacing w:after="0" w:line="248" w:lineRule="auto"/>
        <w:tabs>
          <w:tab w:leader="none" w:pos="1075"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Binding on Transferees</w:t>
      </w:r>
      <w:r>
        <w:rPr>
          <w:rFonts w:ascii="Arial" w:cs="Arial" w:eastAsia="Arial" w:hAnsi="Arial"/>
          <w:sz w:val="20"/>
          <w:szCs w:val="20"/>
          <w:b w:val="1"/>
          <w:bCs w:val="1"/>
          <w:color w:val="auto"/>
        </w:rPr>
        <w:t xml:space="preserve">. </w:t>
      </w:r>
      <w:r>
        <w:rPr>
          <w:rFonts w:ascii="Arial" w:cs="Arial" w:eastAsia="Arial" w:hAnsi="Arial"/>
          <w:sz w:val="20"/>
          <w:szCs w:val="20"/>
          <w:color w:val="auto"/>
        </w:rPr>
        <w:t>All transferees of Shares or any interest therein will receive and hold such shares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83" w:lineRule="exact"/>
        <w:rPr>
          <w:rFonts w:ascii="Arial" w:cs="Arial" w:eastAsia="Arial" w:hAnsi="Arial"/>
          <w:sz w:val="20"/>
          <w:szCs w:val="20"/>
          <w:b w:val="1"/>
          <w:bCs w:val="1"/>
          <w:color w:val="auto"/>
        </w:rPr>
      </w:pPr>
    </w:p>
    <w:p>
      <w:pPr>
        <w:jc w:val="both"/>
        <w:ind w:firstLine="645"/>
        <w:spacing w:after="0" w:line="269" w:lineRule="auto"/>
        <w:tabs>
          <w:tab w:leader="none" w:pos="103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xml:space="preserve">”). In this regard, Participant authorizes the Company to withhold all applicable TaxRelated Obligations legally payable by Participant from Participant’s 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(iii) Participant’s payment of a cash amount; or (iv) any other arrangement approved by the Company; all under such rules as may be established by the Committee and in compliance with the Company’s insider trading policy and 10b5-1 trading plan policy, if applicable;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Participant is a Section 16 officer of the Company under the Exchange Act, then the method of withholding shall be through a mandatory sale under (ii) above.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66" w:lineRule="exact"/>
        <w:rPr>
          <w:rFonts w:ascii="Arial" w:cs="Arial" w:eastAsia="Arial" w:hAnsi="Arial"/>
          <w:sz w:val="18"/>
          <w:szCs w:val="18"/>
          <w:b w:val="1"/>
          <w:bCs w:val="1"/>
          <w:color w:val="auto"/>
        </w:rPr>
      </w:pPr>
    </w:p>
    <w:p>
      <w:pPr>
        <w:jc w:val="both"/>
        <w:ind w:firstLine="645"/>
        <w:spacing w:after="0" w:line="258" w:lineRule="auto"/>
        <w:tabs>
          <w:tab w:leader="none" w:pos="1008" w:val="left"/>
        </w:tabs>
        <w:numPr>
          <w:ilvl w:val="0"/>
          <w:numId w:val="2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 rules</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a “separation from service” as defined in Section 409A of the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such deferral shall only be effected to the extent required to avoid adverse tax treatment to Participant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1418" w:right="339" w:bottom="1440" w:gutter="0" w:footer="0" w:header="0"/>
        </w:sectPr>
      </w:pPr>
    </w:p>
    <w:bookmarkStart w:id="485" w:name="page486"/>
    <w:bookmarkEnd w:id="485"/>
    <w:p>
      <w:pPr>
        <w:jc w:val="both"/>
        <w:spacing w:after="0" w:line="270" w:lineRule="auto"/>
        <w:rPr>
          <w:sz w:val="20"/>
          <w:szCs w:val="20"/>
          <w:color w:val="auto"/>
        </w:rPr>
      </w:pPr>
      <w:r>
        <w:rPr>
          <w:rFonts w:ascii="Arial" w:cs="Arial" w:eastAsia="Arial" w:hAnsi="Arial"/>
          <w:sz w:val="18"/>
          <w:szCs w:val="18"/>
          <w:color w:val="auto"/>
        </w:rPr>
        <w:t>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0" w:lineRule="exact"/>
        <w:rPr>
          <w:sz w:val="20"/>
          <w:szCs w:val="20"/>
          <w:color w:val="auto"/>
        </w:rPr>
      </w:pPr>
    </w:p>
    <w:p>
      <w:pPr>
        <w:jc w:val="both"/>
        <w:ind w:firstLine="645"/>
        <w:spacing w:after="0" w:line="253" w:lineRule="auto"/>
        <w:tabs>
          <w:tab w:leader="none" w:pos="1120" w:val="left"/>
        </w:tabs>
        <w:numPr>
          <w:ilvl w:val="0"/>
          <w:numId w:val="2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w:t>
      </w:r>
      <w:r>
        <w:rPr>
          <w:rFonts w:ascii="Arial" w:cs="Arial" w:eastAsia="Arial" w:hAnsi="Arial"/>
          <w:sz w:val="20"/>
          <w:szCs w:val="20"/>
          <w:b w:val="1"/>
          <w:bCs w:val="1"/>
          <w:color w:val="auto"/>
        </w:rPr>
        <w:t xml:space="preserve"> </w:t>
      </w:r>
      <w:r>
        <w:rPr>
          <w:rFonts w:ascii="Arial" w:cs="Arial" w:eastAsia="Arial" w:hAnsi="Arial"/>
          <w:sz w:val="20"/>
          <w:szCs w:val="20"/>
          <w:color w:val="auto"/>
        </w:rPr>
        <w:t>and/or 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b w:val="1"/>
          <w:bCs w:val="1"/>
          <w:color w:val="auto"/>
        </w:rPr>
      </w:pPr>
    </w:p>
    <w:p>
      <w:pPr>
        <w:jc w:val="both"/>
        <w:ind w:firstLine="645"/>
        <w:spacing w:after="0" w:line="257" w:lineRule="auto"/>
        <w:tabs>
          <w:tab w:leader="none" w:pos="1109" w:val="left"/>
        </w:tabs>
        <w:numPr>
          <w:ilvl w:val="0"/>
          <w:numId w:val="2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5" w:lineRule="exact"/>
        <w:rPr>
          <w:rFonts w:ascii="Arial" w:cs="Arial" w:eastAsia="Arial" w:hAnsi="Arial"/>
          <w:sz w:val="19"/>
          <w:szCs w:val="19"/>
          <w:b w:val="1"/>
          <w:bCs w:val="1"/>
          <w:color w:val="auto"/>
        </w:rPr>
      </w:pPr>
    </w:p>
    <w:p>
      <w:pPr>
        <w:jc w:val="both"/>
        <w:ind w:firstLine="645"/>
        <w:spacing w:after="0" w:line="246" w:lineRule="auto"/>
        <w:tabs>
          <w:tab w:leader="none" w:pos="1120" w:val="left"/>
        </w:tabs>
        <w:numPr>
          <w:ilvl w:val="0"/>
          <w:numId w:val="2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w:t>
      </w:r>
      <w:r>
        <w:rPr>
          <w:rFonts w:ascii="Arial" w:cs="Arial" w:eastAsia="Arial" w:hAnsi="Arial"/>
          <w:sz w:val="20"/>
          <w:szCs w:val="20"/>
          <w:b w:val="1"/>
          <w:bCs w:val="1"/>
          <w:color w:val="auto"/>
        </w:rPr>
        <w:t xml:space="preserve"> </w:t>
      </w:r>
      <w:r>
        <w:rPr>
          <w:rFonts w:ascii="Arial" w:cs="Arial" w:eastAsia="Arial" w:hAnsi="Arial"/>
          <w:sz w:val="20"/>
          <w:szCs w:val="20"/>
          <w:color w:val="auto"/>
        </w:rPr>
        <w:t>and other 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b w:val="1"/>
          <w:bCs w:val="1"/>
          <w:color w:val="auto"/>
        </w:rPr>
      </w:pPr>
    </w:p>
    <w:p>
      <w:pPr>
        <w:jc w:val="both"/>
        <w:ind w:firstLine="645"/>
        <w:spacing w:after="0" w:line="294" w:lineRule="auto"/>
        <w:tabs>
          <w:tab w:leader="none" w:pos="113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Agreement. This Agreement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and 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1418" w:right="339" w:bottom="1440" w:gutter="0" w:footer="0" w:header="0"/>
        </w:sectPr>
      </w:pPr>
    </w:p>
    <w:bookmarkStart w:id="486" w:name="page487"/>
    <w:bookmarkEnd w:id="486"/>
    <w:p>
      <w:pPr>
        <w:jc w:val="both"/>
        <w:ind w:firstLine="645"/>
        <w:spacing w:after="0" w:line="244" w:lineRule="auto"/>
        <w:tabs>
          <w:tab w:leader="none" w:pos="1107"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Notice of Grant are incorporated herein by reference. The Plan, the Notice</w:t>
      </w:r>
      <w:r>
        <w:rPr>
          <w:rFonts w:ascii="Arial" w:cs="Arial" w:eastAsia="Arial" w:hAnsi="Arial"/>
          <w:sz w:val="20"/>
          <w:szCs w:val="20"/>
          <w:b w:val="1"/>
          <w:bCs w:val="1"/>
          <w:color w:val="auto"/>
        </w:rPr>
        <w:t xml:space="preserve"> </w:t>
      </w:r>
      <w:r>
        <w:rPr>
          <w:rFonts w:ascii="Arial" w:cs="Arial" w:eastAsia="Arial" w:hAnsi="Arial"/>
          <w:sz w:val="20"/>
          <w:szCs w:val="20"/>
          <w:color w:val="auto"/>
        </w:rPr>
        <w:t>of Grant and this Agreement constitute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5" w:lineRule="exact"/>
        <w:rPr>
          <w:rFonts w:ascii="Arial" w:cs="Arial" w:eastAsia="Arial" w:hAnsi="Arial"/>
          <w:sz w:val="20"/>
          <w:szCs w:val="20"/>
          <w:b w:val="1"/>
          <w:bCs w:val="1"/>
          <w:color w:val="auto"/>
        </w:rPr>
      </w:pPr>
    </w:p>
    <w:p>
      <w:pPr>
        <w:jc w:val="both"/>
        <w:ind w:firstLine="645"/>
        <w:spacing w:after="0" w:line="270" w:lineRule="auto"/>
        <w:tabs>
          <w:tab w:leader="none" w:pos="1161"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 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5" w:lineRule="exact"/>
        <w:rPr>
          <w:rFonts w:ascii="Arial" w:cs="Arial" w:eastAsia="Arial" w:hAnsi="Arial"/>
          <w:sz w:val="18"/>
          <w:szCs w:val="18"/>
          <w:b w:val="1"/>
          <w:bCs w:val="1"/>
          <w:color w:val="auto"/>
        </w:rPr>
      </w:pPr>
    </w:p>
    <w:p>
      <w:pPr>
        <w:jc w:val="both"/>
        <w:ind w:firstLine="645"/>
        <w:spacing w:after="0" w:line="253" w:lineRule="auto"/>
        <w:tabs>
          <w:tab w:leader="none" w:pos="1120"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affect in any manner whatsoever the right</w:t>
      </w:r>
      <w:r>
        <w:rPr>
          <w:rFonts w:ascii="Arial" w:cs="Arial" w:eastAsia="Arial" w:hAnsi="Arial"/>
          <w:sz w:val="20"/>
          <w:szCs w:val="20"/>
          <w:b w:val="1"/>
          <w:bCs w:val="1"/>
          <w:color w:val="auto"/>
        </w:rPr>
        <w:t xml:space="preserve"> </w:t>
      </w:r>
      <w:r>
        <w:rPr>
          <w:rFonts w:ascii="Arial" w:cs="Arial" w:eastAsia="Arial" w:hAnsi="Arial"/>
          <w:sz w:val="20"/>
          <w:szCs w:val="20"/>
          <w:color w:val="auto"/>
        </w:rPr>
        <w:t>or power of the Company, or a Parent or Subsidiary of the Company, to terminate Participant’s Continuous Service Status, for any reason, with or without cause.</w:t>
      </w:r>
    </w:p>
    <w:p>
      <w:pPr>
        <w:spacing w:after="0" w:line="177" w:lineRule="exact"/>
        <w:rPr>
          <w:rFonts w:ascii="Arial" w:cs="Arial" w:eastAsia="Arial" w:hAnsi="Arial"/>
          <w:sz w:val="20"/>
          <w:szCs w:val="20"/>
          <w:b w:val="1"/>
          <w:bCs w:val="1"/>
          <w:color w:val="auto"/>
        </w:rPr>
      </w:pPr>
    </w:p>
    <w:p>
      <w:pPr>
        <w:jc w:val="both"/>
        <w:ind w:firstLine="645"/>
        <w:spacing w:after="0" w:line="265" w:lineRule="auto"/>
        <w:tabs>
          <w:tab w:leader="none" w:pos="1201" w:val="left"/>
        </w:tabs>
        <w:numPr>
          <w:ilvl w:val="0"/>
          <w:numId w:val="2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Information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is relying on an exemption from registration under Section 12(h)-1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Exchange Act and such information is required to be provided by such Section 12(h)-1, the Company shall provide the information described in Rules 701(e)(3), (4) and (5) of the Securities Act by a method allowed under Section 12(h)-1 of the Exchange Act in accordance with Section 12(h)-1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Participant agrees to keep the information confidential.</w:t>
      </w:r>
    </w:p>
    <w:p>
      <w:pPr>
        <w:spacing w:after="0" w:line="169" w:lineRule="exact"/>
        <w:rPr>
          <w:rFonts w:ascii="Arial" w:cs="Arial" w:eastAsia="Arial" w:hAnsi="Arial"/>
          <w:sz w:val="19"/>
          <w:szCs w:val="19"/>
          <w:b w:val="1"/>
          <w:bCs w:val="1"/>
          <w:color w:val="auto"/>
        </w:rPr>
      </w:pPr>
    </w:p>
    <w:p>
      <w:pPr>
        <w:jc w:val="both"/>
        <w:ind w:firstLine="645"/>
        <w:spacing w:after="0" w:line="265" w:lineRule="auto"/>
        <w:tabs>
          <w:tab w:leader="none" w:pos="1147" w:val="left"/>
        </w:tabs>
        <w:numPr>
          <w:ilvl w:val="0"/>
          <w:numId w:val="2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Delivery of Documents and 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document relating to participating in the Plan and/or notice required or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40" w:top="1412" w:right="339" w:bottom="1440" w:gutter="0" w:footer="0" w:header="0"/>
        </w:sectPr>
      </w:pPr>
    </w:p>
    <w:bookmarkStart w:id="487" w:name="page488"/>
    <w:bookmarkEnd w:id="487"/>
    <w:p>
      <w:pPr>
        <w:spacing w:after="0" w:line="260" w:lineRule="auto"/>
        <w:rPr>
          <w:sz w:val="20"/>
          <w:szCs w:val="20"/>
          <w:color w:val="auto"/>
        </w:rPr>
      </w:pPr>
      <w:r>
        <w:rPr>
          <w:rFonts w:ascii="Arial" w:cs="Arial" w:eastAsia="Arial" w:hAnsi="Arial"/>
          <w:sz w:val="20"/>
          <w:szCs w:val="20"/>
          <w:color w:val="auto"/>
        </w:rPr>
        <w:t>e-mail address, if any, provided for Participant by the Company or at such other address as such party may designate in writing from time to time to the other party.</w:t>
      </w:r>
    </w:p>
    <w:p>
      <w:pPr>
        <w:spacing w:after="0" w:line="171" w:lineRule="exact"/>
        <w:rPr>
          <w:sz w:val="20"/>
          <w:szCs w:val="20"/>
          <w:color w:val="auto"/>
        </w:rPr>
      </w:pPr>
    </w:p>
    <w:p>
      <w:pPr>
        <w:jc w:val="both"/>
        <w:ind w:firstLine="645"/>
        <w:spacing w:after="0" w:line="262" w:lineRule="auto"/>
        <w:tabs>
          <w:tab w:leader="none" w:pos="1120" w:val="left"/>
        </w:tabs>
        <w:numPr>
          <w:ilvl w:val="0"/>
          <w:numId w:val="2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as such laws are applied to contracts entered into and performed in such State.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70" w:lineRule="exact"/>
        <w:rPr>
          <w:rFonts w:ascii="Arial" w:cs="Arial" w:eastAsia="Arial" w:hAnsi="Arial"/>
          <w:sz w:val="19"/>
          <w:szCs w:val="19"/>
          <w:b w:val="1"/>
          <w:bCs w:val="1"/>
          <w:color w:val="auto"/>
        </w:rPr>
      </w:pPr>
    </w:p>
    <w:p>
      <w:pPr>
        <w:ind w:firstLine="645"/>
        <w:spacing w:after="0" w:line="293" w:lineRule="auto"/>
        <w:tabs>
          <w:tab w:leader="none" w:pos="1161" w:val="left"/>
        </w:tabs>
        <w:numPr>
          <w:ilvl w:val="0"/>
          <w:numId w:val="2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Uncertificated Shares</w:t>
      </w:r>
      <w:r>
        <w:rPr>
          <w:rFonts w:ascii="Arial" w:cs="Arial" w:eastAsia="Arial" w:hAnsi="Arial"/>
          <w:sz w:val="19"/>
          <w:szCs w:val="19"/>
          <w:color w:val="auto"/>
        </w:rPr>
        <w:t>. The Participant agrees and acknowledges that to the extent the shares issued upon settlement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RSUs are uncertificated then all references herein to stock certificates also includes electronic or uncertificated equivalents.</w:t>
      </w:r>
    </w:p>
    <w:p>
      <w:pPr>
        <w:spacing w:after="0" w:line="147" w:lineRule="exact"/>
        <w:rPr>
          <w:rFonts w:ascii="Arial" w:cs="Arial" w:eastAsia="Arial" w:hAnsi="Arial"/>
          <w:sz w:val="19"/>
          <w:szCs w:val="19"/>
          <w:b w:val="1"/>
          <w:bCs w:val="1"/>
          <w:color w:val="auto"/>
        </w:rPr>
      </w:pPr>
    </w:p>
    <w:p>
      <w:pPr>
        <w:ind w:left="4880"/>
        <w:spacing w:after="0"/>
        <w:rPr>
          <w:rFonts w:ascii="Arial" w:cs="Arial" w:eastAsia="Arial" w:hAnsi="Arial"/>
          <w:sz w:val="19"/>
          <w:szCs w:val="19"/>
          <w:b w:val="1"/>
          <w:bCs w:val="1"/>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40" w:top="1418" w:right="339" w:bottom="1440" w:gutter="0" w:footer="0" w:header="0"/>
        </w:sectPr>
      </w:pPr>
    </w:p>
    <w:bookmarkStart w:id="488" w:name="page489"/>
    <w:bookmarkEnd w:id="488"/>
    <w:p>
      <w:pPr>
        <w:jc w:val="right"/>
        <w:spacing w:after="0"/>
        <w:rPr>
          <w:sz w:val="20"/>
          <w:szCs w:val="20"/>
          <w:color w:val="auto"/>
        </w:rPr>
      </w:pPr>
      <w:r>
        <w:rPr>
          <w:rFonts w:ascii="Arial" w:cs="Arial" w:eastAsia="Arial" w:hAnsi="Arial"/>
          <w:sz w:val="20"/>
          <w:szCs w:val="20"/>
          <w:color w:val="auto"/>
        </w:rPr>
        <w:t>Time-Based RSU Award Agreement for G. Howard and J. Warnick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defined in the Company’s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Unless otherwise defined herein, the terms defined in the Plan shall have the same defined meanings in this Notice of Grant.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Participant named below has been granted an award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xml:space="preserve">”), subject to the terms and conditions of the Plan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under the Plan,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Participant 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[Gretchen Howard] [Jason Warnick]</w:t>
      </w:r>
    </w:p>
    <w:p>
      <w:pPr>
        <w:spacing w:after="0" w:line="71"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48"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9, 2020</w:t>
      </w:r>
    </w:p>
    <w:p>
      <w:pPr>
        <w:spacing w:after="0" w:line="93"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2880" w:space="720"/>
            <w:col w:w="7640"/>
          </w:cols>
          <w:pgMar w:left="320" w:top="121" w:right="339" w:bottom="1440" w:gutter="0" w:footer="0" w:header="0"/>
          <w:type w:val="continuous"/>
        </w:sectPr>
      </w:pPr>
    </w:p>
    <w:p>
      <w:pPr>
        <w:spacing w:after="0" w:line="23" w:lineRule="exact"/>
        <w:rPr>
          <w:sz w:val="20"/>
          <w:szCs w:val="20"/>
          <w:color w:val="auto"/>
        </w:rPr>
      </w:pPr>
    </w:p>
    <w:p>
      <w:pPr>
        <w:ind w:hanging="11"/>
        <w:spacing w:after="0" w:line="267" w:lineRule="auto"/>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 The earlier to occur of: (a) the date on which settlement of all vested RSUs granted hereunder occurs and (b) the seventh</w:t>
      </w:r>
      <w:r>
        <w:rPr>
          <w:rFonts w:ascii="Arial" w:cs="Arial" w:eastAsia="Arial" w:hAnsi="Arial"/>
          <w:sz w:val="20"/>
          <w:szCs w:val="20"/>
          <w:b w:val="1"/>
          <w:bCs w:val="1"/>
          <w:color w:val="auto"/>
        </w:rPr>
        <w:t xml:space="preserve"> </w:t>
      </w:r>
      <w:r>
        <w:rPr>
          <w:rFonts w:ascii="Arial" w:cs="Arial" w:eastAsia="Arial" w:hAnsi="Arial"/>
          <w:sz w:val="20"/>
          <w:szCs w:val="20"/>
          <w:color w:val="auto"/>
        </w:rPr>
        <w:t>(7th) anniversary of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16" w:lineRule="exact"/>
        <w:rPr>
          <w:sz w:val="20"/>
          <w:szCs w:val="20"/>
          <w:color w:val="auto"/>
        </w:rPr>
      </w:pPr>
    </w:p>
    <w:p>
      <w:pPr>
        <w:ind w:left="660" w:hanging="652"/>
        <w:spacing w:after="0" w:line="294" w:lineRule="auto"/>
        <w:tabs>
          <w:tab w:leader="none" w:pos="443"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Two-Tiered Vesting</w:t>
      </w:r>
      <w:r>
        <w:rPr>
          <w:rFonts w:ascii="Arial" w:cs="Arial" w:eastAsia="Arial" w:hAnsi="Arial"/>
          <w:sz w:val="18"/>
          <w:szCs w:val="18"/>
          <w:color w:val="auto"/>
        </w:rPr>
        <w:t>. The vesting of the RSUs is conditioned on satisfaction of two vesting requirements before the Expiration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of the RSUs pursuant to the Plan or the RSU Agreement: a time- and service-based requirement (the “</w:t>
      </w:r>
      <w:r>
        <w:rPr>
          <w:rFonts w:ascii="Arial" w:cs="Arial" w:eastAsia="Arial" w:hAnsi="Arial"/>
          <w:sz w:val="18"/>
          <w:szCs w:val="18"/>
          <w:b w:val="1"/>
          <w:bCs w:val="1"/>
          <w:i w:val="1"/>
          <w:iCs w:val="1"/>
          <w:color w:val="auto"/>
        </w:rPr>
        <w:t>Time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 Requirement</w:t>
      </w:r>
      <w:r>
        <w:rPr>
          <w:rFonts w:ascii="Arial" w:cs="Arial" w:eastAsia="Arial" w:hAnsi="Arial"/>
          <w:sz w:val="18"/>
          <w:szCs w:val="18"/>
          <w:color w:val="auto"/>
        </w:rPr>
        <w:t>”) and a liquidity-event requirement (the “</w:t>
      </w:r>
      <w:r>
        <w:rPr>
          <w:rFonts w:ascii="Arial" w:cs="Arial" w:eastAsia="Arial" w:hAnsi="Arial"/>
          <w:sz w:val="18"/>
          <w:szCs w:val="18"/>
          <w:b w:val="1"/>
          <w:bCs w:val="1"/>
          <w:i w:val="1"/>
          <w:iCs w:val="1"/>
          <w:color w:val="auto"/>
        </w:rPr>
        <w:t>Liquidity Event Requirement</w:t>
      </w:r>
      <w:r>
        <w:rPr>
          <w:rFonts w:ascii="Arial" w:cs="Arial" w:eastAsia="Arial" w:hAnsi="Arial"/>
          <w:sz w:val="18"/>
          <w:szCs w:val="18"/>
          <w:color w:val="auto"/>
        </w:rPr>
        <w:t>”), each as described below.</w:t>
      </w:r>
    </w:p>
    <w:p>
      <w:pPr>
        <w:spacing w:after="0" w:line="143" w:lineRule="exact"/>
        <w:rPr>
          <w:rFonts w:ascii="Arial" w:cs="Arial" w:eastAsia="Arial" w:hAnsi="Arial"/>
          <w:sz w:val="18"/>
          <w:szCs w:val="18"/>
          <w:color w:val="auto"/>
        </w:rPr>
      </w:pPr>
    </w:p>
    <w:p>
      <w:pPr>
        <w:jc w:val="both"/>
        <w:ind w:left="660" w:hanging="4"/>
        <w:spacing w:after="0" w:line="253" w:lineRule="auto"/>
        <w:tabs>
          <w:tab w:leader="none" w:pos="1058" w:val="left"/>
        </w:tabs>
        <w:numPr>
          <w:ilvl w:val="1"/>
          <w:numId w:val="275"/>
        </w:numPr>
        <w:rPr>
          <w:rFonts w:ascii="Arial" w:cs="Arial" w:eastAsia="Arial" w:hAnsi="Arial"/>
          <w:sz w:val="20"/>
          <w:szCs w:val="20"/>
          <w:color w:val="auto"/>
        </w:rPr>
      </w:pPr>
      <w:r>
        <w:rPr>
          <w:rFonts w:ascii="Arial" w:cs="Arial" w:eastAsia="Arial" w:hAnsi="Arial"/>
          <w:sz w:val="20"/>
          <w:szCs w:val="20"/>
          <w:b w:val="1"/>
          <w:bCs w:val="1"/>
          <w:color w:val="auto"/>
        </w:rPr>
        <w:t>Time and Service Requirement</w:t>
      </w:r>
      <w:r>
        <w:rPr>
          <w:rFonts w:ascii="Arial" w:cs="Arial" w:eastAsia="Arial" w:hAnsi="Arial"/>
          <w:sz w:val="20"/>
          <w:szCs w:val="20"/>
          <w:color w:val="auto"/>
        </w:rPr>
        <w:t>. The Time and Service Requirement will be satisfied as to [●]% of the Total Number of RSUs</w:t>
      </w:r>
      <w:r>
        <w:rPr>
          <w:rFonts w:ascii="Arial" w:cs="Arial" w:eastAsia="Arial" w:hAnsi="Arial"/>
          <w:sz w:val="20"/>
          <w:szCs w:val="20"/>
          <w:b w:val="1"/>
          <w:bCs w:val="1"/>
          <w:color w:val="auto"/>
        </w:rPr>
        <w:t xml:space="preserve"> </w:t>
      </w:r>
      <w:r>
        <w:rPr>
          <w:rFonts w:ascii="Arial" w:cs="Arial" w:eastAsia="Arial" w:hAnsi="Arial"/>
          <w:sz w:val="20"/>
          <w:szCs w:val="20"/>
          <w:color w:val="auto"/>
        </w:rPr>
        <w:t>(as set forth above) when Participant completes each successive three-month period of continuous Service beginning with the Vesting Commencement Date.</w:t>
      </w:r>
    </w:p>
    <w:p>
      <w:pPr>
        <w:spacing w:after="0" w:line="177" w:lineRule="exact"/>
        <w:rPr>
          <w:rFonts w:ascii="Arial" w:cs="Arial" w:eastAsia="Arial" w:hAnsi="Arial"/>
          <w:sz w:val="20"/>
          <w:szCs w:val="20"/>
          <w:color w:val="auto"/>
        </w:rPr>
      </w:pPr>
    </w:p>
    <w:p>
      <w:pPr>
        <w:jc w:val="both"/>
        <w:ind w:left="660" w:hanging="4"/>
        <w:spacing w:after="0" w:line="277" w:lineRule="auto"/>
        <w:tabs>
          <w:tab w:leader="none" w:pos="1113"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Liquidity Event Requirement. </w:t>
      </w:r>
      <w:r>
        <w:rPr>
          <w:rFonts w:ascii="Arial" w:cs="Arial" w:eastAsia="Arial" w:hAnsi="Arial"/>
          <w:sz w:val="18"/>
          <w:szCs w:val="18"/>
          <w:color w:val="auto"/>
        </w:rPr>
        <w:t>The Liquidity Event Requirement will be satisfied on the earliest to occur of: (A) the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the earlier of (1) six (6) months after the effective date of the initial public offering of the Company’s securities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(provided that the IPO occurs by the seventh year anniversary of the RSU Grant Date) and (2) March 15 of the calendar year following the year in which the IPO was declared effective (provided that such date occurs by the seventh year anniversary of the grant date); and (B) the date of an Acquisition, but only if constituting a permissible payment event as a change in ownership, effective control, or sale of substantially all of the assets, as provided under Section 409A (provided that such date</w:t>
      </w:r>
    </w:p>
    <w:p>
      <w:pPr>
        <w:sectPr>
          <w:pgSz w:w="11900" w:h="16838" w:orient="portrait"/>
          <w:cols w:equalWidth="0" w:num="1">
            <w:col w:w="11240"/>
          </w:cols>
          <w:pgMar w:left="320" w:top="121" w:right="339" w:bottom="1440" w:gutter="0" w:footer="0" w:header="0"/>
          <w:type w:val="continuous"/>
        </w:sectPr>
      </w:pPr>
    </w:p>
    <w:bookmarkStart w:id="489" w:name="page490"/>
    <w:bookmarkEnd w:id="489"/>
    <w:p>
      <w:pPr>
        <w:ind w:left="660"/>
        <w:spacing w:after="0" w:line="260" w:lineRule="auto"/>
        <w:rPr>
          <w:sz w:val="20"/>
          <w:szCs w:val="20"/>
          <w:color w:val="auto"/>
        </w:rPr>
      </w:pPr>
      <w:r>
        <w:rPr>
          <w:rFonts w:ascii="Arial" w:cs="Arial" w:eastAsia="Arial" w:hAnsi="Arial"/>
          <w:sz w:val="20"/>
          <w:szCs w:val="20"/>
          <w:color w:val="auto"/>
        </w:rPr>
        <w:t>occurs by the seventh year anniversary of the RSU Grant Date) (the earliest of the prong (A) or (B) to occur, the “</w:t>
      </w:r>
      <w:r>
        <w:rPr>
          <w:rFonts w:ascii="Arial" w:cs="Arial" w:eastAsia="Arial" w:hAnsi="Arial"/>
          <w:sz w:val="20"/>
          <w:szCs w:val="20"/>
          <w:b w:val="1"/>
          <w:bCs w:val="1"/>
          <w:i w:val="1"/>
          <w:iCs w:val="1"/>
          <w:color w:val="auto"/>
        </w:rPr>
        <w:t>Initial Vesting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Event</w:t>
      </w:r>
      <w:r>
        <w:rPr>
          <w:rFonts w:ascii="Arial" w:cs="Arial" w:eastAsia="Arial" w:hAnsi="Arial"/>
          <w:sz w:val="20"/>
          <w:szCs w:val="20"/>
          <w:color w:val="auto"/>
        </w:rPr>
        <w:t>”).</w:t>
      </w:r>
    </w:p>
    <w:p>
      <w:pPr>
        <w:spacing w:after="0" w:line="177" w:lineRule="exact"/>
        <w:rPr>
          <w:sz w:val="20"/>
          <w:szCs w:val="20"/>
          <w:color w:val="auto"/>
        </w:rPr>
      </w:pPr>
    </w:p>
    <w:p>
      <w:pPr>
        <w:ind w:left="660" w:hanging="652"/>
        <w:spacing w:after="0" w:line="257" w:lineRule="auto"/>
        <w:tabs>
          <w:tab w:leader="none" w:pos="467"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RSUs Vested at Initial Vesting Event</w:t>
      </w:r>
      <w:r>
        <w:rPr>
          <w:rFonts w:ascii="Arial" w:cs="Arial" w:eastAsia="Arial" w:hAnsi="Arial"/>
          <w:sz w:val="19"/>
          <w:szCs w:val="19"/>
          <w:color w:val="auto"/>
        </w:rPr>
        <w:t>. If at the time of the Initial Vesting Event Participant is not in Continuous Service Status and did not meet the Time and Service Requirement with respect to any portion of the RSUs, then no portion of the RSUs shall vest. If at the time of the Initial Vesting Event, Participant is in Continuous Service Status or has ceased to be in Continuous Service Status but did meet the Time and Service Requirement with respect to any portion of the RSUs, then the RSUs shall vest as to the number of RSUs, if any, that have satisfied the Time and Service Requirement as of the Initial Vesting Event in accordance with clause (a)(i) above. “</w:t>
      </w:r>
      <w:r>
        <w:rPr>
          <w:rFonts w:ascii="Arial" w:cs="Arial" w:eastAsia="Arial" w:hAnsi="Arial"/>
          <w:sz w:val="19"/>
          <w:szCs w:val="19"/>
          <w:b w:val="1"/>
          <w:bCs w:val="1"/>
          <w:i w:val="1"/>
          <w:iCs w:val="1"/>
          <w:color w:val="auto"/>
        </w:rPr>
        <w:t>Continuous Service Status</w:t>
      </w:r>
      <w:r>
        <w:rPr>
          <w:rFonts w:ascii="Arial" w:cs="Arial" w:eastAsia="Arial" w:hAnsi="Arial"/>
          <w:sz w:val="19"/>
          <w:szCs w:val="19"/>
          <w:color w:val="auto"/>
        </w:rPr>
        <w:t>” means Participant continues to provide services as an employee, officer, director or consultant to the Company or a Subsidiary, Parent or Affiliate of the Company.</w:t>
      </w:r>
    </w:p>
    <w:p>
      <w:pPr>
        <w:spacing w:after="0" w:line="184" w:lineRule="exact"/>
        <w:rPr>
          <w:rFonts w:ascii="Arial" w:cs="Arial" w:eastAsia="Arial" w:hAnsi="Arial"/>
          <w:sz w:val="19"/>
          <w:szCs w:val="19"/>
          <w:color w:val="auto"/>
        </w:rPr>
      </w:pPr>
    </w:p>
    <w:p>
      <w:pPr>
        <w:ind w:left="660" w:hanging="652"/>
        <w:spacing w:after="0" w:line="246" w:lineRule="auto"/>
        <w:tabs>
          <w:tab w:leader="none" w:pos="443" w:val="left"/>
        </w:tabs>
        <w:numPr>
          <w:ilvl w:val="0"/>
          <w:numId w:val="276"/>
        </w:numPr>
        <w:rPr>
          <w:rFonts w:ascii="Arial" w:cs="Arial" w:eastAsia="Arial" w:hAnsi="Arial"/>
          <w:sz w:val="20"/>
          <w:szCs w:val="20"/>
          <w:color w:val="auto"/>
        </w:rPr>
      </w:pPr>
      <w:r>
        <w:rPr>
          <w:rFonts w:ascii="Arial" w:cs="Arial" w:eastAsia="Arial" w:hAnsi="Arial"/>
          <w:sz w:val="20"/>
          <w:szCs w:val="20"/>
          <w:u w:val="single" w:color="auto"/>
          <w:color w:val="auto"/>
        </w:rPr>
        <w:t>RSUs Vested after Initial Vesting Event</w:t>
      </w:r>
      <w:r>
        <w:rPr>
          <w:rFonts w:ascii="Arial" w:cs="Arial" w:eastAsia="Arial" w:hAnsi="Arial"/>
          <w:sz w:val="20"/>
          <w:szCs w:val="20"/>
          <w:color w:val="auto"/>
        </w:rPr>
        <w:t>. If Participant is in Continuous Service Status at the time of the Initial Vesting Event, then with respect to RSUs that have not vested as of such Initial Vesting Event under the preceding clause (b) above, vesting shall continue after the Initial Vesting Event in accordance with the Time and Service Requirement set forth in clause (a)(i) above (each subsequent vesting date, a “</w:t>
      </w:r>
      <w:r>
        <w:rPr>
          <w:rFonts w:ascii="Arial" w:cs="Arial" w:eastAsia="Arial" w:hAnsi="Arial"/>
          <w:sz w:val="20"/>
          <w:szCs w:val="20"/>
          <w:b w:val="1"/>
          <w:bCs w:val="1"/>
          <w:i w:val="1"/>
          <w:iCs w:val="1"/>
          <w:color w:val="auto"/>
        </w:rPr>
        <w:t>Subsequent Vesting Event</w:t>
      </w:r>
      <w:r>
        <w:rPr>
          <w:rFonts w:ascii="Arial" w:cs="Arial" w:eastAsia="Arial" w:hAnsi="Arial"/>
          <w:sz w:val="20"/>
          <w:szCs w:val="20"/>
          <w:color w:val="auto"/>
        </w:rPr>
        <w:t>”).</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Acceleration</w:t>
      </w:r>
      <w:r>
        <w:rPr>
          <w:rFonts w:ascii="Arial" w:cs="Arial" w:eastAsia="Arial" w:hAnsi="Arial"/>
          <w:sz w:val="20"/>
          <w:szCs w:val="20"/>
          <w:color w:val="auto"/>
        </w:rPr>
        <w:t>: In addition, (1) if the Company is subject to a Change in Control while Participant remains in continuous Service (or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three (3) months following an Involuntary Termination) and the RSUs are not assumed by the acquirer or its parent, continued by the surviving company, or substituted for an equivalent award or cash payment, then 100% of the service-based requirement will be deemed satisfied effective immediately prior to the closing of the Change in Control and (2) if Participant is subject to an Involuntary Termination during the period beginning three (3) months prior to or within eighteen (18) months after a Change in Control, then, the service-based requirement will be satisfied in full, and, to the extent not settled in connection with the Change in Control, the RSUs shall not expire until the Expiration Date. As used herein:</w:t>
      </w:r>
    </w:p>
    <w:p>
      <w:pPr>
        <w:spacing w:after="0" w:line="192" w:lineRule="exact"/>
        <w:rPr>
          <w:sz w:val="20"/>
          <w:szCs w:val="20"/>
          <w:color w:val="auto"/>
        </w:rPr>
      </w:pPr>
    </w:p>
    <w:p>
      <w:pPr>
        <w:jc w:val="both"/>
        <w:ind w:left="660" w:firstLine="644"/>
        <w:spacing w:after="0" w:line="270" w:lineRule="auto"/>
        <w:tabs>
          <w:tab w:leader="none" w:pos="1763"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(i) an unauthorized use or disclosure by Participant of the Company’s confidential information or trade secrets, which use or disclosure causes material harm to the Company; (ii) a breach by Participant of any agreement between Participant and the Company, which breach causes material harm to the Company; (iii) failure by Participant to comply with the Company’s written policies or rules, which failure causes material harm to the Company; (iv) Participant’s conviction of, or plea of “guilty” or “no contest” to, a felony under the laws of the United States or any state thereof; (v) Participant’s gross negligence or willful misconduct; (vi) a willful continuing failure by Participant to perform assigned duties after having received written notification of such failure from the Board and failing to have reasonably cured such failure within 30 days of that notice; or (vii) a failure by Participant to cooperate in good faith with a governmental or internal investigation of the Company or its directors, officers or employees, if the Company has requested Participant’s cooperation, provided that, as to prongs (ii) and (iii), an event will only constitute Cause after Participant has been given written notice of the breach or non-compliance from the Chief Executive Officer or the Board and Participant has failed to reasonably cure those conditions, including any material harm resulting to the Company from such breach or non-compliance, within 30 days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490" w:name="page491"/>
    <w:bookmarkEnd w:id="490"/>
    <w:p>
      <w:pPr>
        <w:jc w:val="both"/>
        <w:ind w:left="660" w:firstLine="644"/>
        <w:spacing w:after="0" w:line="242" w:lineRule="auto"/>
        <w:tabs>
          <w:tab w:leader="none" w:pos="1788" w:val="left"/>
        </w:tabs>
        <w:numPr>
          <w:ilvl w:val="0"/>
          <w:numId w:val="27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(i) the consummation of a merger or consolidation of the Company with or into another entity, (ii) a sale of all or substantially all of the assets of the Company, or (iii) the dissolution, liquidation or winding up of the Company. The foregoing notwithstanding, neither (A) a merger or consolidation of the Company, nor (B) any rollup, consolidation or similar corporate transformation of any Company subsidiary or affiliate that may be the employer of Participant, shall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94" w:lineRule="exact"/>
        <w:rPr>
          <w:rFonts w:ascii="Arial" w:cs="Arial" w:eastAsia="Arial" w:hAnsi="Arial"/>
          <w:sz w:val="20"/>
          <w:szCs w:val="20"/>
          <w:b w:val="1"/>
          <w:bCs w:val="1"/>
          <w:color w:val="auto"/>
        </w:rPr>
      </w:pPr>
    </w:p>
    <w:p>
      <w:pPr>
        <w:jc w:val="both"/>
        <w:ind w:left="660" w:firstLine="644"/>
        <w:spacing w:after="0" w:line="246" w:lineRule="auto"/>
        <w:tabs>
          <w:tab w:leader="none" w:pos="1779" w:val="left"/>
        </w:tabs>
        <w:numPr>
          <w:ilvl w:val="0"/>
          <w:numId w:val="27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shall mean the individual serving in the role of Chief Executive Officer (or, if applicable, either of the individuals serving as co-Chief Executive Officer) of the Company or, if no one is serving in the role of Chief Executive Officer or co-Chief Executive Officer, the individual serving in the role of President (or, if applicable, either of the individuals serving as co-President) of the Company.</w:t>
      </w:r>
    </w:p>
    <w:p>
      <w:pPr>
        <w:spacing w:after="0" w:line="185" w:lineRule="exact"/>
        <w:rPr>
          <w:rFonts w:ascii="Arial" w:cs="Arial" w:eastAsia="Arial" w:hAnsi="Arial"/>
          <w:sz w:val="20"/>
          <w:szCs w:val="20"/>
          <w:b w:val="1"/>
          <w:bCs w:val="1"/>
          <w:color w:val="auto"/>
        </w:rPr>
      </w:pPr>
    </w:p>
    <w:p>
      <w:pPr>
        <w:jc w:val="both"/>
        <w:ind w:left="660" w:firstLine="644"/>
        <w:spacing w:after="0" w:line="270" w:lineRule="auto"/>
        <w:tabs>
          <w:tab w:leader="none" w:pos="1761"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Participant’s resignation following the occurrence of one or more of the following,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express written consent: (i) a material reduction of Participant’s duties, authority or responsibilities, including any circumstance during which Participant no longer reports to the Chief Executive Officer of the Company; (ii) a material reduction in Participant’s base salary (for illustrative purposes, a reduction of less than ten percent (10%) of Participant’s base salary in any one year shall not alone constitute Good Reason); (iii) a material change in the geographic location of Participant’s primary work facility or location provided, that a relocation of less than thirty (30) miles from its then present location will not be considered a material change in geographic location; or (iv) the Company’s breach of any obligations under any written agreement or covenant with Participant. Notwithstanding the foregoing, Participant will not be entitled to resign for Good Reason without first providing the Company with written notice of the acts or omissions constituting the grounds for “Good Reason” within ninety (90) days of the initial existence of the grounds for “Good Reason” and the Company fails to reasonably cure such grounds within a reasonable cure period of not less than thirty (30) days following the date of such notice. In addition, Participant’s resignation will not qualify as a resignation for “Good Reason” unless: (A) the grounds for “Good Reason” are not reasonably cured within the cure period specified in the preceding sentence; and (B) Participant resigns within thirty (30) days following the end of such cure period.</w:t>
      </w:r>
    </w:p>
    <w:p>
      <w:pPr>
        <w:spacing w:after="0" w:line="178" w:lineRule="exact"/>
        <w:rPr>
          <w:rFonts w:ascii="Arial" w:cs="Arial" w:eastAsia="Arial" w:hAnsi="Arial"/>
          <w:sz w:val="18"/>
          <w:szCs w:val="18"/>
          <w:b w:val="1"/>
          <w:bCs w:val="1"/>
          <w:color w:val="auto"/>
        </w:rPr>
      </w:pPr>
    </w:p>
    <w:p>
      <w:pPr>
        <w:ind w:left="660" w:firstLine="644"/>
        <w:spacing w:after="0" w:line="260" w:lineRule="auto"/>
        <w:tabs>
          <w:tab w:leader="none" w:pos="1752" w:val="left"/>
        </w:tabs>
        <w:numPr>
          <w:ilvl w:val="0"/>
          <w:numId w:val="27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shall mean Participant’s termination by the Company other than for Cause or Participant’s resignation for Good Reason.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RSUs that vest as of the Initial Vesting Event shall be settled immediately. Settlement means the delivery of the Shares vested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 RSU. Settlement of RSUs on the Initial Vesting Event or any Subsequent Vesting Event shall be in Shares. Settlement of vested RSUs shall occur whether or not</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Participant is in Continuous Service Status at the time of settlement. No fractional RSUs or rights for fractional Shares shall be created pursuant to this Notice of Grant. Notwithstanding the foregoing, any RSUs that vest upon a Subsequent Vesting Event that falls within the restricted period set forth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491" w:name="page492"/>
    <w:bookmarkEnd w:id="491"/>
    <w:p>
      <w:pPr>
        <w:jc w:val="both"/>
        <w:spacing w:after="0" w:line="260" w:lineRule="auto"/>
        <w:rPr>
          <w:sz w:val="20"/>
          <w:szCs w:val="20"/>
          <w:color w:val="auto"/>
        </w:rPr>
      </w:pPr>
      <w:r>
        <w:rPr>
          <w:rFonts w:ascii="Arial" w:cs="Arial" w:eastAsia="Arial" w:hAnsi="Arial"/>
          <w:sz w:val="20"/>
          <w:szCs w:val="20"/>
          <w:color w:val="auto"/>
        </w:rPr>
        <w:t>15 of the RSU Agreement shall be settled within 30 days following the expiration of such restricted period, and in all cases all RSUs shall be settled no later than the calendar year in which such Subsequent Vesting Event occurs.</w:t>
      </w:r>
    </w:p>
    <w:p>
      <w:pPr>
        <w:spacing w:after="0" w:line="177" w:lineRule="exact"/>
        <w:rPr>
          <w:sz w:val="20"/>
          <w:szCs w:val="20"/>
          <w:color w:val="auto"/>
        </w:rPr>
      </w:pPr>
    </w:p>
    <w:p>
      <w:pPr>
        <w:jc w:val="both"/>
        <w:ind w:hanging="11"/>
        <w:spacing w:after="0" w:line="243" w:lineRule="auto"/>
        <w:rPr>
          <w:sz w:val="20"/>
          <w:szCs w:val="20"/>
          <w:color w:val="auto"/>
        </w:rPr>
      </w:pPr>
      <w:r>
        <w:rPr>
          <w:rFonts w:ascii="Arial" w:cs="Arial" w:eastAsia="Arial" w:hAnsi="Arial"/>
          <w:sz w:val="20"/>
          <w:szCs w:val="20"/>
          <w:color w:val="auto"/>
        </w:rPr>
        <w:t>Participant understands that Participant’s employment or consulting relationship with the Company is for an unspecified duration, can be terminated at any time (i.e.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each of which are incorporated herein by reference. Participant has read both the RSU Agreement and the Plan.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such third party or via email, or such other means of electronic delivery specified by the Company.</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By Participant’s and the Company’s acceptance hereof (in each case, whether written, electronic or otherwise), Participant and the Company agree that this RSU is granted under and governed by the terms and conditions of the Plan, the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492" w:name="page493"/>
    <w:bookmarkEnd w:id="492"/>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2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and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Unless otherwise defined herein or in the Notice of Grant, the terms defined in the Plan shall have the same defined meanings in this Agreement.</w:t>
      </w:r>
    </w:p>
    <w:p>
      <w:pPr>
        <w:spacing w:after="0" w:line="185" w:lineRule="exact"/>
        <w:rPr>
          <w:sz w:val="20"/>
          <w:szCs w:val="20"/>
          <w:color w:val="auto"/>
        </w:rPr>
      </w:pPr>
    </w:p>
    <w:p>
      <w:pPr>
        <w:jc w:val="both"/>
        <w:ind w:left="1" w:hanging="1"/>
        <w:spacing w:after="0" w:line="248" w:lineRule="auto"/>
        <w:tabs>
          <w:tab w:leader="none" w:pos="460" w:val="left"/>
        </w:tabs>
        <w:numPr>
          <w:ilvl w:val="0"/>
          <w:numId w:val="279"/>
        </w:numPr>
        <w:rPr>
          <w:rFonts w:ascii="Arial" w:cs="Arial" w:eastAsia="Arial" w:hAnsi="Arial"/>
          <w:sz w:val="20"/>
          <w:szCs w:val="20"/>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83" w:lineRule="exact"/>
        <w:rPr>
          <w:rFonts w:ascii="Arial" w:cs="Arial" w:eastAsia="Arial" w:hAnsi="Arial"/>
          <w:sz w:val="20"/>
          <w:szCs w:val="20"/>
          <w:color w:val="auto"/>
        </w:rPr>
      </w:pPr>
    </w:p>
    <w:p>
      <w:pPr>
        <w:ind w:left="1" w:hanging="1"/>
        <w:spacing w:after="0" w:line="267" w:lineRule="auto"/>
        <w:tabs>
          <w:tab w:leader="none" w:pos="433" w:val="left"/>
        </w:tabs>
        <w:numPr>
          <w:ilvl w:val="0"/>
          <w:numId w:val="279"/>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permitted by the Committee.</w:t>
      </w:r>
    </w:p>
    <w:p>
      <w:pPr>
        <w:spacing w:after="0" w:line="163" w:lineRule="exact"/>
        <w:rPr>
          <w:rFonts w:ascii="Arial" w:cs="Arial" w:eastAsia="Arial" w:hAnsi="Arial"/>
          <w:sz w:val="20"/>
          <w:szCs w:val="20"/>
          <w:color w:val="auto"/>
        </w:rPr>
      </w:pPr>
    </w:p>
    <w:p>
      <w:pPr>
        <w:jc w:val="both"/>
        <w:ind w:left="1" w:hanging="1"/>
        <w:spacing w:after="0" w:line="280" w:lineRule="auto"/>
        <w:tabs>
          <w:tab w:leader="none" w:pos="338"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56" w:lineRule="exact"/>
        <w:rPr>
          <w:rFonts w:ascii="Arial" w:cs="Arial" w:eastAsia="Arial" w:hAnsi="Arial"/>
          <w:sz w:val="18"/>
          <w:szCs w:val="18"/>
          <w:color w:val="auto"/>
        </w:rPr>
      </w:pPr>
    </w:p>
    <w:p>
      <w:pPr>
        <w:jc w:val="both"/>
        <w:ind w:left="1" w:hanging="1"/>
        <w:spacing w:after="0" w:line="246" w:lineRule="auto"/>
        <w:tabs>
          <w:tab w:leader="none" w:pos="365" w:val="left"/>
        </w:tabs>
        <w:numPr>
          <w:ilvl w:val="0"/>
          <w:numId w:val="279"/>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shall terminate on the Expiration Date or earlier as provided in this Section 4. If Participant’s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84" w:lineRule="exact"/>
        <w:rPr>
          <w:rFonts w:ascii="Arial" w:cs="Arial" w:eastAsia="Arial" w:hAnsi="Arial"/>
          <w:sz w:val="20"/>
          <w:szCs w:val="20"/>
          <w:color w:val="auto"/>
        </w:rPr>
      </w:pPr>
    </w:p>
    <w:p>
      <w:pPr>
        <w:jc w:val="both"/>
        <w:ind w:left="1" w:hanging="1"/>
        <w:spacing w:after="0" w:line="285" w:lineRule="auto"/>
        <w:tabs>
          <w:tab w:leader="none" w:pos="419"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of Grant,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and the Notice of Grant.</w:t>
      </w:r>
    </w:p>
    <w:p>
      <w:pPr>
        <w:spacing w:after="0" w:line="150" w:lineRule="exact"/>
        <w:rPr>
          <w:rFonts w:ascii="Arial" w:cs="Arial" w:eastAsia="Arial" w:hAnsi="Arial"/>
          <w:sz w:val="18"/>
          <w:szCs w:val="18"/>
          <w:color w:val="auto"/>
        </w:rPr>
      </w:pPr>
    </w:p>
    <w:p>
      <w:pPr>
        <w:jc w:val="both"/>
        <w:ind w:left="1" w:hanging="1"/>
        <w:spacing w:after="0" w:line="265" w:lineRule="auto"/>
        <w:tabs>
          <w:tab w:leader="none" w:pos="352" w:val="left"/>
        </w:tabs>
        <w:numPr>
          <w:ilvl w:val="0"/>
          <w:numId w:val="279"/>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Limitations on Transfer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any other limitation on transfer created by applicable securities laws,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assign, encumber or dispose of any interest in the Shares issued pursuant to this Agreement except with the Company’s prior written consent and in compliance with the provisions of Sections 9 and 10 of the Plan, the Company’s then-current insider trading policy and applicable securities laws. The restrictions on transfer also include a prohibition on any short</w:t>
      </w:r>
    </w:p>
    <w:p>
      <w:pPr>
        <w:sectPr>
          <w:pgSz w:w="11900" w:h="16838" w:orient="portrait"/>
          <w:cols w:equalWidth="0" w:num="1">
            <w:col w:w="11241"/>
          </w:cols>
          <w:pgMar w:left="319" w:top="1412" w:right="339" w:bottom="1440" w:gutter="0" w:footer="0" w:header="0"/>
        </w:sectPr>
      </w:pPr>
    </w:p>
    <w:bookmarkStart w:id="493" w:name="page494"/>
    <w:bookmarkEnd w:id="493"/>
    <w:p>
      <w:pPr>
        <w:jc w:val="both"/>
        <w:ind w:left="1"/>
        <w:spacing w:after="0" w:line="250" w:lineRule="auto"/>
        <w:rPr>
          <w:sz w:val="20"/>
          <w:szCs w:val="20"/>
          <w:color w:val="auto"/>
        </w:rPr>
      </w:pPr>
      <w:r>
        <w:rPr>
          <w:rFonts w:ascii="Arial" w:cs="Arial" w:eastAsia="Arial" w:hAnsi="Arial"/>
          <w:sz w:val="20"/>
          <w:szCs w:val="20"/>
          <w:color w:val="auto"/>
        </w:rPr>
        <w:t>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w:t>
      </w:r>
    </w:p>
    <w:p>
      <w:pPr>
        <w:spacing w:after="0" w:line="180" w:lineRule="exact"/>
        <w:rPr>
          <w:sz w:val="20"/>
          <w:szCs w:val="20"/>
          <w:color w:val="auto"/>
        </w:rPr>
      </w:pPr>
    </w:p>
    <w:p>
      <w:pPr>
        <w:jc w:val="both"/>
        <w:ind w:left="1" w:hanging="1"/>
        <w:spacing w:after="0" w:line="294" w:lineRule="auto"/>
        <w:tabs>
          <w:tab w:leader="none" w:pos="419"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43" w:lineRule="exact"/>
        <w:rPr>
          <w:rFonts w:ascii="Arial" w:cs="Arial" w:eastAsia="Arial" w:hAnsi="Arial"/>
          <w:sz w:val="18"/>
          <w:szCs w:val="18"/>
          <w:color w:val="auto"/>
        </w:rPr>
      </w:pPr>
    </w:p>
    <w:p>
      <w:pPr>
        <w:jc w:val="both"/>
        <w:ind w:left="1" w:hanging="1"/>
        <w:spacing w:after="0" w:line="269" w:lineRule="auto"/>
        <w:tabs>
          <w:tab w:leader="none" w:pos="36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xml:space="preserve">”). In this regard, Participant authorizes the Company to withhold all applicable Tax-Related Obligations legally payable by Participant from Participant’s 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(iii) Participant’s payment of a cash amount; or (iv) any other arrangement approved by the Company; all under such rules as may be established by the Committee and in compliance with the Company’s insider trading policy and 10b5-1 trading plan policy, if applicable;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Participant is a Section 16 officer of the Company under the Exchange Act, then the method of withholding shall be through a mandatory sale under (ii) above.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66" w:lineRule="exact"/>
        <w:rPr>
          <w:rFonts w:ascii="Arial" w:cs="Arial" w:eastAsia="Arial" w:hAnsi="Arial"/>
          <w:sz w:val="18"/>
          <w:szCs w:val="18"/>
          <w:color w:val="auto"/>
        </w:rPr>
      </w:pPr>
    </w:p>
    <w:p>
      <w:pPr>
        <w:jc w:val="both"/>
        <w:ind w:left="1" w:hanging="1"/>
        <w:spacing w:after="0" w:line="257" w:lineRule="auto"/>
        <w:tabs>
          <w:tab w:leader="none" w:pos="352" w:val="left"/>
        </w:tabs>
        <w:numPr>
          <w:ilvl w:val="0"/>
          <w:numId w:val="280"/>
        </w:numPr>
        <w:rPr>
          <w:rFonts w:ascii="Arial" w:cs="Arial" w:eastAsia="Arial" w:hAnsi="Arial"/>
          <w:sz w:val="19"/>
          <w:szCs w:val="19"/>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 rules relating</w:t>
      </w:r>
      <w:r>
        <w:rPr>
          <w:rFonts w:ascii="Arial" w:cs="Arial" w:eastAsia="Arial" w:hAnsi="Arial"/>
          <w:sz w:val="19"/>
          <w:szCs w:val="19"/>
          <w:b w:val="1"/>
          <w:bCs w:val="1"/>
          <w:color w:val="auto"/>
        </w:rPr>
        <w:t xml:space="preserve"> </w:t>
      </w:r>
      <w:r>
        <w:rPr>
          <w:rFonts w:ascii="Arial" w:cs="Arial" w:eastAsia="Arial" w:hAnsi="Arial"/>
          <w:sz w:val="19"/>
          <w:szCs w:val="19"/>
          <w:color w:val="auto"/>
        </w:rPr>
        <w:t>to a “separation from service” as defined in Section 409A of the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such deferral shall only be effected to the extent required to avoid adverse tax treatment to Participant including, without limitation, the additional tax for which Participant would otherwise be liable under Section 409A(a)(1)(B)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1"/>
          </w:cols>
          <w:pgMar w:left="319" w:top="1418" w:right="339" w:bottom="1440" w:gutter="0" w:footer="0" w:header="0"/>
        </w:sectPr>
      </w:pPr>
    </w:p>
    <w:bookmarkStart w:id="494" w:name="page495"/>
    <w:bookmarkEnd w:id="494"/>
    <w:p>
      <w:pPr>
        <w:jc w:val="both"/>
        <w:ind w:left="1"/>
        <w:spacing w:after="0" w:line="255" w:lineRule="auto"/>
        <w:rPr>
          <w:sz w:val="20"/>
          <w:szCs w:val="20"/>
          <w:color w:val="auto"/>
        </w:rPr>
      </w:pPr>
      <w:r>
        <w:rPr>
          <w:rFonts w:ascii="Arial" w:cs="Arial" w:eastAsia="Arial" w:hAnsi="Arial"/>
          <w:sz w:val="19"/>
          <w:szCs w:val="19"/>
          <w:color w:val="auto"/>
        </w:rPr>
        <w:t>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8" w:lineRule="exact"/>
        <w:rPr>
          <w:sz w:val="20"/>
          <w:szCs w:val="20"/>
          <w:color w:val="auto"/>
        </w:rPr>
      </w:pPr>
    </w:p>
    <w:p>
      <w:pPr>
        <w:jc w:val="both"/>
        <w:ind w:left="1" w:hanging="1"/>
        <w:spacing w:after="0" w:line="253" w:lineRule="auto"/>
        <w:tabs>
          <w:tab w:leader="none" w:pos="478" w:val="left"/>
        </w:tabs>
        <w:numPr>
          <w:ilvl w:val="0"/>
          <w:numId w:val="281"/>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color w:val="auto"/>
        </w:rPr>
      </w:pPr>
    </w:p>
    <w:p>
      <w:pPr>
        <w:jc w:val="both"/>
        <w:ind w:left="1" w:hanging="1"/>
        <w:spacing w:after="0" w:line="257" w:lineRule="auto"/>
        <w:tabs>
          <w:tab w:leader="none" w:pos="430" w:val="left"/>
        </w:tabs>
        <w:numPr>
          <w:ilvl w:val="0"/>
          <w:numId w:val="28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5" w:lineRule="exact"/>
        <w:rPr>
          <w:rFonts w:ascii="Arial" w:cs="Arial" w:eastAsia="Arial" w:hAnsi="Arial"/>
          <w:sz w:val="19"/>
          <w:szCs w:val="19"/>
          <w:color w:val="auto"/>
        </w:rPr>
      </w:pPr>
    </w:p>
    <w:p>
      <w:pPr>
        <w:jc w:val="both"/>
        <w:ind w:left="1" w:hanging="1"/>
        <w:spacing w:after="0" w:line="246" w:lineRule="auto"/>
        <w:tabs>
          <w:tab w:leader="none" w:pos="437" w:val="left"/>
        </w:tabs>
        <w:numPr>
          <w:ilvl w:val="0"/>
          <w:numId w:val="281"/>
        </w:numPr>
        <w:rPr>
          <w:rFonts w:ascii="Arial" w:cs="Arial" w:eastAsia="Arial" w:hAnsi="Arial"/>
          <w:sz w:val="20"/>
          <w:szCs w:val="20"/>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color w:val="auto"/>
        </w:rPr>
      </w:pPr>
    </w:p>
    <w:p>
      <w:pPr>
        <w:jc w:val="both"/>
        <w:ind w:left="1" w:hanging="1"/>
        <w:spacing w:after="0" w:line="294" w:lineRule="auto"/>
        <w:tabs>
          <w:tab w:leader="none" w:pos="451"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Agreement. This Agreement shall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43" w:lineRule="exact"/>
        <w:rPr>
          <w:rFonts w:ascii="Arial" w:cs="Arial" w:eastAsia="Arial" w:hAnsi="Arial"/>
          <w:sz w:val="18"/>
          <w:szCs w:val="18"/>
          <w:color w:val="auto"/>
        </w:rPr>
      </w:pPr>
    </w:p>
    <w:p>
      <w:pPr>
        <w:jc w:val="both"/>
        <w:ind w:left="1" w:hanging="1"/>
        <w:spacing w:after="0" w:line="253" w:lineRule="auto"/>
        <w:tabs>
          <w:tab w:leader="none" w:pos="437" w:val="left"/>
        </w:tabs>
        <w:numPr>
          <w:ilvl w:val="0"/>
          <w:numId w:val="281"/>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Notice of Grant are incorporated herein by reference. The Plan, the Notice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this Agreement constitute the entire agreement of the parties with respect to the subject matter hereof and supersede in their entirety all prior undertakings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1"/>
          </w:cols>
          <w:pgMar w:left="319" w:top="1418" w:right="339" w:bottom="1440" w:gutter="0" w:footer="0" w:header="0"/>
        </w:sectPr>
      </w:pPr>
    </w:p>
    <w:bookmarkStart w:id="495" w:name="page496"/>
    <w:bookmarkEnd w:id="495"/>
    <w:p>
      <w:pPr>
        <w:jc w:val="both"/>
        <w:ind w:left="1"/>
        <w:spacing w:after="0" w:line="263" w:lineRule="auto"/>
        <w:rPr>
          <w:sz w:val="20"/>
          <w:szCs w:val="20"/>
          <w:color w:val="auto"/>
        </w:rPr>
      </w:pPr>
      <w:r>
        <w:rPr>
          <w:rFonts w:ascii="Arial" w:cs="Arial" w:eastAsia="Arial" w:hAnsi="Arial"/>
          <w:sz w:val="19"/>
          <w:szCs w:val="19"/>
          <w:color w:val="auto"/>
        </w:rPr>
        <w:t>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70" w:lineRule="exact"/>
        <w:rPr>
          <w:sz w:val="20"/>
          <w:szCs w:val="20"/>
          <w:color w:val="auto"/>
        </w:rPr>
      </w:pPr>
    </w:p>
    <w:p>
      <w:pPr>
        <w:jc w:val="both"/>
        <w:ind w:left="1" w:hanging="1"/>
        <w:spacing w:after="0" w:line="270" w:lineRule="auto"/>
        <w:tabs>
          <w:tab w:leader="none" w:pos="478"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 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5" w:lineRule="exact"/>
        <w:rPr>
          <w:rFonts w:ascii="Arial" w:cs="Arial" w:eastAsia="Arial" w:hAnsi="Arial"/>
          <w:sz w:val="18"/>
          <w:szCs w:val="18"/>
          <w:color w:val="auto"/>
        </w:rPr>
      </w:pPr>
    </w:p>
    <w:p>
      <w:pPr>
        <w:jc w:val="both"/>
        <w:ind w:left="1" w:hanging="1"/>
        <w:spacing w:after="0" w:line="253" w:lineRule="auto"/>
        <w:tabs>
          <w:tab w:leader="none" w:pos="437" w:val="left"/>
        </w:tabs>
        <w:numPr>
          <w:ilvl w:val="0"/>
          <w:numId w:val="282"/>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affect in any manner whatsoever the right or power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or a Parent or Subsidiary of the Company, to terminate Participant’s Continuous Service Status, for any reason, with or without cause.</w:t>
      </w:r>
    </w:p>
    <w:p>
      <w:pPr>
        <w:spacing w:after="0" w:line="177" w:lineRule="exact"/>
        <w:rPr>
          <w:rFonts w:ascii="Arial" w:cs="Arial" w:eastAsia="Arial" w:hAnsi="Arial"/>
          <w:sz w:val="20"/>
          <w:szCs w:val="20"/>
          <w:color w:val="auto"/>
        </w:rPr>
      </w:pPr>
    </w:p>
    <w:p>
      <w:pPr>
        <w:jc w:val="both"/>
        <w:ind w:left="1" w:hanging="1"/>
        <w:spacing w:after="0" w:line="265" w:lineRule="auto"/>
        <w:tabs>
          <w:tab w:leader="none" w:pos="451" w:val="left"/>
        </w:tabs>
        <w:numPr>
          <w:ilvl w:val="0"/>
          <w:numId w:val="282"/>
        </w:numPr>
        <w:rPr>
          <w:rFonts w:ascii="Arial" w:cs="Arial" w:eastAsia="Arial" w:hAnsi="Arial"/>
          <w:sz w:val="19"/>
          <w:szCs w:val="19"/>
          <w:color w:val="auto"/>
        </w:rPr>
      </w:pPr>
      <w:r>
        <w:rPr>
          <w:rFonts w:ascii="Arial" w:cs="Arial" w:eastAsia="Arial" w:hAnsi="Arial"/>
          <w:sz w:val="19"/>
          <w:szCs w:val="19"/>
          <w:b w:val="1"/>
          <w:bCs w:val="1"/>
          <w:u w:val="single" w:color="auto"/>
          <w:color w:val="auto"/>
        </w:rPr>
        <w:t>Information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is relying on an exemption from registration under Section 12(h)-1 of the Exchange 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such information is required to be provided by such Section 12(h)-1, the Company shall provide the information described in Rules 701(e)(3), (4) and (5) of the Securities Act by a method allowed under Section 12(h)-1 of the Exchange Act in accordance with Section 12(h)-1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Participant agrees to keep the information confidential.</w:t>
      </w:r>
    </w:p>
    <w:p>
      <w:pPr>
        <w:spacing w:after="0" w:line="169" w:lineRule="exact"/>
        <w:rPr>
          <w:rFonts w:ascii="Arial" w:cs="Arial" w:eastAsia="Arial" w:hAnsi="Arial"/>
          <w:sz w:val="19"/>
          <w:szCs w:val="19"/>
          <w:color w:val="auto"/>
        </w:rPr>
      </w:pPr>
    </w:p>
    <w:p>
      <w:pPr>
        <w:jc w:val="both"/>
        <w:ind w:left="1" w:hanging="1"/>
        <w:spacing w:after="0" w:line="280" w:lineRule="auto"/>
        <w:tabs>
          <w:tab w:leader="none" w:pos="451"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color w:val="auto"/>
        </w:rPr>
      </w:pPr>
    </w:p>
    <w:p>
      <w:pPr>
        <w:ind w:left="1" w:hanging="1"/>
        <w:spacing w:after="0" w:line="267" w:lineRule="auto"/>
        <w:tabs>
          <w:tab w:leader="none" w:pos="437" w:val="left"/>
        </w:tabs>
        <w:numPr>
          <w:ilvl w:val="0"/>
          <w:numId w:val="282"/>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construed in accordance with, the laws of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as such laws are applied to contracts entered into and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1"/>
          </w:cols>
          <w:pgMar w:left="319" w:top="1418" w:right="339" w:bottom="1440" w:gutter="0" w:footer="0" w:header="0"/>
        </w:sectPr>
      </w:pPr>
    </w:p>
    <w:bookmarkStart w:id="496" w:name="page497"/>
    <w:bookmarkEnd w:id="496"/>
    <w:p>
      <w:pPr>
        <w:jc w:val="both"/>
        <w:ind w:left="1"/>
        <w:spacing w:after="0" w:line="291" w:lineRule="auto"/>
        <w:rPr>
          <w:sz w:val="20"/>
          <w:szCs w:val="20"/>
          <w:color w:val="auto"/>
        </w:rPr>
      </w:pPr>
      <w:r>
        <w:rPr>
          <w:rFonts w:ascii="Arial" w:cs="Arial" w:eastAsia="Arial" w:hAnsi="Arial"/>
          <w:sz w:val="18"/>
          <w:szCs w:val="18"/>
          <w:color w:val="auto"/>
        </w:rPr>
        <w:t>in such State.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46" w:lineRule="exact"/>
        <w:rPr>
          <w:sz w:val="20"/>
          <w:szCs w:val="20"/>
          <w:color w:val="auto"/>
        </w:rPr>
      </w:pPr>
    </w:p>
    <w:p>
      <w:pPr>
        <w:ind w:left="1" w:hanging="1"/>
        <w:spacing w:after="0" w:line="267" w:lineRule="auto"/>
        <w:tabs>
          <w:tab w:leader="none" w:pos="532" w:val="left"/>
        </w:tabs>
        <w:numPr>
          <w:ilvl w:val="0"/>
          <w:numId w:val="283"/>
        </w:numPr>
        <w:rPr>
          <w:rFonts w:ascii="Arial" w:cs="Arial" w:eastAsia="Arial" w:hAnsi="Arial"/>
          <w:sz w:val="20"/>
          <w:szCs w:val="20"/>
          <w:color w:val="auto"/>
        </w:rPr>
      </w:pPr>
      <w:r>
        <w:rPr>
          <w:rFonts w:ascii="Arial" w:cs="Arial" w:eastAsia="Arial" w:hAnsi="Arial"/>
          <w:sz w:val="20"/>
          <w:szCs w:val="20"/>
          <w:b w:val="1"/>
          <w:bCs w:val="1"/>
          <w:u w:val="single" w:color="auto"/>
          <w:color w:val="auto"/>
        </w:rPr>
        <w:t>Uncertificated Shares</w:t>
      </w:r>
      <w:r>
        <w:rPr>
          <w:rFonts w:ascii="Arial" w:cs="Arial" w:eastAsia="Arial" w:hAnsi="Arial"/>
          <w:sz w:val="20"/>
          <w:szCs w:val="20"/>
          <w:color w:val="auto"/>
        </w:rPr>
        <w:t>. Participant agrees and acknowledges that to the extent the shares issued upon settlement of the RSUs are</w:t>
      </w:r>
      <w:r>
        <w:rPr>
          <w:rFonts w:ascii="Arial" w:cs="Arial" w:eastAsia="Arial" w:hAnsi="Arial"/>
          <w:sz w:val="20"/>
          <w:szCs w:val="20"/>
          <w:b w:val="1"/>
          <w:bCs w:val="1"/>
          <w:color w:val="auto"/>
        </w:rPr>
        <w:t xml:space="preserve"> </w:t>
      </w:r>
      <w:r>
        <w:rPr>
          <w:rFonts w:ascii="Arial" w:cs="Arial" w:eastAsia="Arial" w:hAnsi="Arial"/>
          <w:sz w:val="20"/>
          <w:szCs w:val="20"/>
          <w:color w:val="auto"/>
        </w:rPr>
        <w:t>uncertificated then all references herein to stock certificates also includes electronic or uncertificated equivalents.</w:t>
      </w:r>
    </w:p>
    <w:p>
      <w:pPr>
        <w:spacing w:after="0" w:line="169" w:lineRule="exact"/>
        <w:rPr>
          <w:rFonts w:ascii="Arial" w:cs="Arial" w:eastAsia="Arial" w:hAnsi="Arial"/>
          <w:sz w:val="20"/>
          <w:szCs w:val="20"/>
          <w:color w:val="auto"/>
        </w:rPr>
      </w:pPr>
    </w:p>
    <w:p>
      <w:pPr>
        <w:ind w:left="4901"/>
        <w:spacing w:after="0"/>
        <w:rPr>
          <w:rFonts w:ascii="Arial" w:cs="Arial" w:eastAsia="Arial" w:hAnsi="Arial"/>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1"/>
          </w:cols>
          <w:pgMar w:left="319" w:top="1418" w:right="339" w:bottom="1440" w:gutter="0" w:footer="0" w:header="0"/>
        </w:sectPr>
      </w:pPr>
    </w:p>
    <w:bookmarkStart w:id="497" w:name="page498"/>
    <w:bookmarkEnd w:id="497"/>
    <w:p>
      <w:pPr>
        <w:jc w:val="right"/>
        <w:spacing w:after="0"/>
        <w:rPr>
          <w:sz w:val="20"/>
          <w:szCs w:val="20"/>
          <w:color w:val="auto"/>
        </w:rPr>
      </w:pPr>
      <w:r>
        <w:rPr>
          <w:rFonts w:ascii="Arial" w:cs="Arial" w:eastAsia="Arial" w:hAnsi="Arial"/>
          <w:sz w:val="20"/>
          <w:szCs w:val="20"/>
          <w:color w:val="auto"/>
        </w:rPr>
        <w:t>Time-Based RSU Award Agreement for A. Chennapragada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defined in the Company’s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Unless otherwise defined herein, the terms defined in the Plan shall have the same defined meanings in this Notice of Grant.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Participant named below has been granted an award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xml:space="preserve">”), subject to the terms and conditions of the Plan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under the Plan,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3080" w:type="dxa"/>
            <w:vAlign w:val="bottom"/>
          </w:tcPr>
          <w:p>
            <w:pPr>
              <w:spacing w:after="0"/>
              <w:rPr>
                <w:sz w:val="20"/>
                <w:szCs w:val="20"/>
                <w:color w:val="auto"/>
              </w:rPr>
            </w:pPr>
            <w:r>
              <w:rPr>
                <w:rFonts w:ascii="Arial" w:cs="Arial" w:eastAsia="Arial" w:hAnsi="Arial"/>
                <w:sz w:val="20"/>
                <w:szCs w:val="20"/>
                <w:b w:val="1"/>
                <w:bCs w:val="1"/>
                <w:color w:val="auto"/>
              </w:rPr>
              <w:t>Participant Name:</w:t>
            </w:r>
          </w:p>
        </w:tc>
        <w:tc>
          <w:tcPr>
            <w:tcW w:w="2540" w:type="dxa"/>
            <w:vAlign w:val="bottom"/>
          </w:tcPr>
          <w:p>
            <w:pPr>
              <w:ind w:left="500"/>
              <w:spacing w:after="0"/>
              <w:rPr>
                <w:sz w:val="20"/>
                <w:szCs w:val="20"/>
                <w:color w:val="auto"/>
              </w:rPr>
            </w:pPr>
            <w:r>
              <w:rPr>
                <w:rFonts w:ascii="Arial" w:cs="Arial" w:eastAsia="Arial" w:hAnsi="Arial"/>
                <w:sz w:val="22"/>
                <w:szCs w:val="22"/>
                <w:color w:val="auto"/>
                <w:w w:val="86"/>
              </w:rPr>
              <w:t>Aparna Chennapragada</w:t>
            </w:r>
          </w:p>
        </w:tc>
      </w:tr>
      <w:tr>
        <w:trPr>
          <w:trHeight w:val="278"/>
        </w:trPr>
        <w:tc>
          <w:tcPr>
            <w:tcW w:w="3080" w:type="dxa"/>
            <w:vAlign w:val="bottom"/>
          </w:tcPr>
          <w:p>
            <w:pPr>
              <w:spacing w:after="0"/>
              <w:rPr>
                <w:sz w:val="20"/>
                <w:szCs w:val="20"/>
                <w:color w:val="auto"/>
              </w:rPr>
            </w:pPr>
            <w:r>
              <w:rPr>
                <w:rFonts w:ascii="Arial" w:cs="Arial" w:eastAsia="Arial" w:hAnsi="Arial"/>
                <w:sz w:val="20"/>
                <w:szCs w:val="20"/>
                <w:b w:val="1"/>
                <w:bCs w:val="1"/>
                <w:color w:val="auto"/>
              </w:rPr>
              <w:t>Total Number of RSUs:</w:t>
            </w:r>
          </w:p>
        </w:tc>
        <w:tc>
          <w:tcPr>
            <w:tcW w:w="2540" w:type="dxa"/>
            <w:vAlign w:val="bottom"/>
          </w:tcPr>
          <w:p>
            <w:pPr>
              <w:ind w:left="500"/>
              <w:spacing w:after="0"/>
              <w:rPr>
                <w:sz w:val="20"/>
                <w:szCs w:val="20"/>
                <w:color w:val="auto"/>
              </w:rPr>
            </w:pPr>
            <w:r>
              <w:rPr>
                <w:rFonts w:ascii="Arial" w:cs="Arial" w:eastAsia="Arial" w:hAnsi="Arial"/>
                <w:sz w:val="20"/>
                <w:szCs w:val="20"/>
                <w:color w:val="auto"/>
              </w:rPr>
              <w:t>[●]</w:t>
            </w:r>
          </w:p>
        </w:tc>
      </w:tr>
      <w:tr>
        <w:trPr>
          <w:trHeight w:val="317"/>
        </w:trPr>
        <w:tc>
          <w:tcPr>
            <w:tcW w:w="3080" w:type="dxa"/>
            <w:vAlign w:val="bottom"/>
          </w:tcPr>
          <w:p>
            <w:pPr>
              <w:spacing w:after="0"/>
              <w:rPr>
                <w:sz w:val="20"/>
                <w:szCs w:val="20"/>
                <w:color w:val="auto"/>
              </w:rPr>
            </w:pPr>
            <w:r>
              <w:rPr>
                <w:rFonts w:ascii="Arial" w:cs="Arial" w:eastAsia="Arial" w:hAnsi="Arial"/>
                <w:sz w:val="20"/>
                <w:szCs w:val="20"/>
                <w:b w:val="1"/>
                <w:bCs w:val="1"/>
                <w:color w:val="auto"/>
              </w:rPr>
              <w:t>RSU Grant Date:</w:t>
            </w:r>
          </w:p>
        </w:tc>
        <w:tc>
          <w:tcPr>
            <w:tcW w:w="2540" w:type="dxa"/>
            <w:vAlign w:val="bottom"/>
          </w:tcPr>
          <w:p>
            <w:pPr>
              <w:ind w:left="500"/>
              <w:spacing w:after="0"/>
              <w:rPr>
                <w:sz w:val="20"/>
                <w:szCs w:val="20"/>
                <w:color w:val="auto"/>
              </w:rPr>
            </w:pPr>
            <w:r>
              <w:rPr>
                <w:rFonts w:ascii="Arial" w:cs="Arial" w:eastAsia="Arial" w:hAnsi="Arial"/>
                <w:sz w:val="22"/>
                <w:szCs w:val="22"/>
                <w:color w:val="auto"/>
              </w:rPr>
              <w:t>May 6, 2021</w:t>
            </w:r>
          </w:p>
        </w:tc>
      </w:tr>
      <w:tr>
        <w:trPr>
          <w:trHeight w:val="311"/>
        </w:trPr>
        <w:tc>
          <w:tcPr>
            <w:tcW w:w="3080" w:type="dxa"/>
            <w:vAlign w:val="bottom"/>
          </w:tcPr>
          <w:p>
            <w:pPr>
              <w:spacing w:after="0"/>
              <w:rPr>
                <w:sz w:val="20"/>
                <w:szCs w:val="20"/>
                <w:color w:val="auto"/>
              </w:rPr>
            </w:pPr>
            <w:r>
              <w:rPr>
                <w:rFonts w:ascii="Arial" w:cs="Arial" w:eastAsia="Arial" w:hAnsi="Arial"/>
                <w:sz w:val="20"/>
                <w:szCs w:val="20"/>
                <w:b w:val="1"/>
                <w:bCs w:val="1"/>
                <w:color w:val="auto"/>
              </w:rPr>
              <w:t>Vesting Commencement Date:</w:t>
            </w:r>
          </w:p>
        </w:tc>
        <w:tc>
          <w:tcPr>
            <w:tcW w:w="2540" w:type="dxa"/>
            <w:vAlign w:val="bottom"/>
          </w:tcPr>
          <w:p>
            <w:pPr>
              <w:ind w:left="500"/>
              <w:spacing w:after="0"/>
              <w:rPr>
                <w:sz w:val="20"/>
                <w:szCs w:val="20"/>
                <w:color w:val="auto"/>
              </w:rPr>
            </w:pPr>
            <w:r>
              <w:rPr>
                <w:rFonts w:ascii="Arial" w:cs="Arial" w:eastAsia="Arial" w:hAnsi="Arial"/>
                <w:sz w:val="22"/>
                <w:szCs w:val="22"/>
                <w:color w:val="auto"/>
              </w:rPr>
              <w:t>April 1, 2021</w:t>
            </w:r>
          </w:p>
        </w:tc>
      </w:tr>
    </w:tbl>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 The earlier to occur of: (a) the date on which settlement of all vested RSUs granted hereunder occurs and (b) the seventh</w:t>
      </w:r>
      <w:r>
        <w:rPr>
          <w:rFonts w:ascii="Arial" w:cs="Arial" w:eastAsia="Arial" w:hAnsi="Arial"/>
          <w:sz w:val="20"/>
          <w:szCs w:val="20"/>
          <w:b w:val="1"/>
          <w:bCs w:val="1"/>
          <w:color w:val="auto"/>
        </w:rPr>
        <w:t xml:space="preserve"> </w:t>
      </w:r>
      <w:r>
        <w:rPr>
          <w:rFonts w:ascii="Arial" w:cs="Arial" w:eastAsia="Arial" w:hAnsi="Arial"/>
          <w:sz w:val="20"/>
          <w:szCs w:val="20"/>
          <w:color w:val="auto"/>
        </w:rPr>
        <w:t>(7th) anniversary of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16" w:lineRule="exact"/>
        <w:rPr>
          <w:sz w:val="20"/>
          <w:szCs w:val="20"/>
          <w:color w:val="auto"/>
        </w:rPr>
      </w:pPr>
    </w:p>
    <w:p>
      <w:pPr>
        <w:ind w:left="660" w:hanging="652"/>
        <w:spacing w:after="0" w:line="294" w:lineRule="auto"/>
        <w:tabs>
          <w:tab w:leader="none" w:pos="443"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Two-Tiered Vesting</w:t>
      </w:r>
      <w:r>
        <w:rPr>
          <w:rFonts w:ascii="Arial" w:cs="Arial" w:eastAsia="Arial" w:hAnsi="Arial"/>
          <w:sz w:val="18"/>
          <w:szCs w:val="18"/>
          <w:color w:val="auto"/>
        </w:rPr>
        <w:t>. The vesting of the RSUs is conditioned on satisfaction of two vesting requirements before the Expiration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of the RSUs pursuant to the Plan or the RSU Agreement: a time- and service-based requirement (the “</w:t>
      </w:r>
      <w:r>
        <w:rPr>
          <w:rFonts w:ascii="Arial" w:cs="Arial" w:eastAsia="Arial" w:hAnsi="Arial"/>
          <w:sz w:val="18"/>
          <w:szCs w:val="18"/>
          <w:b w:val="1"/>
          <w:bCs w:val="1"/>
          <w:i w:val="1"/>
          <w:iCs w:val="1"/>
          <w:color w:val="auto"/>
        </w:rPr>
        <w:t>Time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 Requirement</w:t>
      </w:r>
      <w:r>
        <w:rPr>
          <w:rFonts w:ascii="Arial" w:cs="Arial" w:eastAsia="Arial" w:hAnsi="Arial"/>
          <w:sz w:val="18"/>
          <w:szCs w:val="18"/>
          <w:color w:val="auto"/>
        </w:rPr>
        <w:t>”) and a liquidity-event requirement (the “</w:t>
      </w:r>
      <w:r>
        <w:rPr>
          <w:rFonts w:ascii="Arial" w:cs="Arial" w:eastAsia="Arial" w:hAnsi="Arial"/>
          <w:sz w:val="18"/>
          <w:szCs w:val="18"/>
          <w:b w:val="1"/>
          <w:bCs w:val="1"/>
          <w:i w:val="1"/>
          <w:iCs w:val="1"/>
          <w:color w:val="auto"/>
        </w:rPr>
        <w:t>Liquidity Event Requirement</w:t>
      </w:r>
      <w:r>
        <w:rPr>
          <w:rFonts w:ascii="Arial" w:cs="Arial" w:eastAsia="Arial" w:hAnsi="Arial"/>
          <w:sz w:val="18"/>
          <w:szCs w:val="18"/>
          <w:color w:val="auto"/>
        </w:rPr>
        <w:t>”), each as described below.</w:t>
      </w:r>
    </w:p>
    <w:p>
      <w:pPr>
        <w:spacing w:after="0" w:line="144" w:lineRule="exact"/>
        <w:rPr>
          <w:sz w:val="20"/>
          <w:szCs w:val="20"/>
          <w:color w:val="auto"/>
        </w:rPr>
      </w:pPr>
    </w:p>
    <w:p>
      <w:pPr>
        <w:jc w:val="both"/>
        <w:ind w:left="660" w:hanging="4"/>
        <w:spacing w:after="0" w:line="253" w:lineRule="auto"/>
        <w:tabs>
          <w:tab w:leader="none" w:pos="1126" w:val="left"/>
        </w:tabs>
        <w:numPr>
          <w:ilvl w:val="0"/>
          <w:numId w:val="285"/>
        </w:numPr>
        <w:rPr>
          <w:rFonts w:ascii="Arial" w:cs="Arial" w:eastAsia="Arial" w:hAnsi="Arial"/>
          <w:sz w:val="20"/>
          <w:szCs w:val="20"/>
          <w:color w:val="auto"/>
        </w:rPr>
      </w:pPr>
      <w:r>
        <w:rPr>
          <w:rFonts w:ascii="Arial" w:cs="Arial" w:eastAsia="Arial" w:hAnsi="Arial"/>
          <w:sz w:val="20"/>
          <w:szCs w:val="20"/>
          <w:b w:val="1"/>
          <w:bCs w:val="1"/>
          <w:color w:val="auto"/>
        </w:rPr>
        <w:t>Time and Service Requirement</w:t>
      </w:r>
      <w:r>
        <w:rPr>
          <w:rFonts w:ascii="Arial" w:cs="Arial" w:eastAsia="Arial" w:hAnsi="Arial"/>
          <w:sz w:val="20"/>
          <w:szCs w:val="20"/>
          <w:color w:val="auto"/>
        </w:rPr>
        <w:t>. The Time and Service Requirement will be satisfied as to 6.25% of the Total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RSUs (as set forth above) when Participant completes each successive three-month period of continuous Service beginning with the Vesting Commencement Date.</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Additional Note: Notwithstanding the foregoing, the RSU Award shall be subject to the effectiveness of the previously executed Action by Written Consent of the Stockholders of the Company approving a share reserve increase to the Plan of 20,000,000 shares (the “</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and no shares of Common Stock underlying the RSU Award shall be delivered prior to the Consent Effective Time.</w:t>
      </w:r>
    </w:p>
    <w:p>
      <w:pPr>
        <w:spacing w:after="0" w:line="146" w:lineRule="exact"/>
        <w:rPr>
          <w:sz w:val="20"/>
          <w:szCs w:val="20"/>
          <w:color w:val="auto"/>
        </w:rPr>
      </w:pPr>
    </w:p>
    <w:p>
      <w:pPr>
        <w:jc w:val="both"/>
        <w:ind w:left="660" w:hanging="4"/>
        <w:spacing w:after="0" w:line="272" w:lineRule="auto"/>
        <w:tabs>
          <w:tab w:leader="none" w:pos="1113" w:val="left"/>
        </w:tabs>
        <w:numPr>
          <w:ilvl w:val="0"/>
          <w:numId w:val="286"/>
        </w:numPr>
        <w:rPr>
          <w:rFonts w:ascii="Arial" w:cs="Arial" w:eastAsia="Arial" w:hAnsi="Arial"/>
          <w:sz w:val="19"/>
          <w:szCs w:val="19"/>
          <w:color w:val="auto"/>
        </w:rPr>
      </w:pPr>
      <w:r>
        <w:rPr>
          <w:rFonts w:ascii="Arial" w:cs="Arial" w:eastAsia="Arial" w:hAnsi="Arial"/>
          <w:sz w:val="19"/>
          <w:szCs w:val="19"/>
          <w:b w:val="1"/>
          <w:bCs w:val="1"/>
          <w:color w:val="auto"/>
        </w:rPr>
        <w:t xml:space="preserve">Liquidity Event Requirement. </w:t>
      </w:r>
      <w:r>
        <w:rPr>
          <w:rFonts w:ascii="Arial" w:cs="Arial" w:eastAsia="Arial" w:hAnsi="Arial"/>
          <w:sz w:val="19"/>
          <w:szCs w:val="19"/>
          <w:color w:val="auto"/>
        </w:rPr>
        <w:t>The Liquidity Event Requirement will be satisfied on the earliest to occur of: (A) the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the earlier of (1) six (6) months after the effective date of the initial public offering of the Company’s securities (the “</w:t>
      </w:r>
      <w:r>
        <w:rPr>
          <w:rFonts w:ascii="Arial" w:cs="Arial" w:eastAsia="Arial" w:hAnsi="Arial"/>
          <w:sz w:val="19"/>
          <w:szCs w:val="19"/>
          <w:b w:val="1"/>
          <w:bCs w:val="1"/>
          <w:i w:val="1"/>
          <w:iCs w:val="1"/>
          <w:color w:val="auto"/>
        </w:rPr>
        <w:t>IPO</w:t>
      </w:r>
      <w:r>
        <w:rPr>
          <w:rFonts w:ascii="Arial" w:cs="Arial" w:eastAsia="Arial" w:hAnsi="Arial"/>
          <w:sz w:val="19"/>
          <w:szCs w:val="19"/>
          <w:color w:val="auto"/>
        </w:rPr>
        <w:t>”) (provided that the IPO occurs by the seventh year anniversary of the RSU Grant Date) and (2) March 15 of the</w:t>
      </w:r>
    </w:p>
    <w:p>
      <w:pPr>
        <w:sectPr>
          <w:pgSz w:w="11900" w:h="16838" w:orient="portrait"/>
          <w:cols w:equalWidth="0" w:num="1">
            <w:col w:w="11240"/>
          </w:cols>
          <w:pgMar w:left="320" w:top="121" w:right="339" w:bottom="1440" w:gutter="0" w:footer="0" w:header="0"/>
        </w:sectPr>
      </w:pPr>
    </w:p>
    <w:bookmarkStart w:id="498" w:name="page499"/>
    <w:bookmarkEnd w:id="498"/>
    <w:p>
      <w:pPr>
        <w:jc w:val="both"/>
        <w:ind w:left="660"/>
        <w:spacing w:after="0" w:line="328" w:lineRule="auto"/>
        <w:rPr>
          <w:sz w:val="20"/>
          <w:szCs w:val="20"/>
          <w:color w:val="auto"/>
        </w:rPr>
      </w:pPr>
      <w:r>
        <w:rPr>
          <w:rFonts w:ascii="Arial" w:cs="Arial" w:eastAsia="Arial" w:hAnsi="Arial"/>
          <w:sz w:val="16"/>
          <w:szCs w:val="16"/>
          <w:color w:val="auto"/>
        </w:rPr>
        <w:t>calendar year following the year in which the IPO was declared effective (provided that such date occurs by the seventh year anniversary of the grant date); and (B) the date of an Acquisition, but only if constituting a permissible payment event as a change in ownership, effective control, or sale of substantially all of the assets, as provided under Section 409A (provided that such date occurs by the seventh year anniversary of the RSU Grant Date) (the earliest of the prong (A) or (B) to occur, the “</w:t>
      </w:r>
      <w:r>
        <w:rPr>
          <w:rFonts w:ascii="Arial" w:cs="Arial" w:eastAsia="Arial" w:hAnsi="Arial"/>
          <w:sz w:val="16"/>
          <w:szCs w:val="16"/>
          <w:b w:val="1"/>
          <w:bCs w:val="1"/>
          <w:i w:val="1"/>
          <w:iCs w:val="1"/>
          <w:color w:val="auto"/>
        </w:rPr>
        <w:t>Initial Vesting Event</w:t>
      </w:r>
      <w:r>
        <w:rPr>
          <w:rFonts w:ascii="Arial" w:cs="Arial" w:eastAsia="Arial" w:hAnsi="Arial"/>
          <w:sz w:val="16"/>
          <w:szCs w:val="16"/>
          <w:color w:val="auto"/>
        </w:rPr>
        <w:t>”).</w:t>
      </w:r>
    </w:p>
    <w:p>
      <w:pPr>
        <w:spacing w:after="0" w:line="128" w:lineRule="exact"/>
        <w:rPr>
          <w:sz w:val="20"/>
          <w:szCs w:val="20"/>
          <w:color w:val="auto"/>
        </w:rPr>
      </w:pPr>
    </w:p>
    <w:p>
      <w:pPr>
        <w:ind w:left="660" w:hanging="652"/>
        <w:spacing w:after="0" w:line="257" w:lineRule="auto"/>
        <w:tabs>
          <w:tab w:leader="none" w:pos="467"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RSUs Vested at Initial Vesting Event</w:t>
      </w:r>
      <w:r>
        <w:rPr>
          <w:rFonts w:ascii="Arial" w:cs="Arial" w:eastAsia="Arial" w:hAnsi="Arial"/>
          <w:sz w:val="19"/>
          <w:szCs w:val="19"/>
          <w:color w:val="auto"/>
        </w:rPr>
        <w:t>. If at the time of the Initial Vesting Event Participant is not in Continuous Service Status and did not meet the Time and Service Requirement with respect to any portion of the RSUs, then no portion of the RSUs shall vest. If at the time of the Initial Vesting Event, Participant is in Continuous Service Status or has ceased to be in Continuous Service Status but did meet the Time and Service Requirement with respect to any portion of the RSUs, then the RSUs shall vest as to the number of RSUs, if any, that have satisfied the Time and Service Requirement as of the Initial Vesting Event in accordance with clause (a)(i) above. “</w:t>
      </w:r>
      <w:r>
        <w:rPr>
          <w:rFonts w:ascii="Arial" w:cs="Arial" w:eastAsia="Arial" w:hAnsi="Arial"/>
          <w:sz w:val="19"/>
          <w:szCs w:val="19"/>
          <w:b w:val="1"/>
          <w:bCs w:val="1"/>
          <w:i w:val="1"/>
          <w:iCs w:val="1"/>
          <w:color w:val="auto"/>
        </w:rPr>
        <w:t>Continuous Service Status</w:t>
      </w:r>
      <w:r>
        <w:rPr>
          <w:rFonts w:ascii="Arial" w:cs="Arial" w:eastAsia="Arial" w:hAnsi="Arial"/>
          <w:sz w:val="19"/>
          <w:szCs w:val="19"/>
          <w:color w:val="auto"/>
        </w:rPr>
        <w:t>” means Participant continues to provide services as an employee, officer, director or consultant to the Company or a Subsidiary, Parent or Affiliate of the Company.</w:t>
      </w:r>
    </w:p>
    <w:p>
      <w:pPr>
        <w:spacing w:after="0" w:line="184" w:lineRule="exact"/>
        <w:rPr>
          <w:rFonts w:ascii="Arial" w:cs="Arial" w:eastAsia="Arial" w:hAnsi="Arial"/>
          <w:sz w:val="19"/>
          <w:szCs w:val="19"/>
          <w:color w:val="auto"/>
        </w:rPr>
      </w:pPr>
    </w:p>
    <w:p>
      <w:pPr>
        <w:ind w:left="660" w:hanging="652"/>
        <w:spacing w:after="0" w:line="246" w:lineRule="auto"/>
        <w:tabs>
          <w:tab w:leader="none" w:pos="443" w:val="left"/>
        </w:tabs>
        <w:numPr>
          <w:ilvl w:val="0"/>
          <w:numId w:val="287"/>
        </w:numPr>
        <w:rPr>
          <w:rFonts w:ascii="Arial" w:cs="Arial" w:eastAsia="Arial" w:hAnsi="Arial"/>
          <w:sz w:val="20"/>
          <w:szCs w:val="20"/>
          <w:color w:val="auto"/>
        </w:rPr>
      </w:pPr>
      <w:r>
        <w:rPr>
          <w:rFonts w:ascii="Arial" w:cs="Arial" w:eastAsia="Arial" w:hAnsi="Arial"/>
          <w:sz w:val="20"/>
          <w:szCs w:val="20"/>
          <w:u w:val="single" w:color="auto"/>
          <w:color w:val="auto"/>
        </w:rPr>
        <w:t>RSUs Vested after Initial Vesting Event</w:t>
      </w:r>
      <w:r>
        <w:rPr>
          <w:rFonts w:ascii="Arial" w:cs="Arial" w:eastAsia="Arial" w:hAnsi="Arial"/>
          <w:sz w:val="20"/>
          <w:szCs w:val="20"/>
          <w:color w:val="auto"/>
        </w:rPr>
        <w:t>. If Participant is in Continuous Service Status at the time of the Initial Vesting Event, then with respect to RSUs that have not vested as of such Initial Vesting Event under the preceding clause (b) above, vesting shall continue after the Initial Vesting Event in accordance with the Time and Service Requirement set forth in clause (a)(i) above (each subsequent vesting date, a “</w:t>
      </w:r>
      <w:r>
        <w:rPr>
          <w:rFonts w:ascii="Arial" w:cs="Arial" w:eastAsia="Arial" w:hAnsi="Arial"/>
          <w:sz w:val="20"/>
          <w:szCs w:val="20"/>
          <w:b w:val="1"/>
          <w:bCs w:val="1"/>
          <w:i w:val="1"/>
          <w:iCs w:val="1"/>
          <w:color w:val="auto"/>
        </w:rPr>
        <w:t>Subsequent Vesting Event</w:t>
      </w:r>
      <w:r>
        <w:rPr>
          <w:rFonts w:ascii="Arial" w:cs="Arial" w:eastAsia="Arial" w:hAnsi="Arial"/>
          <w:sz w:val="20"/>
          <w:szCs w:val="20"/>
          <w:color w:val="auto"/>
        </w:rPr>
        <w: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Acceleration</w:t>
      </w:r>
      <w:r>
        <w:rPr>
          <w:rFonts w:ascii="Arial" w:cs="Arial" w:eastAsia="Arial" w:hAnsi="Arial"/>
          <w:sz w:val="18"/>
          <w:szCs w:val="18"/>
          <w:color w:val="auto"/>
        </w:rPr>
        <w:t>: In addition, (1) if the Participant is subject to an Involuntary Termination (as defined below) within 12 months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first day of employment with the Company, then the Service-Based Requirement will be deemed satisfied as to 25% of the Total Number of RSUs as if the Participant completed one year of continuous Service, and (2) if the Participant is subject to an Involuntary Termination during the period beginning three months prior to or within 18 months after a Change in Control (as defined below), then the Service-Based Requirement will be deemed satisfied as to 100% of the Total Number of RSUs, subject in each case to the Participant executing a general release of all claims that the Participant may have against the Company or entities or persons affiliated with the Company, in the form prescribed and to be provided to the Participant by the Company no later than 5 days following the date of termination, and such release becoming effective, on or before the 60th day following the date of the Involuntary Termination and, to the extent not settled in connection with the Involuntary Termination or Change in Control, as applicable, the portion of the RSUs that is deemed to have satisfied the Service-Based Requirement shall not expire until the expiration of the RSUs; and (3) if the Participant remains employed with the Company through the closing of a Change in Control and if the successor to the Company or any affiliate of such successor does not agree to assume, substitute or otherwise continue the RSUs (and if offered new or continued employment with such acquirer or successor, the Participant does not voluntarily resign without Good Reason), then 100% of the then unvested shares underlying the RSUs shall fully vest immediately prior to, and contingent upon, the consummation of such Change in Control. As used herein:</w:t>
      </w:r>
    </w:p>
    <w:p>
      <w:pPr>
        <w:spacing w:after="0" w:line="175" w:lineRule="exact"/>
        <w:rPr>
          <w:sz w:val="20"/>
          <w:szCs w:val="20"/>
          <w:color w:val="auto"/>
        </w:rPr>
      </w:pPr>
    </w:p>
    <w:p>
      <w:pPr>
        <w:ind w:left="660" w:hanging="652"/>
        <w:spacing w:after="0" w:line="291" w:lineRule="auto"/>
        <w:tabs>
          <w:tab w:leader="none" w:pos="44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(i) an unauthorized use or disclosure by the Participant of the Company’s confidential information or trade secrets, which use or disclosure causes material harm to the Company; (ii) a material breach by the Participant of any material written agreement between the Participant and the Company, which breach causes material harm to the Company; (iii) failure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499" w:name="page500"/>
    <w:bookmarkEnd w:id="499"/>
    <w:p>
      <w:pPr>
        <w:jc w:val="both"/>
        <w:ind w:left="660"/>
        <w:spacing w:after="0" w:line="271" w:lineRule="auto"/>
        <w:rPr>
          <w:sz w:val="20"/>
          <w:szCs w:val="20"/>
          <w:color w:val="auto"/>
        </w:rPr>
      </w:pPr>
      <w:r>
        <w:rPr>
          <w:rFonts w:ascii="Arial" w:cs="Arial" w:eastAsia="Arial" w:hAnsi="Arial"/>
          <w:sz w:val="18"/>
          <w:szCs w:val="18"/>
          <w:color w:val="auto"/>
        </w:rPr>
        <w:t>the Participant to comply with the Company’s written policies or rules, which failure causes material harm to the Company; (iv) the Participant’s conviction of, or plea of “guilty” or “no contest” to, a felony under the laws of the United States or any state thereof; (v) the Participant’s gross negligence or willful misconduct in connection with conducting (or impacting the Participant’s ability to conduct) the Participant’s job responsibilities to the Company; (vi) a willful continuing failure by the Participant to perform lawfully assigned duties from the Chief Executive Officer or the Board (other than as a result of disability) after having received written notification of such failure from the Chief Executive Officer and failing to have reasonably cured such failure within 30 days of that notice; or (vii) a failure by the Participant to cooperate in good faith with a governmental or internal investigation of the Company or its directors, officers or employees, if the Company has requested the Participant’s cooperation, provided that, as to prongs (ii), (iii) and (vii), an event will only constitute Cause after the Participant has been given written notice of the breach or non-compliance from the Chief Executive Officer and the Participant has failed to reasonably cure those conditions, including any material harm resulting to the Company from such breach or non-compliance, within 30 days of such notice.</w:t>
      </w:r>
    </w:p>
    <w:p>
      <w:pPr>
        <w:spacing w:after="0" w:line="170" w:lineRule="exact"/>
        <w:rPr>
          <w:sz w:val="20"/>
          <w:szCs w:val="20"/>
          <w:color w:val="auto"/>
        </w:rPr>
      </w:pPr>
    </w:p>
    <w:p>
      <w:pPr>
        <w:ind w:left="660" w:hanging="652"/>
        <w:spacing w:after="0" w:line="269" w:lineRule="auto"/>
        <w:tabs>
          <w:tab w:leader="none" w:pos="48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(i) the consummation of a merger or consolidation of the Company with or into another entity, (ii) a sale of all or substantially all of the assets of the Company, (iii) the dissolution, liquidation or winding up of the Company, or (iv) the consummation of a transaction, or series of related transactions, in which any person becomes the “beneficial owner” (as defined in Rule 13d-3 of the Exchange Act), directly or indirectly, of more than 50% of the Company’s then outstanding voting securities (for clarity, if any “person” is considered to already be in effective control of the Company, the acquisition of additional control of the Company by the same person will not be considered to cause a Change in Control). The foregoing notwithstanding, neither</w:t>
      </w:r>
    </w:p>
    <w:p>
      <w:pPr>
        <w:spacing w:after="0" w:line="1" w:lineRule="exact"/>
        <w:rPr>
          <w:rFonts w:ascii="Arial" w:cs="Arial" w:eastAsia="Arial" w:hAnsi="Arial"/>
          <w:sz w:val="18"/>
          <w:szCs w:val="18"/>
          <w:color w:val="auto"/>
        </w:rPr>
      </w:pPr>
    </w:p>
    <w:p>
      <w:pPr>
        <w:jc w:val="both"/>
        <w:ind w:left="660" w:hanging="4"/>
        <w:spacing w:after="0"/>
        <w:tabs>
          <w:tab w:leader="none" w:pos="1178" w:val="left"/>
        </w:tabs>
        <w:numPr>
          <w:ilvl w:val="1"/>
          <w:numId w:val="289"/>
        </w:numPr>
        <w:rPr>
          <w:rFonts w:ascii="Arial" w:cs="Arial" w:eastAsia="Arial" w:hAnsi="Arial"/>
          <w:sz w:val="20"/>
          <w:szCs w:val="20"/>
          <w:color w:val="auto"/>
        </w:rPr>
      </w:pPr>
      <w:r>
        <w:rPr>
          <w:rFonts w:ascii="Arial" w:cs="Arial" w:eastAsia="Arial" w:hAnsi="Arial"/>
          <w:sz w:val="20"/>
          <w:szCs w:val="20"/>
          <w:color w:val="auto"/>
        </w:rPr>
        <w:t>a merger or consolidation of the Company, (B) sale of securities under clause (iv) above nor (C) any rollup, consolidation or similar corporate transformation of any subsidiary or affiliate of the Company that may be the Participant’s employer, will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96" w:lineRule="exact"/>
        <w:rPr>
          <w:rFonts w:ascii="Arial" w:cs="Arial" w:eastAsia="Arial" w:hAnsi="Arial"/>
          <w:sz w:val="20"/>
          <w:szCs w:val="20"/>
          <w:color w:val="auto"/>
        </w:rPr>
      </w:pPr>
    </w:p>
    <w:p>
      <w:pPr>
        <w:ind w:left="660" w:hanging="652"/>
        <w:spacing w:after="0" w:line="246" w:lineRule="auto"/>
        <w:tabs>
          <w:tab w:leader="none" w:pos="524" w:val="left"/>
        </w:tabs>
        <w:numPr>
          <w:ilvl w:val="0"/>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shall mean the individual serving in the role of Chief Executive Officer (or, if applicable, either of the individuals serving as co-Chief Executive Officer) of the Company or, if no one is serving in the role of Chief Executive Officer or co-Chief Executive Officer, the individual serving in the role of President (or, if applicable, either of the individuals serving as co-President) of the Company.</w:t>
      </w:r>
    </w:p>
    <w:p>
      <w:pPr>
        <w:spacing w:after="0" w:line="191" w:lineRule="exact"/>
        <w:rPr>
          <w:rFonts w:ascii="Arial" w:cs="Arial" w:eastAsia="Arial" w:hAnsi="Arial"/>
          <w:sz w:val="20"/>
          <w:szCs w:val="20"/>
          <w:color w:val="auto"/>
        </w:rPr>
      </w:pPr>
    </w:p>
    <w:p>
      <w:pPr>
        <w:ind w:left="660" w:hanging="652"/>
        <w:spacing w:after="0" w:line="243" w:lineRule="auto"/>
        <w:tabs>
          <w:tab w:leader="none" w:pos="576" w:val="left"/>
        </w:tabs>
        <w:numPr>
          <w:ilvl w:val="0"/>
          <w:numId w:val="2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mean the Participant’s resignation following the occurrence of one or more of the following, without the Participant’s express written consent: (i) a material reduction of the Participant’s title, duties, authority, responsibilities or reporting relationship (including, without limitation, for clarity, a requirement that the Participant no longer report to the Chief Executive Officer or the Board) provided however that this shall not apply as a result of a change in your reporting relationship as a result of a Change in Control; (ii) a 10% or more reduction in the Participant’s base salary; (iii) a material change in the geographic location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500" w:name="page501"/>
    <w:bookmarkEnd w:id="500"/>
    <w:p>
      <w:pPr>
        <w:jc w:val="both"/>
        <w:ind w:left="660"/>
        <w:spacing w:after="0" w:line="272" w:lineRule="auto"/>
        <w:rPr>
          <w:sz w:val="20"/>
          <w:szCs w:val="20"/>
          <w:color w:val="auto"/>
        </w:rPr>
      </w:pPr>
      <w:r>
        <w:rPr>
          <w:rFonts w:ascii="Arial" w:cs="Arial" w:eastAsia="Arial" w:hAnsi="Arial"/>
          <w:sz w:val="18"/>
          <w:szCs w:val="18"/>
          <w:color w:val="auto"/>
        </w:rPr>
        <w:t>primary work facility or location provided, that a relocation of less than 30 miles from its then present location will not be considered a material change in geographic location; (iv) the Company’s material breach of any obligations under any written agreement or covenant with the Participant; or (v) the Company’s failure to grant the RSUs or pay the sign-on bonus pursuant to the terms set forth in the Participant’s offer letter. Notwithstanding the foregoing, the Participant will be not entitled to resign for Good Reason without first providing the Company with written notice of the acts or omissions constituting the grounds for “Good Reason” within 90 days of the initial existence of the grounds for “Good Reason” and the Company’s failure to reasonably cure such grounds within a reasonable cure period of not less than 30 days following the date of such notice. In addition, the Participant’s resignation will not qualify as a resignation for “Good Reason” unless: (A) the grounds for “Good Reason” are not reasonably cured within the cure period specified in the preceding sentence; and (B) the Participant resigns within 30 days following the end of such cure period.</w:t>
      </w:r>
    </w:p>
    <w:p>
      <w:pPr>
        <w:spacing w:after="0" w:line="170" w:lineRule="exact"/>
        <w:rPr>
          <w:sz w:val="20"/>
          <w:szCs w:val="20"/>
          <w:color w:val="auto"/>
        </w:rPr>
      </w:pPr>
    </w:p>
    <w:p>
      <w:pPr>
        <w:ind w:left="660" w:hanging="652"/>
        <w:spacing w:after="0" w:line="246" w:lineRule="auto"/>
        <w:tabs>
          <w:tab w:leader="none" w:pos="537"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shall mean either: (i) the termination of the Participant’s employment by the Company, other than for Cause, or (ii) the Participant’s resignation for Good Reason. An Involuntary Termination will not include a termination of the Participant’s employment by reason of the Participant’s death or disability, termination of the Participant’s employment for Cause or the Participant’s resignation from employment without Good Reason.</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RSUs that vest as of the Initial Vesting Event shall be settled immediately. Settlement means the delivery of the Shares vested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 RSU. Settlement of RSUs on the Initial Vesting Event or any Subsequent Vesting Event shall be in Shares. Settlement of vested RSUs shall occur whether or not Participant is in Continuous Service Status at the time of settlement. No fractional RSUs or rights for fractional Shares shall be created pursuant to this Notice of Grant. Notwithstanding the foregoing, any RSUs that vest upon a Subsequent Vesting Event that falls within the restricted period set forth in Section 15 of the RSU Agreement shall be settled within 30 days following the expiration of such restricted period, and in all cases all RSUs shall be settled no later than the calendar year in which such Subsequent Vesting Event occurs.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Participant understands that Participant’s employment or consulting relationship with the Company is for an unspecified duration, can be terminated at any time (i.e.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each of which are incorporated herein by reference. Participant has read both the RSU Agreement and the Plan.</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such third party or via email, or such other means of electronic delivery specified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501" w:name="page502"/>
    <w:bookmarkEnd w:id="501"/>
    <w:p>
      <w:pPr>
        <w:spacing w:after="0" w:line="316" w:lineRule="auto"/>
        <w:rPr>
          <w:sz w:val="20"/>
          <w:szCs w:val="20"/>
          <w:color w:val="auto"/>
        </w:rPr>
      </w:pPr>
      <w:r>
        <w:rPr>
          <w:rFonts w:ascii="Arial" w:cs="Arial" w:eastAsia="Arial" w:hAnsi="Arial"/>
          <w:sz w:val="18"/>
          <w:szCs w:val="18"/>
          <w:color w:val="auto"/>
        </w:rPr>
        <w:t>By Participant’s and the Company’s acceptance hereof (in each case, whether written, electronic or otherwise), Participant and the Company agree that this RSU is granted under and governed by the terms and conditions of the Plan, the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02" w:name="page503"/>
    <w:bookmarkEnd w:id="502"/>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and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Unless otherwise defined herein or in the Notice of Grant, the terms defined in the Plan shall have the same defined meanings in this Agreement.</w:t>
      </w:r>
    </w:p>
    <w:p>
      <w:pPr>
        <w:spacing w:after="0" w:line="185" w:lineRule="exact"/>
        <w:rPr>
          <w:sz w:val="20"/>
          <w:szCs w:val="20"/>
          <w:color w:val="auto"/>
        </w:rPr>
      </w:pPr>
    </w:p>
    <w:p>
      <w:pPr>
        <w:jc w:val="both"/>
        <w:ind w:firstLine="8"/>
        <w:spacing w:after="0" w:line="248" w:lineRule="auto"/>
        <w:tabs>
          <w:tab w:leader="none" w:pos="468"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83" w:lineRule="exact"/>
        <w:rPr>
          <w:rFonts w:ascii="Arial" w:cs="Arial" w:eastAsia="Arial" w:hAnsi="Arial"/>
          <w:sz w:val="20"/>
          <w:szCs w:val="20"/>
          <w:b w:val="1"/>
          <w:bCs w:val="1"/>
          <w:color w:val="auto"/>
        </w:rPr>
      </w:pPr>
    </w:p>
    <w:p>
      <w:pPr>
        <w:ind w:right="20" w:firstLine="8"/>
        <w:spacing w:after="0" w:line="267" w:lineRule="auto"/>
        <w:tabs>
          <w:tab w:leader="none" w:pos="441"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permitted by the Committee.</w:t>
      </w:r>
    </w:p>
    <w:p>
      <w:pPr>
        <w:spacing w:after="0" w:line="163" w:lineRule="exact"/>
        <w:rPr>
          <w:rFonts w:ascii="Arial" w:cs="Arial" w:eastAsia="Arial" w:hAnsi="Arial"/>
          <w:sz w:val="20"/>
          <w:szCs w:val="20"/>
          <w:b w:val="1"/>
          <w:bCs w:val="1"/>
          <w:color w:val="auto"/>
        </w:rPr>
      </w:pPr>
    </w:p>
    <w:p>
      <w:pPr>
        <w:jc w:val="both"/>
        <w:ind w:firstLine="8"/>
        <w:spacing w:after="0" w:line="280" w:lineRule="auto"/>
        <w:tabs>
          <w:tab w:leader="none" w:pos="34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56" w:lineRule="exact"/>
        <w:rPr>
          <w:rFonts w:ascii="Arial" w:cs="Arial" w:eastAsia="Arial" w:hAnsi="Arial"/>
          <w:sz w:val="18"/>
          <w:szCs w:val="18"/>
          <w:b w:val="1"/>
          <w:bCs w:val="1"/>
          <w:color w:val="auto"/>
        </w:rPr>
      </w:pPr>
    </w:p>
    <w:p>
      <w:pPr>
        <w:jc w:val="both"/>
        <w:ind w:firstLine="8"/>
        <w:spacing w:after="0" w:line="246" w:lineRule="auto"/>
        <w:tabs>
          <w:tab w:leader="none" w:pos="373"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shall terminate on the Expiration Date or earlier as provided in this Section 4. If Participant’s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84" w:lineRule="exact"/>
        <w:rPr>
          <w:rFonts w:ascii="Arial" w:cs="Arial" w:eastAsia="Arial" w:hAnsi="Arial"/>
          <w:sz w:val="20"/>
          <w:szCs w:val="20"/>
          <w:b w:val="1"/>
          <w:bCs w:val="1"/>
          <w:color w:val="auto"/>
        </w:rPr>
      </w:pPr>
    </w:p>
    <w:p>
      <w:pPr>
        <w:jc w:val="both"/>
        <w:ind w:firstLine="8"/>
        <w:spacing w:after="0" w:line="285" w:lineRule="auto"/>
        <w:tabs>
          <w:tab w:leader="none" w:pos="414"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of Grant,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and the Notice of Grant.</w:t>
      </w:r>
    </w:p>
    <w:p>
      <w:pPr>
        <w:spacing w:after="0" w:line="150" w:lineRule="exact"/>
        <w:rPr>
          <w:rFonts w:ascii="Arial" w:cs="Arial" w:eastAsia="Arial" w:hAnsi="Arial"/>
          <w:sz w:val="18"/>
          <w:szCs w:val="18"/>
          <w:b w:val="1"/>
          <w:bCs w:val="1"/>
          <w:color w:val="auto"/>
        </w:rPr>
      </w:pPr>
    </w:p>
    <w:p>
      <w:pPr>
        <w:jc w:val="both"/>
        <w:ind w:firstLine="8"/>
        <w:spacing w:after="0" w:line="246" w:lineRule="auto"/>
        <w:tabs>
          <w:tab w:leader="none" w:pos="360"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Limitations on Transfer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any other limitation on transfer created by applicable securities laws, Participant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assign, encumber or dispose of any interest in the Shares issued pursuant to this Agreement except with the Company’s prior written consent and in compliance with the provisions of Sections 9 and 10 of the Plan, the Company’s then-current insider trading policy and applicable securities laws. The restrictions on transfer also include a prohibition on any short position, any “put equivalent position” or any “call equivalent position” by the RSU holder with respect</w:t>
      </w:r>
    </w:p>
    <w:p>
      <w:pPr>
        <w:sectPr>
          <w:pgSz w:w="11900" w:h="16838" w:orient="portrait"/>
          <w:cols w:equalWidth="0" w:num="1">
            <w:col w:w="11240"/>
          </w:cols>
          <w:pgMar w:left="320" w:top="1412" w:right="339" w:bottom="1440" w:gutter="0" w:footer="0" w:header="0"/>
        </w:sectPr>
      </w:pPr>
    </w:p>
    <w:bookmarkStart w:id="503" w:name="page504"/>
    <w:bookmarkEnd w:id="503"/>
    <w:p>
      <w:pPr>
        <w:spacing w:after="0" w:line="287" w:lineRule="auto"/>
        <w:rPr>
          <w:sz w:val="20"/>
          <w:szCs w:val="20"/>
          <w:color w:val="auto"/>
        </w:rPr>
      </w:pPr>
      <w:r>
        <w:rPr>
          <w:rFonts w:ascii="Arial" w:cs="Arial" w:eastAsia="Arial" w:hAnsi="Arial"/>
          <w:sz w:val="19"/>
          <w:szCs w:val="19"/>
          <w:color w:val="auto"/>
        </w:rPr>
        <w:t>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w:t>
      </w:r>
    </w:p>
    <w:p>
      <w:pPr>
        <w:spacing w:after="0" w:line="146" w:lineRule="exact"/>
        <w:rPr>
          <w:sz w:val="20"/>
          <w:szCs w:val="20"/>
          <w:color w:val="auto"/>
        </w:rPr>
      </w:pPr>
    </w:p>
    <w:p>
      <w:pPr>
        <w:jc w:val="both"/>
        <w:ind w:firstLine="8"/>
        <w:spacing w:after="0" w:line="294" w:lineRule="auto"/>
        <w:tabs>
          <w:tab w:leader="none" w:pos="427"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43" w:lineRule="exact"/>
        <w:rPr>
          <w:rFonts w:ascii="Arial" w:cs="Arial" w:eastAsia="Arial" w:hAnsi="Arial"/>
          <w:sz w:val="18"/>
          <w:szCs w:val="18"/>
          <w:b w:val="1"/>
          <w:bCs w:val="1"/>
          <w:color w:val="auto"/>
        </w:rPr>
      </w:pPr>
    </w:p>
    <w:p>
      <w:pPr>
        <w:jc w:val="both"/>
        <w:ind w:firstLine="8"/>
        <w:spacing w:after="0" w:line="269" w:lineRule="auto"/>
        <w:tabs>
          <w:tab w:leader="none" w:pos="3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xml:space="preserve">”). In this regard, Participant authorizes the Company to withhold all applicable Tax-Related Obligations legally payable by Participant from Participant’s 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(iii) Participant’s payment of a cash amount; or (iv) any other arrangement approved by the Company; all under such rules as may be established by the Committee and in compliance with the Company’s insider trading policy and 10b5-1 trading plan policy, if applicable;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Participant is a Section 16 officer of the Company under the Exchange Act, then the method of withholding shall be through a mandatory sale under (ii) above.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66" w:lineRule="exact"/>
        <w:rPr>
          <w:rFonts w:ascii="Arial" w:cs="Arial" w:eastAsia="Arial" w:hAnsi="Arial"/>
          <w:sz w:val="18"/>
          <w:szCs w:val="18"/>
          <w:b w:val="1"/>
          <w:bCs w:val="1"/>
          <w:color w:val="auto"/>
        </w:rPr>
      </w:pPr>
    </w:p>
    <w:p>
      <w:pPr>
        <w:jc w:val="both"/>
        <w:ind w:firstLine="8"/>
        <w:spacing w:after="0" w:line="273" w:lineRule="auto"/>
        <w:tabs>
          <w:tab w:leader="none" w:pos="3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 termination of employment will be determined consistent with the rules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504" w:name="page505"/>
    <w:bookmarkEnd w:id="504"/>
    <w:p>
      <w:pPr>
        <w:jc w:val="both"/>
        <w:spacing w:after="0" w:line="255" w:lineRule="auto"/>
        <w:rPr>
          <w:sz w:val="20"/>
          <w:szCs w:val="20"/>
          <w:color w:val="auto"/>
        </w:rPr>
      </w:pPr>
      <w:r>
        <w:rPr>
          <w:rFonts w:ascii="Arial" w:cs="Arial" w:eastAsia="Arial" w:hAnsi="Arial"/>
          <w:sz w:val="19"/>
          <w:szCs w:val="19"/>
          <w:color w:val="auto"/>
        </w:rPr>
        <w:t>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1" w:lineRule="exact"/>
        <w:rPr>
          <w:sz w:val="20"/>
          <w:szCs w:val="20"/>
          <w:color w:val="auto"/>
        </w:rPr>
      </w:pPr>
    </w:p>
    <w:p>
      <w:pPr>
        <w:jc w:val="both"/>
        <w:ind w:firstLine="8"/>
        <w:spacing w:after="0" w:line="253" w:lineRule="auto"/>
        <w:tabs>
          <w:tab w:leader="none" w:pos="486" w:val="left"/>
        </w:tabs>
        <w:numPr>
          <w:ilvl w:val="0"/>
          <w:numId w:val="2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b w:val="1"/>
          <w:bCs w:val="1"/>
          <w:color w:val="auto"/>
        </w:rPr>
      </w:pPr>
    </w:p>
    <w:p>
      <w:pPr>
        <w:jc w:val="both"/>
        <w:ind w:firstLine="8"/>
        <w:spacing w:after="0" w:line="257" w:lineRule="auto"/>
        <w:tabs>
          <w:tab w:leader="none" w:pos="434" w:val="left"/>
        </w:tabs>
        <w:numPr>
          <w:ilvl w:val="0"/>
          <w:numId w:val="2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5" w:lineRule="exact"/>
        <w:rPr>
          <w:rFonts w:ascii="Arial" w:cs="Arial" w:eastAsia="Arial" w:hAnsi="Arial"/>
          <w:sz w:val="19"/>
          <w:szCs w:val="19"/>
          <w:b w:val="1"/>
          <w:bCs w:val="1"/>
          <w:color w:val="auto"/>
        </w:rPr>
      </w:pPr>
    </w:p>
    <w:p>
      <w:pPr>
        <w:jc w:val="both"/>
        <w:ind w:firstLine="8"/>
        <w:spacing w:after="0" w:line="246" w:lineRule="auto"/>
        <w:tabs>
          <w:tab w:leader="none" w:pos="445" w:val="left"/>
        </w:tabs>
        <w:numPr>
          <w:ilvl w:val="0"/>
          <w:numId w:val="2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b w:val="1"/>
          <w:bCs w:val="1"/>
          <w:color w:val="auto"/>
        </w:rPr>
      </w:pPr>
    </w:p>
    <w:p>
      <w:pPr>
        <w:jc w:val="both"/>
        <w:ind w:firstLine="8"/>
        <w:spacing w:after="0" w:line="294" w:lineRule="auto"/>
        <w:tabs>
          <w:tab w:leader="none" w:pos="459"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Agreement. This Agreement shall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43" w:lineRule="exact"/>
        <w:rPr>
          <w:rFonts w:ascii="Arial" w:cs="Arial" w:eastAsia="Arial" w:hAnsi="Arial"/>
          <w:sz w:val="18"/>
          <w:szCs w:val="18"/>
          <w:b w:val="1"/>
          <w:bCs w:val="1"/>
          <w:color w:val="auto"/>
        </w:rPr>
      </w:pPr>
    </w:p>
    <w:p>
      <w:pPr>
        <w:jc w:val="both"/>
        <w:ind w:firstLine="8"/>
        <w:spacing w:after="0" w:line="294" w:lineRule="auto"/>
        <w:tabs>
          <w:tab w:leader="none" w:pos="445"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Notice of Grant are incorporated herein by reference. The Plan, the Notice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Agreement constitute the entire agreement of the parties with respect to the subject matter hereof and supersede in their entirety all prior undertakings and agreements of the Company and Participant with respect to the subject matter hereof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505" w:name="page506"/>
    <w:bookmarkEnd w:id="505"/>
    <w:p>
      <w:pPr>
        <w:jc w:val="both"/>
        <w:spacing w:after="0" w:line="246" w:lineRule="auto"/>
        <w:rPr>
          <w:sz w:val="20"/>
          <w:szCs w:val="20"/>
          <w:color w:val="auto"/>
        </w:rPr>
      </w:pPr>
      <w:r>
        <w:rPr>
          <w:rFonts w:ascii="Arial" w:cs="Arial" w:eastAsia="Arial" w:hAnsi="Arial"/>
          <w:sz w:val="20"/>
          <w:szCs w:val="20"/>
          <w:color w:val="auto"/>
        </w:rPr>
        <w:t>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85" w:lineRule="exact"/>
        <w:rPr>
          <w:sz w:val="20"/>
          <w:szCs w:val="20"/>
          <w:color w:val="auto"/>
        </w:rPr>
      </w:pPr>
    </w:p>
    <w:p>
      <w:pPr>
        <w:jc w:val="both"/>
        <w:ind w:firstLine="8"/>
        <w:spacing w:after="0" w:line="270" w:lineRule="auto"/>
        <w:tabs>
          <w:tab w:leader="none" w:pos="486"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 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5" w:lineRule="exact"/>
        <w:rPr>
          <w:rFonts w:ascii="Arial" w:cs="Arial" w:eastAsia="Arial" w:hAnsi="Arial"/>
          <w:sz w:val="18"/>
          <w:szCs w:val="18"/>
          <w:b w:val="1"/>
          <w:bCs w:val="1"/>
          <w:color w:val="auto"/>
        </w:rPr>
      </w:pPr>
    </w:p>
    <w:p>
      <w:pPr>
        <w:jc w:val="both"/>
        <w:ind w:firstLine="8"/>
        <w:spacing w:after="0" w:line="253" w:lineRule="auto"/>
        <w:tabs>
          <w:tab w:leader="none" w:pos="445" w:val="left"/>
        </w:tabs>
        <w:numPr>
          <w:ilvl w:val="0"/>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affect in any manner whatsoever the right or power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or a Parent or Subsidiary of the Company, to terminate Participant’s Continuous Service Status, for any reason, with or without cause.</w:t>
      </w:r>
    </w:p>
    <w:p>
      <w:pPr>
        <w:spacing w:after="0" w:line="177" w:lineRule="exact"/>
        <w:rPr>
          <w:rFonts w:ascii="Arial" w:cs="Arial" w:eastAsia="Arial" w:hAnsi="Arial"/>
          <w:sz w:val="20"/>
          <w:szCs w:val="20"/>
          <w:b w:val="1"/>
          <w:bCs w:val="1"/>
          <w:color w:val="auto"/>
        </w:rPr>
      </w:pPr>
    </w:p>
    <w:p>
      <w:pPr>
        <w:jc w:val="both"/>
        <w:ind w:firstLine="8"/>
        <w:spacing w:after="0" w:line="265" w:lineRule="auto"/>
        <w:tabs>
          <w:tab w:leader="none" w:pos="459" w:val="left"/>
        </w:tabs>
        <w:numPr>
          <w:ilvl w:val="0"/>
          <w:numId w:val="2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Information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is relying on an exemption from registration under Section 12(h)-1 of the Exchange 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such information is required to be provided by such Section 12(h)-1, the Company shall provide the information described in Rules 701(e)(3), (4) and (5) of the Securities Act by a method allowed under Section 12(h)-1 of the Exchange Act in accordance with Section 12(h)-1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Participant agrees to keep the information confidential.</w:t>
      </w:r>
    </w:p>
    <w:p>
      <w:pPr>
        <w:spacing w:after="0" w:line="169" w:lineRule="exact"/>
        <w:rPr>
          <w:rFonts w:ascii="Arial" w:cs="Arial" w:eastAsia="Arial" w:hAnsi="Arial"/>
          <w:sz w:val="19"/>
          <w:szCs w:val="19"/>
          <w:b w:val="1"/>
          <w:bCs w:val="1"/>
          <w:color w:val="auto"/>
        </w:rPr>
      </w:pPr>
    </w:p>
    <w:p>
      <w:pPr>
        <w:jc w:val="both"/>
        <w:ind w:firstLine="8"/>
        <w:spacing w:after="0" w:line="280" w:lineRule="auto"/>
        <w:tabs>
          <w:tab w:leader="none" w:pos="459"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b w:val="1"/>
          <w:bCs w:val="1"/>
          <w:color w:val="auto"/>
        </w:rPr>
      </w:pPr>
    </w:p>
    <w:p>
      <w:pPr>
        <w:jc w:val="both"/>
        <w:ind w:firstLine="8"/>
        <w:spacing w:after="0" w:line="253" w:lineRule="auto"/>
        <w:tabs>
          <w:tab w:leader="none" w:pos="445" w:val="left"/>
        </w:tabs>
        <w:numPr>
          <w:ilvl w:val="0"/>
          <w:numId w:val="2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construed in accordance with, the laws of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as such laws are applied to contracts entered into and performed in such State. For purposes of any action, lawsuit or other proceedings brought to enforce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506" w:name="page507"/>
    <w:bookmarkEnd w:id="506"/>
    <w:p>
      <w:pPr>
        <w:jc w:val="both"/>
        <w:ind w:right="20"/>
        <w:spacing w:after="0" w:line="250" w:lineRule="auto"/>
        <w:rPr>
          <w:sz w:val="20"/>
          <w:szCs w:val="20"/>
          <w:color w:val="auto"/>
        </w:rPr>
      </w:pPr>
      <w:r>
        <w:rPr>
          <w:rFonts w:ascii="Arial" w:cs="Arial" w:eastAsia="Arial" w:hAnsi="Arial"/>
          <w:sz w:val="20"/>
          <w:szCs w:val="20"/>
          <w:color w:val="auto"/>
        </w:rPr>
        <w:t>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80" w:lineRule="exact"/>
        <w:rPr>
          <w:sz w:val="20"/>
          <w:szCs w:val="20"/>
          <w:color w:val="auto"/>
        </w:rPr>
      </w:pPr>
    </w:p>
    <w:p>
      <w:pPr>
        <w:ind w:firstLine="8"/>
        <w:spacing w:after="0" w:line="267" w:lineRule="auto"/>
        <w:tabs>
          <w:tab w:leader="none" w:pos="540" w:val="left"/>
        </w:tabs>
        <w:numPr>
          <w:ilvl w:val="0"/>
          <w:numId w:val="2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Uncertificated Shares</w:t>
      </w:r>
      <w:r>
        <w:rPr>
          <w:rFonts w:ascii="Arial" w:cs="Arial" w:eastAsia="Arial" w:hAnsi="Arial"/>
          <w:sz w:val="20"/>
          <w:szCs w:val="20"/>
          <w:color w:val="auto"/>
        </w:rPr>
        <w:t>. Participant agrees and acknowledges that to the extent the shares issued upon settlement of the RSUs are</w:t>
      </w:r>
      <w:r>
        <w:rPr>
          <w:rFonts w:ascii="Arial" w:cs="Arial" w:eastAsia="Arial" w:hAnsi="Arial"/>
          <w:sz w:val="20"/>
          <w:szCs w:val="20"/>
          <w:b w:val="1"/>
          <w:bCs w:val="1"/>
          <w:color w:val="auto"/>
        </w:rPr>
        <w:t xml:space="preserve"> </w:t>
      </w:r>
      <w:r>
        <w:rPr>
          <w:rFonts w:ascii="Arial" w:cs="Arial" w:eastAsia="Arial" w:hAnsi="Arial"/>
          <w:sz w:val="20"/>
          <w:szCs w:val="20"/>
          <w:color w:val="auto"/>
        </w:rPr>
        <w:t>uncertificated then all references herein to stock certificates also includes electronic or uncertificated equivalents.</w:t>
      </w:r>
    </w:p>
    <w:p>
      <w:pPr>
        <w:spacing w:after="0" w:line="169" w:lineRule="exact"/>
        <w:rPr>
          <w:rFonts w:ascii="Arial" w:cs="Arial" w:eastAsia="Arial" w:hAnsi="Arial"/>
          <w:sz w:val="20"/>
          <w:szCs w:val="20"/>
          <w:b w:val="1"/>
          <w:bCs w:val="1"/>
          <w:color w:val="auto"/>
        </w:rPr>
      </w:pPr>
    </w:p>
    <w:p>
      <w:pPr>
        <w:ind w:left="4900"/>
        <w:spacing w:after="0"/>
        <w:rPr>
          <w:rFonts w:ascii="Arial" w:cs="Arial" w:eastAsia="Arial" w:hAnsi="Arial"/>
          <w:sz w:val="20"/>
          <w:szCs w:val="20"/>
          <w:b w:val="1"/>
          <w:bCs w:val="1"/>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07" w:name="page508"/>
    <w:bookmarkEnd w:id="507"/>
    <w:p>
      <w:pPr>
        <w:jc w:val="right"/>
        <w:spacing w:after="0"/>
        <w:rPr>
          <w:sz w:val="20"/>
          <w:szCs w:val="20"/>
          <w:color w:val="auto"/>
        </w:rPr>
      </w:pPr>
      <w:r>
        <w:rPr>
          <w:rFonts w:ascii="Arial" w:cs="Arial" w:eastAsia="Arial" w:hAnsi="Arial"/>
          <w:sz w:val="20"/>
          <w:szCs w:val="20"/>
          <w:color w:val="auto"/>
        </w:rPr>
        <w:t>Stock Option Award Agreement for D. Gallagher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STOCK OPTION GRANT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Optionee named below (“</w:t>
      </w:r>
      <w:r>
        <w:rPr>
          <w:rFonts w:ascii="Arial" w:cs="Arial" w:eastAsia="Arial" w:hAnsi="Arial"/>
          <w:sz w:val="20"/>
          <w:szCs w:val="20"/>
          <w:b w:val="1"/>
          <w:bCs w:val="1"/>
          <w:i w:val="1"/>
          <w:iCs w:val="1"/>
          <w:color w:val="auto"/>
        </w:rPr>
        <w:t>Optionee</w:t>
      </w:r>
      <w:r>
        <w:rPr>
          <w:rFonts w:ascii="Arial" w:cs="Arial" w:eastAsia="Arial" w:hAnsi="Arial"/>
          <w:sz w:val="20"/>
          <w:szCs w:val="20"/>
          <w:color w:val="auto"/>
        </w:rPr>
        <w:t>”) has been granted an option (this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shares of Common Stock, $0.0001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of Robinhood Markets,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the Company’s 2020 Equity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on the terms, and subject to the conditions, described below and in the Stock Option Agreement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including its annexes (the “</w:t>
      </w:r>
      <w:r>
        <w:rPr>
          <w:rFonts w:ascii="Arial" w:cs="Arial" w:eastAsia="Arial" w:hAnsi="Arial"/>
          <w:sz w:val="20"/>
          <w:szCs w:val="20"/>
          <w:b w:val="1"/>
          <w:bCs w:val="1"/>
          <w:i w:val="1"/>
          <w:iCs w:val="1"/>
          <w:color w:val="auto"/>
        </w:rPr>
        <w:t>Stock Option Agreement</w:t>
      </w:r>
      <w:r>
        <w:rPr>
          <w:rFonts w:ascii="Arial" w:cs="Arial" w:eastAsia="Arial" w:hAnsi="Arial"/>
          <w:sz w:val="20"/>
          <w:szCs w:val="20"/>
          <w:color w:val="auto"/>
        </w:rPr>
        <w:t>”). All references to the “Platform” in this Grant Notice (as defined below) or in the Stock Option Agreement shall be interpreted as the equity management software currently in use by the Company.</w:t>
      </w:r>
    </w:p>
    <w:p>
      <w:pPr>
        <w:sectPr>
          <w:pgSz w:w="11900" w:h="16838" w:orient="portrait"/>
          <w:cols w:equalWidth="0" w:num="1">
            <w:col w:w="11240"/>
          </w:cols>
          <w:pgMar w:left="320" w:top="121"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Optionee:</w:t>
      </w:r>
    </w:p>
    <w:p>
      <w:pPr>
        <w:spacing w:after="0" w:line="62" w:lineRule="exact"/>
        <w:rPr>
          <w:sz w:val="20"/>
          <w:szCs w:val="20"/>
          <w:color w:val="auto"/>
        </w:rPr>
      </w:pPr>
    </w:p>
    <w:p>
      <w:pPr>
        <w:ind w:left="20"/>
        <w:spacing w:after="0" w:line="293" w:lineRule="auto"/>
        <w:rPr>
          <w:sz w:val="20"/>
          <w:szCs w:val="20"/>
          <w:color w:val="auto"/>
        </w:rPr>
      </w:pPr>
      <w:r>
        <w:rPr>
          <w:rFonts w:ascii="Arial" w:cs="Arial" w:eastAsia="Arial" w:hAnsi="Arial"/>
          <w:sz w:val="21"/>
          <w:szCs w:val="21"/>
          <w:b w:val="1"/>
          <w:bCs w:val="1"/>
          <w:color w:val="auto"/>
        </w:rPr>
        <w:t>Maximum Number of Shares Subject to this Option (the “</w:t>
      </w:r>
      <w:r>
        <w:rPr>
          <w:rFonts w:ascii="Arial" w:cs="Arial" w:eastAsia="Arial" w:hAnsi="Arial"/>
          <w:sz w:val="21"/>
          <w:szCs w:val="21"/>
          <w:b w:val="1"/>
          <w:bCs w:val="1"/>
          <w:i w:val="1"/>
          <w:iCs w:val="1"/>
          <w:color w:val="auto"/>
        </w:rPr>
        <w:t>Shares</w:t>
      </w:r>
      <w:r>
        <w:rPr>
          <w:rFonts w:ascii="Arial" w:cs="Arial" w:eastAsia="Arial" w:hAnsi="Arial"/>
          <w:sz w:val="21"/>
          <w:szCs w:val="21"/>
          <w:b w:val="1"/>
          <w:bCs w:val="1"/>
          <w:color w:val="auto"/>
        </w:rPr>
        <w: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Exercise Price Per Share: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 of Grant: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Vesting Start Date: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Exercise Schedule:</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Expiration Date:</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Tax Status of Option: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Daniel Gallagher</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$10.24</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July 6, 2020</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May 12, 2020</w:t>
      </w:r>
    </w:p>
    <w:p>
      <w:pPr>
        <w:spacing w:after="0" w:line="5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Option will become exercisable during its term with respect to portions of the Shares in accordance with the Vesting Schedule set forth below.</w:t>
      </w:r>
    </w:p>
    <w:p>
      <w:pPr>
        <w:spacing w:after="0" w:line="15"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2">
            <w:col w:w="3700" w:space="240"/>
            <w:col w:w="7300"/>
          </w:cols>
          <w:pgMar w:left="320" w:top="121" w:right="339" w:bottom="1440" w:gutter="0" w:footer="0" w:header="0"/>
          <w:type w:val="continuous"/>
        </w:sectPr>
      </w:pPr>
    </w:p>
    <w:bookmarkStart w:id="508" w:name="page509"/>
    <w:bookmarkEnd w:id="508"/>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1/4th of the shares underlying this Option shall vest when Optionee completes 12 months of continuous Service beginning with the Vesting Start Date, and an additional 1/16th of the shares underlying this Option shall vest when Optionee completes each three-month period of continuous Service thereafter. In addition, (1) if the Optionee is subject to an Involuntary Termination (as defined below) within 12 months of the Vesting Start Date, then 1/4th of the shares underlying the Option will automatically become vested and exercisable as if the Optionee completed 12 months of continuous Service, and (2) if the Optionee is subject to an Involuntary Termination during the period beginning three months prior to or within 18 months after a Change in Control (as defined below), then 100% of the shares underlying this Option will automatically become vested and exercisable, in each case, subject to the Optionee’s executing a general release of all claims that the Optionee may have against the Company or entities or persons affiliated with the Company, in the form prescribed and to be provided to the Optionee by the Company, and such release becoming effective, on or before the 60th day following the date of the Involuntary Termination. As used herein:</w:t>
      </w:r>
    </w:p>
    <w:p>
      <w:pPr>
        <w:spacing w:after="0" w:line="19" w:lineRule="exact"/>
        <w:rPr>
          <w:sz w:val="20"/>
          <w:szCs w:val="20"/>
          <w:color w:val="auto"/>
        </w:rPr>
      </w:pPr>
    </w:p>
    <w:p>
      <w:pPr>
        <w:sectPr>
          <w:pgSz w:w="11900" w:h="16838" w:orient="portrait"/>
          <w:cols w:equalWidth="0" w:num="2">
            <w:col w:w="3200" w:space="720"/>
            <w:col w:w="7280"/>
          </w:cols>
          <w:pgMar w:left="340" w:top="1440" w:right="359" w:bottom="1440" w:gutter="0" w:footer="0" w:header="0"/>
        </w:sectPr>
      </w:pPr>
    </w:p>
    <w:p>
      <w:pPr>
        <w:jc w:val="both"/>
        <w:ind w:left="3980"/>
        <w:spacing w:after="0" w:line="269"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shall mean (i) an unauthorized use or disclosure by the Optionee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confidential information or trade secrets, which use or disclosure causes material harm to the Company; (ii) a breach by the Optionee of any agreement between the Optionee and the Company, which breach causes material harm to the Company; (iii) failure by the Optionee to comply with the Company’s written policies or rules, which failure causes material harm to the Company; (iv) the Optionee’s conviction of, or plea of “guilty” or “no contest” to, a felony under the laws of the United States or any state thereof; (v) the Optionee’s gross negligence or willful misconduct; (vi) a willful continuing failure by the Optionee to perform assigned duties after having received written notification of such failure from the Chief Executive Officer and failing to have reasonably cured such failure within 30 days of that notice; or (vii) a failure by the Optionee to cooperate in good faith with a governmental or internal investigation of the Company or its directors, officers or employees, if the Company has requested the Optionee’s cooperation, provided that, as to prongs (ii) and (iii), an event will only constitute Cause after the Optionee has been given written notice of the breach or non-compliance from the Chief Executive Officer and the Optionee has failed to reasonably cure those conditions, including any material harm resulting to the Company from such breach or non-compliance, within 30 days of such notice.</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40" w:top="1440" w:right="359" w:bottom="1440" w:gutter="0" w:footer="0" w:header="0"/>
          <w:type w:val="continuous"/>
        </w:sectPr>
      </w:pPr>
    </w:p>
    <w:bookmarkStart w:id="509" w:name="page510"/>
    <w:bookmarkEnd w:id="509"/>
    <w:p>
      <w:pPr>
        <w:spacing w:after="0" w:line="42" w:lineRule="exact"/>
        <w:rPr>
          <w:sz w:val="20"/>
          <w:szCs w:val="20"/>
          <w:color w:val="auto"/>
        </w:rPr>
      </w:pPr>
    </w:p>
    <w:p>
      <w:pPr>
        <w:ind w:left="288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shall mean (i) the consummation of a merger or consolidation of the Company with or into another entity, (ii) a sale of all or substantially all of the assets of the Company, or (iii) the dissolution, liquidation or winding up of the Company. The foregoing notwithstanding, neither (A) a merger or consolidation of the Company, nor (B) any rollup, consolidation or similar corporate transformation of any subsidiary or affiliate of the Company that may be the Optionee’s employer, will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200" w:lineRule="exact"/>
        <w:rPr>
          <w:sz w:val="20"/>
          <w:szCs w:val="20"/>
          <w:color w:val="auto"/>
        </w:rPr>
      </w:pPr>
    </w:p>
    <w:p>
      <w:pPr>
        <w:spacing w:after="0" w:line="249" w:lineRule="exact"/>
        <w:rPr>
          <w:sz w:val="20"/>
          <w:szCs w:val="20"/>
          <w:color w:val="auto"/>
        </w:rPr>
      </w:pPr>
    </w:p>
    <w:p>
      <w:pPr>
        <w:ind w:left="2880" w:right="8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shall mean the individual serving in the role of Chief Executive Officer (or, if applicable, either of the individuals serving as co-Chief Executive Officer) of the Company or, if no one is serving in the role of Chief Executive Officer or co-Chief Executive Officer, the individual serving in the role of President (or, if applicable, either of the individuals serving as co-President) of the Company.</w:t>
      </w:r>
    </w:p>
    <w:p>
      <w:pPr>
        <w:spacing w:after="0" w:line="193" w:lineRule="exact"/>
        <w:rPr>
          <w:sz w:val="20"/>
          <w:szCs w:val="20"/>
          <w:color w:val="auto"/>
        </w:rPr>
      </w:pPr>
    </w:p>
    <w:p>
      <w:pPr>
        <w:ind w:left="2880" w:right="4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the Optionee’s termination by the Company, other than for Cause, or the Optionee’s resignation for Good Reason. An Involuntary Termination will not include a termination of the Optionee’s employment by reason of The Optionee’s death or disability, termination of the Optionee’s employment for Cause or the Optionee’s resignation from employment without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040"/>
          </w:cols>
          <w:pgMar w:left="1440" w:top="1440" w:right="419" w:bottom="1440" w:gutter="0" w:footer="0" w:header="0"/>
        </w:sectPr>
      </w:pPr>
    </w:p>
    <w:bookmarkStart w:id="510" w:name="page511"/>
    <w:bookmarkEnd w:id="510"/>
    <w:p>
      <w:pPr>
        <w:spacing w:after="0" w:line="33" w:lineRule="exact"/>
        <w:rPr>
          <w:sz w:val="20"/>
          <w:szCs w:val="20"/>
          <w:color w:val="auto"/>
        </w:rPr>
      </w:pPr>
    </w:p>
    <w:p>
      <w:pPr>
        <w:ind w:left="4000" w:right="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the Optionee’s resignation following the occurrence of one or more of the following, without the Optionee’s express written consent: (i) a material reduction of the Optionee’s duties, authority or responsibilities; (ii) a material reduction in the Optionee’s base salary (for illustrative purposes, a reduction of less than 10% of the Optionee’s base salary in any one year will not alone constitute Good Reason); (iii) a material change in the geographic location of the Optionee’s primary work facility or location provided, that a relocation of less than 30 miles from its then present location will not be considered a material change in geographic location; or (iv) the Company’s material breach of any obligations under any written agreement or covenant with the Optionee. Notwithstanding the foregoing, the Optionee will be not entitled to resign for Good Reason without first providing the Company with written notice of the acts or omissions constituting the grounds for “Good Reason” within 90 days of the initial existence of the grounds for “Good Reason” and the Company’s failure to reasonably cure such grounds within a reasonable cure period of not less than 30 days following the date of such notice. In addition, the Optionee’s resignation will not qualify as a resignation for “Good Reason” unless: (A) the grounds for “Good Reason” are not reasonably cured within the cure period specified in the preceding sentence; and (B) the Optionee resigns within 30 days following the end of such cure period.</w:t>
      </w:r>
    </w:p>
    <w:p>
      <w:pPr>
        <w:spacing w:after="0" w:line="171" w:lineRule="exact"/>
        <w:rPr>
          <w:sz w:val="20"/>
          <w:szCs w:val="20"/>
          <w:color w:val="auto"/>
        </w:rPr>
      </w:pPr>
    </w:p>
    <w:p>
      <w:pPr>
        <w:ind w:left="4000" w:right="80"/>
        <w:spacing w:after="0" w:line="310" w:lineRule="auto"/>
        <w:rPr>
          <w:sz w:val="20"/>
          <w:szCs w:val="20"/>
          <w:color w:val="auto"/>
        </w:rPr>
      </w:pPr>
      <w:r>
        <w:rPr>
          <w:rFonts w:ascii="Arial" w:cs="Arial" w:eastAsia="Arial" w:hAnsi="Arial"/>
          <w:sz w:val="16"/>
          <w:szCs w:val="16"/>
          <w:color w:val="auto"/>
        </w:rPr>
        <w:t>In addition, in the event the Optionee resigns from his employment with the Company, other than a resignation in which the Company has grounds to terminate the Optionee’s employment for Cause, for the purpose of commencing employment with any governmental entity (a “</w:t>
      </w:r>
      <w:r>
        <w:rPr>
          <w:rFonts w:ascii="Arial" w:cs="Arial" w:eastAsia="Arial" w:hAnsi="Arial"/>
          <w:sz w:val="16"/>
          <w:szCs w:val="16"/>
          <w:b w:val="1"/>
          <w:bCs w:val="1"/>
          <w:i w:val="1"/>
          <w:iCs w:val="1"/>
          <w:color w:val="auto"/>
        </w:rPr>
        <w:t>Government Employer</w:t>
      </w:r>
      <w:r>
        <w:rPr>
          <w:rFonts w:ascii="Arial" w:cs="Arial" w:eastAsia="Arial" w:hAnsi="Arial"/>
          <w:sz w:val="16"/>
          <w:szCs w:val="16"/>
          <w:color w:val="auto"/>
        </w:rPr>
        <w:t>”) and the Optionee is required to divest all or a portion of his Company equity awards in accordance with the conflict of interest policies of the Government Employer prior to the Company’s initial public offering, the Optionee may elect to sell to the Company, and require the Company to purchase, all of the then-vested shares underlying the Option (the “</w:t>
      </w:r>
      <w:r>
        <w:rPr>
          <w:rFonts w:ascii="Arial" w:cs="Arial" w:eastAsia="Arial" w:hAnsi="Arial"/>
          <w:sz w:val="16"/>
          <w:szCs w:val="16"/>
          <w:b w:val="1"/>
          <w:bCs w:val="1"/>
          <w:i w:val="1"/>
          <w:iCs w:val="1"/>
          <w:color w:val="auto"/>
        </w:rPr>
        <w:t>Repurchase</w:t>
      </w:r>
      <w:r>
        <w:rPr>
          <w:rFonts w:ascii="Arial" w:cs="Arial" w:eastAsia="Arial" w:hAnsi="Arial"/>
          <w:sz w:val="16"/>
          <w:szCs w:val="16"/>
          <w:color w:val="auto"/>
        </w:rPr>
        <w:t>”) at a purchase price equal to the product of (i) the number of underlying shares subject to the Option multiplied by</w:t>
      </w:r>
    </w:p>
    <w:p>
      <w:pPr>
        <w:spacing w:after="0" w:line="180" w:lineRule="exact"/>
        <w:rPr>
          <w:sz w:val="20"/>
          <w:szCs w:val="20"/>
          <w:color w:val="auto"/>
        </w:rPr>
      </w:pPr>
    </w:p>
    <w:p>
      <w:pPr>
        <w:ind w:left="4000" w:right="140" w:hanging="10"/>
        <w:spacing w:after="0" w:line="312" w:lineRule="auto"/>
        <w:tabs>
          <w:tab w:leader="none" w:pos="429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fair market value of a share of Common Stock, as determined by the Board in accordance with the terms of the Plan, less the exercise price (the “</w:t>
      </w:r>
      <w:r>
        <w:rPr>
          <w:rFonts w:ascii="Arial" w:cs="Arial" w:eastAsia="Arial" w:hAnsi="Arial"/>
          <w:sz w:val="16"/>
          <w:szCs w:val="16"/>
          <w:b w:val="1"/>
          <w:bCs w:val="1"/>
          <w:i w:val="1"/>
          <w:iCs w:val="1"/>
          <w:color w:val="auto"/>
        </w:rPr>
        <w:t>Election Right</w:t>
      </w:r>
      <w:r>
        <w:rPr>
          <w:rFonts w:ascii="Arial" w:cs="Arial" w:eastAsia="Arial" w:hAnsi="Arial"/>
          <w:sz w:val="16"/>
          <w:szCs w:val="16"/>
          <w:color w:val="auto"/>
        </w:rPr>
        <w:t>”). The Election Right may be exercised at any time during the period commencing on the date that the Optionee is first notified by the Government Employer of the applicable divestiture requirement and ending 30 days thereafter, provided that the Optionee remains in service with the Government Employer on the date of exercise of the Election Right.</w:t>
      </w:r>
    </w:p>
    <w:p>
      <w:pPr>
        <w:spacing w:after="0" w:line="365"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General; Agreement: </w:t>
      </w:r>
      <w:r>
        <w:rPr>
          <w:rFonts w:ascii="Arial" w:cs="Arial" w:eastAsia="Arial" w:hAnsi="Arial"/>
          <w:sz w:val="20"/>
          <w:szCs w:val="20"/>
          <w:color w:val="auto"/>
        </w:rPr>
        <w:t>By their mutual acceptance of this Option, Optionee and the Company agree that this Option is granted under and</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this Notice of Stock Option Grant (this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511" w:name="page512"/>
    <w:bookmarkEnd w:id="511"/>
    <w:p>
      <w:pPr>
        <w:jc w:val="both"/>
        <w:spacing w:after="0" w:line="273" w:lineRule="auto"/>
        <w:rPr>
          <w:sz w:val="20"/>
          <w:szCs w:val="20"/>
          <w:color w:val="auto"/>
        </w:rPr>
      </w:pPr>
      <w:r>
        <w:rPr>
          <w:rFonts w:ascii="Arial" w:cs="Arial" w:eastAsia="Arial" w:hAnsi="Arial"/>
          <w:sz w:val="18"/>
          <w:szCs w:val="18"/>
          <w:color w:val="auto"/>
        </w:rPr>
        <w:t>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via the Platform,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Execution and Delivery: </w:t>
      </w:r>
      <w:r>
        <w:rPr>
          <w:rFonts w:ascii="Arial" w:cs="Arial" w:eastAsia="Arial" w:hAnsi="Arial"/>
          <w:sz w:val="20"/>
          <w:szCs w:val="20"/>
          <w:color w:val="auto"/>
        </w:rPr>
        <w:t>This Grant Notice may be executed and delivered electronically whether via the Company’s intranet or the Internet</w:t>
      </w:r>
      <w:r>
        <w:rPr>
          <w:rFonts w:ascii="Arial" w:cs="Arial" w:eastAsia="Arial" w:hAnsi="Arial"/>
          <w:sz w:val="20"/>
          <w:szCs w:val="20"/>
          <w:b w:val="1"/>
          <w:bCs w:val="1"/>
          <w:color w:val="auto"/>
        </w:rPr>
        <w:t xml:space="preserve"> </w:t>
      </w:r>
      <w:r>
        <w:rPr>
          <w:rFonts w:ascii="Arial" w:cs="Arial" w:eastAsia="Arial" w:hAnsi="Arial"/>
          <w:sz w:val="20"/>
          <w:szCs w:val="20"/>
          <w:color w:val="auto"/>
        </w:rPr>
        <w:t>site of a 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20"/>
          <w:szCs w:val="20"/>
          <w:b w:val="1"/>
          <w:bCs w:val="1"/>
          <w:i w:val="1"/>
          <w:iCs w:val="1"/>
          <w:color w:val="auto"/>
        </w:rPr>
        <w:t>701 Disclosures</w:t>
      </w:r>
      <w:r>
        <w:rPr>
          <w:rFonts w:ascii="Arial" w:cs="Arial" w:eastAsia="Arial" w:hAnsi="Arial"/>
          <w:sz w:val="20"/>
          <w:szCs w:val="20"/>
          <w:color w:val="auto"/>
        </w:rPr>
        <w:t>”), account statements, or other communications or information) whether via the Company’s intranet or the Internet site of such third party or via email or such other means of electronic delivery specified by the Company.</w:t>
      </w:r>
    </w:p>
    <w:p>
      <w:pPr>
        <w:spacing w:after="0" w:line="189"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ATTACHMENT</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Exhibit A –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12" w:name="page513"/>
    <w:bookmarkEnd w:id="51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STOCK OPTION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Stock Option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as of the date of grant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set forth on the Notice of Stock Option Grant attached as the facing page to this Agreement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by and between Robinhood Markets,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optionee named on the Grant Notice (“</w:t>
      </w:r>
      <w:r>
        <w:rPr>
          <w:rFonts w:ascii="Arial" w:cs="Arial" w:eastAsia="Arial" w:hAnsi="Arial"/>
          <w:sz w:val="20"/>
          <w:szCs w:val="20"/>
          <w:b w:val="1"/>
          <w:bCs w:val="1"/>
          <w:i w:val="1"/>
          <w:iCs w:val="1"/>
          <w:color w:val="auto"/>
        </w:rPr>
        <w:t>Optionee</w:t>
      </w:r>
      <w:r>
        <w:rPr>
          <w:rFonts w:ascii="Arial" w:cs="Arial" w:eastAsia="Arial" w:hAnsi="Arial"/>
          <w:sz w:val="20"/>
          <w:szCs w:val="20"/>
          <w:color w:val="auto"/>
        </w:rPr>
        <w:t>”). Capitalized terms not defined in this Agreement shall have the meaning ascribed to them in the Company’s 2020 Equity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or in the Grant Notice, as applicable.</w:t>
      </w:r>
    </w:p>
    <w:p>
      <w:pPr>
        <w:spacing w:after="0" w:line="188" w:lineRule="exact"/>
        <w:rPr>
          <w:sz w:val="20"/>
          <w:szCs w:val="20"/>
          <w:color w:val="auto"/>
        </w:rPr>
      </w:pPr>
    </w:p>
    <w:p>
      <w:pPr>
        <w:jc w:val="both"/>
        <w:ind w:firstLine="656"/>
        <w:spacing w:after="0" w:line="277" w:lineRule="auto"/>
        <w:tabs>
          <w:tab w:leader="none" w:pos="99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of the Company,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except that if on the Date of Grant Optionee is not subject to U.S. income tax, then this Option shall be a NQSO.</w:t>
      </w:r>
    </w:p>
    <w:p>
      <w:pPr>
        <w:spacing w:after="0" w:line="146" w:lineRule="exact"/>
        <w:rPr>
          <w:rFonts w:ascii="Arial" w:cs="Arial" w:eastAsia="Arial" w:hAnsi="Arial"/>
          <w:sz w:val="18"/>
          <w:szCs w:val="18"/>
          <w:b w:val="1"/>
          <w:bCs w:val="1"/>
          <w:color w:val="auto"/>
        </w:rPr>
      </w:pPr>
    </w:p>
    <w:p>
      <w:pPr>
        <w:ind w:left="1000" w:hanging="344"/>
        <w:spacing w:after="0"/>
        <w:tabs>
          <w:tab w:leader="none" w:pos="1000"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color w:val="auto"/>
        </w:rPr>
        <w:t>EXERCISE PERIOD.</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b w:val="1"/>
          <w:bCs w:val="1"/>
          <w:u w:val="single" w:color="auto"/>
          <w:color w:val="auto"/>
        </w:rPr>
        <w:t>Exercise Period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is considered to be “vested” with respect to any particular Shares when this</w:t>
      </w:r>
      <w:r>
        <w:rPr>
          <w:rFonts w:ascii="Arial" w:cs="Arial" w:eastAsia="Arial" w:hAnsi="Arial"/>
          <w:sz w:val="20"/>
          <w:szCs w:val="20"/>
          <w:b w:val="1"/>
          <w:bCs w:val="1"/>
          <w:color w:val="auto"/>
        </w:rPr>
        <w:t xml:space="preserve"> </w:t>
      </w:r>
      <w:r>
        <w:rPr>
          <w:rFonts w:ascii="Arial" w:cs="Arial" w:eastAsia="Arial" w:hAnsi="Arial"/>
          <w:sz w:val="20"/>
          <w:szCs w:val="20"/>
          <w:color w:val="auto"/>
        </w:rPr>
        <w:t>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8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Vesting of Option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with respect to which this Option is vested and exercisable at a given time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Vesting Schedule set forth in the Grant Notice are “</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Shares with respect to which this Option is not vested and exercisable at a given time pursuant to the Vesting Schedule set forth in the Grant Notice are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w:t>
      </w:r>
      <w:r>
        <w:rPr>
          <w:rFonts w:ascii="Arial" w:cs="Arial" w:eastAsia="Arial" w:hAnsi="Arial"/>
          <w:sz w:val="19"/>
          <w:szCs w:val="19"/>
          <w:i w:val="1"/>
          <w:iCs w:val="1"/>
          <w:color w:val="auto"/>
        </w:rPr>
        <w:t>”</w:t>
      </w:r>
    </w:p>
    <w:p>
      <w:pPr>
        <w:spacing w:after="0" w:line="162"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b w:val="1"/>
          <w:bCs w:val="1"/>
          <w:u w:val="single" w:color="auto"/>
          <w:color w:val="auto"/>
        </w:rPr>
        <w:t>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shall expire on the Expiration Date set forth in the Grant Notice or earlier as provided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the Plan.</w:t>
      </w:r>
    </w:p>
    <w:p>
      <w:pPr>
        <w:spacing w:after="0" w:line="15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3.</w:t>
        <w:tab/>
        <w:t>TERMINATION.</w:t>
      </w:r>
    </w:p>
    <w:p>
      <w:pPr>
        <w:spacing w:after="0" w:line="20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Termination for Any Reason Except Death, Disability or Cause</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provided in subsection 3.2 in a case in</w:t>
      </w:r>
      <w:r>
        <w:rPr>
          <w:rFonts w:ascii="Arial" w:cs="Arial" w:eastAsia="Arial" w:hAnsi="Arial"/>
          <w:sz w:val="20"/>
          <w:szCs w:val="20"/>
          <w:b w:val="1"/>
          <w:bCs w:val="1"/>
          <w:color w:val="auto"/>
        </w:rPr>
        <w:t xml:space="preserve"> </w:t>
      </w:r>
      <w:r>
        <w:rPr>
          <w:rFonts w:ascii="Arial" w:cs="Arial" w:eastAsia="Arial" w:hAnsi="Arial"/>
          <w:sz w:val="20"/>
          <w:szCs w:val="20"/>
          <w:color w:val="auto"/>
        </w:rPr>
        <w:t>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w:t>
      </w:r>
    </w:p>
    <w:p>
      <w:pPr>
        <w:sectPr>
          <w:pgSz w:w="11900" w:h="16838" w:orient="portrait"/>
          <w:cols w:equalWidth="0" w:num="1">
            <w:col w:w="11240"/>
          </w:cols>
          <w:pgMar w:left="320" w:top="1412" w:right="339" w:bottom="1440" w:gutter="0" w:footer="0" w:header="0"/>
        </w:sectPr>
      </w:pPr>
    </w:p>
    <w:bookmarkStart w:id="513" w:name="page514"/>
    <w:bookmarkEnd w:id="513"/>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Optionee no later than three (3) months after Optionee’s Termination Date (but in no event may this Option be exercised after the Expiration Date).</w:t>
      </w:r>
    </w:p>
    <w:p>
      <w:pPr>
        <w:spacing w:after="0" w:line="17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Termination Because of Death or 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Optionee is Terminated because of Optionee’s death or Disability (or</w:t>
      </w:r>
      <w:r>
        <w:rPr>
          <w:rFonts w:ascii="Arial" w:cs="Arial" w:eastAsia="Arial" w:hAnsi="Arial"/>
          <w:sz w:val="19"/>
          <w:szCs w:val="19"/>
          <w:b w:val="1"/>
          <w:bCs w:val="1"/>
          <w:color w:val="auto"/>
        </w:rPr>
        <w:t xml:space="preserve"> </w:t>
      </w:r>
      <w:r>
        <w:rPr>
          <w:rFonts w:ascii="Arial" w:cs="Arial" w:eastAsia="Arial" w:hAnsi="Arial"/>
          <w:sz w:val="19"/>
          <w:szCs w:val="19"/>
          <w:color w:val="auto"/>
        </w:rPr>
        <w:t>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8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Termination for Cause</w:t>
      </w:r>
      <w:r>
        <w:rPr>
          <w:rFonts w:ascii="Arial" w:cs="Arial" w:eastAsia="Arial" w:hAnsi="Arial"/>
          <w:sz w:val="19"/>
          <w:szCs w:val="19"/>
          <w:b w:val="1"/>
          <w:bCs w:val="1"/>
          <w:color w:val="auto"/>
        </w:rPr>
        <w:t xml:space="preserve">. </w:t>
      </w:r>
      <w:r>
        <w:rPr>
          <w:rFonts w:ascii="Arial" w:cs="Arial" w:eastAsia="Arial" w:hAnsi="Arial"/>
          <w:sz w:val="19"/>
          <w:szCs w:val="19"/>
          <w:color w:val="auto"/>
        </w:rPr>
        <w:t>If Optionee is Terminated for Cause, then Optionee may exercise this Option, but only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71"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Extension of Post Termination Exercise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on which the Company’s Stock is first listed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on an established securities market, if during any part of the exercise period described in Section 3.1 or Section 3.2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2.3 above or (ii) the date on which the then-vested portion of this option has been exercisable without violation of applicable law for the aggregate period (which need not be consecutive) after Optionee’s Termination as specified in the applicable Subsection above.</w:t>
      </w:r>
    </w:p>
    <w:p>
      <w:pPr>
        <w:spacing w:after="0" w:line="13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b w:val="1"/>
          <w:bCs w:val="1"/>
          <w:u w:val="single" w:color="auto"/>
          <w:color w:val="auto"/>
        </w:rPr>
        <w:t>No Obligation to Employ</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the Plan or this Agreement shall confer on Optionee any right to continue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MANNER OF EXERCISE.</w:t>
      </w:r>
    </w:p>
    <w:p>
      <w:pPr>
        <w:spacing w:after="0" w:line="202"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Stock Option Exercise Notice and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exercise this Option, Optionee (or in the case of exercise after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Optionee’s death or incapacity, Optionee’s executor, administrator, heir or legatee, as the case may be) must deliver to the Company an executed Stock Option Exercise Notice and Agreement in the form attached hereto as </w:t>
      </w:r>
      <w:r>
        <w:rPr>
          <w:rFonts w:ascii="Arial" w:cs="Arial" w:eastAsia="Arial" w:hAnsi="Arial"/>
          <w:sz w:val="19"/>
          <w:szCs w:val="19"/>
          <w:b w:val="1"/>
          <w:bCs w:val="1"/>
          <w:u w:val="single" w:color="auto"/>
          <w:color w:val="auto"/>
        </w:rPr>
        <w:t>Annex A</w:t>
      </w:r>
      <w:r>
        <w:rPr>
          <w:rFonts w:ascii="Arial" w:cs="Arial" w:eastAsia="Arial" w:hAnsi="Arial"/>
          <w:sz w:val="19"/>
          <w:szCs w:val="19"/>
          <w:color w:val="auto"/>
        </w:rPr>
        <w:t>, or in such other form as may be approved by the Committee from time to time (the “</w:t>
      </w:r>
      <w:r>
        <w:rPr>
          <w:rFonts w:ascii="Arial" w:cs="Arial" w:eastAsia="Arial" w:hAnsi="Arial"/>
          <w:sz w:val="19"/>
          <w:szCs w:val="19"/>
          <w:b w:val="1"/>
          <w:bCs w:val="1"/>
          <w:i w:val="1"/>
          <w:iCs w:val="1"/>
          <w:color w:val="auto"/>
        </w:rPr>
        <w:t>Exercise Agreement</w:t>
      </w:r>
      <w:r>
        <w:rPr>
          <w:rFonts w:ascii="Arial" w:cs="Arial" w:eastAsia="Arial" w:hAnsi="Arial"/>
          <w:sz w:val="19"/>
          <w:szCs w:val="19"/>
          <w:color w:val="auto"/>
        </w:rPr>
        <w:t>”) and payment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59"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b w:val="1"/>
          <w:bCs w:val="1"/>
          <w:u w:val="single" w:color="auto"/>
          <w:color w:val="auto"/>
        </w:rPr>
        <w:t>Limitations on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may not be exercised unless such exercise is in compliance with all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and state securities laws, as they are in effect on the date of exercise.</w:t>
      </w:r>
    </w:p>
    <w:p>
      <w:pPr>
        <w:spacing w:after="0" w:line="16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Exercise Agreement shall be accompanied by full payment of the Exercise Price for the shares being</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purchased in cash (by check, Automated Clearing House (“</w:t>
      </w:r>
      <w:r>
        <w:rPr>
          <w:rFonts w:ascii="Arial" w:cs="Arial" w:eastAsia="Arial" w:hAnsi="Arial"/>
          <w:sz w:val="20"/>
          <w:szCs w:val="20"/>
          <w:b w:val="1"/>
          <w:bCs w:val="1"/>
          <w:i w:val="1"/>
          <w:iCs w:val="1"/>
          <w:color w:val="auto"/>
        </w:rPr>
        <w:t>ACH</w:t>
      </w:r>
      <w:r>
        <w:rPr>
          <w:rFonts w:ascii="Arial" w:cs="Arial" w:eastAsia="Arial" w:hAnsi="Arial"/>
          <w:sz w:val="20"/>
          <w:szCs w:val="20"/>
          <w:color w:val="auto"/>
        </w:rPr>
        <w:t>”) or wire transfer), or where permitted by law:</w:t>
      </w:r>
    </w:p>
    <w:p>
      <w:pPr>
        <w:spacing w:after="0" w:line="169" w:lineRule="exact"/>
        <w:rPr>
          <w:sz w:val="20"/>
          <w:szCs w:val="20"/>
          <w:color w:val="auto"/>
        </w:rPr>
      </w:pPr>
    </w:p>
    <w:p>
      <w:pPr>
        <w:ind w:left="2360" w:hanging="408"/>
        <w:spacing w:after="0"/>
        <w:tabs>
          <w:tab w:leader="none" w:pos="2360" w:val="left"/>
        </w:tabs>
        <w:numPr>
          <w:ilvl w:val="1"/>
          <w:numId w:val="298"/>
        </w:numPr>
        <w:rPr>
          <w:rFonts w:ascii="Arial" w:cs="Arial" w:eastAsia="Arial" w:hAnsi="Arial"/>
          <w:sz w:val="20"/>
          <w:szCs w:val="20"/>
          <w:color w:val="auto"/>
        </w:rPr>
      </w:pPr>
      <w:r>
        <w:rPr>
          <w:rFonts w:ascii="Arial" w:cs="Arial" w:eastAsia="Arial" w:hAnsi="Arial"/>
          <w:sz w:val="20"/>
          <w:szCs w:val="20"/>
          <w:color w:val="auto"/>
        </w:rPr>
        <w:t>by cancellation of indebtedness of the Company owed to Optionee;</w:t>
      </w:r>
    </w:p>
    <w:p>
      <w:pPr>
        <w:spacing w:after="0" w:line="215" w:lineRule="exact"/>
        <w:rPr>
          <w:rFonts w:ascii="Arial" w:cs="Arial" w:eastAsia="Arial" w:hAnsi="Arial"/>
          <w:sz w:val="20"/>
          <w:szCs w:val="20"/>
          <w:color w:val="auto"/>
        </w:rPr>
      </w:pPr>
    </w:p>
    <w:p>
      <w:pPr>
        <w:jc w:val="both"/>
        <w:ind w:firstLine="1952"/>
        <w:spacing w:after="0" w:line="272" w:lineRule="auto"/>
        <w:tabs>
          <w:tab w:leader="none" w:pos="240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w:t>
      </w:r>
    </w:p>
    <w:p>
      <w:pPr>
        <w:ind w:left="300" w:hanging="292"/>
        <w:spacing w:after="0"/>
        <w:tabs>
          <w:tab w:leader="none" w:pos="3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that were obtained by Optionee in the public market;</w:t>
      </w:r>
    </w:p>
    <w:p>
      <w:pPr>
        <w:spacing w:after="0" w:line="199" w:lineRule="exact"/>
        <w:rPr>
          <w:rFonts w:ascii="Arial" w:cs="Arial" w:eastAsia="Arial" w:hAnsi="Arial"/>
          <w:sz w:val="20"/>
          <w:szCs w:val="20"/>
          <w:color w:val="auto"/>
        </w:rPr>
      </w:pPr>
    </w:p>
    <w:p>
      <w:pPr>
        <w:ind w:left="2420" w:hanging="468"/>
        <w:spacing w:after="0"/>
        <w:tabs>
          <w:tab w:leader="none" w:pos="24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199" w:lineRule="exact"/>
        <w:rPr>
          <w:rFonts w:ascii="Arial" w:cs="Arial" w:eastAsia="Arial" w:hAnsi="Arial"/>
          <w:sz w:val="18"/>
          <w:szCs w:val="18"/>
          <w:color w:val="auto"/>
        </w:rPr>
      </w:pPr>
    </w:p>
    <w:p>
      <w:pPr>
        <w:jc w:val="both"/>
        <w:ind w:firstLine="1952"/>
        <w:spacing w:after="0" w:line="282" w:lineRule="auto"/>
        <w:tabs>
          <w:tab w:leader="none" w:pos="240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61" w:lineRule="exact"/>
        <w:rPr>
          <w:rFonts w:ascii="Arial" w:cs="Arial" w:eastAsia="Arial" w:hAnsi="Arial"/>
          <w:sz w:val="18"/>
          <w:szCs w:val="18"/>
          <w:color w:val="auto"/>
        </w:rPr>
      </w:pPr>
    </w:p>
    <w:p>
      <w:pPr>
        <w:ind w:right="20" w:firstLine="1952"/>
        <w:spacing w:after="0" w:line="260" w:lineRule="auto"/>
        <w:tabs>
          <w:tab w:leader="none" w:pos="2515" w:val="left"/>
        </w:tabs>
        <w:numPr>
          <w:ilvl w:val="1"/>
          <w:numId w:val="299"/>
        </w:numPr>
        <w:rPr>
          <w:rFonts w:ascii="Arial" w:cs="Arial" w:eastAsia="Arial" w:hAnsi="Arial"/>
          <w:sz w:val="20"/>
          <w:szCs w:val="20"/>
          <w:color w:val="auto"/>
        </w:rPr>
      </w:pPr>
      <w:r>
        <w:rPr>
          <w:rFonts w:ascii="Arial" w:cs="Arial" w:eastAsia="Arial" w:hAnsi="Arial"/>
          <w:sz w:val="20"/>
          <w:szCs w:val="20"/>
          <w:color w:val="auto"/>
        </w:rPr>
        <w:t>by any combination of the foregoing or any other method of payment approved by the Committee that constitutes legal consideration for the issuance of Shares.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avoidance of uncertainty: ACH transfers that have been received by the Company into its bank account designated for receipt of such transfers shall be deemed to have been received for all purposes of this Option as of the date on which such transfers were initiated from the Optionee’s account and made irrevocable by Optionee.</w:t>
      </w:r>
    </w:p>
    <w:p>
      <w:pPr>
        <w:spacing w:after="0" w:line="18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b w:val="1"/>
          <w:bCs w:val="1"/>
          <w:u w:val="single" w:color="auto"/>
          <w:color w:val="auto"/>
        </w:rPr>
        <w:t>Tax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the issuance of the Shares upon exercise of the Option, Optionee must pay or provide for</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federal, state and local income tax, social insurance, payroll tax, fringe benefits tax, payment on account withholding and other tax-related items related to Optionee’s participation in the Plan and legally applicable to Optionee, including, as applicable, obligations of the Company (all the foregoing tax-related items, “</w:t>
      </w:r>
      <w:r>
        <w:rPr>
          <w:rFonts w:ascii="Arial" w:cs="Arial" w:eastAsia="Arial" w:hAnsi="Arial"/>
          <w:sz w:val="20"/>
          <w:szCs w:val="20"/>
          <w:b w:val="1"/>
          <w:bCs w:val="1"/>
          <w:i w:val="1"/>
          <w:iCs w:val="1"/>
          <w:color w:val="auto"/>
        </w:rPr>
        <w:t>Tax-Related Items</w:t>
      </w:r>
      <w:r>
        <w:rPr>
          <w:rFonts w:ascii="Arial" w:cs="Arial" w:eastAsia="Arial" w:hAnsi="Arial"/>
          <w:sz w:val="20"/>
          <w:szCs w:val="20"/>
          <w:color w:val="auto"/>
        </w:rPr>
        <w:t>”). If the Committee permits, Optionee may provide for payment of withholding taxes upon exercise of the Option by requesting that the Company retain the number of Shares with a Fair Market Value equal to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 The Company may withhold or account for Tax-Related Items by considering applicable minimum statutory withholding rates or other applicable statutory rates in Optionee’s country, including maximum applicable rates.</w:t>
      </w:r>
    </w:p>
    <w:p>
      <w:pPr>
        <w:spacing w:after="0" w:line="15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b w:val="1"/>
          <w:bCs w:val="1"/>
          <w:u w:val="single" w:color="auto"/>
          <w:color w:val="auto"/>
        </w:rPr>
        <w:t>Issuance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the Exercise Agreement and payment are in form and substance satisfactory to</w:t>
      </w:r>
      <w:r>
        <w:rPr>
          <w:rFonts w:ascii="Arial" w:cs="Arial" w:eastAsia="Arial" w:hAnsi="Arial"/>
          <w:sz w:val="19"/>
          <w:szCs w:val="19"/>
          <w:b w:val="1"/>
          <w:bCs w:val="1"/>
          <w:color w:val="auto"/>
        </w:rPr>
        <w:t xml:space="preserve"> </w:t>
      </w:r>
      <w:r>
        <w:rPr>
          <w:rFonts w:ascii="Arial" w:cs="Arial" w:eastAsia="Arial" w:hAnsi="Arial"/>
          <w:sz w:val="19"/>
          <w:szCs w:val="19"/>
          <w:color w:val="auto"/>
        </w:rPr>
        <w:t>counsel for the Company, and subject to Section 5 below, the Company shall issue the Shares issuable upon a valid exercise of this Option registered in the name of Optionee, Optionee’s authorized assignee, or Optionee’s legal representative, and shall deliver electronic certificates via the Platform representing the Shares with the appropriate legends affixed thereto.</w:t>
      </w:r>
    </w:p>
    <w:p>
      <w:pPr>
        <w:spacing w:after="0" w:line="156" w:lineRule="exact"/>
        <w:rPr>
          <w:sz w:val="20"/>
          <w:szCs w:val="20"/>
          <w:color w:val="auto"/>
        </w:rPr>
      </w:pPr>
    </w:p>
    <w:p>
      <w:pPr>
        <w:jc w:val="both"/>
        <w:ind w:firstLine="656"/>
        <w:spacing w:after="0" w:line="244" w:lineRule="auto"/>
        <w:tabs>
          <w:tab w:leader="none" w:pos="1217"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The Plan and this Agreement are intended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60" w:lineRule="exact"/>
        <w:rPr>
          <w:rFonts w:ascii="Arial" w:cs="Arial" w:eastAsia="Arial" w:hAnsi="Arial"/>
          <w:sz w:val="18"/>
          <w:szCs w:val="18"/>
          <w:b w:val="1"/>
          <w:bCs w:val="1"/>
          <w:color w:val="auto"/>
        </w:rPr>
      </w:pPr>
    </w:p>
    <w:p>
      <w:pPr>
        <w:jc w:val="both"/>
        <w:ind w:firstLine="656"/>
        <w:spacing w:after="0" w:line="249" w:lineRule="auto"/>
        <w:tabs>
          <w:tab w:leader="none" w:pos="1003"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54" w:lineRule="exact"/>
        <w:rPr>
          <w:rFonts w:ascii="Arial" w:cs="Arial" w:eastAsia="Arial" w:hAnsi="Arial"/>
          <w:sz w:val="18"/>
          <w:szCs w:val="18"/>
          <w:b w:val="1"/>
          <w:bCs w:val="1"/>
          <w:color w:val="auto"/>
        </w:rPr>
      </w:pPr>
    </w:p>
    <w:p>
      <w:pPr>
        <w:ind w:left="1000" w:hanging="344"/>
        <w:spacing w:after="0"/>
        <w:tabs>
          <w:tab w:leader="none" w:pos="1000"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TRANSFER.</w:t>
      </w:r>
    </w:p>
    <w:p>
      <w:pPr>
        <w:spacing w:after="0" w:line="202"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20"/>
          <w:szCs w:val="20"/>
          <w:b w:val="1"/>
          <w:bCs w:val="1"/>
          <w:u w:val="single" w:color="auto"/>
          <w:color w:val="auto"/>
        </w:rPr>
        <w:t>Disposition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hereby agrees that Optionee shall make no disposition of any of the Shares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as permitted by this Agreement) unless and until:</w:t>
      </w:r>
    </w:p>
    <w:p>
      <w:pPr>
        <w:spacing w:after="0" w:line="169" w:lineRule="exact"/>
        <w:rPr>
          <w:sz w:val="20"/>
          <w:szCs w:val="20"/>
          <w:color w:val="auto"/>
        </w:rPr>
      </w:pPr>
    </w:p>
    <w:p>
      <w:pPr>
        <w:ind w:right="20" w:firstLine="1952"/>
        <w:spacing w:after="0" w:line="260" w:lineRule="auto"/>
        <w:tabs>
          <w:tab w:leader="none" w:pos="2399" w:val="left"/>
        </w:tabs>
        <w:numPr>
          <w:ilvl w:val="0"/>
          <w:numId w:val="301"/>
        </w:numPr>
        <w:rPr>
          <w:rFonts w:ascii="Arial" w:cs="Arial" w:eastAsia="Arial" w:hAnsi="Arial"/>
          <w:sz w:val="20"/>
          <w:szCs w:val="20"/>
          <w:color w:val="auto"/>
        </w:rPr>
      </w:pPr>
      <w:r>
        <w:rPr>
          <w:rFonts w:ascii="Arial" w:cs="Arial" w:eastAsia="Arial" w:hAnsi="Arial"/>
          <w:sz w:val="20"/>
          <w:szCs w:val="20"/>
          <w:color w:val="auto"/>
        </w:rPr>
        <w:t>Optionee shall have notified the Company of the proposed disposition and provided a written summary of the terms and conditions of the proposed disposition;</w:t>
      </w:r>
    </w:p>
    <w:p>
      <w:pPr>
        <w:spacing w:after="0" w:line="176" w:lineRule="exact"/>
        <w:rPr>
          <w:rFonts w:ascii="Arial" w:cs="Arial" w:eastAsia="Arial" w:hAnsi="Arial"/>
          <w:sz w:val="20"/>
          <w:szCs w:val="20"/>
          <w:color w:val="auto"/>
        </w:rPr>
      </w:pPr>
    </w:p>
    <w:p>
      <w:pPr>
        <w:ind w:left="2480" w:hanging="528"/>
        <w:spacing w:after="0"/>
        <w:tabs>
          <w:tab w:leader="none" w:pos="248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Optionee shall have complied with all requirements of this Agreement applicable to the disposition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Shares;</w:t>
      </w:r>
    </w:p>
    <w:p>
      <w:pPr>
        <w:spacing w:after="0" w:line="199" w:lineRule="exact"/>
        <w:rPr>
          <w:rFonts w:ascii="Arial" w:cs="Arial" w:eastAsia="Arial" w:hAnsi="Arial"/>
          <w:sz w:val="19"/>
          <w:szCs w:val="19"/>
          <w:color w:val="auto"/>
        </w:rPr>
      </w:pPr>
    </w:p>
    <w:p>
      <w:pPr>
        <w:jc w:val="both"/>
        <w:ind w:firstLine="1952"/>
        <w:spacing w:after="0" w:line="244" w:lineRule="auto"/>
        <w:tabs>
          <w:tab w:leader="none" w:pos="2475" w:val="left"/>
        </w:tabs>
        <w:numPr>
          <w:ilvl w:val="0"/>
          <w:numId w:val="301"/>
        </w:numPr>
        <w:rPr>
          <w:rFonts w:ascii="Arial" w:cs="Arial" w:eastAsia="Arial" w:hAnsi="Arial"/>
          <w:sz w:val="20"/>
          <w:szCs w:val="20"/>
          <w:color w:val="auto"/>
        </w:rPr>
      </w:pPr>
      <w:r>
        <w:rPr>
          <w:rFonts w:ascii="Arial" w:cs="Arial" w:eastAsia="Arial" w:hAnsi="Arial"/>
          <w:sz w:val="20"/>
          <w:szCs w:val="20"/>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95" w:lineRule="exact"/>
        <w:rPr>
          <w:sz w:val="20"/>
          <w:szCs w:val="20"/>
          <w:color w:val="auto"/>
        </w:rPr>
      </w:pPr>
    </w:p>
    <w:p>
      <w:pPr>
        <w:jc w:val="both"/>
        <w:ind w:firstLine="1952"/>
        <w:spacing w:after="0" w:line="278" w:lineRule="auto"/>
        <w:tabs>
          <w:tab w:leader="none" w:pos="241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5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b w:val="1"/>
          <w:bCs w:val="1"/>
          <w:u w:val="single" w:color="auto"/>
          <w:color w:val="auto"/>
        </w:rPr>
        <w:t>Restriction on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shall not transfer, assign, grant a lien or security interest in, pledge, hypothecate,</w:t>
      </w:r>
      <w:r>
        <w:rPr>
          <w:rFonts w:ascii="Arial" w:cs="Arial" w:eastAsia="Arial" w:hAnsi="Arial"/>
          <w:sz w:val="20"/>
          <w:szCs w:val="20"/>
          <w:b w:val="1"/>
          <w:bCs w:val="1"/>
          <w:color w:val="auto"/>
        </w:rPr>
        <w:t xml:space="preserve"> </w:t>
      </w:r>
      <w:r>
        <w:rPr>
          <w:rFonts w:ascii="Arial" w:cs="Arial" w:eastAsia="Arial" w:hAnsi="Arial"/>
          <w:sz w:val="20"/>
          <w:szCs w:val="20"/>
          <w:color w:val="auto"/>
        </w:rPr>
        <w:t>encumber or otherwise dispose of any of the Shares which are subject to the Company’s Right of First Refusal described below, except as permitted by this Agreement.</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b w:val="1"/>
          <w:bCs w:val="1"/>
          <w:u w:val="single" w:color="auto"/>
          <w:color w:val="auto"/>
        </w:rPr>
        <w:t>Transferee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person (other than the Company) to whom the Shares are transferred by means of one</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permitted 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pacing w:after="0" w:line="171" w:lineRule="exact"/>
        <w:rPr>
          <w:sz w:val="20"/>
          <w:szCs w:val="20"/>
          <w:color w:val="auto"/>
        </w:rPr>
      </w:pPr>
    </w:p>
    <w:p>
      <w:pPr>
        <w:jc w:val="both"/>
        <w:ind w:firstLine="656"/>
        <w:spacing w:after="0" w:line="237" w:lineRule="auto"/>
        <w:tabs>
          <w:tab w:leader="none" w:pos="1066"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 STANDOFF AGREEMENT. </w:t>
      </w:r>
      <w:r>
        <w:rPr>
          <w:rFonts w:ascii="Arial" w:cs="Arial" w:eastAsia="Arial" w:hAnsi="Arial"/>
          <w:sz w:val="18"/>
          <w:szCs w:val="18"/>
          <w:color w:val="auto"/>
        </w:rPr>
        <w:t>Optionee agrees that, subject to any early release provisions that apply pro rata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xml:space="preserve">”), directly or indirectly sell, offer to sell, grant any option for the sale of, or otherwise dispose of any Common Stock or securities convertible into Common Stock, </w:t>
      </w:r>
      <w:r>
        <w:rPr>
          <w:rFonts w:ascii="Arial" w:cs="Arial" w:eastAsia="Arial" w:hAnsi="Arial"/>
          <w:sz w:val="18"/>
          <w:szCs w:val="18"/>
          <w:u w:val="single" w:color="auto"/>
          <w:color w:val="auto"/>
        </w:rPr>
        <w:t>except for:</w:t>
      </w:r>
      <w:r>
        <w:rPr>
          <w:rFonts w:ascii="Arial" w:cs="Arial" w:eastAsia="Arial" w:hAnsi="Arial"/>
          <w:sz w:val="18"/>
          <w:szCs w:val="18"/>
          <w:color w:val="auto"/>
        </w:rPr>
        <w:t xml:space="preserve"> (i) transfers of Shares permitted under Section 9.6 hereof so long as such transferee furnishes to the Company and the managing underwriter their written consent to be bound by this Section 8 as a condition precedent to such transfer; and</w:t>
      </w:r>
    </w:p>
    <w:p>
      <w:pPr>
        <w:spacing w:after="0" w:line="4" w:lineRule="exact"/>
        <w:rPr>
          <w:rFonts w:ascii="Arial" w:cs="Arial" w:eastAsia="Arial" w:hAnsi="Arial"/>
          <w:sz w:val="18"/>
          <w:szCs w:val="18"/>
          <w:b w:val="1"/>
          <w:bCs w:val="1"/>
          <w:color w:val="auto"/>
        </w:rPr>
      </w:pPr>
    </w:p>
    <w:p>
      <w:pPr>
        <w:jc w:val="both"/>
        <w:ind w:firstLine="8"/>
        <w:spacing w:after="0"/>
        <w:tabs>
          <w:tab w:leader="none" w:pos="29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62" w:lineRule="exact"/>
        <w:rPr>
          <w:rFonts w:ascii="Arial" w:cs="Arial" w:eastAsia="Arial" w:hAnsi="Arial"/>
          <w:sz w:val="18"/>
          <w:szCs w:val="18"/>
          <w:color w:val="auto"/>
        </w:rPr>
      </w:pPr>
    </w:p>
    <w:p>
      <w:pPr>
        <w:jc w:val="both"/>
        <w:ind w:firstLine="656"/>
        <w:spacing w:after="0" w:line="237" w:lineRule="auto"/>
        <w:tabs>
          <w:tab w:leader="none" w:pos="1048" w:val="left"/>
        </w:tabs>
        <w:numPr>
          <w:ilvl w:val="1"/>
          <w:numId w:val="3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COMPANY’S RIGHT OF FIRST REFUSAL. </w:t>
      </w:r>
      <w:r>
        <w:rPr>
          <w:rFonts w:ascii="Arial" w:cs="Arial" w:eastAsia="Arial" w:hAnsi="Arial"/>
          <w:sz w:val="19"/>
          <w:szCs w:val="19"/>
          <w:color w:val="auto"/>
        </w:rPr>
        <w:t>Before any Shares held by Optionee or any transferee of such Shares (either</w:t>
      </w:r>
      <w:r>
        <w:rPr>
          <w:rFonts w:ascii="Arial" w:cs="Arial" w:eastAsia="Arial" w:hAnsi="Arial"/>
          <w:sz w:val="19"/>
          <w:szCs w:val="19"/>
          <w:b w:val="1"/>
          <w:bCs w:val="1"/>
          <w:color w:val="auto"/>
        </w:rPr>
        <w:t xml:space="preserve"> </w:t>
      </w:r>
      <w:r>
        <w:rPr>
          <w:rFonts w:ascii="Arial" w:cs="Arial" w:eastAsia="Arial" w:hAnsi="Arial"/>
          <w:sz w:val="19"/>
          <w:szCs w:val="19"/>
          <w:color w:val="auto"/>
        </w:rPr>
        <w:t>sometimes referred to herein as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may be sold or otherwise transferred (including, without limitation, a transfer by gift or operation of law), the Company and/or its assignee(s) will have a right of first refusal to purchase the Shares to be sold or transferred (the “</w:t>
      </w:r>
      <w:r>
        <w:rPr>
          <w:rFonts w:ascii="Arial" w:cs="Arial" w:eastAsia="Arial" w:hAnsi="Arial"/>
          <w:sz w:val="19"/>
          <w:szCs w:val="19"/>
          <w:b w:val="1"/>
          <w:bCs w:val="1"/>
          <w:i w:val="1"/>
          <w:iCs w:val="1"/>
          <w:color w:val="auto"/>
        </w:rPr>
        <w:t>Offered Shares”</w:t>
      </w:r>
      <w:r>
        <w:rPr>
          <w:rFonts w:ascii="Arial" w:cs="Arial" w:eastAsia="Arial" w:hAnsi="Arial"/>
          <w:sz w:val="19"/>
          <w:szCs w:val="19"/>
          <w:color w:val="auto"/>
        </w:rPr>
        <w:t>) on the terms and conditions set forth in this Section (the “</w:t>
      </w:r>
      <w:r>
        <w:rPr>
          <w:rFonts w:ascii="Arial" w:cs="Arial" w:eastAsia="Arial" w:hAnsi="Arial"/>
          <w:sz w:val="19"/>
          <w:szCs w:val="19"/>
          <w:b w:val="1"/>
          <w:bCs w:val="1"/>
          <w:i w:val="1"/>
          <w:iCs w:val="1"/>
          <w:color w:val="auto"/>
        </w:rPr>
        <w:t>Right of First Refusal”</w:t>
      </w:r>
      <w:r>
        <w:rPr>
          <w:rFonts w:ascii="Arial" w:cs="Arial" w:eastAsia="Arial" w:hAnsi="Arial"/>
          <w:sz w:val="19"/>
          <w:szCs w:val="19"/>
          <w:color w:val="auto"/>
        </w:rPr>
        <w:t>).</w:t>
      </w:r>
    </w:p>
    <w:p>
      <w:pPr>
        <w:spacing w:after="0" w:line="17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the Offered Shares will deliver to the Company a written notice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 bona fide intention to sell or otherwise transfer the Offered Shares; (ii)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 Shares to be transferred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Proposed Transferee; (iv) the bona fide cash price or other consideration for which the Holder proposes to transfer the Offered Shares (the “</w:t>
      </w:r>
      <w:r>
        <w:rPr>
          <w:rFonts w:ascii="Arial" w:cs="Arial" w:eastAsia="Arial" w:hAnsi="Arial"/>
          <w:sz w:val="19"/>
          <w:szCs w:val="19"/>
          <w:b w:val="1"/>
          <w:bCs w:val="1"/>
          <w:i w:val="1"/>
          <w:iCs w:val="1"/>
          <w:color w:val="auto"/>
        </w:rPr>
        <w:t>Offered Price”</w:t>
      </w:r>
      <w:r>
        <w:rPr>
          <w:rFonts w:ascii="Arial" w:cs="Arial" w:eastAsia="Arial" w:hAnsi="Arial"/>
          <w:sz w:val="19"/>
          <w:szCs w:val="19"/>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6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b w:val="1"/>
          <w:bCs w:val="1"/>
          <w:u w:val="single" w:color="auto"/>
          <w:color w:val="auto"/>
        </w:rPr>
        <w:t>Exercise of Right of First Refusal</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within thirty (30) days after the date of the Notice,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8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b w:val="1"/>
          <w:bCs w:val="1"/>
          <w:u w:val="single" w:color="auto"/>
          <w:color w:val="auto"/>
        </w:rPr>
        <w:t>Purchase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 price for the Offered Shares purchased under this Section will be the Offered Price,</w:t>
      </w:r>
      <w:r>
        <w:rPr>
          <w:rFonts w:ascii="Arial" w:cs="Arial" w:eastAsia="Arial" w:hAnsi="Arial"/>
          <w:sz w:val="20"/>
          <w:szCs w:val="20"/>
          <w:b w:val="1"/>
          <w:bCs w:val="1"/>
          <w:color w:val="auto"/>
        </w:rPr>
        <w:t xml:space="preserve">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if the Offered Price consists of no legal consideration (as, for example, in the case of a transfer by gift) then the purchase price</w:t>
      </w:r>
      <w:r>
        <w:rPr>
          <w:rFonts w:ascii="Arial" w:cs="Arial" w:eastAsia="Arial" w:hAnsi="Arial"/>
          <w:sz w:val="20"/>
          <w:szCs w:val="20"/>
          <w:i w:val="1"/>
          <w:iCs w:val="1"/>
          <w:color w:val="auto"/>
        </w:rPr>
        <w:t xml:space="preserve"> </w:t>
      </w:r>
      <w:r>
        <w:rPr>
          <w:rFonts w:ascii="Arial" w:cs="Arial" w:eastAsia="Arial" w:hAnsi="Arial"/>
          <w:sz w:val="20"/>
          <w:szCs w:val="20"/>
          <w:color w:val="auto"/>
        </w:rPr>
        <w:t>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85"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purchase price for the Offered Shares will be payable, at the option of the Company and/or</w:t>
      </w:r>
      <w:r>
        <w:rPr>
          <w:rFonts w:ascii="Arial" w:cs="Arial" w:eastAsia="Arial" w:hAnsi="Arial"/>
          <w:sz w:val="19"/>
          <w:szCs w:val="19"/>
          <w:b w:val="1"/>
          <w:bCs w:val="1"/>
          <w:color w:val="auto"/>
        </w:rPr>
        <w:t xml:space="preserve"> </w:t>
      </w:r>
      <w:r>
        <w:rPr>
          <w:rFonts w:ascii="Arial" w:cs="Arial" w:eastAsia="Arial" w:hAnsi="Arial"/>
          <w:sz w:val="19"/>
          <w:szCs w:val="19"/>
          <w:color w:val="auto"/>
        </w:rPr>
        <w:t>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7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Holder’s Right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If all of the Offered Shares proposed in the Notice to be transferred to a given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6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b w:val="1"/>
          <w:bCs w:val="1"/>
          <w:color w:val="auto"/>
        </w:rPr>
        <w:t xml:space="preserve">9.6. </w:t>
      </w:r>
      <w:r>
        <w:rPr>
          <w:rFonts w:ascii="Arial" w:cs="Arial" w:eastAsia="Arial" w:hAnsi="Arial"/>
          <w:sz w:val="19"/>
          <w:szCs w:val="19"/>
          <w:b w:val="1"/>
          <w:bCs w:val="1"/>
          <w:u w:val="single" w:color="auto"/>
          <w:color w:val="auto"/>
        </w:rPr>
        <w:t>Exempt Transfers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this Section, the following transfers of Shares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Company under this Section unless the agreement of merger or consolidation or conversion expressly otherwise provides); or (iii) any transfer of Shares pursuant to the winding up and dissolution of the Company. As used herein, the term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Arial" w:cs="Arial" w:eastAsia="Arial" w:hAnsi="Arial"/>
          <w:sz w:val="18"/>
          <w:szCs w:val="18"/>
          <w:b w:val="1"/>
          <w:bCs w:val="1"/>
          <w:i w:val="1"/>
          <w:iCs w:val="1"/>
          <w:color w:val="auto"/>
        </w:rPr>
        <w:t>Spousal Equivalent”</w:t>
      </w:r>
      <w:r>
        <w:rPr>
          <w:rFonts w:ascii="Arial" w:cs="Arial" w:eastAsia="Arial" w:hAnsi="Arial"/>
          <w:sz w:val="18"/>
          <w:szCs w:val="18"/>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6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Termination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First Refusal will terminate as to all Shares: (i)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16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b w:val="1"/>
          <w:bCs w:val="1"/>
          <w:color w:val="auto"/>
        </w:rPr>
        <w:t xml:space="preserve">9.8. </w:t>
      </w:r>
      <w:r>
        <w:rPr>
          <w:rFonts w:ascii="Arial" w:cs="Arial" w:eastAsia="Arial" w:hAnsi="Arial"/>
          <w:sz w:val="19"/>
          <w:szCs w:val="19"/>
          <w:b w:val="1"/>
          <w:bCs w:val="1"/>
          <w:u w:val="single" w:color="auto"/>
          <w:color w:val="auto"/>
        </w:rPr>
        <w:t>Encumbrances 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may grant a lien or security interest in, or pledge, hypothecate or encumber</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59" w:lineRule="exact"/>
        <w:rPr>
          <w:sz w:val="20"/>
          <w:szCs w:val="20"/>
          <w:color w:val="auto"/>
        </w:rPr>
      </w:pPr>
    </w:p>
    <w:p>
      <w:pPr>
        <w:jc w:val="both"/>
        <w:ind w:firstLine="656"/>
        <w:spacing w:after="0" w:line="229" w:lineRule="auto"/>
        <w:tabs>
          <w:tab w:leader="none" w:pos="1178" w:val="left"/>
        </w:tabs>
        <w:numPr>
          <w:ilvl w:val="0"/>
          <w:numId w:val="3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Optionee shall not have any of the rights of a stockholder with respect to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68" w:lineRule="exact"/>
        <w:rPr>
          <w:rFonts w:ascii="Arial" w:cs="Arial" w:eastAsia="Arial" w:hAnsi="Arial"/>
          <w:sz w:val="19"/>
          <w:szCs w:val="19"/>
          <w:b w:val="1"/>
          <w:bCs w:val="1"/>
          <w:color w:val="auto"/>
        </w:rPr>
      </w:pPr>
    </w:p>
    <w:p>
      <w:pPr>
        <w:jc w:val="both"/>
        <w:ind w:firstLine="656"/>
        <w:spacing w:after="0" w:line="263" w:lineRule="auto"/>
        <w:tabs>
          <w:tab w:leader="none" w:pos="1123"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ESCROW. </w:t>
      </w:r>
      <w:r>
        <w:rPr>
          <w:rFonts w:ascii="Arial" w:cs="Arial" w:eastAsia="Arial" w:hAnsi="Arial"/>
          <w:sz w:val="18"/>
          <w:szCs w:val="18"/>
          <w:color w:val="auto"/>
        </w:rPr>
        <w:t>As security for Optionee’s faithful performance of this Agreement, Optionee agrees, immediately upon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certificate(s) evidencing the Shares via the Platform, to surrender such certificate(s) to the Secretary of the Company or other designee of the Company (the “</w:t>
      </w:r>
      <w:r>
        <w:rPr>
          <w:rFonts w:ascii="Arial" w:cs="Arial" w:eastAsia="Arial" w:hAnsi="Arial"/>
          <w:sz w:val="18"/>
          <w:szCs w:val="18"/>
          <w:b w:val="1"/>
          <w:bCs w:val="1"/>
          <w:i w:val="1"/>
          <w:iCs w:val="1"/>
          <w:color w:val="auto"/>
        </w:rPr>
        <w:t>Escrow Holder</w:t>
      </w:r>
      <w:r>
        <w:rPr>
          <w:rFonts w:ascii="Arial" w:cs="Arial" w:eastAsia="Arial" w:hAnsi="Arial"/>
          <w:sz w:val="18"/>
          <w:szCs w:val="18"/>
          <w:color w:val="auto"/>
        </w:rPr>
        <w:t>”), who is hereby appointed to hold such certificate(s) in escrow and to take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RESTRICTIVE LEGENDS AND STOP-TRANSFER ORDERS.</w:t>
      </w:r>
    </w:p>
    <w:p>
      <w:pPr>
        <w:spacing w:after="0" w:line="202"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understands and agrees that the Company will place the legends set forth below or similar 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62" w:lineRule="exact"/>
        <w:rPr>
          <w:sz w:val="20"/>
          <w:szCs w:val="20"/>
          <w:color w:val="auto"/>
        </w:rPr>
      </w:pPr>
    </w:p>
    <w:p>
      <w:pPr>
        <w:jc w:val="both"/>
        <w:ind w:firstLine="1952"/>
        <w:spacing w:after="0" w:line="242" w:lineRule="auto"/>
        <w:tabs>
          <w:tab w:leader="none" w:pos="2674"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4" w:lineRule="exact"/>
        <w:rPr>
          <w:rFonts w:ascii="Arial" w:cs="Arial" w:eastAsia="Arial" w:hAnsi="Arial"/>
          <w:sz w:val="20"/>
          <w:szCs w:val="20"/>
          <w:color w:val="auto"/>
        </w:rPr>
      </w:pPr>
    </w:p>
    <w:p>
      <w:pPr>
        <w:jc w:val="both"/>
        <w:ind w:firstLine="1952"/>
        <w:spacing w:after="0" w:line="260" w:lineRule="auto"/>
        <w:tabs>
          <w:tab w:leader="none" w:pos="242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80" w:lineRule="exact"/>
        <w:rPr>
          <w:rFonts w:ascii="Arial" w:cs="Arial" w:eastAsia="Arial" w:hAnsi="Arial"/>
          <w:sz w:val="19"/>
          <w:szCs w:val="19"/>
          <w:color w:val="auto"/>
        </w:rPr>
      </w:pPr>
    </w:p>
    <w:p>
      <w:pPr>
        <w:jc w:val="both"/>
        <w:ind w:firstLine="1952"/>
        <w:spacing w:after="0" w:line="243" w:lineRule="auto"/>
        <w:tabs>
          <w:tab w:leader="none" w:pos="2462"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8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b w:val="1"/>
          <w:bCs w:val="1"/>
          <w:u w:val="single" w:color="auto"/>
          <w:color w:val="auto"/>
        </w:rPr>
        <w:t>Stop-Transfer Instructions</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agrees that, to ensure compliance with the restrictions imposed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Company may issue appropriate “stop-transfer” instructions to its transfer agent, if any, and if the Company transfers its own securities, it may make appropriate notations to the same effect in its own records.</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b w:val="1"/>
          <w:bCs w:val="1"/>
          <w:u w:val="single" w:color="auto"/>
          <w:color w:val="auto"/>
        </w:rPr>
        <w:t>Refusal to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not be required (i) to transfer on its books any Shares that have been sold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transferred in violation of any of the provisions of this Agreement or (ii) to treat as owner of such Shares, or to accord the right to vote or pay dividends to any purchaser or other transferee to whom such Shares have been so transferred.</w:t>
      </w:r>
    </w:p>
    <w:p>
      <w:pPr>
        <w:spacing w:after="0" w:line="148" w:lineRule="exact"/>
        <w:rPr>
          <w:sz w:val="20"/>
          <w:szCs w:val="20"/>
          <w:color w:val="auto"/>
        </w:rPr>
      </w:pPr>
    </w:p>
    <w:p>
      <w:pPr>
        <w:ind w:firstLine="656"/>
        <w:spacing w:after="0" w:line="239" w:lineRule="auto"/>
        <w:tabs>
          <w:tab w:leader="none" w:pos="1156"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TAX CONSEQUENCES. </w:t>
      </w:r>
      <w:r>
        <w:rPr>
          <w:rFonts w:ascii="Arial" w:cs="Arial" w:eastAsia="Arial" w:hAnsi="Arial"/>
          <w:sz w:val="20"/>
          <w:szCs w:val="20"/>
          <w:color w:val="auto"/>
        </w:rPr>
        <w:t>OPTIONEE SHOULD CONSULT A TAX ADVISER BEFORE EXERCISING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OR DISPOSING OF THE SHARES.</w:t>
      </w:r>
    </w:p>
    <w:p>
      <w:pPr>
        <w:spacing w:after="0" w:line="162" w:lineRule="exact"/>
        <w:rPr>
          <w:rFonts w:ascii="Arial" w:cs="Arial" w:eastAsia="Arial" w:hAnsi="Arial"/>
          <w:sz w:val="20"/>
          <w:szCs w:val="20"/>
          <w:b w:val="1"/>
          <w:bCs w:val="1"/>
          <w:color w:val="auto"/>
        </w:rPr>
      </w:pPr>
    </w:p>
    <w:p>
      <w:pPr>
        <w:ind w:left="1100" w:hanging="444"/>
        <w:spacing w:after="0"/>
        <w:tabs>
          <w:tab w:leader="none" w:pos="1100"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14.1. </w:t>
      </w:r>
      <w:r>
        <w:rPr>
          <w:rFonts w:ascii="Arial" w:cs="Arial" w:eastAsia="Arial" w:hAnsi="Arial"/>
          <w:sz w:val="20"/>
          <w:szCs w:val="20"/>
          <w:b w:val="1"/>
          <w:bCs w:val="1"/>
          <w:u w:val="single" w:color="auto"/>
          <w:color w:val="auto"/>
        </w:rPr>
        <w:t>Interpretation</w:t>
      </w:r>
      <w:r>
        <w:rPr>
          <w:rFonts w:ascii="Arial" w:cs="Arial" w:eastAsia="Arial" w:hAnsi="Arial"/>
          <w:sz w:val="20"/>
          <w:szCs w:val="20"/>
          <w:b w:val="1"/>
          <w:bCs w:val="1"/>
          <w:color w:val="auto"/>
        </w:rPr>
        <w:t xml:space="preserve">. </w:t>
      </w:r>
      <w:r>
        <w:rPr>
          <w:rFonts w:ascii="Arial" w:cs="Arial" w:eastAsia="Arial" w:hAnsi="Arial"/>
          <w:sz w:val="20"/>
          <w:szCs w:val="20"/>
          <w:color w:val="auto"/>
        </w:rPr>
        <w:t>Any dispute regarding the interpretation of this Agreement shall be submitted by Optionee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the Committee for review. The resolution of such a dispute by the Committee shall be final and binding on the Company and Optionee.</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b w:val="1"/>
          <w:bCs w:val="1"/>
          <w:color w:val="auto"/>
        </w:rPr>
        <w:t xml:space="preserve">14.2. </w:t>
      </w: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Grant Notice and the Exercise Agreement are each incorporated herein by</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48" w:lineRule="exact"/>
        <w:rPr>
          <w:sz w:val="20"/>
          <w:szCs w:val="20"/>
          <w:color w:val="auto"/>
        </w:rPr>
      </w:pPr>
    </w:p>
    <w:p>
      <w:pPr>
        <w:jc w:val="both"/>
        <w:ind w:firstLine="656"/>
        <w:spacing w:after="0" w:line="247" w:lineRule="auto"/>
        <w:tabs>
          <w:tab w:leader="none" w:pos="112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and all notices required or permitted to be given to a party pursuant to the provisions of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 writing and will be effective and deemed to provide such party sufficient notice under this Agreement on the earliest of the following:</w:t>
      </w:r>
    </w:p>
    <w:p>
      <w:pPr>
        <w:jc w:val="both"/>
        <w:ind w:firstLine="8"/>
        <w:spacing w:after="0" w:line="238" w:lineRule="auto"/>
        <w:tabs>
          <w:tab w:leader="none" w:pos="2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63" w:lineRule="exact"/>
        <w:rPr>
          <w:rFonts w:ascii="Arial" w:cs="Arial" w:eastAsia="Arial" w:hAnsi="Arial"/>
          <w:sz w:val="18"/>
          <w:szCs w:val="18"/>
          <w:color w:val="auto"/>
        </w:rPr>
      </w:pPr>
    </w:p>
    <w:p>
      <w:pPr>
        <w:jc w:val="both"/>
        <w:ind w:firstLine="656"/>
        <w:spacing w:after="0" w:line="220" w:lineRule="auto"/>
        <w:tabs>
          <w:tab w:leader="none" w:pos="1107" w:val="left"/>
        </w:tabs>
        <w:numPr>
          <w:ilvl w:val="1"/>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NO NOTICE OF EXPIRATION DATE</w:t>
      </w:r>
      <w:r>
        <w:rPr>
          <w:rFonts w:ascii="Arial" w:cs="Arial" w:eastAsia="Arial" w:hAnsi="Arial"/>
          <w:sz w:val="20"/>
          <w:szCs w:val="20"/>
          <w:color w:val="auto"/>
        </w:rPr>
        <w:t>. Optionee agrees that the Company and its officers, employees, attorneys and agents</w:t>
      </w:r>
      <w:r>
        <w:rPr>
          <w:rFonts w:ascii="Arial" w:cs="Arial" w:eastAsia="Arial" w:hAnsi="Arial"/>
          <w:sz w:val="20"/>
          <w:szCs w:val="20"/>
          <w:b w:val="1"/>
          <w:bCs w:val="1"/>
          <w:color w:val="auto"/>
        </w:rPr>
        <w:t xml:space="preserve"> </w:t>
      </w:r>
      <w:r>
        <w:rPr>
          <w:rFonts w:ascii="Arial" w:cs="Arial" w:eastAsia="Arial" w:hAnsi="Arial"/>
          <w:sz w:val="20"/>
          <w:szCs w:val="20"/>
          <w:color w:val="auto"/>
        </w:rPr>
        <w:t>do not have any obligation to notify him or her prior to the expiration of this Option pursuant to Sections 2 and 3, regardless of whether this Option will expire at the end of its full term or on an earlier date related to Optionee’s Termination. Optionee further agrees that he or she has the sole responsibility for monitoring the expiration of this Option and for exercising this option, if at all, before it expires. This Section shall supersede any contrary representation that may have been made, orally or in writing, by the Company or by an officer, employee, attorney or agent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75" w:lineRule="exact"/>
        <w:rPr>
          <w:sz w:val="20"/>
          <w:szCs w:val="20"/>
          <w:color w:val="auto"/>
        </w:rPr>
      </w:pPr>
    </w:p>
    <w:p>
      <w:pPr>
        <w:jc w:val="both"/>
        <w:ind w:firstLine="656"/>
        <w:spacing w:after="0" w:line="219" w:lineRule="auto"/>
        <w:tabs>
          <w:tab w:leader="none" w:pos="1198"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WAIVER OF STATUTORY INFORMATION RIGHTS</w:t>
      </w:r>
      <w:r>
        <w:rPr>
          <w:rFonts w:ascii="Arial" w:cs="Arial" w:eastAsia="Arial" w:hAnsi="Arial"/>
          <w:sz w:val="20"/>
          <w:szCs w:val="20"/>
          <w:color w:val="auto"/>
        </w:rPr>
        <w:t>. Optionee acknowledges and agrees that, upon exercise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Option and until the first sale of the Common Stock to the general public pursuant to a registration statement filed under the Securities Act, he or she will be deemed to have waived any rights Optionee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Optionee’s capacity as a stockholder and does not affect any other inspection rights Optionee may have under other law or pursuant to a written agreement with the Company.</w:t>
      </w:r>
    </w:p>
    <w:p>
      <w:pPr>
        <w:spacing w:after="0" w:line="164" w:lineRule="exact"/>
        <w:rPr>
          <w:rFonts w:ascii="Arial" w:cs="Arial" w:eastAsia="Arial" w:hAnsi="Arial"/>
          <w:sz w:val="20"/>
          <w:szCs w:val="20"/>
          <w:b w:val="1"/>
          <w:bCs w:val="1"/>
          <w:color w:val="auto"/>
        </w:rPr>
      </w:pPr>
    </w:p>
    <w:p>
      <w:pPr>
        <w:jc w:val="both"/>
        <w:ind w:firstLine="656"/>
        <w:spacing w:after="0" w:line="225" w:lineRule="auto"/>
        <w:tabs>
          <w:tab w:leader="none" w:pos="1186"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AND ASSIGNS. </w:t>
      </w:r>
      <w:r>
        <w:rPr>
          <w:rFonts w:ascii="Arial" w:cs="Arial" w:eastAsia="Arial" w:hAnsi="Arial"/>
          <w:sz w:val="20"/>
          <w:szCs w:val="20"/>
          <w:color w:val="auto"/>
        </w:rPr>
        <w:t>The Company may assign any of its rights under this Agreement including its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63" w:lineRule="exact"/>
        <w:rPr>
          <w:rFonts w:ascii="Arial" w:cs="Arial" w:eastAsia="Arial" w:hAnsi="Arial"/>
          <w:sz w:val="20"/>
          <w:szCs w:val="20"/>
          <w:b w:val="1"/>
          <w:bCs w:val="1"/>
          <w:color w:val="auto"/>
        </w:rPr>
      </w:pPr>
    </w:p>
    <w:p>
      <w:pPr>
        <w:jc w:val="both"/>
        <w:ind w:firstLine="656"/>
        <w:spacing w:after="0" w:line="237" w:lineRule="auto"/>
        <w:tabs>
          <w:tab w:leader="none" w:pos="1104" w:val="left"/>
        </w:tabs>
        <w:numPr>
          <w:ilvl w:val="0"/>
          <w:numId w:val="3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governed by and construed in accordance with the internal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as 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162" w:lineRule="exact"/>
        <w:rPr>
          <w:rFonts w:ascii="Arial" w:cs="Arial" w:eastAsia="Arial" w:hAnsi="Arial"/>
          <w:sz w:val="19"/>
          <w:szCs w:val="19"/>
          <w:b w:val="1"/>
          <w:bCs w:val="1"/>
          <w:color w:val="auto"/>
        </w:rPr>
      </w:pPr>
    </w:p>
    <w:p>
      <w:pPr>
        <w:ind w:firstLine="656"/>
        <w:spacing w:after="0" w:line="239" w:lineRule="auto"/>
        <w:tabs>
          <w:tab w:leader="none" w:pos="1156"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FURTHER ASSURANCES. </w:t>
      </w:r>
      <w:r>
        <w:rPr>
          <w:rFonts w:ascii="Arial" w:cs="Arial" w:eastAsia="Arial" w:hAnsi="Arial"/>
          <w:sz w:val="20"/>
          <w:szCs w:val="20"/>
          <w:color w:val="auto"/>
        </w:rPr>
        <w:t>The parties agree to execute such further documents and instruments and to take such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as may be reasonably necessary to carry out the purposes and intent of this Agreement.</w:t>
      </w:r>
    </w:p>
    <w:p>
      <w:pPr>
        <w:spacing w:after="0" w:line="162" w:lineRule="exact"/>
        <w:rPr>
          <w:rFonts w:ascii="Arial" w:cs="Arial" w:eastAsia="Arial" w:hAnsi="Arial"/>
          <w:sz w:val="20"/>
          <w:szCs w:val="20"/>
          <w:b w:val="1"/>
          <w:bCs w:val="1"/>
          <w:color w:val="auto"/>
        </w:rPr>
      </w:pPr>
    </w:p>
    <w:p>
      <w:pPr>
        <w:jc w:val="both"/>
        <w:ind w:firstLine="656"/>
        <w:spacing w:after="0" w:line="230" w:lineRule="auto"/>
        <w:tabs>
          <w:tab w:leader="none" w:pos="1128"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TITLES AND HEADINGS. </w:t>
      </w:r>
      <w:r>
        <w:rPr>
          <w:rFonts w:ascii="Arial" w:cs="Arial" w:eastAsia="Arial" w:hAnsi="Arial"/>
          <w:sz w:val="20"/>
          <w:szCs w:val="20"/>
          <w:color w:val="auto"/>
        </w:rPr>
        <w:t>The titles, captions and headings of this Agreement are included for ease of reference only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disregarded in interpreting or construing this Agreement. Unless otherwise specifically stated, all references herein to “sections” and “exhibits” will mean “sections” and “exhibits” to this Agreement.</w:t>
      </w:r>
    </w:p>
    <w:p>
      <w:pPr>
        <w:spacing w:after="0" w:line="162" w:lineRule="exact"/>
        <w:rPr>
          <w:rFonts w:ascii="Arial" w:cs="Arial" w:eastAsia="Arial" w:hAnsi="Arial"/>
          <w:sz w:val="20"/>
          <w:szCs w:val="20"/>
          <w:b w:val="1"/>
          <w:bCs w:val="1"/>
          <w:color w:val="auto"/>
        </w:rPr>
      </w:pPr>
    </w:p>
    <w:p>
      <w:pPr>
        <w:ind w:firstLine="656"/>
        <w:spacing w:after="0" w:line="239" w:lineRule="auto"/>
        <w:tabs>
          <w:tab w:leader="none" w:pos="1147"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any number of counterparts, each of which when so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will be deemed an original, and all of which together shall constitute one and the same agreement.</w:t>
      </w:r>
    </w:p>
    <w:p>
      <w:pPr>
        <w:spacing w:after="0" w:line="162" w:lineRule="exact"/>
        <w:rPr>
          <w:rFonts w:ascii="Arial" w:cs="Arial" w:eastAsia="Arial" w:hAnsi="Arial"/>
          <w:sz w:val="20"/>
          <w:szCs w:val="20"/>
          <w:b w:val="1"/>
          <w:bCs w:val="1"/>
          <w:color w:val="auto"/>
        </w:rPr>
      </w:pPr>
    </w:p>
    <w:p>
      <w:pPr>
        <w:jc w:val="both"/>
        <w:ind w:firstLine="656"/>
        <w:spacing w:after="0" w:line="230" w:lineRule="auto"/>
        <w:tabs>
          <w:tab w:leader="none" w:pos="1126" w:val="left"/>
        </w:tabs>
        <w:numPr>
          <w:ilvl w:val="0"/>
          <w:numId w:val="3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If any provision of this Agreement is determined by any court or arbitrator of competent jurisdiction to be</w:t>
      </w:r>
      <w:r>
        <w:rPr>
          <w:rFonts w:ascii="Arial" w:cs="Arial" w:eastAsia="Arial" w:hAnsi="Arial"/>
          <w:sz w:val="19"/>
          <w:szCs w:val="19"/>
          <w:b w:val="1"/>
          <w:bCs w:val="1"/>
          <w:color w:val="auto"/>
        </w:rPr>
        <w:t xml:space="preserve"> </w:t>
      </w:r>
      <w:r>
        <w:rPr>
          <w:rFonts w:ascii="Arial" w:cs="Arial" w:eastAsia="Arial" w:hAnsi="Arial"/>
          <w:sz w:val="19"/>
          <w:szCs w:val="19"/>
          <w:color w:val="auto"/>
        </w:rPr>
        <w:t>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67" w:lineRule="exact"/>
        <w:rPr>
          <w:rFonts w:ascii="Arial" w:cs="Arial" w:eastAsia="Arial" w:hAnsi="Arial"/>
          <w:sz w:val="19"/>
          <w:szCs w:val="19"/>
          <w:b w:val="1"/>
          <w:bCs w:val="1"/>
          <w:color w:val="auto"/>
        </w:rPr>
      </w:pPr>
    </w:p>
    <w:p>
      <w:pPr>
        <w:ind w:right="20" w:firstLine="656"/>
        <w:spacing w:after="0" w:line="264" w:lineRule="auto"/>
        <w:tabs>
          <w:tab w:leader="none" w:pos="1126" w:val="left"/>
        </w:tabs>
        <w:numPr>
          <w:ilvl w:val="0"/>
          <w:numId w:val="310"/>
        </w:numPr>
        <w:rPr>
          <w:rFonts w:ascii="Arial" w:cs="Arial" w:eastAsia="Arial" w:hAnsi="Arial"/>
          <w:sz w:val="19"/>
          <w:szCs w:val="19"/>
          <w:b w:val="1"/>
          <w:bCs w:val="1"/>
          <w:color w:val="auto"/>
        </w:rPr>
      </w:pPr>
      <w:r>
        <w:rPr>
          <w:rFonts w:ascii="Arial" w:cs="Arial" w:eastAsia="Arial" w:hAnsi="Arial"/>
          <w:sz w:val="19"/>
          <w:szCs w:val="19"/>
          <w:b w:val="1"/>
          <w:bCs w:val="1"/>
          <w:color w:val="auto"/>
        </w:rPr>
        <w:t>UNCERTIFICATED SHARES</w:t>
      </w:r>
      <w:r>
        <w:rPr>
          <w:rFonts w:ascii="Arial" w:cs="Arial" w:eastAsia="Arial" w:hAnsi="Arial"/>
          <w:sz w:val="19"/>
          <w:szCs w:val="19"/>
          <w:color w:val="auto"/>
        </w:rPr>
        <w:t>. Optionee agrees and acknowledges that to the extent the shares issued upon exercise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are uncertificated then all references herein to stock certificates also includes electronic or uncertificated equivalents.</w:t>
      </w:r>
    </w:p>
    <w:p>
      <w:pPr>
        <w:spacing w:after="0" w:line="16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 * * *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Attachment: </w:t>
      </w:r>
      <w:r>
        <w:rPr>
          <w:rFonts w:ascii="Arial" w:cs="Arial" w:eastAsia="Arial" w:hAnsi="Arial"/>
          <w:sz w:val="20"/>
          <w:szCs w:val="20"/>
          <w:u w:val="single" w:color="auto"/>
          <w:color w:val="auto"/>
        </w:rPr>
        <w:t>Annex A</w:t>
      </w:r>
      <w:r>
        <w:rPr>
          <w:rFonts w:ascii="Arial" w:cs="Arial" w:eastAsia="Arial" w:hAnsi="Arial"/>
          <w:sz w:val="20"/>
          <w:szCs w:val="20"/>
          <w:color w:val="auto"/>
        </w:rPr>
        <w:t>: Form of Stock Option Exercise Notice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522" w:name="page523"/>
    <w:bookmarkEnd w:id="52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R</w:t>
      </w:r>
      <w:r>
        <w:rPr>
          <w:rFonts w:ascii="Arial" w:cs="Arial" w:eastAsia="Arial" w:hAnsi="Arial"/>
          <w:sz w:val="23"/>
          <w:szCs w:val="23"/>
          <w:b w:val="1"/>
          <w:bCs w:val="1"/>
          <w:color w:val="auto"/>
        </w:rPr>
        <w:t>OBINHOOD</w:t>
      </w:r>
      <w:r>
        <w:rPr>
          <w:rFonts w:ascii="Arial" w:cs="Arial" w:eastAsia="Arial" w:hAnsi="Arial"/>
          <w:sz w:val="27"/>
          <w:szCs w:val="27"/>
          <w:b w:val="1"/>
          <w:bCs w:val="1"/>
          <w:color w:val="auto"/>
        </w:rPr>
        <w:t xml:space="preserve"> M</w:t>
      </w:r>
      <w:r>
        <w:rPr>
          <w:rFonts w:ascii="Arial" w:cs="Arial" w:eastAsia="Arial" w:hAnsi="Arial"/>
          <w:sz w:val="23"/>
          <w:szCs w:val="23"/>
          <w:b w:val="1"/>
          <w:bCs w:val="1"/>
          <w:color w:val="auto"/>
        </w:rPr>
        <w:t>ARKETS</w:t>
      </w:r>
      <w:r>
        <w:rPr>
          <w:rFonts w:ascii="Arial" w:cs="Arial" w:eastAsia="Arial" w:hAnsi="Arial"/>
          <w:sz w:val="27"/>
          <w:szCs w:val="27"/>
          <w:b w:val="1"/>
          <w:bCs w:val="1"/>
          <w:color w:val="auto"/>
        </w:rPr>
        <w:t>, I</w:t>
      </w:r>
      <w:r>
        <w:rPr>
          <w:rFonts w:ascii="Arial" w:cs="Arial" w:eastAsia="Arial" w:hAnsi="Arial"/>
          <w:sz w:val="23"/>
          <w:szCs w:val="23"/>
          <w:b w:val="1"/>
          <w:bCs w:val="1"/>
          <w:color w:val="auto"/>
        </w:rPr>
        <w:t>NC</w:t>
      </w:r>
      <w:r>
        <w:rPr>
          <w:rFonts w:ascii="Arial" w:cs="Arial" w:eastAsia="Arial" w:hAnsi="Arial"/>
          <w:sz w:val="27"/>
          <w:szCs w:val="27"/>
          <w:b w:val="1"/>
          <w:bCs w:val="1"/>
          <w:color w:val="auto"/>
        </w:rPr>
        <w:t>.</w:t>
      </w:r>
    </w:p>
    <w:p>
      <w:pPr>
        <w:spacing w:after="0" w:line="176" w:lineRule="exact"/>
        <w:rPr>
          <w:sz w:val="20"/>
          <w:szCs w:val="20"/>
          <w:color w:val="auto"/>
        </w:rPr>
      </w:pPr>
    </w:p>
    <w:p>
      <w:pPr>
        <w:jc w:val="center"/>
        <w:ind w:right="1120"/>
        <w:spacing w:after="0"/>
        <w:rPr>
          <w:sz w:val="20"/>
          <w:szCs w:val="20"/>
          <w:color w:val="auto"/>
        </w:rPr>
      </w:pPr>
      <w:r>
        <w:rPr>
          <w:rFonts w:ascii="Arial" w:cs="Arial" w:eastAsia="Arial" w:hAnsi="Arial"/>
          <w:sz w:val="26"/>
          <w:szCs w:val="26"/>
          <w:b w:val="1"/>
          <w:bCs w:val="1"/>
          <w:color w:val="auto"/>
        </w:rPr>
        <w:t>A</w:t>
      </w:r>
      <w:r>
        <w:rPr>
          <w:rFonts w:ascii="Arial" w:cs="Arial" w:eastAsia="Arial" w:hAnsi="Arial"/>
          <w:sz w:val="22"/>
          <w:szCs w:val="22"/>
          <w:b w:val="1"/>
          <w:bCs w:val="1"/>
          <w:color w:val="auto"/>
        </w:rPr>
        <w:t>MENDED AND</w:t>
      </w:r>
      <w:r>
        <w:rPr>
          <w:rFonts w:ascii="Arial" w:cs="Arial" w:eastAsia="Arial" w:hAnsi="Arial"/>
          <w:sz w:val="26"/>
          <w:szCs w:val="26"/>
          <w:b w:val="1"/>
          <w:bCs w:val="1"/>
          <w:color w:val="auto"/>
        </w:rPr>
        <w:t xml:space="preserve"> R</w:t>
      </w:r>
      <w:r>
        <w:rPr>
          <w:rFonts w:ascii="Arial" w:cs="Arial" w:eastAsia="Arial" w:hAnsi="Arial"/>
          <w:sz w:val="22"/>
          <w:szCs w:val="22"/>
          <w:b w:val="1"/>
          <w:bCs w:val="1"/>
          <w:color w:val="auto"/>
        </w:rPr>
        <w:t>ESTATED</w:t>
      </w:r>
      <w:r>
        <w:rPr>
          <w:rFonts w:ascii="Arial" w:cs="Arial" w:eastAsia="Arial" w:hAnsi="Arial"/>
          <w:sz w:val="26"/>
          <w:szCs w:val="26"/>
          <w:b w:val="1"/>
          <w:bCs w:val="1"/>
          <w:color w:val="auto"/>
        </w:rPr>
        <w:t xml:space="preserve"> 2013 S</w:t>
      </w:r>
      <w:r>
        <w:rPr>
          <w:rFonts w:ascii="Arial" w:cs="Arial" w:eastAsia="Arial" w:hAnsi="Arial"/>
          <w:sz w:val="22"/>
          <w:szCs w:val="22"/>
          <w:b w:val="1"/>
          <w:bCs w:val="1"/>
          <w:color w:val="auto"/>
        </w:rPr>
        <w:t>TOCK</w:t>
      </w:r>
      <w:r>
        <w:rPr>
          <w:rFonts w:ascii="Arial" w:cs="Arial" w:eastAsia="Arial" w:hAnsi="Arial"/>
          <w:sz w:val="26"/>
          <w:szCs w:val="26"/>
          <w:b w:val="1"/>
          <w:bCs w:val="1"/>
          <w:color w:val="auto"/>
        </w:rPr>
        <w:t xml:space="preserve"> P</w:t>
      </w:r>
      <w:r>
        <w:rPr>
          <w:rFonts w:ascii="Arial" w:cs="Arial" w:eastAsia="Arial" w:hAnsi="Arial"/>
          <w:sz w:val="22"/>
          <w:szCs w:val="22"/>
          <w:b w:val="1"/>
          <w:bCs w:val="1"/>
          <w:color w:val="auto"/>
        </w:rPr>
        <w:t>LAN</w:t>
      </w:r>
    </w:p>
    <w:p>
      <w:pPr>
        <w:spacing w:after="0" w:line="39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DOPTED ON</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ECEMBER</w:t>
      </w:r>
      <w:r>
        <w:rPr>
          <w:rFonts w:ascii="Arial" w:cs="Arial" w:eastAsia="Arial" w:hAnsi="Arial"/>
          <w:sz w:val="22"/>
          <w:szCs w:val="22"/>
          <w:b w:val="1"/>
          <w:bCs w:val="1"/>
          <w:color w:val="auto"/>
        </w:rPr>
        <w:t xml:space="preserve"> 4, 2013</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ESTATED ON</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ECEMBER</w:t>
      </w:r>
      <w:r>
        <w:rPr>
          <w:rFonts w:ascii="Arial" w:cs="Arial" w:eastAsia="Arial" w:hAnsi="Arial"/>
          <w:sz w:val="22"/>
          <w:szCs w:val="22"/>
          <w:b w:val="1"/>
          <w:bCs w:val="1"/>
          <w:color w:val="auto"/>
        </w:rPr>
        <w:t xml:space="preserve"> 15, 2018</w:t>
      </w:r>
    </w:p>
    <w:p>
      <w:pPr>
        <w:sectPr>
          <w:pgSz w:w="11900" w:h="16838" w:orient="portrait"/>
          <w:cols w:equalWidth="0" w:num="1">
            <w:col w:w="10120"/>
          </w:cols>
          <w:pgMar w:left="1440" w:top="121" w:right="33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7860" w:type="dxa"/>
            <w:vAlign w:val="bottom"/>
          </w:tcPr>
          <w:p>
            <w:pPr>
              <w:ind w:left="2980"/>
              <w:spacing w:after="0"/>
              <w:rPr>
                <w:sz w:val="20"/>
                <w:szCs w:val="20"/>
                <w:color w:val="auto"/>
              </w:rPr>
            </w:pPr>
            <w:r>
              <w:rPr>
                <w:rFonts w:ascii="Arial" w:cs="Arial" w:eastAsia="Arial" w:hAnsi="Arial"/>
                <w:sz w:val="22"/>
                <w:szCs w:val="22"/>
                <w:b w:val="1"/>
                <w:bCs w:val="1"/>
                <w:color w:val="auto"/>
              </w:rPr>
              <w:t>TABLE OF CONTENTS</w:t>
            </w:r>
          </w:p>
        </w:tc>
        <w:tc>
          <w:tcPr>
            <w:tcW w:w="1880" w:type="dxa"/>
            <w:vAlign w:val="bottom"/>
          </w:tcPr>
          <w:p>
            <w:pPr>
              <w:spacing w:after="0"/>
              <w:rPr>
                <w:sz w:val="24"/>
                <w:szCs w:val="24"/>
                <w:color w:val="auto"/>
              </w:rPr>
            </w:pPr>
          </w:p>
        </w:tc>
      </w:tr>
      <w:tr>
        <w:trPr>
          <w:trHeight w:val="459"/>
        </w:trPr>
        <w:tc>
          <w:tcPr>
            <w:tcW w:w="14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880" w:type="dxa"/>
            <w:vAlign w:val="bottom"/>
          </w:tcPr>
          <w:p>
            <w:pPr>
              <w:jc w:val="right"/>
              <w:ind w:right="12"/>
              <w:spacing w:after="0"/>
              <w:rPr>
                <w:sz w:val="20"/>
                <w:szCs w:val="20"/>
                <w:color w:val="auto"/>
              </w:rPr>
            </w:pPr>
            <w:r>
              <w:rPr>
                <w:rFonts w:ascii="Arial" w:cs="Arial" w:eastAsia="Arial" w:hAnsi="Arial"/>
                <w:sz w:val="22"/>
                <w:szCs w:val="22"/>
                <w:b w:val="1"/>
                <w:bCs w:val="1"/>
                <w:color w:val="auto"/>
              </w:rPr>
              <w:t>Page</w:t>
            </w:r>
          </w:p>
        </w:tc>
      </w:tr>
      <w:tr>
        <w:trPr>
          <w:trHeight w:val="567"/>
        </w:trPr>
        <w:tc>
          <w:tcPr>
            <w:tcW w:w="1460" w:type="dxa"/>
            <w:vAlign w:val="bottom"/>
          </w:tcPr>
          <w:p>
            <w:pPr>
              <w:spacing w:after="0"/>
              <w:rPr>
                <w:sz w:val="20"/>
                <w:szCs w:val="20"/>
                <w:color w:val="auto"/>
              </w:rPr>
            </w:pPr>
            <w:r>
              <w:rPr>
                <w:rFonts w:ascii="Arial" w:cs="Arial" w:eastAsia="Arial" w:hAnsi="Arial"/>
                <w:sz w:val="22"/>
                <w:szCs w:val="22"/>
                <w:color w:val="auto"/>
              </w:rPr>
              <w:t>SECTION 1.</w:t>
            </w:r>
          </w:p>
        </w:tc>
        <w:tc>
          <w:tcPr>
            <w:tcW w:w="7860" w:type="dxa"/>
            <w:vAlign w:val="bottom"/>
          </w:tcPr>
          <w:p>
            <w:pPr>
              <w:ind w:left="340"/>
              <w:spacing w:after="0"/>
              <w:rPr>
                <w:sz w:val="20"/>
                <w:szCs w:val="20"/>
                <w:color w:val="auto"/>
              </w:rPr>
            </w:pPr>
            <w:r>
              <w:rPr>
                <w:rFonts w:ascii="Arial" w:cs="Arial" w:eastAsia="Arial" w:hAnsi="Arial"/>
                <w:sz w:val="22"/>
                <w:szCs w:val="22"/>
                <w:color w:val="auto"/>
              </w:rPr>
              <w:t>ESTABLISHMENT AND PURPOSE.</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460" w:type="dxa"/>
            <w:vAlign w:val="bottom"/>
          </w:tcPr>
          <w:p>
            <w:pPr>
              <w:spacing w:after="0"/>
              <w:rPr>
                <w:sz w:val="20"/>
                <w:szCs w:val="20"/>
                <w:color w:val="auto"/>
              </w:rPr>
            </w:pPr>
            <w:r>
              <w:rPr>
                <w:rFonts w:ascii="Arial" w:cs="Arial" w:eastAsia="Arial" w:hAnsi="Arial"/>
                <w:sz w:val="22"/>
                <w:szCs w:val="22"/>
                <w:color w:val="auto"/>
              </w:rPr>
              <w:t>SECTION 2.</w:t>
            </w:r>
          </w:p>
        </w:tc>
        <w:tc>
          <w:tcPr>
            <w:tcW w:w="7860" w:type="dxa"/>
            <w:vAlign w:val="bottom"/>
          </w:tcPr>
          <w:p>
            <w:pPr>
              <w:ind w:left="340"/>
              <w:spacing w:after="0"/>
              <w:rPr>
                <w:sz w:val="20"/>
                <w:szCs w:val="20"/>
                <w:color w:val="auto"/>
              </w:rPr>
            </w:pPr>
            <w:r>
              <w:rPr>
                <w:rFonts w:ascii="Arial" w:cs="Arial" w:eastAsia="Arial" w:hAnsi="Arial"/>
                <w:sz w:val="22"/>
                <w:szCs w:val="22"/>
                <w:color w:val="auto"/>
              </w:rPr>
              <w:t>ADMINISTRATION.</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Committees of the Board of Directors</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Authority of the Board of Directors</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460" w:type="dxa"/>
            <w:vAlign w:val="bottom"/>
          </w:tcPr>
          <w:p>
            <w:pPr>
              <w:spacing w:after="0"/>
              <w:rPr>
                <w:sz w:val="20"/>
                <w:szCs w:val="20"/>
                <w:color w:val="auto"/>
              </w:rPr>
            </w:pPr>
            <w:r>
              <w:rPr>
                <w:rFonts w:ascii="Arial" w:cs="Arial" w:eastAsia="Arial" w:hAnsi="Arial"/>
                <w:sz w:val="22"/>
                <w:szCs w:val="22"/>
                <w:color w:val="auto"/>
              </w:rPr>
              <w:t>SECTION 3.</w:t>
            </w:r>
          </w:p>
        </w:tc>
        <w:tc>
          <w:tcPr>
            <w:tcW w:w="7860" w:type="dxa"/>
            <w:vAlign w:val="bottom"/>
          </w:tcPr>
          <w:p>
            <w:pPr>
              <w:ind w:left="340"/>
              <w:spacing w:after="0"/>
              <w:rPr>
                <w:sz w:val="20"/>
                <w:szCs w:val="20"/>
                <w:color w:val="auto"/>
              </w:rPr>
            </w:pPr>
            <w:r>
              <w:rPr>
                <w:rFonts w:ascii="Arial" w:cs="Arial" w:eastAsia="Arial" w:hAnsi="Arial"/>
                <w:sz w:val="22"/>
                <w:szCs w:val="22"/>
                <w:color w:val="auto"/>
              </w:rPr>
              <w:t>ELIGIBILITY.</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General Rule</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Ten-Percent Stockholders</w:t>
            </w:r>
          </w:p>
        </w:tc>
        <w:tc>
          <w:tcPr>
            <w:tcW w:w="18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46"/>
        </w:trPr>
        <w:tc>
          <w:tcPr>
            <w:tcW w:w="1460" w:type="dxa"/>
            <w:vAlign w:val="bottom"/>
          </w:tcPr>
          <w:p>
            <w:pPr>
              <w:spacing w:after="0"/>
              <w:rPr>
                <w:sz w:val="20"/>
                <w:szCs w:val="20"/>
                <w:color w:val="auto"/>
              </w:rPr>
            </w:pPr>
            <w:r>
              <w:rPr>
                <w:rFonts w:ascii="Arial" w:cs="Arial" w:eastAsia="Arial" w:hAnsi="Arial"/>
                <w:sz w:val="22"/>
                <w:szCs w:val="22"/>
                <w:color w:val="auto"/>
              </w:rPr>
              <w:t>SECTION 4.</w:t>
            </w:r>
          </w:p>
        </w:tc>
        <w:tc>
          <w:tcPr>
            <w:tcW w:w="7860" w:type="dxa"/>
            <w:vAlign w:val="bottom"/>
          </w:tcPr>
          <w:p>
            <w:pPr>
              <w:ind w:left="340"/>
              <w:spacing w:after="0"/>
              <w:rPr>
                <w:sz w:val="20"/>
                <w:szCs w:val="20"/>
                <w:color w:val="auto"/>
              </w:rPr>
            </w:pPr>
            <w:r>
              <w:rPr>
                <w:rFonts w:ascii="Arial" w:cs="Arial" w:eastAsia="Arial" w:hAnsi="Arial"/>
                <w:sz w:val="22"/>
                <w:szCs w:val="22"/>
                <w:color w:val="auto"/>
              </w:rPr>
              <w:t>STOCK SUBJECT TO PLAN.</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45"/>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Basic Limitation</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Additional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45"/>
        </w:trPr>
        <w:tc>
          <w:tcPr>
            <w:tcW w:w="1460" w:type="dxa"/>
            <w:vAlign w:val="bottom"/>
          </w:tcPr>
          <w:p>
            <w:pPr>
              <w:spacing w:after="0"/>
              <w:rPr>
                <w:sz w:val="20"/>
                <w:szCs w:val="20"/>
                <w:color w:val="auto"/>
              </w:rPr>
            </w:pPr>
            <w:r>
              <w:rPr>
                <w:rFonts w:ascii="Arial" w:cs="Arial" w:eastAsia="Arial" w:hAnsi="Arial"/>
                <w:sz w:val="22"/>
                <w:szCs w:val="22"/>
                <w:color w:val="auto"/>
              </w:rPr>
              <w:t>SECTION 5.</w:t>
            </w:r>
          </w:p>
        </w:tc>
        <w:tc>
          <w:tcPr>
            <w:tcW w:w="7860" w:type="dxa"/>
            <w:vAlign w:val="bottom"/>
          </w:tcPr>
          <w:p>
            <w:pPr>
              <w:ind w:left="340"/>
              <w:spacing w:after="0"/>
              <w:rPr>
                <w:sz w:val="20"/>
                <w:szCs w:val="20"/>
                <w:color w:val="auto"/>
              </w:rPr>
            </w:pPr>
            <w:r>
              <w:rPr>
                <w:rFonts w:ascii="Arial" w:cs="Arial" w:eastAsia="Arial" w:hAnsi="Arial"/>
                <w:sz w:val="22"/>
                <w:szCs w:val="22"/>
                <w:color w:val="auto"/>
              </w:rPr>
              <w:t>TERMS AND CONDITIONS OF AWARDS OR SALES OF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46"/>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Stock Grant or Purchase Agreement</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Duration of Offers and Nontransferability of Rights</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(c)</w:t>
            </w:r>
          </w:p>
        </w:tc>
        <w:tc>
          <w:tcPr>
            <w:tcW w:w="7860" w:type="dxa"/>
            <w:vAlign w:val="bottom"/>
          </w:tcPr>
          <w:p>
            <w:pPr>
              <w:ind w:left="340"/>
              <w:spacing w:after="0"/>
              <w:rPr>
                <w:sz w:val="20"/>
                <w:szCs w:val="20"/>
                <w:color w:val="auto"/>
              </w:rPr>
            </w:pPr>
            <w:r>
              <w:rPr>
                <w:rFonts w:ascii="Arial" w:cs="Arial" w:eastAsia="Arial" w:hAnsi="Arial"/>
                <w:sz w:val="22"/>
                <w:szCs w:val="22"/>
                <w:color w:val="auto"/>
              </w:rPr>
              <w:t>Purchase Price</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45"/>
        </w:trPr>
        <w:tc>
          <w:tcPr>
            <w:tcW w:w="1460" w:type="dxa"/>
            <w:vAlign w:val="bottom"/>
          </w:tcPr>
          <w:p>
            <w:pPr>
              <w:spacing w:after="0"/>
              <w:rPr>
                <w:sz w:val="20"/>
                <w:szCs w:val="20"/>
                <w:color w:val="auto"/>
              </w:rPr>
            </w:pPr>
            <w:r>
              <w:rPr>
                <w:rFonts w:ascii="Arial" w:cs="Arial" w:eastAsia="Arial" w:hAnsi="Arial"/>
                <w:sz w:val="22"/>
                <w:szCs w:val="22"/>
                <w:color w:val="auto"/>
              </w:rPr>
              <w:t>SECTION 6.</w:t>
            </w:r>
          </w:p>
        </w:tc>
        <w:tc>
          <w:tcPr>
            <w:tcW w:w="7860" w:type="dxa"/>
            <w:vAlign w:val="bottom"/>
          </w:tcPr>
          <w:p>
            <w:pPr>
              <w:ind w:left="340"/>
              <w:spacing w:after="0"/>
              <w:rPr>
                <w:sz w:val="20"/>
                <w:szCs w:val="20"/>
                <w:color w:val="auto"/>
              </w:rPr>
            </w:pPr>
            <w:r>
              <w:rPr>
                <w:rFonts w:ascii="Arial" w:cs="Arial" w:eastAsia="Arial" w:hAnsi="Arial"/>
                <w:sz w:val="22"/>
                <w:szCs w:val="22"/>
                <w:color w:val="auto"/>
              </w:rPr>
              <w:t>TERMS AND CONDITIONS OF OPTIONS.</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45"/>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Stock Option Agreement</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Number of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(c)</w:t>
            </w:r>
          </w:p>
        </w:tc>
        <w:tc>
          <w:tcPr>
            <w:tcW w:w="7860" w:type="dxa"/>
            <w:vAlign w:val="bottom"/>
          </w:tcPr>
          <w:p>
            <w:pPr>
              <w:ind w:left="340"/>
              <w:spacing w:after="0"/>
              <w:rPr>
                <w:sz w:val="20"/>
                <w:szCs w:val="20"/>
                <w:color w:val="auto"/>
              </w:rPr>
            </w:pPr>
            <w:r>
              <w:rPr>
                <w:rFonts w:ascii="Arial" w:cs="Arial" w:eastAsia="Arial" w:hAnsi="Arial"/>
                <w:sz w:val="22"/>
                <w:szCs w:val="22"/>
                <w:color w:val="auto"/>
              </w:rPr>
              <w:t>Exercise Price</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(d)</w:t>
            </w:r>
          </w:p>
        </w:tc>
        <w:tc>
          <w:tcPr>
            <w:tcW w:w="7860" w:type="dxa"/>
            <w:vAlign w:val="bottom"/>
          </w:tcPr>
          <w:p>
            <w:pPr>
              <w:ind w:left="340"/>
              <w:spacing w:after="0"/>
              <w:rPr>
                <w:sz w:val="20"/>
                <w:szCs w:val="20"/>
                <w:color w:val="auto"/>
              </w:rPr>
            </w:pPr>
            <w:r>
              <w:rPr>
                <w:rFonts w:ascii="Arial" w:cs="Arial" w:eastAsia="Arial" w:hAnsi="Arial"/>
                <w:sz w:val="22"/>
                <w:szCs w:val="22"/>
                <w:color w:val="auto"/>
              </w:rPr>
              <w:t>Vesting and Exercisability</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(e)</w:t>
            </w:r>
          </w:p>
        </w:tc>
        <w:tc>
          <w:tcPr>
            <w:tcW w:w="7860" w:type="dxa"/>
            <w:vAlign w:val="bottom"/>
          </w:tcPr>
          <w:p>
            <w:pPr>
              <w:ind w:left="340"/>
              <w:spacing w:after="0"/>
              <w:rPr>
                <w:sz w:val="20"/>
                <w:szCs w:val="20"/>
                <w:color w:val="auto"/>
              </w:rPr>
            </w:pPr>
            <w:r>
              <w:rPr>
                <w:rFonts w:ascii="Arial" w:cs="Arial" w:eastAsia="Arial" w:hAnsi="Arial"/>
                <w:sz w:val="22"/>
                <w:szCs w:val="22"/>
                <w:color w:val="auto"/>
              </w:rPr>
              <w:t>Basic Term</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(f)</w:t>
            </w:r>
          </w:p>
        </w:tc>
        <w:tc>
          <w:tcPr>
            <w:tcW w:w="7860" w:type="dxa"/>
            <w:vAlign w:val="bottom"/>
          </w:tcPr>
          <w:p>
            <w:pPr>
              <w:ind w:left="340"/>
              <w:spacing w:after="0"/>
              <w:rPr>
                <w:sz w:val="20"/>
                <w:szCs w:val="20"/>
                <w:color w:val="auto"/>
              </w:rPr>
            </w:pPr>
            <w:r>
              <w:rPr>
                <w:rFonts w:ascii="Arial" w:cs="Arial" w:eastAsia="Arial" w:hAnsi="Arial"/>
                <w:sz w:val="22"/>
                <w:szCs w:val="22"/>
                <w:color w:val="auto"/>
              </w:rPr>
              <w:t>Termination of Service (Except by Death)</w:t>
            </w:r>
          </w:p>
        </w:tc>
        <w:tc>
          <w:tcPr>
            <w:tcW w:w="18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(g)</w:t>
            </w:r>
          </w:p>
        </w:tc>
        <w:tc>
          <w:tcPr>
            <w:tcW w:w="7860" w:type="dxa"/>
            <w:vAlign w:val="bottom"/>
          </w:tcPr>
          <w:p>
            <w:pPr>
              <w:ind w:left="340"/>
              <w:spacing w:after="0"/>
              <w:rPr>
                <w:sz w:val="20"/>
                <w:szCs w:val="20"/>
                <w:color w:val="auto"/>
              </w:rPr>
            </w:pPr>
            <w:r>
              <w:rPr>
                <w:rFonts w:ascii="Arial" w:cs="Arial" w:eastAsia="Arial" w:hAnsi="Arial"/>
                <w:sz w:val="22"/>
                <w:szCs w:val="22"/>
                <w:color w:val="auto"/>
              </w:rPr>
              <w:t>Leaves of Absence</w:t>
            </w:r>
          </w:p>
        </w:tc>
        <w:tc>
          <w:tcPr>
            <w:tcW w:w="18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(h)</w:t>
            </w:r>
          </w:p>
        </w:tc>
        <w:tc>
          <w:tcPr>
            <w:tcW w:w="7860" w:type="dxa"/>
            <w:vAlign w:val="bottom"/>
          </w:tcPr>
          <w:p>
            <w:pPr>
              <w:ind w:left="340"/>
              <w:spacing w:after="0"/>
              <w:rPr>
                <w:sz w:val="20"/>
                <w:szCs w:val="20"/>
                <w:color w:val="auto"/>
              </w:rPr>
            </w:pPr>
            <w:r>
              <w:rPr>
                <w:rFonts w:ascii="Arial" w:cs="Arial" w:eastAsia="Arial" w:hAnsi="Arial"/>
                <w:sz w:val="22"/>
                <w:szCs w:val="22"/>
                <w:color w:val="auto"/>
              </w:rPr>
              <w:t>Death of Optionee</w:t>
            </w:r>
          </w:p>
        </w:tc>
        <w:tc>
          <w:tcPr>
            <w:tcW w:w="18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(i)</w:t>
            </w:r>
          </w:p>
        </w:tc>
        <w:tc>
          <w:tcPr>
            <w:tcW w:w="7860" w:type="dxa"/>
            <w:vAlign w:val="bottom"/>
          </w:tcPr>
          <w:p>
            <w:pPr>
              <w:ind w:left="340"/>
              <w:spacing w:after="0"/>
              <w:rPr>
                <w:sz w:val="20"/>
                <w:szCs w:val="20"/>
                <w:color w:val="auto"/>
              </w:rPr>
            </w:pPr>
            <w:r>
              <w:rPr>
                <w:rFonts w:ascii="Arial" w:cs="Arial" w:eastAsia="Arial" w:hAnsi="Arial"/>
                <w:sz w:val="22"/>
                <w:szCs w:val="22"/>
                <w:color w:val="auto"/>
              </w:rPr>
              <w:t>Pre-Exercise Restrictions on Transfer of Options or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(j)</w:t>
            </w:r>
          </w:p>
        </w:tc>
        <w:tc>
          <w:tcPr>
            <w:tcW w:w="7860" w:type="dxa"/>
            <w:vAlign w:val="bottom"/>
          </w:tcPr>
          <w:p>
            <w:pPr>
              <w:ind w:left="340"/>
              <w:spacing w:after="0"/>
              <w:rPr>
                <w:sz w:val="20"/>
                <w:szCs w:val="20"/>
                <w:color w:val="auto"/>
              </w:rPr>
            </w:pPr>
            <w:r>
              <w:rPr>
                <w:rFonts w:ascii="Arial" w:cs="Arial" w:eastAsia="Arial" w:hAnsi="Arial"/>
                <w:sz w:val="22"/>
                <w:szCs w:val="22"/>
                <w:color w:val="auto"/>
              </w:rPr>
              <w:t>No Rights as a Stockholder</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(k)</w:t>
            </w:r>
          </w:p>
        </w:tc>
        <w:tc>
          <w:tcPr>
            <w:tcW w:w="7860" w:type="dxa"/>
            <w:vAlign w:val="bottom"/>
          </w:tcPr>
          <w:p>
            <w:pPr>
              <w:ind w:left="340"/>
              <w:spacing w:after="0"/>
              <w:rPr>
                <w:sz w:val="20"/>
                <w:szCs w:val="20"/>
                <w:color w:val="auto"/>
              </w:rPr>
            </w:pPr>
            <w:r>
              <w:rPr>
                <w:rFonts w:ascii="Arial" w:cs="Arial" w:eastAsia="Arial" w:hAnsi="Arial"/>
                <w:sz w:val="22"/>
                <w:szCs w:val="22"/>
                <w:color w:val="auto"/>
              </w:rPr>
              <w:t>Modification, Extension and Assumption of Options</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(l)</w:t>
            </w:r>
          </w:p>
        </w:tc>
        <w:tc>
          <w:tcPr>
            <w:tcW w:w="7860" w:type="dxa"/>
            <w:vAlign w:val="bottom"/>
          </w:tcPr>
          <w:p>
            <w:pPr>
              <w:ind w:left="340"/>
              <w:spacing w:after="0"/>
              <w:rPr>
                <w:sz w:val="20"/>
                <w:szCs w:val="20"/>
                <w:color w:val="auto"/>
              </w:rPr>
            </w:pPr>
            <w:r>
              <w:rPr>
                <w:rFonts w:ascii="Arial" w:cs="Arial" w:eastAsia="Arial" w:hAnsi="Arial"/>
                <w:sz w:val="22"/>
                <w:szCs w:val="22"/>
                <w:color w:val="auto"/>
              </w:rPr>
              <w:t>Company’s Right to Cancel Certain Options</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45"/>
        </w:trPr>
        <w:tc>
          <w:tcPr>
            <w:tcW w:w="1460" w:type="dxa"/>
            <w:vAlign w:val="bottom"/>
          </w:tcPr>
          <w:p>
            <w:pPr>
              <w:spacing w:after="0"/>
              <w:rPr>
                <w:sz w:val="20"/>
                <w:szCs w:val="20"/>
                <w:color w:val="auto"/>
              </w:rPr>
            </w:pPr>
            <w:r>
              <w:rPr>
                <w:rFonts w:ascii="Arial" w:cs="Arial" w:eastAsia="Arial" w:hAnsi="Arial"/>
                <w:sz w:val="22"/>
                <w:szCs w:val="22"/>
                <w:color w:val="auto"/>
              </w:rPr>
              <w:t>SECTION 7.</w:t>
            </w:r>
          </w:p>
        </w:tc>
        <w:tc>
          <w:tcPr>
            <w:tcW w:w="7860" w:type="dxa"/>
            <w:vAlign w:val="bottom"/>
          </w:tcPr>
          <w:p>
            <w:pPr>
              <w:ind w:left="340"/>
              <w:spacing w:after="0"/>
              <w:rPr>
                <w:sz w:val="20"/>
                <w:szCs w:val="20"/>
                <w:color w:val="auto"/>
              </w:rPr>
            </w:pPr>
            <w:r>
              <w:rPr>
                <w:rFonts w:ascii="Arial" w:cs="Arial" w:eastAsia="Arial" w:hAnsi="Arial"/>
                <w:sz w:val="22"/>
                <w:szCs w:val="22"/>
                <w:color w:val="auto"/>
              </w:rPr>
              <w:t>PAYMENT FOR SHARES.</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46"/>
        </w:trPr>
        <w:tc>
          <w:tcPr>
            <w:tcW w:w="1460" w:type="dxa"/>
            <w:vAlign w:val="bottom"/>
          </w:tcPr>
          <w:p>
            <w:pPr>
              <w:ind w:left="840"/>
              <w:spacing w:after="0"/>
              <w:rPr>
                <w:sz w:val="20"/>
                <w:szCs w:val="20"/>
                <w:color w:val="auto"/>
              </w:rPr>
            </w:pPr>
            <w:r>
              <w:rPr>
                <w:rFonts w:ascii="Arial" w:cs="Arial" w:eastAsia="Arial" w:hAnsi="Arial"/>
                <w:sz w:val="22"/>
                <w:szCs w:val="22"/>
                <w:color w:val="auto"/>
              </w:rPr>
              <w:t>(a)</w:t>
            </w:r>
          </w:p>
        </w:tc>
        <w:tc>
          <w:tcPr>
            <w:tcW w:w="7860" w:type="dxa"/>
            <w:vAlign w:val="bottom"/>
          </w:tcPr>
          <w:p>
            <w:pPr>
              <w:ind w:left="340"/>
              <w:spacing w:after="0"/>
              <w:rPr>
                <w:sz w:val="20"/>
                <w:szCs w:val="20"/>
                <w:color w:val="auto"/>
              </w:rPr>
            </w:pPr>
            <w:r>
              <w:rPr>
                <w:rFonts w:ascii="Arial" w:cs="Arial" w:eastAsia="Arial" w:hAnsi="Arial"/>
                <w:sz w:val="22"/>
                <w:szCs w:val="22"/>
                <w:color w:val="auto"/>
              </w:rPr>
              <w:t>General Rule</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(b)</w:t>
            </w:r>
          </w:p>
        </w:tc>
        <w:tc>
          <w:tcPr>
            <w:tcW w:w="7860" w:type="dxa"/>
            <w:vAlign w:val="bottom"/>
          </w:tcPr>
          <w:p>
            <w:pPr>
              <w:ind w:left="340"/>
              <w:spacing w:after="0"/>
              <w:rPr>
                <w:sz w:val="20"/>
                <w:szCs w:val="20"/>
                <w:color w:val="auto"/>
              </w:rPr>
            </w:pPr>
            <w:r>
              <w:rPr>
                <w:rFonts w:ascii="Arial" w:cs="Arial" w:eastAsia="Arial" w:hAnsi="Arial"/>
                <w:sz w:val="22"/>
                <w:szCs w:val="22"/>
                <w:color w:val="auto"/>
              </w:rPr>
              <w:t>Services Rendered</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(c)</w:t>
            </w:r>
          </w:p>
        </w:tc>
        <w:tc>
          <w:tcPr>
            <w:tcW w:w="7860" w:type="dxa"/>
            <w:vAlign w:val="bottom"/>
          </w:tcPr>
          <w:p>
            <w:pPr>
              <w:ind w:left="340"/>
              <w:spacing w:after="0"/>
              <w:rPr>
                <w:sz w:val="20"/>
                <w:szCs w:val="20"/>
                <w:color w:val="auto"/>
              </w:rPr>
            </w:pPr>
            <w:r>
              <w:rPr>
                <w:rFonts w:ascii="Arial" w:cs="Arial" w:eastAsia="Arial" w:hAnsi="Arial"/>
                <w:sz w:val="22"/>
                <w:szCs w:val="22"/>
                <w:color w:val="auto"/>
              </w:rPr>
              <w:t>Promissory Note</w:t>
            </w:r>
          </w:p>
        </w:tc>
        <w:tc>
          <w:tcPr>
            <w:tcW w:w="18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1460" w:type="dxa"/>
            <w:vAlign w:val="bottom"/>
          </w:tcPr>
          <w:p>
            <w:pPr>
              <w:ind w:left="840"/>
              <w:spacing w:after="0"/>
              <w:rPr>
                <w:sz w:val="20"/>
                <w:szCs w:val="20"/>
                <w:color w:val="auto"/>
              </w:rPr>
            </w:pPr>
            <w:r>
              <w:rPr>
                <w:rFonts w:ascii="Arial" w:cs="Arial" w:eastAsia="Arial" w:hAnsi="Arial"/>
                <w:sz w:val="22"/>
                <w:szCs w:val="22"/>
                <w:color w:val="auto"/>
              </w:rPr>
              <w:t>(d)</w:t>
            </w:r>
          </w:p>
        </w:tc>
        <w:tc>
          <w:tcPr>
            <w:tcW w:w="7860" w:type="dxa"/>
            <w:vAlign w:val="bottom"/>
          </w:tcPr>
          <w:p>
            <w:pPr>
              <w:ind w:left="340"/>
              <w:spacing w:after="0"/>
              <w:rPr>
                <w:sz w:val="20"/>
                <w:szCs w:val="20"/>
                <w:color w:val="auto"/>
              </w:rPr>
            </w:pPr>
            <w:r>
              <w:rPr>
                <w:rFonts w:ascii="Arial" w:cs="Arial" w:eastAsia="Arial" w:hAnsi="Arial"/>
                <w:sz w:val="22"/>
                <w:szCs w:val="22"/>
                <w:color w:val="auto"/>
              </w:rPr>
              <w:t>Surrender of Stock</w:t>
            </w:r>
          </w:p>
        </w:tc>
        <w:tc>
          <w:tcPr>
            <w:tcW w:w="1880" w:type="dxa"/>
            <w:vAlign w:val="bottom"/>
          </w:tcPr>
          <w:p>
            <w:pPr>
              <w:jc w:val="right"/>
              <w:spacing w:after="0"/>
              <w:rPr>
                <w:sz w:val="20"/>
                <w:szCs w:val="20"/>
                <w:color w:val="auto"/>
              </w:rPr>
            </w:pPr>
            <w:r>
              <w:rPr>
                <w:rFonts w:ascii="Arial" w:cs="Arial" w:eastAsia="Arial" w:hAnsi="Arial"/>
                <w:sz w:val="22"/>
                <w:szCs w:val="22"/>
                <w:color w:val="auto"/>
              </w:rPr>
              <w:t>6</w:t>
            </w:r>
          </w:p>
        </w:tc>
      </w:tr>
    </w:tbl>
    <w:p>
      <w:pPr>
        <w:spacing w:after="0" w:line="200" w:lineRule="exact"/>
        <w:rPr>
          <w:sz w:val="20"/>
          <w:szCs w:val="20"/>
          <w:color w:val="auto"/>
        </w:rPr>
      </w:pPr>
    </w:p>
    <w:p>
      <w:pPr>
        <w:sectPr>
          <w:pgSz w:w="11900" w:h="16838" w:orient="portrait"/>
          <w:cols w:equalWidth="0" w:num="1">
            <w:col w:w="11200"/>
          </w:cols>
          <w:pgMar w:left="340" w:top="14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21" w:right="359" w:bottom="1440" w:gutter="0" w:footer="0" w:header="0"/>
          <w:type w:val="continuous"/>
        </w:sectPr>
      </w:pPr>
    </w:p>
    <w:bookmarkStart w:id="524" w:name="page525"/>
    <w:bookmarkEnd w:id="52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20" w:type="dxa"/>
            <w:vAlign w:val="bottom"/>
          </w:tcPr>
          <w:p>
            <w:pPr>
              <w:ind w:left="840"/>
              <w:spacing w:after="0"/>
              <w:rPr>
                <w:sz w:val="20"/>
                <w:szCs w:val="20"/>
                <w:color w:val="auto"/>
              </w:rPr>
            </w:pPr>
            <w:r>
              <w:rPr>
                <w:rFonts w:ascii="Arial" w:cs="Arial" w:eastAsia="Arial" w:hAnsi="Arial"/>
                <w:sz w:val="22"/>
                <w:szCs w:val="22"/>
                <w:color w:val="auto"/>
              </w:rPr>
              <w:t>(e)</w:t>
            </w:r>
          </w:p>
        </w:tc>
        <w:tc>
          <w:tcPr>
            <w:tcW w:w="7940" w:type="dxa"/>
            <w:vAlign w:val="bottom"/>
          </w:tcPr>
          <w:p>
            <w:pPr>
              <w:ind w:left="280"/>
              <w:spacing w:after="0"/>
              <w:rPr>
                <w:sz w:val="20"/>
                <w:szCs w:val="20"/>
                <w:color w:val="auto"/>
              </w:rPr>
            </w:pPr>
            <w:r>
              <w:rPr>
                <w:rFonts w:ascii="Arial" w:cs="Arial" w:eastAsia="Arial" w:hAnsi="Arial"/>
                <w:sz w:val="22"/>
                <w:szCs w:val="22"/>
                <w:color w:val="auto"/>
              </w:rPr>
              <w:t>Exercise/Sale</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(f)</w:t>
            </w:r>
          </w:p>
        </w:tc>
        <w:tc>
          <w:tcPr>
            <w:tcW w:w="7940" w:type="dxa"/>
            <w:vAlign w:val="bottom"/>
          </w:tcPr>
          <w:p>
            <w:pPr>
              <w:ind w:left="280"/>
              <w:spacing w:after="0"/>
              <w:rPr>
                <w:sz w:val="20"/>
                <w:szCs w:val="20"/>
                <w:color w:val="auto"/>
              </w:rPr>
            </w:pPr>
            <w:r>
              <w:rPr>
                <w:rFonts w:ascii="Arial" w:cs="Arial" w:eastAsia="Arial" w:hAnsi="Arial"/>
                <w:sz w:val="22"/>
                <w:szCs w:val="22"/>
                <w:color w:val="auto"/>
              </w:rPr>
              <w:t>Net Exercise</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(g)</w:t>
            </w:r>
          </w:p>
        </w:tc>
        <w:tc>
          <w:tcPr>
            <w:tcW w:w="7940" w:type="dxa"/>
            <w:vAlign w:val="bottom"/>
          </w:tcPr>
          <w:p>
            <w:pPr>
              <w:ind w:left="280"/>
              <w:spacing w:after="0"/>
              <w:rPr>
                <w:sz w:val="20"/>
                <w:szCs w:val="20"/>
                <w:color w:val="auto"/>
              </w:rPr>
            </w:pPr>
            <w:r>
              <w:rPr>
                <w:rFonts w:ascii="Arial" w:cs="Arial" w:eastAsia="Arial" w:hAnsi="Arial"/>
                <w:sz w:val="22"/>
                <w:szCs w:val="22"/>
                <w:color w:val="auto"/>
              </w:rPr>
              <w:t>Other Forms of Payment</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46"/>
        </w:trPr>
        <w:tc>
          <w:tcPr>
            <w:tcW w:w="1520" w:type="dxa"/>
            <w:vAlign w:val="bottom"/>
          </w:tcPr>
          <w:p>
            <w:pPr>
              <w:spacing w:after="0"/>
              <w:rPr>
                <w:sz w:val="20"/>
                <w:szCs w:val="20"/>
                <w:color w:val="auto"/>
              </w:rPr>
            </w:pPr>
            <w:r>
              <w:rPr>
                <w:rFonts w:ascii="Arial" w:cs="Arial" w:eastAsia="Arial" w:hAnsi="Arial"/>
                <w:sz w:val="22"/>
                <w:szCs w:val="22"/>
                <w:color w:val="auto"/>
              </w:rPr>
              <w:t>SECTION 8.</w:t>
            </w:r>
          </w:p>
        </w:tc>
        <w:tc>
          <w:tcPr>
            <w:tcW w:w="7940" w:type="dxa"/>
            <w:vAlign w:val="bottom"/>
          </w:tcPr>
          <w:p>
            <w:pPr>
              <w:ind w:left="280"/>
              <w:spacing w:after="0"/>
              <w:rPr>
                <w:sz w:val="20"/>
                <w:szCs w:val="20"/>
                <w:color w:val="auto"/>
              </w:rPr>
            </w:pPr>
            <w:r>
              <w:rPr>
                <w:rFonts w:ascii="Arial" w:cs="Arial" w:eastAsia="Arial" w:hAnsi="Arial"/>
                <w:sz w:val="22"/>
                <w:szCs w:val="22"/>
                <w:color w:val="auto"/>
              </w:rPr>
              <w:t>TERMS AND CONDITIONS OF RESTRICTED STOCK UNITS.</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46"/>
        </w:trPr>
        <w:tc>
          <w:tcPr>
            <w:tcW w:w="1520" w:type="dxa"/>
            <w:vAlign w:val="bottom"/>
          </w:tcPr>
          <w:p>
            <w:pPr>
              <w:ind w:left="840"/>
              <w:spacing w:after="0"/>
              <w:rPr>
                <w:sz w:val="20"/>
                <w:szCs w:val="20"/>
                <w:color w:val="auto"/>
              </w:rPr>
            </w:pPr>
            <w:r>
              <w:rPr>
                <w:rFonts w:ascii="Arial" w:cs="Arial" w:eastAsia="Arial" w:hAnsi="Arial"/>
                <w:sz w:val="22"/>
                <w:szCs w:val="22"/>
                <w:color w:val="auto"/>
              </w:rPr>
              <w:t>(a)</w:t>
            </w:r>
          </w:p>
        </w:tc>
        <w:tc>
          <w:tcPr>
            <w:tcW w:w="7940" w:type="dxa"/>
            <w:vAlign w:val="bottom"/>
          </w:tcPr>
          <w:p>
            <w:pPr>
              <w:ind w:left="280"/>
              <w:spacing w:after="0"/>
              <w:rPr>
                <w:sz w:val="20"/>
                <w:szCs w:val="20"/>
                <w:color w:val="auto"/>
              </w:rPr>
            </w:pPr>
            <w:r>
              <w:rPr>
                <w:rFonts w:ascii="Arial" w:cs="Arial" w:eastAsia="Arial" w:hAnsi="Arial"/>
                <w:sz w:val="22"/>
                <w:szCs w:val="22"/>
                <w:color w:val="auto"/>
              </w:rPr>
              <w:t>Restricted Stock Unit Award Agreement</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(b)</w:t>
            </w:r>
          </w:p>
        </w:tc>
        <w:tc>
          <w:tcPr>
            <w:tcW w:w="7940" w:type="dxa"/>
            <w:vAlign w:val="bottom"/>
          </w:tcPr>
          <w:p>
            <w:pPr>
              <w:ind w:left="280"/>
              <w:spacing w:after="0"/>
              <w:rPr>
                <w:sz w:val="20"/>
                <w:szCs w:val="20"/>
                <w:color w:val="auto"/>
              </w:rPr>
            </w:pPr>
            <w:r>
              <w:rPr>
                <w:rFonts w:ascii="Arial" w:cs="Arial" w:eastAsia="Arial" w:hAnsi="Arial"/>
                <w:sz w:val="22"/>
                <w:szCs w:val="22"/>
                <w:color w:val="auto"/>
              </w:rPr>
              <w:t>Payment for Restricted Stock Units</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(c)</w:t>
            </w:r>
          </w:p>
        </w:tc>
        <w:tc>
          <w:tcPr>
            <w:tcW w:w="7940" w:type="dxa"/>
            <w:vAlign w:val="bottom"/>
          </w:tcPr>
          <w:p>
            <w:pPr>
              <w:ind w:left="280"/>
              <w:spacing w:after="0"/>
              <w:rPr>
                <w:sz w:val="20"/>
                <w:szCs w:val="20"/>
                <w:color w:val="auto"/>
              </w:rPr>
            </w:pPr>
            <w:r>
              <w:rPr>
                <w:rFonts w:ascii="Arial" w:cs="Arial" w:eastAsia="Arial" w:hAnsi="Arial"/>
                <w:sz w:val="22"/>
                <w:szCs w:val="22"/>
                <w:color w:val="auto"/>
              </w:rPr>
              <w:t>Vesting Conditions</w:t>
            </w:r>
          </w:p>
        </w:tc>
        <w:tc>
          <w:tcPr>
            <w:tcW w:w="1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(d)</w:t>
            </w:r>
          </w:p>
        </w:tc>
        <w:tc>
          <w:tcPr>
            <w:tcW w:w="7940" w:type="dxa"/>
            <w:vAlign w:val="bottom"/>
          </w:tcPr>
          <w:p>
            <w:pPr>
              <w:ind w:left="280"/>
              <w:spacing w:after="0"/>
              <w:rPr>
                <w:sz w:val="20"/>
                <w:szCs w:val="20"/>
                <w:color w:val="auto"/>
              </w:rPr>
            </w:pPr>
            <w:r>
              <w:rPr>
                <w:rFonts w:ascii="Arial" w:cs="Arial" w:eastAsia="Arial" w:hAnsi="Arial"/>
                <w:sz w:val="22"/>
                <w:szCs w:val="22"/>
                <w:color w:val="auto"/>
              </w:rPr>
              <w:t>Forfeiture</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(e)</w:t>
            </w:r>
          </w:p>
        </w:tc>
        <w:tc>
          <w:tcPr>
            <w:tcW w:w="7940" w:type="dxa"/>
            <w:vAlign w:val="bottom"/>
          </w:tcPr>
          <w:p>
            <w:pPr>
              <w:ind w:left="280"/>
              <w:spacing w:after="0"/>
              <w:rPr>
                <w:sz w:val="20"/>
                <w:szCs w:val="20"/>
                <w:color w:val="auto"/>
              </w:rPr>
            </w:pPr>
            <w:r>
              <w:rPr>
                <w:rFonts w:ascii="Arial" w:cs="Arial" w:eastAsia="Arial" w:hAnsi="Arial"/>
                <w:sz w:val="22"/>
                <w:szCs w:val="22"/>
                <w:color w:val="auto"/>
              </w:rPr>
              <w:t>Leaves of Absence</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(f)</w:t>
            </w:r>
          </w:p>
        </w:tc>
        <w:tc>
          <w:tcPr>
            <w:tcW w:w="7940" w:type="dxa"/>
            <w:vAlign w:val="bottom"/>
          </w:tcPr>
          <w:p>
            <w:pPr>
              <w:ind w:left="280"/>
              <w:spacing w:after="0"/>
              <w:rPr>
                <w:sz w:val="20"/>
                <w:szCs w:val="20"/>
                <w:color w:val="auto"/>
              </w:rPr>
            </w:pPr>
            <w:r>
              <w:rPr>
                <w:rFonts w:ascii="Arial" w:cs="Arial" w:eastAsia="Arial" w:hAnsi="Arial"/>
                <w:sz w:val="22"/>
                <w:szCs w:val="22"/>
                <w:color w:val="auto"/>
              </w:rPr>
              <w:t>Voting and Dividend Rights</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(g)</w:t>
            </w:r>
          </w:p>
        </w:tc>
        <w:tc>
          <w:tcPr>
            <w:tcW w:w="7940" w:type="dxa"/>
            <w:vAlign w:val="bottom"/>
          </w:tcPr>
          <w:p>
            <w:pPr>
              <w:ind w:left="280"/>
              <w:spacing w:after="0"/>
              <w:rPr>
                <w:sz w:val="20"/>
                <w:szCs w:val="20"/>
                <w:color w:val="auto"/>
              </w:rPr>
            </w:pPr>
            <w:r>
              <w:rPr>
                <w:rFonts w:ascii="Arial" w:cs="Arial" w:eastAsia="Arial" w:hAnsi="Arial"/>
                <w:sz w:val="22"/>
                <w:szCs w:val="22"/>
                <w:color w:val="auto"/>
              </w:rPr>
              <w:t>Form and Time of Settlement of Restricted Stock Units</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(h)</w:t>
            </w:r>
          </w:p>
        </w:tc>
        <w:tc>
          <w:tcPr>
            <w:tcW w:w="7940" w:type="dxa"/>
            <w:vAlign w:val="bottom"/>
          </w:tcPr>
          <w:p>
            <w:pPr>
              <w:ind w:left="280"/>
              <w:spacing w:after="0"/>
              <w:rPr>
                <w:sz w:val="20"/>
                <w:szCs w:val="20"/>
                <w:color w:val="auto"/>
              </w:rPr>
            </w:pPr>
            <w:r>
              <w:rPr>
                <w:rFonts w:ascii="Arial" w:cs="Arial" w:eastAsia="Arial" w:hAnsi="Arial"/>
                <w:sz w:val="22"/>
                <w:szCs w:val="22"/>
                <w:color w:val="auto"/>
              </w:rPr>
              <w:t>Death of Recipient</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(i)</w:t>
            </w:r>
          </w:p>
        </w:tc>
        <w:tc>
          <w:tcPr>
            <w:tcW w:w="7940" w:type="dxa"/>
            <w:vAlign w:val="bottom"/>
          </w:tcPr>
          <w:p>
            <w:pPr>
              <w:ind w:left="280"/>
              <w:spacing w:after="0"/>
              <w:rPr>
                <w:sz w:val="20"/>
                <w:szCs w:val="20"/>
                <w:color w:val="auto"/>
              </w:rPr>
            </w:pPr>
            <w:r>
              <w:rPr>
                <w:rFonts w:ascii="Arial" w:cs="Arial" w:eastAsia="Arial" w:hAnsi="Arial"/>
                <w:sz w:val="22"/>
                <w:szCs w:val="22"/>
                <w:color w:val="auto"/>
              </w:rPr>
              <w:t>Creditors’ Rights</w:t>
            </w:r>
          </w:p>
        </w:tc>
        <w:tc>
          <w:tcPr>
            <w:tcW w:w="1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(j)</w:t>
            </w:r>
          </w:p>
        </w:tc>
        <w:tc>
          <w:tcPr>
            <w:tcW w:w="7940" w:type="dxa"/>
            <w:vAlign w:val="bottom"/>
          </w:tcPr>
          <w:p>
            <w:pPr>
              <w:ind w:left="280"/>
              <w:spacing w:after="0"/>
              <w:rPr>
                <w:sz w:val="20"/>
                <w:szCs w:val="20"/>
                <w:color w:val="auto"/>
              </w:rPr>
            </w:pPr>
            <w:r>
              <w:rPr>
                <w:rFonts w:ascii="Arial" w:cs="Arial" w:eastAsia="Arial" w:hAnsi="Arial"/>
                <w:sz w:val="22"/>
                <w:szCs w:val="22"/>
                <w:color w:val="auto"/>
              </w:rPr>
              <w:t>Modification, Extension and Assumption of Restricted Stock Units</w:t>
            </w:r>
          </w:p>
        </w:tc>
        <w:tc>
          <w:tcPr>
            <w:tcW w:w="1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(k)</w:t>
            </w:r>
          </w:p>
        </w:tc>
        <w:tc>
          <w:tcPr>
            <w:tcW w:w="7940" w:type="dxa"/>
            <w:vAlign w:val="bottom"/>
          </w:tcPr>
          <w:p>
            <w:pPr>
              <w:ind w:left="280"/>
              <w:spacing w:after="0"/>
              <w:rPr>
                <w:sz w:val="20"/>
                <w:szCs w:val="20"/>
                <w:color w:val="auto"/>
              </w:rPr>
            </w:pPr>
            <w:r>
              <w:rPr>
                <w:rFonts w:ascii="Arial" w:cs="Arial" w:eastAsia="Arial" w:hAnsi="Arial"/>
                <w:sz w:val="22"/>
                <w:szCs w:val="22"/>
                <w:color w:val="auto"/>
              </w:rPr>
              <w:t>Restrictions on Transfer of Restricted Stock Units</w:t>
            </w:r>
          </w:p>
        </w:tc>
        <w:tc>
          <w:tcPr>
            <w:tcW w:w="1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46"/>
        </w:trPr>
        <w:tc>
          <w:tcPr>
            <w:tcW w:w="1520" w:type="dxa"/>
            <w:vAlign w:val="bottom"/>
          </w:tcPr>
          <w:p>
            <w:pPr>
              <w:spacing w:after="0"/>
              <w:rPr>
                <w:sz w:val="20"/>
                <w:szCs w:val="20"/>
                <w:color w:val="auto"/>
              </w:rPr>
            </w:pPr>
            <w:r>
              <w:rPr>
                <w:rFonts w:ascii="Arial" w:cs="Arial" w:eastAsia="Arial" w:hAnsi="Arial"/>
                <w:sz w:val="22"/>
                <w:szCs w:val="22"/>
                <w:color w:val="auto"/>
              </w:rPr>
              <w:t>SECTION 9.</w:t>
            </w:r>
          </w:p>
        </w:tc>
        <w:tc>
          <w:tcPr>
            <w:tcW w:w="7940" w:type="dxa"/>
            <w:vAlign w:val="bottom"/>
          </w:tcPr>
          <w:p>
            <w:pPr>
              <w:ind w:left="280"/>
              <w:spacing w:after="0"/>
              <w:rPr>
                <w:sz w:val="20"/>
                <w:szCs w:val="20"/>
                <w:color w:val="auto"/>
              </w:rPr>
            </w:pPr>
            <w:r>
              <w:rPr>
                <w:rFonts w:ascii="Arial" w:cs="Arial" w:eastAsia="Arial" w:hAnsi="Arial"/>
                <w:sz w:val="22"/>
                <w:szCs w:val="22"/>
                <w:color w:val="auto"/>
              </w:rPr>
              <w:t>ADJUSTMENT OF SHARES.</w:t>
            </w:r>
          </w:p>
        </w:tc>
        <w:tc>
          <w:tcPr>
            <w:tcW w:w="1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45"/>
        </w:trPr>
        <w:tc>
          <w:tcPr>
            <w:tcW w:w="1520" w:type="dxa"/>
            <w:vAlign w:val="bottom"/>
          </w:tcPr>
          <w:p>
            <w:pPr>
              <w:ind w:left="840"/>
              <w:spacing w:after="0"/>
              <w:rPr>
                <w:sz w:val="20"/>
                <w:szCs w:val="20"/>
                <w:color w:val="auto"/>
              </w:rPr>
            </w:pPr>
            <w:r>
              <w:rPr>
                <w:rFonts w:ascii="Arial" w:cs="Arial" w:eastAsia="Arial" w:hAnsi="Arial"/>
                <w:sz w:val="22"/>
                <w:szCs w:val="22"/>
                <w:color w:val="auto"/>
              </w:rPr>
              <w:t>(a)</w:t>
            </w:r>
          </w:p>
        </w:tc>
        <w:tc>
          <w:tcPr>
            <w:tcW w:w="7940" w:type="dxa"/>
            <w:vAlign w:val="bottom"/>
          </w:tcPr>
          <w:p>
            <w:pPr>
              <w:ind w:left="280"/>
              <w:spacing w:after="0"/>
              <w:rPr>
                <w:sz w:val="20"/>
                <w:szCs w:val="20"/>
                <w:color w:val="auto"/>
              </w:rPr>
            </w:pPr>
            <w:r>
              <w:rPr>
                <w:rFonts w:ascii="Arial" w:cs="Arial" w:eastAsia="Arial" w:hAnsi="Arial"/>
                <w:sz w:val="22"/>
                <w:szCs w:val="22"/>
                <w:color w:val="auto"/>
              </w:rPr>
              <w:t>General</w:t>
            </w:r>
          </w:p>
        </w:tc>
        <w:tc>
          <w:tcPr>
            <w:tcW w:w="1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(b)</w:t>
            </w:r>
          </w:p>
        </w:tc>
        <w:tc>
          <w:tcPr>
            <w:tcW w:w="7940" w:type="dxa"/>
            <w:vAlign w:val="bottom"/>
          </w:tcPr>
          <w:p>
            <w:pPr>
              <w:ind w:left="280"/>
              <w:spacing w:after="0"/>
              <w:rPr>
                <w:sz w:val="20"/>
                <w:szCs w:val="20"/>
                <w:color w:val="auto"/>
              </w:rPr>
            </w:pPr>
            <w:r>
              <w:rPr>
                <w:rFonts w:ascii="Arial" w:cs="Arial" w:eastAsia="Arial" w:hAnsi="Arial"/>
                <w:sz w:val="22"/>
                <w:szCs w:val="22"/>
                <w:color w:val="auto"/>
              </w:rPr>
              <w:t>Corporate Transactions</w:t>
            </w:r>
          </w:p>
        </w:tc>
        <w:tc>
          <w:tcPr>
            <w:tcW w:w="1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(c)</w:t>
            </w:r>
          </w:p>
        </w:tc>
        <w:tc>
          <w:tcPr>
            <w:tcW w:w="7940" w:type="dxa"/>
            <w:vAlign w:val="bottom"/>
          </w:tcPr>
          <w:p>
            <w:pPr>
              <w:ind w:left="280"/>
              <w:spacing w:after="0"/>
              <w:rPr>
                <w:sz w:val="20"/>
                <w:szCs w:val="20"/>
                <w:color w:val="auto"/>
              </w:rPr>
            </w:pPr>
            <w:r>
              <w:rPr>
                <w:rFonts w:ascii="Arial" w:cs="Arial" w:eastAsia="Arial" w:hAnsi="Arial"/>
                <w:sz w:val="22"/>
                <w:szCs w:val="22"/>
                <w:color w:val="auto"/>
              </w:rPr>
              <w:t>Reservation of Rights</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5"/>
        </w:trPr>
        <w:tc>
          <w:tcPr>
            <w:tcW w:w="1520" w:type="dxa"/>
            <w:vAlign w:val="bottom"/>
          </w:tcPr>
          <w:p>
            <w:pPr>
              <w:spacing w:after="0"/>
              <w:rPr>
                <w:sz w:val="20"/>
                <w:szCs w:val="20"/>
                <w:color w:val="auto"/>
              </w:rPr>
            </w:pPr>
            <w:r>
              <w:rPr>
                <w:rFonts w:ascii="Arial" w:cs="Arial" w:eastAsia="Arial" w:hAnsi="Arial"/>
                <w:sz w:val="22"/>
                <w:szCs w:val="22"/>
                <w:color w:val="auto"/>
              </w:rPr>
              <w:t>SECTION 10.</w:t>
            </w:r>
          </w:p>
        </w:tc>
        <w:tc>
          <w:tcPr>
            <w:tcW w:w="7940" w:type="dxa"/>
            <w:vAlign w:val="bottom"/>
          </w:tcPr>
          <w:p>
            <w:pPr>
              <w:ind w:left="280"/>
              <w:spacing w:after="0"/>
              <w:rPr>
                <w:sz w:val="20"/>
                <w:szCs w:val="20"/>
                <w:color w:val="auto"/>
              </w:rPr>
            </w:pPr>
            <w:r>
              <w:rPr>
                <w:rFonts w:ascii="Arial" w:cs="Arial" w:eastAsia="Arial" w:hAnsi="Arial"/>
                <w:sz w:val="22"/>
                <w:szCs w:val="22"/>
                <w:color w:val="auto"/>
              </w:rPr>
              <w:t>MISCELLANEOUS PROVISIONS.</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6"/>
        </w:trPr>
        <w:tc>
          <w:tcPr>
            <w:tcW w:w="1520" w:type="dxa"/>
            <w:vAlign w:val="bottom"/>
          </w:tcPr>
          <w:p>
            <w:pPr>
              <w:ind w:left="840"/>
              <w:spacing w:after="0"/>
              <w:rPr>
                <w:sz w:val="20"/>
                <w:szCs w:val="20"/>
                <w:color w:val="auto"/>
              </w:rPr>
            </w:pPr>
            <w:r>
              <w:rPr>
                <w:rFonts w:ascii="Arial" w:cs="Arial" w:eastAsia="Arial" w:hAnsi="Arial"/>
                <w:sz w:val="22"/>
                <w:szCs w:val="22"/>
                <w:color w:val="auto"/>
              </w:rPr>
              <w:t>(a)</w:t>
            </w:r>
          </w:p>
        </w:tc>
        <w:tc>
          <w:tcPr>
            <w:tcW w:w="7940" w:type="dxa"/>
            <w:vAlign w:val="bottom"/>
          </w:tcPr>
          <w:p>
            <w:pPr>
              <w:ind w:left="280"/>
              <w:spacing w:after="0"/>
              <w:rPr>
                <w:sz w:val="20"/>
                <w:szCs w:val="20"/>
                <w:color w:val="auto"/>
              </w:rPr>
            </w:pPr>
            <w:r>
              <w:rPr>
                <w:rFonts w:ascii="Arial" w:cs="Arial" w:eastAsia="Arial" w:hAnsi="Arial"/>
                <w:sz w:val="22"/>
                <w:szCs w:val="22"/>
                <w:color w:val="auto"/>
              </w:rPr>
              <w:t>Securities Law Requirements</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(b)</w:t>
            </w:r>
          </w:p>
        </w:tc>
        <w:tc>
          <w:tcPr>
            <w:tcW w:w="7940" w:type="dxa"/>
            <w:vAlign w:val="bottom"/>
          </w:tcPr>
          <w:p>
            <w:pPr>
              <w:ind w:left="280"/>
              <w:spacing w:after="0"/>
              <w:rPr>
                <w:sz w:val="20"/>
                <w:szCs w:val="20"/>
                <w:color w:val="auto"/>
              </w:rPr>
            </w:pPr>
            <w:r>
              <w:rPr>
                <w:rFonts w:ascii="Arial" w:cs="Arial" w:eastAsia="Arial" w:hAnsi="Arial"/>
                <w:sz w:val="22"/>
                <w:szCs w:val="22"/>
                <w:color w:val="auto"/>
              </w:rPr>
              <w:t>No Retention Rights</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(c)</w:t>
            </w:r>
          </w:p>
        </w:tc>
        <w:tc>
          <w:tcPr>
            <w:tcW w:w="7940" w:type="dxa"/>
            <w:vAlign w:val="bottom"/>
          </w:tcPr>
          <w:p>
            <w:pPr>
              <w:ind w:left="280"/>
              <w:spacing w:after="0"/>
              <w:rPr>
                <w:sz w:val="20"/>
                <w:szCs w:val="20"/>
                <w:color w:val="auto"/>
              </w:rPr>
            </w:pPr>
            <w:r>
              <w:rPr>
                <w:rFonts w:ascii="Arial" w:cs="Arial" w:eastAsia="Arial" w:hAnsi="Arial"/>
                <w:sz w:val="22"/>
                <w:szCs w:val="22"/>
                <w:color w:val="auto"/>
              </w:rPr>
              <w:t>Treatment as Compensation</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(d)</w:t>
            </w:r>
          </w:p>
        </w:tc>
        <w:tc>
          <w:tcPr>
            <w:tcW w:w="7940" w:type="dxa"/>
            <w:vAlign w:val="bottom"/>
          </w:tcPr>
          <w:p>
            <w:pPr>
              <w:ind w:left="280"/>
              <w:spacing w:after="0"/>
              <w:rPr>
                <w:sz w:val="20"/>
                <w:szCs w:val="20"/>
                <w:color w:val="auto"/>
              </w:rPr>
            </w:pPr>
            <w:r>
              <w:rPr>
                <w:rFonts w:ascii="Arial" w:cs="Arial" w:eastAsia="Arial" w:hAnsi="Arial"/>
                <w:sz w:val="22"/>
                <w:szCs w:val="22"/>
                <w:color w:val="auto"/>
              </w:rPr>
              <w:t>Governing Law</w:t>
            </w:r>
          </w:p>
        </w:tc>
        <w:tc>
          <w:tcPr>
            <w:tcW w:w="1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(e)</w:t>
            </w:r>
          </w:p>
        </w:tc>
        <w:tc>
          <w:tcPr>
            <w:tcW w:w="7940" w:type="dxa"/>
            <w:vAlign w:val="bottom"/>
          </w:tcPr>
          <w:p>
            <w:pPr>
              <w:ind w:left="280"/>
              <w:spacing w:after="0"/>
              <w:rPr>
                <w:sz w:val="20"/>
                <w:szCs w:val="20"/>
                <w:color w:val="auto"/>
              </w:rPr>
            </w:pPr>
            <w:r>
              <w:rPr>
                <w:rFonts w:ascii="Arial" w:cs="Arial" w:eastAsia="Arial" w:hAnsi="Arial"/>
                <w:sz w:val="22"/>
                <w:szCs w:val="22"/>
                <w:color w:val="auto"/>
              </w:rPr>
              <w:t>Conditions and Restrictions on Shares</w:t>
            </w:r>
          </w:p>
        </w:tc>
        <w:tc>
          <w:tcPr>
            <w:tcW w:w="1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(f)</w:t>
            </w:r>
          </w:p>
        </w:tc>
        <w:tc>
          <w:tcPr>
            <w:tcW w:w="7940" w:type="dxa"/>
            <w:vAlign w:val="bottom"/>
          </w:tcPr>
          <w:p>
            <w:pPr>
              <w:ind w:left="280"/>
              <w:spacing w:after="0"/>
              <w:rPr>
                <w:sz w:val="20"/>
                <w:szCs w:val="20"/>
                <w:color w:val="auto"/>
              </w:rPr>
            </w:pPr>
            <w:r>
              <w:rPr>
                <w:rFonts w:ascii="Arial" w:cs="Arial" w:eastAsia="Arial" w:hAnsi="Arial"/>
                <w:sz w:val="22"/>
                <w:szCs w:val="22"/>
                <w:color w:val="auto"/>
              </w:rPr>
              <w:t>Tax Matters</w:t>
            </w:r>
          </w:p>
        </w:tc>
        <w:tc>
          <w:tcPr>
            <w:tcW w:w="1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520" w:type="dxa"/>
            <w:vAlign w:val="bottom"/>
          </w:tcPr>
          <w:p>
            <w:pPr>
              <w:spacing w:after="0"/>
              <w:rPr>
                <w:sz w:val="20"/>
                <w:szCs w:val="20"/>
                <w:color w:val="auto"/>
              </w:rPr>
            </w:pPr>
            <w:r>
              <w:rPr>
                <w:rFonts w:ascii="Arial" w:cs="Arial" w:eastAsia="Arial" w:hAnsi="Arial"/>
                <w:sz w:val="22"/>
                <w:szCs w:val="22"/>
                <w:color w:val="auto"/>
              </w:rPr>
              <w:t>SECTION 11.</w:t>
            </w:r>
          </w:p>
        </w:tc>
        <w:tc>
          <w:tcPr>
            <w:tcW w:w="7940" w:type="dxa"/>
            <w:vAlign w:val="bottom"/>
          </w:tcPr>
          <w:p>
            <w:pPr>
              <w:ind w:left="280"/>
              <w:spacing w:after="0"/>
              <w:rPr>
                <w:sz w:val="20"/>
                <w:szCs w:val="20"/>
                <w:color w:val="auto"/>
              </w:rPr>
            </w:pPr>
            <w:r>
              <w:rPr>
                <w:rFonts w:ascii="Arial" w:cs="Arial" w:eastAsia="Arial" w:hAnsi="Arial"/>
                <w:sz w:val="22"/>
                <w:szCs w:val="22"/>
                <w:color w:val="auto"/>
              </w:rPr>
              <w:t>DURATION AND AMENDMENTS; STOCKHOLDER APPROVAL.</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6"/>
        </w:trPr>
        <w:tc>
          <w:tcPr>
            <w:tcW w:w="1520" w:type="dxa"/>
            <w:vAlign w:val="bottom"/>
          </w:tcPr>
          <w:p>
            <w:pPr>
              <w:ind w:left="840"/>
              <w:spacing w:after="0"/>
              <w:rPr>
                <w:sz w:val="20"/>
                <w:szCs w:val="20"/>
                <w:color w:val="auto"/>
              </w:rPr>
            </w:pPr>
            <w:r>
              <w:rPr>
                <w:rFonts w:ascii="Arial" w:cs="Arial" w:eastAsia="Arial" w:hAnsi="Arial"/>
                <w:sz w:val="22"/>
                <w:szCs w:val="22"/>
                <w:color w:val="auto"/>
              </w:rPr>
              <w:t>(a)</w:t>
            </w:r>
          </w:p>
        </w:tc>
        <w:tc>
          <w:tcPr>
            <w:tcW w:w="7940" w:type="dxa"/>
            <w:vAlign w:val="bottom"/>
          </w:tcPr>
          <w:p>
            <w:pPr>
              <w:ind w:left="280"/>
              <w:spacing w:after="0"/>
              <w:rPr>
                <w:sz w:val="20"/>
                <w:szCs w:val="20"/>
                <w:color w:val="auto"/>
              </w:rPr>
            </w:pPr>
            <w:r>
              <w:rPr>
                <w:rFonts w:ascii="Arial" w:cs="Arial" w:eastAsia="Arial" w:hAnsi="Arial"/>
                <w:sz w:val="22"/>
                <w:szCs w:val="22"/>
                <w:color w:val="auto"/>
              </w:rPr>
              <w:t>Term of the Plan</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(b)</w:t>
            </w:r>
          </w:p>
        </w:tc>
        <w:tc>
          <w:tcPr>
            <w:tcW w:w="7940" w:type="dxa"/>
            <w:vAlign w:val="bottom"/>
          </w:tcPr>
          <w:p>
            <w:pPr>
              <w:ind w:left="280"/>
              <w:spacing w:after="0"/>
              <w:rPr>
                <w:sz w:val="20"/>
                <w:szCs w:val="20"/>
                <w:color w:val="auto"/>
              </w:rPr>
            </w:pPr>
            <w:r>
              <w:rPr>
                <w:rFonts w:ascii="Arial" w:cs="Arial" w:eastAsia="Arial" w:hAnsi="Arial"/>
                <w:sz w:val="22"/>
                <w:szCs w:val="22"/>
                <w:color w:val="auto"/>
              </w:rPr>
              <w:t>Right to Amend or Terminate the Plan</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(c)</w:t>
            </w:r>
          </w:p>
        </w:tc>
        <w:tc>
          <w:tcPr>
            <w:tcW w:w="7940" w:type="dxa"/>
            <w:vAlign w:val="bottom"/>
          </w:tcPr>
          <w:p>
            <w:pPr>
              <w:ind w:left="280"/>
              <w:spacing w:after="0"/>
              <w:rPr>
                <w:sz w:val="20"/>
                <w:szCs w:val="20"/>
                <w:color w:val="auto"/>
              </w:rPr>
            </w:pPr>
            <w:r>
              <w:rPr>
                <w:rFonts w:ascii="Arial" w:cs="Arial" w:eastAsia="Arial" w:hAnsi="Arial"/>
                <w:sz w:val="22"/>
                <w:szCs w:val="22"/>
                <w:color w:val="auto"/>
              </w:rPr>
              <w:t>Effect of Amendment or Termination</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520" w:type="dxa"/>
            <w:vAlign w:val="bottom"/>
          </w:tcPr>
          <w:p>
            <w:pPr>
              <w:ind w:left="840"/>
              <w:spacing w:after="0"/>
              <w:rPr>
                <w:sz w:val="20"/>
                <w:szCs w:val="20"/>
                <w:color w:val="auto"/>
              </w:rPr>
            </w:pPr>
            <w:r>
              <w:rPr>
                <w:rFonts w:ascii="Arial" w:cs="Arial" w:eastAsia="Arial" w:hAnsi="Arial"/>
                <w:sz w:val="22"/>
                <w:szCs w:val="22"/>
                <w:color w:val="auto"/>
              </w:rPr>
              <w:t>(d)</w:t>
            </w:r>
          </w:p>
        </w:tc>
        <w:tc>
          <w:tcPr>
            <w:tcW w:w="7940" w:type="dxa"/>
            <w:vAlign w:val="bottom"/>
          </w:tcPr>
          <w:p>
            <w:pPr>
              <w:ind w:left="280"/>
              <w:spacing w:after="0"/>
              <w:rPr>
                <w:sz w:val="20"/>
                <w:szCs w:val="20"/>
                <w:color w:val="auto"/>
              </w:rPr>
            </w:pPr>
            <w:r>
              <w:rPr>
                <w:rFonts w:ascii="Arial" w:cs="Arial" w:eastAsia="Arial" w:hAnsi="Arial"/>
                <w:sz w:val="22"/>
                <w:szCs w:val="22"/>
                <w:color w:val="auto"/>
              </w:rPr>
              <w:t>Stockholder Approval</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5"/>
        </w:trPr>
        <w:tc>
          <w:tcPr>
            <w:tcW w:w="1520" w:type="dxa"/>
            <w:vAlign w:val="bottom"/>
          </w:tcPr>
          <w:p>
            <w:pPr>
              <w:spacing w:after="0"/>
              <w:rPr>
                <w:sz w:val="20"/>
                <w:szCs w:val="20"/>
                <w:color w:val="auto"/>
              </w:rPr>
            </w:pPr>
            <w:r>
              <w:rPr>
                <w:rFonts w:ascii="Arial" w:cs="Arial" w:eastAsia="Arial" w:hAnsi="Arial"/>
                <w:sz w:val="22"/>
                <w:szCs w:val="22"/>
                <w:color w:val="auto"/>
              </w:rPr>
              <w:t>SECTION 12.</w:t>
            </w:r>
          </w:p>
        </w:tc>
        <w:tc>
          <w:tcPr>
            <w:tcW w:w="7940" w:type="dxa"/>
            <w:vAlign w:val="bottom"/>
          </w:tcPr>
          <w:p>
            <w:pPr>
              <w:ind w:left="280"/>
              <w:spacing w:after="0"/>
              <w:rPr>
                <w:sz w:val="20"/>
                <w:szCs w:val="20"/>
                <w:color w:val="auto"/>
              </w:rPr>
            </w:pPr>
            <w:r>
              <w:rPr>
                <w:rFonts w:ascii="Arial" w:cs="Arial" w:eastAsia="Arial" w:hAnsi="Arial"/>
                <w:sz w:val="22"/>
                <w:szCs w:val="22"/>
                <w:color w:val="auto"/>
              </w:rPr>
              <w:t>DEFINITIONS.</w:t>
            </w:r>
          </w:p>
        </w:tc>
        <w:tc>
          <w:tcPr>
            <w:tcW w:w="1740" w:type="dxa"/>
            <w:vAlign w:val="bottom"/>
          </w:tcPr>
          <w:p>
            <w:pPr>
              <w:jc w:val="right"/>
              <w:spacing w:after="0"/>
              <w:rPr>
                <w:sz w:val="20"/>
                <w:szCs w:val="20"/>
                <w:color w:val="auto"/>
              </w:rPr>
            </w:pPr>
            <w:r>
              <w:rPr>
                <w:rFonts w:ascii="Arial" w:cs="Arial" w:eastAsia="Arial" w:hAnsi="Arial"/>
                <w:sz w:val="22"/>
                <w:szCs w:val="22"/>
                <w:color w:val="auto"/>
              </w:rPr>
              <w:t>12</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type w:val="continuous"/>
        </w:sectPr>
      </w:pPr>
    </w:p>
    <w:bookmarkStart w:id="525" w:name="page526"/>
    <w:bookmarkEnd w:id="525"/>
    <w:p>
      <w:pPr>
        <w:jc w:val="center"/>
        <w:spacing w:after="0"/>
        <w:rPr>
          <w:sz w:val="20"/>
          <w:szCs w:val="20"/>
          <w:color w:val="auto"/>
        </w:rPr>
      </w:pPr>
      <w:r>
        <w:rPr>
          <w:rFonts w:ascii="Arial" w:cs="Arial" w:eastAsia="Arial" w:hAnsi="Arial"/>
          <w:sz w:val="27"/>
          <w:szCs w:val="27"/>
          <w:b w:val="1"/>
          <w:bCs w:val="1"/>
          <w:color w:val="auto"/>
        </w:rPr>
        <w:t>R</w:t>
      </w:r>
      <w:r>
        <w:rPr>
          <w:rFonts w:ascii="Arial" w:cs="Arial" w:eastAsia="Arial" w:hAnsi="Arial"/>
          <w:sz w:val="23"/>
          <w:szCs w:val="23"/>
          <w:b w:val="1"/>
          <w:bCs w:val="1"/>
          <w:color w:val="auto"/>
        </w:rPr>
        <w:t>OBINHOOD</w:t>
      </w:r>
      <w:r>
        <w:rPr>
          <w:rFonts w:ascii="Arial" w:cs="Arial" w:eastAsia="Arial" w:hAnsi="Arial"/>
          <w:sz w:val="27"/>
          <w:szCs w:val="27"/>
          <w:b w:val="1"/>
          <w:bCs w:val="1"/>
          <w:color w:val="auto"/>
        </w:rPr>
        <w:t xml:space="preserve"> M</w:t>
      </w:r>
      <w:r>
        <w:rPr>
          <w:rFonts w:ascii="Arial" w:cs="Arial" w:eastAsia="Arial" w:hAnsi="Arial"/>
          <w:sz w:val="23"/>
          <w:szCs w:val="23"/>
          <w:b w:val="1"/>
          <w:bCs w:val="1"/>
          <w:color w:val="auto"/>
        </w:rPr>
        <w:t>ARKETS</w:t>
      </w:r>
      <w:r>
        <w:rPr>
          <w:rFonts w:ascii="Arial" w:cs="Arial" w:eastAsia="Arial" w:hAnsi="Arial"/>
          <w:sz w:val="27"/>
          <w:szCs w:val="27"/>
          <w:b w:val="1"/>
          <w:bCs w:val="1"/>
          <w:color w:val="auto"/>
        </w:rPr>
        <w:t>, I</w:t>
      </w:r>
      <w:r>
        <w:rPr>
          <w:rFonts w:ascii="Arial" w:cs="Arial" w:eastAsia="Arial" w:hAnsi="Arial"/>
          <w:sz w:val="23"/>
          <w:szCs w:val="23"/>
          <w:b w:val="1"/>
          <w:bCs w:val="1"/>
          <w:color w:val="auto"/>
        </w:rPr>
        <w:t>NC</w:t>
      </w:r>
      <w:r>
        <w:rPr>
          <w:rFonts w:ascii="Arial" w:cs="Arial" w:eastAsia="Arial" w:hAnsi="Arial"/>
          <w:sz w:val="27"/>
          <w:szCs w:val="27"/>
          <w:b w:val="1"/>
          <w:bCs w:val="1"/>
          <w:color w:val="auto"/>
        </w:rPr>
        <w: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w:t>
      </w:r>
      <w:r>
        <w:rPr>
          <w:rFonts w:ascii="Arial" w:cs="Arial" w:eastAsia="Arial" w:hAnsi="Arial"/>
          <w:sz w:val="23"/>
          <w:szCs w:val="23"/>
          <w:b w:val="1"/>
          <w:bCs w:val="1"/>
          <w:color w:val="auto"/>
        </w:rPr>
        <w:t>MENDED AND</w:t>
      </w:r>
      <w:r>
        <w:rPr>
          <w:rFonts w:ascii="Arial" w:cs="Arial" w:eastAsia="Arial" w:hAnsi="Arial"/>
          <w:sz w:val="27"/>
          <w:szCs w:val="27"/>
          <w:b w:val="1"/>
          <w:bCs w:val="1"/>
          <w:color w:val="auto"/>
        </w:rPr>
        <w:t xml:space="preserve"> R</w:t>
      </w:r>
      <w:r>
        <w:rPr>
          <w:rFonts w:ascii="Arial" w:cs="Arial" w:eastAsia="Arial" w:hAnsi="Arial"/>
          <w:sz w:val="23"/>
          <w:szCs w:val="23"/>
          <w:b w:val="1"/>
          <w:bCs w:val="1"/>
          <w:color w:val="auto"/>
        </w:rPr>
        <w:t>ESTATED</w:t>
      </w:r>
      <w:r>
        <w:rPr>
          <w:rFonts w:ascii="Arial" w:cs="Arial" w:eastAsia="Arial" w:hAnsi="Arial"/>
          <w:sz w:val="27"/>
          <w:szCs w:val="27"/>
          <w:b w:val="1"/>
          <w:bCs w:val="1"/>
          <w:color w:val="auto"/>
        </w:rPr>
        <w:t xml:space="preserve"> 2013 S</w:t>
      </w:r>
      <w:r>
        <w:rPr>
          <w:rFonts w:ascii="Arial" w:cs="Arial" w:eastAsia="Arial" w:hAnsi="Arial"/>
          <w:sz w:val="23"/>
          <w:szCs w:val="23"/>
          <w:b w:val="1"/>
          <w:bCs w:val="1"/>
          <w:color w:val="auto"/>
        </w:rPr>
        <w:t>TOCK</w:t>
      </w:r>
      <w:r>
        <w:rPr>
          <w:rFonts w:ascii="Arial" w:cs="Arial" w:eastAsia="Arial" w:hAnsi="Arial"/>
          <w:sz w:val="27"/>
          <w:szCs w:val="27"/>
          <w:b w:val="1"/>
          <w:bCs w:val="1"/>
          <w:color w:val="auto"/>
        </w:rPr>
        <w:t xml:space="preserve"> P</w:t>
      </w:r>
      <w:r>
        <w:rPr>
          <w:rFonts w:ascii="Arial" w:cs="Arial" w:eastAsia="Arial" w:hAnsi="Arial"/>
          <w:sz w:val="23"/>
          <w:szCs w:val="23"/>
          <w:b w:val="1"/>
          <w:bCs w:val="1"/>
          <w:color w:val="auto"/>
        </w:rPr>
        <w:t>LAN</w:t>
      </w:r>
    </w:p>
    <w:p>
      <w:pPr>
        <w:spacing w:after="0" w:line="14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b w:val="1"/>
          <w:bCs w:val="1"/>
          <w:color w:val="auto"/>
        </w:rPr>
        <w:t>ESTABLISHMENT AND PURPOSE.</w:t>
      </w:r>
    </w:p>
    <w:p>
      <w:pPr>
        <w:spacing w:after="0" w:line="17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purpose of this Plan is to offer persons selected by the Company an opportunity to acquire a proprietary interest in the success of the Company, or to increase such interest, by acquiring Shares of the Company’s Stock. The Plan provides for the direct award or sale of Shares, the grant of Options to purchase Shares and the grant of Restricted Stock Units. Options granted under the Plan may be ISOs intended to qualify under Code Section 422 or Nonstatutory Options which are not intended to so qualify.</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Capitalized terms are defined in Section 12.</w:t>
      </w:r>
    </w:p>
    <w:p>
      <w:pPr>
        <w:spacing w:after="0" w:line="16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2"/>
          <w:szCs w:val="22"/>
          <w:b w:val="1"/>
          <w:bCs w:val="1"/>
          <w:color w:val="auto"/>
        </w:rPr>
        <w:t>ADMINISTRATION.</w:t>
      </w:r>
    </w:p>
    <w:p>
      <w:pPr>
        <w:spacing w:after="0" w:line="166" w:lineRule="exact"/>
        <w:rPr>
          <w:sz w:val="20"/>
          <w:szCs w:val="20"/>
          <w:color w:val="auto"/>
        </w:rPr>
      </w:pPr>
    </w:p>
    <w:p>
      <w:pPr>
        <w:jc w:val="both"/>
        <w:ind w:firstLine="1304"/>
        <w:spacing w:after="0" w:line="295" w:lineRule="auto"/>
        <w:tabs>
          <w:tab w:leader="none" w:pos="1941" w:val="left"/>
        </w:tabs>
        <w:numPr>
          <w:ilvl w:val="0"/>
          <w:numId w:val="311"/>
        </w:numPr>
        <w:rPr>
          <w:rFonts w:ascii="Arial" w:cs="Arial" w:eastAsia="Arial" w:hAnsi="Arial"/>
          <w:sz w:val="19"/>
          <w:szCs w:val="19"/>
          <w:color w:val="auto"/>
        </w:rPr>
      </w:pPr>
      <w:r>
        <w:rPr>
          <w:rFonts w:ascii="Arial" w:cs="Arial" w:eastAsia="Arial" w:hAnsi="Arial"/>
          <w:sz w:val="19"/>
          <w:szCs w:val="19"/>
          <w:b w:val="1"/>
          <w:bCs w:val="1"/>
          <w:color w:val="auto"/>
        </w:rPr>
        <w:t>Committees of the Board of Directors</w:t>
      </w:r>
      <w:r>
        <w:rPr>
          <w:rFonts w:ascii="Arial" w:cs="Arial" w:eastAsia="Arial" w:hAnsi="Arial"/>
          <w:sz w:val="19"/>
          <w:szCs w:val="19"/>
          <w:color w:val="auto"/>
        </w:rPr>
        <w:t>. The Plan may be administered by one or more Committees. Each</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w:t>
      </w:r>
    </w:p>
    <w:p>
      <w:pPr>
        <w:spacing w:after="0" w:line="89" w:lineRule="exact"/>
        <w:rPr>
          <w:rFonts w:ascii="Arial" w:cs="Arial" w:eastAsia="Arial" w:hAnsi="Arial"/>
          <w:sz w:val="19"/>
          <w:szCs w:val="19"/>
          <w:color w:val="auto"/>
        </w:rPr>
      </w:pPr>
    </w:p>
    <w:p>
      <w:pPr>
        <w:jc w:val="both"/>
        <w:ind w:firstLine="1304"/>
        <w:spacing w:after="0" w:line="261" w:lineRule="auto"/>
        <w:tabs>
          <w:tab w:leader="none" w:pos="1939" w:val="left"/>
        </w:tabs>
        <w:numPr>
          <w:ilvl w:val="0"/>
          <w:numId w:val="311"/>
        </w:numPr>
        <w:rPr>
          <w:rFonts w:ascii="Arial" w:cs="Arial" w:eastAsia="Arial" w:hAnsi="Arial"/>
          <w:sz w:val="21"/>
          <w:szCs w:val="21"/>
          <w:color w:val="auto"/>
        </w:rPr>
      </w:pPr>
      <w:r>
        <w:rPr>
          <w:rFonts w:ascii="Arial" w:cs="Arial" w:eastAsia="Arial" w:hAnsi="Arial"/>
          <w:sz w:val="21"/>
          <w:szCs w:val="21"/>
          <w:b w:val="1"/>
          <w:bCs w:val="1"/>
          <w:color w:val="auto"/>
        </w:rPr>
        <w:t>Authority of the Board of Directors</w:t>
      </w:r>
      <w:r>
        <w:rPr>
          <w:rFonts w:ascii="Arial" w:cs="Arial" w:eastAsia="Arial" w:hAnsi="Arial"/>
          <w:sz w:val="21"/>
          <w:szCs w:val="21"/>
          <w:color w:val="auto"/>
        </w:rPr>
        <w:t>. Subject to the provisions of the Plan, the Board of Directors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w:t>
      </w:r>
    </w:p>
    <w:p>
      <w:pPr>
        <w:spacing w:after="0" w:line="11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2"/>
          <w:szCs w:val="22"/>
          <w:b w:val="1"/>
          <w:bCs w:val="1"/>
          <w:color w:val="auto"/>
        </w:rPr>
        <w:t>ELIGIBILITY.</w:t>
      </w:r>
    </w:p>
    <w:p>
      <w:pPr>
        <w:spacing w:after="0" w:line="16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 Rule</w:t>
      </w:r>
      <w:r>
        <w:rPr>
          <w:rFonts w:ascii="Arial" w:cs="Arial" w:eastAsia="Arial" w:hAnsi="Arial"/>
          <w:sz w:val="22"/>
          <w:szCs w:val="22"/>
          <w:color w:val="auto"/>
        </w:rPr>
        <w:t>. Only Employees, Outside Directors and Consultants shall be eligible for the grant of Nonstatutory Options, Restricted Stock Units or the direct award or sale of Shares.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Only Employees shall be eligible for the grant of ISOs.</w:t>
      </w:r>
    </w:p>
    <w:p>
      <w:pPr>
        <w:spacing w:after="0" w:line="138"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Ten-Percent Stockholders</w:t>
      </w:r>
      <w:r>
        <w:rPr>
          <w:rFonts w:ascii="Arial" w:cs="Arial" w:eastAsia="Arial" w:hAnsi="Arial"/>
          <w:sz w:val="19"/>
          <w:szCs w:val="19"/>
          <w:color w:val="auto"/>
        </w:rPr>
        <w:t>.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714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Note that special considerations apply if the Company proposes to grant awards to an Employee or Consultant of a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1" w:right="339" w:bottom="1440" w:gutter="0" w:footer="0" w:header="0"/>
        </w:sectPr>
      </w:pPr>
    </w:p>
    <w:bookmarkStart w:id="526" w:name="page527"/>
    <w:bookmarkEnd w:id="526"/>
    <w:p>
      <w:pPr>
        <w:spacing w:after="0" w:line="263" w:lineRule="auto"/>
        <w:rPr>
          <w:sz w:val="20"/>
          <w:szCs w:val="20"/>
          <w:color w:val="auto"/>
        </w:rPr>
      </w:pPr>
      <w:r>
        <w:rPr>
          <w:rFonts w:ascii="Arial" w:cs="Arial" w:eastAsia="Arial" w:hAnsi="Arial"/>
          <w:sz w:val="22"/>
          <w:szCs w:val="22"/>
          <w:color w:val="auto"/>
        </w:rPr>
        <w:t>terms is not exercisable after the expiration of five years from the Date of Grant. For purposes of this Subsection (b), in determining stock ownership, the attribution rules of Code Section 424(d) shall be applied.</w:t>
      </w:r>
    </w:p>
    <w:p>
      <w:pPr>
        <w:spacing w:after="0" w:line="11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b w:val="1"/>
          <w:bCs w:val="1"/>
          <w:color w:val="auto"/>
        </w:rPr>
        <w:t>STOCK SUBJECT TO PLAN.</w:t>
      </w:r>
    </w:p>
    <w:p>
      <w:pPr>
        <w:spacing w:after="0" w:line="166" w:lineRule="exact"/>
        <w:rPr>
          <w:sz w:val="20"/>
          <w:szCs w:val="20"/>
          <w:color w:val="auto"/>
        </w:rPr>
      </w:pPr>
    </w:p>
    <w:p>
      <w:pPr>
        <w:jc w:val="both"/>
        <w:ind w:firstLine="1304"/>
        <w:spacing w:after="0" w:line="276" w:lineRule="auto"/>
        <w:tabs>
          <w:tab w:leader="none" w:pos="1941" w:val="left"/>
        </w:tabs>
        <w:numPr>
          <w:ilvl w:val="0"/>
          <w:numId w:val="312"/>
        </w:numPr>
        <w:rPr>
          <w:rFonts w:ascii="Arial" w:cs="Arial" w:eastAsia="Arial" w:hAnsi="Arial"/>
          <w:sz w:val="19"/>
          <w:szCs w:val="19"/>
          <w:color w:val="auto"/>
        </w:rPr>
      </w:pPr>
      <w:r>
        <w:rPr>
          <w:rFonts w:ascii="Arial" w:cs="Arial" w:eastAsia="Arial" w:hAnsi="Arial"/>
          <w:sz w:val="19"/>
          <w:szCs w:val="19"/>
          <w:b w:val="1"/>
          <w:bCs w:val="1"/>
          <w:color w:val="auto"/>
        </w:rPr>
        <w:t>Basic Limitation</w:t>
      </w:r>
      <w:r>
        <w:rPr>
          <w:rFonts w:ascii="Arial" w:cs="Arial" w:eastAsia="Arial" w:hAnsi="Arial"/>
          <w:sz w:val="19"/>
          <w:szCs w:val="19"/>
          <w:color w:val="auto"/>
        </w:rPr>
        <w:t>. Not more than 3,753,688 Shares may be issued under the Plan, subject to Subsection (b)</w:t>
      </w:r>
      <w:r>
        <w:rPr>
          <w:rFonts w:ascii="Arial" w:cs="Arial" w:eastAsia="Arial" w:hAnsi="Arial"/>
          <w:sz w:val="19"/>
          <w:szCs w:val="19"/>
          <w:b w:val="1"/>
          <w:bCs w:val="1"/>
          <w:color w:val="auto"/>
        </w:rPr>
        <w:t xml:space="preserve"> </w:t>
      </w:r>
      <w:r>
        <w:rPr>
          <w:rFonts w:ascii="Arial" w:cs="Arial" w:eastAsia="Arial" w:hAnsi="Arial"/>
          <w:sz w:val="19"/>
          <w:szCs w:val="19"/>
          <w:color w:val="auto"/>
        </w:rPr>
        <w:t>below and Section 9(a).</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All of these Shares may be issued upon the exercise of ISOs. The number of Shares that are subject to Awards outstanding at any time under the Plan may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108" w:lineRule="exact"/>
        <w:rPr>
          <w:rFonts w:ascii="Arial" w:cs="Arial" w:eastAsia="Arial" w:hAnsi="Arial"/>
          <w:sz w:val="19"/>
          <w:szCs w:val="19"/>
          <w:color w:val="auto"/>
        </w:rPr>
      </w:pPr>
    </w:p>
    <w:p>
      <w:pPr>
        <w:jc w:val="both"/>
        <w:ind w:firstLine="1304"/>
        <w:spacing w:after="0" w:line="259" w:lineRule="auto"/>
        <w:tabs>
          <w:tab w:leader="none" w:pos="1939" w:val="left"/>
        </w:tabs>
        <w:numPr>
          <w:ilvl w:val="0"/>
          <w:numId w:val="312"/>
        </w:numPr>
        <w:rPr>
          <w:rFonts w:ascii="Arial" w:cs="Arial" w:eastAsia="Arial" w:hAnsi="Arial"/>
          <w:sz w:val="21"/>
          <w:szCs w:val="21"/>
          <w:color w:val="auto"/>
        </w:rPr>
      </w:pPr>
      <w:r>
        <w:rPr>
          <w:rFonts w:ascii="Arial" w:cs="Arial" w:eastAsia="Arial" w:hAnsi="Arial"/>
          <w:sz w:val="21"/>
          <w:szCs w:val="21"/>
          <w:b w:val="1"/>
          <w:bCs w:val="1"/>
          <w:color w:val="auto"/>
        </w:rPr>
        <w:t>Additional Shares</w:t>
      </w:r>
      <w:r>
        <w:rPr>
          <w:rFonts w:ascii="Arial" w:cs="Arial" w:eastAsia="Arial" w:hAnsi="Arial"/>
          <w:sz w:val="21"/>
          <w:szCs w:val="21"/>
          <w:color w:val="auto"/>
        </w:rPr>
        <w:t>. In the event that Shares previously issued under the Plan are forfeited to or reacquired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Company due to 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Award for any reason expires or is canceled, the Shares allocable to the unexercised or unsettled portion of such Award shall remain available for issuance under the Plan. To the extent a Restricted Stock Unit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w:t>
      </w:r>
    </w:p>
    <w:p>
      <w:pPr>
        <w:spacing w:after="0" w:line="12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1"/>
          <w:szCs w:val="21"/>
          <w:b w:val="1"/>
          <w:bCs w:val="1"/>
          <w:color w:val="auto"/>
        </w:rPr>
        <w:t>TERMS AND CONDITIONS OF AWARDS OR SALES OF SHARES.</w:t>
      </w:r>
    </w:p>
    <w:p>
      <w:pPr>
        <w:spacing w:after="0" w:line="166" w:lineRule="exact"/>
        <w:rPr>
          <w:sz w:val="20"/>
          <w:szCs w:val="20"/>
          <w:color w:val="auto"/>
        </w:rPr>
      </w:pPr>
    </w:p>
    <w:p>
      <w:pPr>
        <w:jc w:val="both"/>
        <w:ind w:firstLine="1304"/>
        <w:spacing w:after="0" w:line="261" w:lineRule="auto"/>
        <w:tabs>
          <w:tab w:leader="none" w:pos="1941" w:val="left"/>
        </w:tabs>
        <w:numPr>
          <w:ilvl w:val="0"/>
          <w:numId w:val="313"/>
        </w:numPr>
        <w:rPr>
          <w:rFonts w:ascii="Arial" w:cs="Arial" w:eastAsia="Arial" w:hAnsi="Arial"/>
          <w:sz w:val="21"/>
          <w:szCs w:val="21"/>
          <w:color w:val="auto"/>
        </w:rPr>
      </w:pPr>
      <w:r>
        <w:rPr>
          <w:rFonts w:ascii="Arial" w:cs="Arial" w:eastAsia="Arial" w:hAnsi="Arial"/>
          <w:sz w:val="21"/>
          <w:szCs w:val="21"/>
          <w:b w:val="1"/>
          <w:bCs w:val="1"/>
          <w:color w:val="auto"/>
        </w:rPr>
        <w:t>Stock Grant or Purchase Agreement</w:t>
      </w:r>
      <w:r>
        <w:rPr>
          <w:rFonts w:ascii="Arial" w:cs="Arial" w:eastAsia="Arial" w:hAnsi="Arial"/>
          <w:sz w:val="21"/>
          <w:szCs w:val="21"/>
          <w:color w:val="auto"/>
        </w:rPr>
        <w:t>. Each award of Shares under the Plan shall be evidenced by a Stock</w:t>
      </w:r>
      <w:r>
        <w:rPr>
          <w:rFonts w:ascii="Arial" w:cs="Arial" w:eastAsia="Arial" w:hAnsi="Arial"/>
          <w:sz w:val="21"/>
          <w:szCs w:val="21"/>
          <w:b w:val="1"/>
          <w:bCs w:val="1"/>
          <w:color w:val="auto"/>
        </w:rPr>
        <w:t xml:space="preserve"> </w:t>
      </w:r>
      <w:r>
        <w:rPr>
          <w:rFonts w:ascii="Arial" w:cs="Arial" w:eastAsia="Arial" w:hAnsi="Arial"/>
          <w:sz w:val="21"/>
          <w:szCs w:val="21"/>
          <w:color w:val="auto"/>
        </w:rPr>
        <w:t>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119" w:lineRule="exact"/>
        <w:rPr>
          <w:rFonts w:ascii="Arial" w:cs="Arial" w:eastAsia="Arial" w:hAnsi="Arial"/>
          <w:sz w:val="21"/>
          <w:szCs w:val="21"/>
          <w:color w:val="auto"/>
        </w:rPr>
      </w:pPr>
    </w:p>
    <w:p>
      <w:pPr>
        <w:jc w:val="both"/>
        <w:ind w:firstLine="1304"/>
        <w:spacing w:after="0" w:line="304" w:lineRule="auto"/>
        <w:tabs>
          <w:tab w:leader="none" w:pos="1939" w:val="left"/>
        </w:tabs>
        <w:numPr>
          <w:ilvl w:val="0"/>
          <w:numId w:val="313"/>
        </w:numPr>
        <w:rPr>
          <w:rFonts w:ascii="Arial" w:cs="Arial" w:eastAsia="Arial" w:hAnsi="Arial"/>
          <w:sz w:val="19"/>
          <w:szCs w:val="19"/>
          <w:color w:val="auto"/>
        </w:rPr>
      </w:pPr>
      <w:r>
        <w:rPr>
          <w:rFonts w:ascii="Arial" w:cs="Arial" w:eastAsia="Arial" w:hAnsi="Arial"/>
          <w:sz w:val="19"/>
          <w:szCs w:val="19"/>
          <w:b w:val="1"/>
          <w:bCs w:val="1"/>
          <w:color w:val="auto"/>
        </w:rPr>
        <w:t>Duration of Offers and Nontransferability of Rights</w:t>
      </w:r>
      <w:r>
        <w:rPr>
          <w:rFonts w:ascii="Arial" w:cs="Arial" w:eastAsia="Arial" w:hAnsi="Arial"/>
          <w:sz w:val="19"/>
          <w:szCs w:val="19"/>
          <w:color w:val="auto"/>
        </w:rPr>
        <w:t>. Any right to purchase Shares under the Plan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14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8" w:lineRule="exact"/>
        <w:rPr>
          <w:sz w:val="20"/>
          <w:szCs w:val="20"/>
          <w:color w:val="auto"/>
        </w:rPr>
      </w:pPr>
    </w:p>
    <w:p>
      <w:pPr>
        <w:ind w:left="500" w:hanging="103"/>
        <w:spacing w:after="0"/>
        <w:tabs>
          <w:tab w:leader="none" w:pos="500" w:val="left"/>
        </w:tabs>
        <w:numPr>
          <w:ilvl w:val="0"/>
          <w:numId w:val="314"/>
        </w:numPr>
        <w:rPr>
          <w:rFonts w:ascii="Arial" w:cs="Arial" w:eastAsia="Arial" w:hAnsi="Arial"/>
          <w:sz w:val="23"/>
          <w:szCs w:val="23"/>
          <w:color w:val="auto"/>
          <w:vertAlign w:val="superscript"/>
        </w:rPr>
      </w:pPr>
      <w:r>
        <w:rPr>
          <w:rFonts w:ascii="Arial" w:cs="Arial" w:eastAsia="Arial" w:hAnsi="Arial"/>
          <w:sz w:val="18"/>
          <w:szCs w:val="18"/>
          <w:color w:val="auto"/>
        </w:rPr>
        <w:t>Please refer to Exhibit A for a schedule of the initial share reserve and any subsequent increases in the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27" w:name="page528"/>
    <w:bookmarkEnd w:id="527"/>
    <w:p>
      <w:pPr>
        <w:ind w:right="20" w:firstLine="1304"/>
        <w:spacing w:after="0" w:line="269" w:lineRule="auto"/>
        <w:tabs>
          <w:tab w:leader="none" w:pos="1941" w:val="left"/>
        </w:tabs>
        <w:numPr>
          <w:ilvl w:val="0"/>
          <w:numId w:val="315"/>
        </w:numPr>
        <w:rPr>
          <w:rFonts w:ascii="Arial" w:cs="Arial" w:eastAsia="Arial" w:hAnsi="Arial"/>
          <w:sz w:val="22"/>
          <w:szCs w:val="22"/>
          <w:color w:val="auto"/>
        </w:rPr>
      </w:pPr>
      <w:r>
        <w:rPr>
          <w:rFonts w:ascii="Arial" w:cs="Arial" w:eastAsia="Arial" w:hAnsi="Arial"/>
          <w:sz w:val="22"/>
          <w:szCs w:val="22"/>
          <w:b w:val="1"/>
          <w:bCs w:val="1"/>
          <w:color w:val="auto"/>
        </w:rPr>
        <w:t>Purchase Price</w:t>
      </w:r>
      <w:r>
        <w:rPr>
          <w:rFonts w:ascii="Arial" w:cs="Arial" w:eastAsia="Arial" w:hAnsi="Arial"/>
          <w:sz w:val="22"/>
          <w:szCs w:val="22"/>
          <w:color w:val="auto"/>
        </w:rPr>
        <w:t>. The Board of Directors shall determine the Purchase Price of Shares to be offered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at its sole discretion. The Purchase Price shall be payable in a form described in Section 7.</w:t>
      </w:r>
    </w:p>
    <w:p>
      <w:pPr>
        <w:spacing w:after="0" w:line="108"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b w:val="1"/>
          <w:bCs w:val="1"/>
          <w:color w:val="auto"/>
        </w:rPr>
        <w:t>TERMS AND CONDITIONS OF OPTIONS.</w:t>
      </w:r>
    </w:p>
    <w:p>
      <w:pPr>
        <w:spacing w:after="0" w:line="166" w:lineRule="exact"/>
        <w:rPr>
          <w:sz w:val="20"/>
          <w:szCs w:val="20"/>
          <w:color w:val="auto"/>
        </w:rPr>
      </w:pPr>
    </w:p>
    <w:p>
      <w:pPr>
        <w:jc w:val="both"/>
        <w:ind w:firstLine="1304"/>
        <w:spacing w:after="0" w:line="249" w:lineRule="auto"/>
        <w:tabs>
          <w:tab w:leader="none" w:pos="1941" w:val="left"/>
        </w:tabs>
        <w:numPr>
          <w:ilvl w:val="0"/>
          <w:numId w:val="316"/>
        </w:numPr>
        <w:rPr>
          <w:rFonts w:ascii="Arial" w:cs="Arial" w:eastAsia="Arial" w:hAnsi="Arial"/>
          <w:sz w:val="22"/>
          <w:szCs w:val="22"/>
          <w:color w:val="auto"/>
        </w:rPr>
      </w:pPr>
      <w:r>
        <w:rPr>
          <w:rFonts w:ascii="Arial" w:cs="Arial" w:eastAsia="Arial" w:hAnsi="Arial"/>
          <w:sz w:val="22"/>
          <w:szCs w:val="22"/>
          <w:b w:val="1"/>
          <w:bCs w:val="1"/>
          <w:color w:val="auto"/>
        </w:rPr>
        <w:t>Stock Option Agreement</w:t>
      </w:r>
      <w:r>
        <w:rPr>
          <w:rFonts w:ascii="Arial" w:cs="Arial" w:eastAsia="Arial" w:hAnsi="Arial"/>
          <w:sz w:val="22"/>
          <w:szCs w:val="22"/>
          <w:color w:val="auto"/>
        </w:rPr>
        <w:t>. Each grant of an Option under the Plan shall be evidenced by a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132" w:lineRule="exact"/>
        <w:rPr>
          <w:rFonts w:ascii="Arial" w:cs="Arial" w:eastAsia="Arial" w:hAnsi="Arial"/>
          <w:sz w:val="22"/>
          <w:szCs w:val="22"/>
          <w:color w:val="auto"/>
        </w:rPr>
      </w:pPr>
    </w:p>
    <w:p>
      <w:pPr>
        <w:jc w:val="both"/>
        <w:ind w:firstLine="1304"/>
        <w:spacing w:after="0" w:line="256" w:lineRule="auto"/>
        <w:tabs>
          <w:tab w:leader="none" w:pos="1939" w:val="left"/>
        </w:tabs>
        <w:numPr>
          <w:ilvl w:val="0"/>
          <w:numId w:val="316"/>
        </w:numPr>
        <w:rPr>
          <w:rFonts w:ascii="Arial" w:cs="Arial" w:eastAsia="Arial" w:hAnsi="Arial"/>
          <w:sz w:val="22"/>
          <w:szCs w:val="22"/>
          <w:color w:val="auto"/>
        </w:rPr>
      </w:pPr>
      <w:r>
        <w:rPr>
          <w:rFonts w:ascii="Arial" w:cs="Arial" w:eastAsia="Arial" w:hAnsi="Arial"/>
          <w:sz w:val="22"/>
          <w:szCs w:val="22"/>
          <w:b w:val="1"/>
          <w:bCs w:val="1"/>
          <w:color w:val="auto"/>
        </w:rPr>
        <w:t>Number of Shares</w:t>
      </w:r>
      <w:r>
        <w:rPr>
          <w:rFonts w:ascii="Arial" w:cs="Arial" w:eastAsia="Arial" w:hAnsi="Arial"/>
          <w:sz w:val="22"/>
          <w:szCs w:val="22"/>
          <w:color w:val="auto"/>
        </w:rPr>
        <w:t>. Each Stock Option Agreement shall specify the number of Shares that are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Option and shall provide for the adjustment of such number in accordance with Section 9. The Stock Option Agreement shall also specify whether the Option is an ISO or a Nonstatutory Option.</w:t>
      </w:r>
    </w:p>
    <w:p>
      <w:pPr>
        <w:spacing w:after="0" w:line="122" w:lineRule="exact"/>
        <w:rPr>
          <w:rFonts w:ascii="Arial" w:cs="Arial" w:eastAsia="Arial" w:hAnsi="Arial"/>
          <w:sz w:val="22"/>
          <w:szCs w:val="22"/>
          <w:color w:val="auto"/>
        </w:rPr>
      </w:pPr>
    </w:p>
    <w:p>
      <w:pPr>
        <w:jc w:val="both"/>
        <w:ind w:firstLine="1304"/>
        <w:spacing w:after="0" w:line="262" w:lineRule="auto"/>
        <w:tabs>
          <w:tab w:leader="none" w:pos="1941" w:val="left"/>
        </w:tabs>
        <w:numPr>
          <w:ilvl w:val="0"/>
          <w:numId w:val="316"/>
        </w:numPr>
        <w:rPr>
          <w:rFonts w:ascii="Arial" w:cs="Arial" w:eastAsia="Arial" w:hAnsi="Arial"/>
          <w:sz w:val="21"/>
          <w:szCs w:val="21"/>
          <w:color w:val="auto"/>
        </w:rPr>
      </w:pPr>
      <w:r>
        <w:rPr>
          <w:rFonts w:ascii="Arial" w:cs="Arial" w:eastAsia="Arial" w:hAnsi="Arial"/>
          <w:sz w:val="21"/>
          <w:szCs w:val="21"/>
          <w:b w:val="1"/>
          <w:bCs w:val="1"/>
          <w:color w:val="auto"/>
        </w:rPr>
        <w:t>Exercise Price</w:t>
      </w:r>
      <w:r>
        <w:rPr>
          <w:rFonts w:ascii="Arial" w:cs="Arial" w:eastAsia="Arial" w:hAnsi="Arial"/>
          <w:sz w:val="21"/>
          <w:szCs w:val="21"/>
          <w:color w:val="auto"/>
        </w:rPr>
        <w:t>. Each Stock Option Agreement shall specify the Exercise Price. The Exercise Price of an</w:t>
      </w:r>
      <w:r>
        <w:rPr>
          <w:rFonts w:ascii="Arial" w:cs="Arial" w:eastAsia="Arial" w:hAnsi="Arial"/>
          <w:sz w:val="21"/>
          <w:szCs w:val="21"/>
          <w:b w:val="1"/>
          <w:bCs w:val="1"/>
          <w:color w:val="auto"/>
        </w:rPr>
        <w:t xml:space="preserve"> </w:t>
      </w:r>
      <w:r>
        <w:rPr>
          <w:rFonts w:ascii="Arial" w:cs="Arial" w:eastAsia="Arial" w:hAnsi="Arial"/>
          <w:sz w:val="21"/>
          <w:szCs w:val="21"/>
          <w:color w:val="auto"/>
        </w:rPr>
        <w:t>Option shall not be less than 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 This Subsection (c) shall not apply to an Option granted pursuant to an assumption of, or substitution for, another option in a manner that complies with Code Section 424(a) (whether or not the Option is an ISO).</w:t>
      </w:r>
    </w:p>
    <w:p>
      <w:pPr>
        <w:spacing w:after="0" w:line="119" w:lineRule="exact"/>
        <w:rPr>
          <w:rFonts w:ascii="Arial" w:cs="Arial" w:eastAsia="Arial" w:hAnsi="Arial"/>
          <w:sz w:val="21"/>
          <w:szCs w:val="21"/>
          <w:color w:val="auto"/>
        </w:rPr>
      </w:pPr>
    </w:p>
    <w:p>
      <w:pPr>
        <w:jc w:val="both"/>
        <w:ind w:firstLine="1304"/>
        <w:spacing w:after="0" w:line="249" w:lineRule="auto"/>
        <w:tabs>
          <w:tab w:leader="none" w:pos="1939" w:val="left"/>
        </w:tabs>
        <w:numPr>
          <w:ilvl w:val="0"/>
          <w:numId w:val="316"/>
        </w:numPr>
        <w:rPr>
          <w:rFonts w:ascii="Arial" w:cs="Arial" w:eastAsia="Arial" w:hAnsi="Arial"/>
          <w:sz w:val="22"/>
          <w:szCs w:val="22"/>
          <w:color w:val="auto"/>
        </w:rPr>
      </w:pPr>
      <w:r>
        <w:rPr>
          <w:rFonts w:ascii="Arial" w:cs="Arial" w:eastAsia="Arial" w:hAnsi="Arial"/>
          <w:sz w:val="22"/>
          <w:szCs w:val="22"/>
          <w:b w:val="1"/>
          <w:bCs w:val="1"/>
          <w:color w:val="auto"/>
        </w:rPr>
        <w:t>Vesting and Exercisability</w:t>
      </w:r>
      <w:r>
        <w:rPr>
          <w:rFonts w:ascii="Arial" w:cs="Arial" w:eastAsia="Arial" w:hAnsi="Arial"/>
          <w:sz w:val="22"/>
          <w:szCs w:val="22"/>
          <w:color w:val="auto"/>
        </w:rPr>
        <w:t>. Each Stock Option Agreement shall specify the date when all or any</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 of the Option is to 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w:t>
      </w:r>
    </w:p>
    <w:p>
      <w:pPr>
        <w:spacing w:after="0" w:line="132" w:lineRule="exact"/>
        <w:rPr>
          <w:rFonts w:ascii="Arial" w:cs="Arial" w:eastAsia="Arial" w:hAnsi="Arial"/>
          <w:sz w:val="22"/>
          <w:szCs w:val="22"/>
          <w:color w:val="auto"/>
        </w:rPr>
      </w:pPr>
    </w:p>
    <w:p>
      <w:pPr>
        <w:jc w:val="both"/>
        <w:ind w:firstLine="1304"/>
        <w:spacing w:after="0" w:line="315" w:lineRule="auto"/>
        <w:tabs>
          <w:tab w:leader="none" w:pos="1941" w:val="left"/>
        </w:tabs>
        <w:numPr>
          <w:ilvl w:val="0"/>
          <w:numId w:val="316"/>
        </w:numPr>
        <w:rPr>
          <w:rFonts w:ascii="Arial" w:cs="Arial" w:eastAsia="Arial" w:hAnsi="Arial"/>
          <w:sz w:val="19"/>
          <w:szCs w:val="19"/>
          <w:color w:val="auto"/>
        </w:rPr>
      </w:pPr>
      <w:r>
        <w:rPr>
          <w:rFonts w:ascii="Arial" w:cs="Arial" w:eastAsia="Arial" w:hAnsi="Arial"/>
          <w:sz w:val="19"/>
          <w:szCs w:val="19"/>
          <w:b w:val="1"/>
          <w:bCs w:val="1"/>
          <w:color w:val="auto"/>
        </w:rPr>
        <w:t>Basic Term</w:t>
      </w:r>
      <w:r>
        <w:rPr>
          <w:rFonts w:ascii="Arial" w:cs="Arial" w:eastAsia="Arial" w:hAnsi="Arial"/>
          <w:sz w:val="19"/>
          <w:szCs w:val="19"/>
          <w:color w:val="auto"/>
        </w:rPr>
        <w:t>. The Stock Option Agreement shall specify the term of the Option. The term shall not exceed</w:t>
      </w:r>
      <w:r>
        <w:rPr>
          <w:rFonts w:ascii="Arial" w:cs="Arial" w:eastAsia="Arial" w:hAnsi="Arial"/>
          <w:sz w:val="19"/>
          <w:szCs w:val="19"/>
          <w:b w:val="1"/>
          <w:bCs w:val="1"/>
          <w:color w:val="auto"/>
        </w:rPr>
        <w:t xml:space="preserve"> </w:t>
      </w:r>
      <w:r>
        <w:rPr>
          <w:rFonts w:ascii="Arial" w:cs="Arial" w:eastAsia="Arial" w:hAnsi="Arial"/>
          <w:sz w:val="19"/>
          <w:szCs w:val="19"/>
          <w:color w:val="auto"/>
        </w:rPr>
        <w:t>10 years from the Date of Grant, and in the case of an ISO, a shorter term may be required by Section 3(b). Subject to the preceding sentence, the Board of Directors at its sole discretion shall determine when an Option is to expire.</w:t>
      </w:r>
    </w:p>
    <w:p>
      <w:pPr>
        <w:spacing w:after="0" w:line="71" w:lineRule="exact"/>
        <w:rPr>
          <w:rFonts w:ascii="Arial" w:cs="Arial" w:eastAsia="Arial" w:hAnsi="Arial"/>
          <w:sz w:val="19"/>
          <w:szCs w:val="19"/>
          <w:color w:val="auto"/>
        </w:rPr>
      </w:pPr>
    </w:p>
    <w:p>
      <w:pPr>
        <w:ind w:firstLine="1304"/>
        <w:spacing w:after="0" w:line="293" w:lineRule="auto"/>
        <w:tabs>
          <w:tab w:leader="none" w:pos="1944" w:val="left"/>
        </w:tabs>
        <w:numPr>
          <w:ilvl w:val="0"/>
          <w:numId w:val="316"/>
        </w:numPr>
        <w:rPr>
          <w:rFonts w:ascii="Arial" w:cs="Arial" w:eastAsia="Arial" w:hAnsi="Arial"/>
          <w:sz w:val="21"/>
          <w:szCs w:val="21"/>
          <w:color w:val="auto"/>
        </w:rPr>
      </w:pPr>
      <w:r>
        <w:rPr>
          <w:rFonts w:ascii="Arial" w:cs="Arial" w:eastAsia="Arial" w:hAnsi="Arial"/>
          <w:sz w:val="21"/>
          <w:szCs w:val="21"/>
          <w:b w:val="1"/>
          <w:bCs w:val="1"/>
          <w:color w:val="auto"/>
        </w:rPr>
        <w:t>Termination of Service (Except by Death)</w:t>
      </w:r>
      <w:r>
        <w:rPr>
          <w:rFonts w:ascii="Arial" w:cs="Arial" w:eastAsia="Arial" w:hAnsi="Arial"/>
          <w:sz w:val="21"/>
          <w:szCs w:val="21"/>
          <w:color w:val="auto"/>
        </w:rPr>
        <w:t>. If an Optionee’s Service terminates for any reason other than</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Optionee’s death, then the Optionee’s Options shall expire on the earliest of the following dates:</w:t>
      </w:r>
    </w:p>
    <w:p>
      <w:pPr>
        <w:spacing w:after="0" w:line="91" w:lineRule="exact"/>
        <w:rPr>
          <w:rFonts w:ascii="Arial" w:cs="Arial" w:eastAsia="Arial" w:hAnsi="Arial"/>
          <w:sz w:val="21"/>
          <w:szCs w:val="21"/>
          <w:color w:val="auto"/>
        </w:rPr>
      </w:pPr>
    </w:p>
    <w:p>
      <w:pPr>
        <w:ind w:left="2600" w:hanging="609"/>
        <w:spacing w:after="0"/>
        <w:tabs>
          <w:tab w:leader="none" w:pos="260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The expiration date determined pursuant to Subsection (e) above;</w:t>
      </w:r>
    </w:p>
    <w:p>
      <w:pPr>
        <w:spacing w:after="0" w:line="165" w:lineRule="exact"/>
        <w:rPr>
          <w:rFonts w:ascii="Arial" w:cs="Arial" w:eastAsia="Arial" w:hAnsi="Arial"/>
          <w:sz w:val="22"/>
          <w:szCs w:val="22"/>
          <w:color w:val="auto"/>
        </w:rPr>
      </w:pPr>
    </w:p>
    <w:p>
      <w:pPr>
        <w:ind w:left="660" w:firstLine="1271"/>
        <w:spacing w:after="0" w:line="263" w:lineRule="auto"/>
        <w:tabs>
          <w:tab w:leader="none" w:pos="2604" w:val="left"/>
        </w:tabs>
        <w:numPr>
          <w:ilvl w:val="1"/>
          <w:numId w:val="316"/>
        </w:numPr>
        <w:rPr>
          <w:rFonts w:ascii="Arial" w:cs="Arial" w:eastAsia="Arial" w:hAnsi="Arial"/>
          <w:sz w:val="22"/>
          <w:szCs w:val="22"/>
          <w:color w:val="auto"/>
        </w:rPr>
      </w:pPr>
      <w:r>
        <w:rPr>
          <w:rFonts w:ascii="Arial" w:cs="Arial" w:eastAsia="Arial" w:hAnsi="Arial"/>
          <w:sz w:val="22"/>
          <w:szCs w:val="22"/>
          <w:color w:val="auto"/>
        </w:rPr>
        <w:t>The date three months after the termination of the Optionee’s Service for any reason other than Disability, or such earlier or later date as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528" w:name="page529"/>
    <w:bookmarkEnd w:id="528"/>
    <w:p>
      <w:pPr>
        <w:ind w:left="660"/>
        <w:spacing w:after="0"/>
        <w:rPr>
          <w:sz w:val="20"/>
          <w:szCs w:val="20"/>
          <w:color w:val="auto"/>
        </w:rPr>
      </w:pPr>
      <w:r>
        <w:rPr>
          <w:rFonts w:ascii="Arial" w:cs="Arial" w:eastAsia="Arial" w:hAnsi="Arial"/>
          <w:sz w:val="21"/>
          <w:szCs w:val="21"/>
          <w:color w:val="auto"/>
        </w:rPr>
        <w:t>Directors may determine (but in no event earlier than 30 days after the termination of the Optionee’s Service); or</w:t>
      </w:r>
    </w:p>
    <w:p>
      <w:pPr>
        <w:spacing w:after="0" w:line="177" w:lineRule="exact"/>
        <w:rPr>
          <w:sz w:val="20"/>
          <w:szCs w:val="20"/>
          <w:color w:val="auto"/>
        </w:rPr>
      </w:pPr>
    </w:p>
    <w:p>
      <w:pPr>
        <w:ind w:left="660" w:firstLine="1211"/>
        <w:spacing w:after="0" w:line="263" w:lineRule="auto"/>
        <w:tabs>
          <w:tab w:leader="none" w:pos="2604" w:val="left"/>
        </w:tabs>
        <w:numPr>
          <w:ilvl w:val="0"/>
          <w:numId w:val="317"/>
        </w:numPr>
        <w:rPr>
          <w:rFonts w:ascii="Arial" w:cs="Arial" w:eastAsia="Arial" w:hAnsi="Arial"/>
          <w:sz w:val="22"/>
          <w:szCs w:val="22"/>
          <w:color w:val="auto"/>
        </w:rPr>
      </w:pPr>
      <w:r>
        <w:rPr>
          <w:rFonts w:ascii="Arial" w:cs="Arial" w:eastAsia="Arial" w:hAnsi="Arial"/>
          <w:sz w:val="22"/>
          <w:szCs w:val="22"/>
          <w:color w:val="auto"/>
        </w:rPr>
        <w:t>The date six months after the termination of the Optionee’s Service by reason of Disability, or such later date as the Board of Directors may determine.</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125" w:lineRule="exact"/>
        <w:rPr>
          <w:sz w:val="20"/>
          <w:szCs w:val="20"/>
          <w:color w:val="auto"/>
        </w:rPr>
      </w:pPr>
    </w:p>
    <w:p>
      <w:pPr>
        <w:jc w:val="both"/>
        <w:ind w:firstLine="1304"/>
        <w:spacing w:after="0" w:line="315" w:lineRule="auto"/>
        <w:tabs>
          <w:tab w:leader="none" w:pos="1939" w:val="left"/>
        </w:tabs>
        <w:numPr>
          <w:ilvl w:val="0"/>
          <w:numId w:val="318"/>
        </w:numPr>
        <w:rPr>
          <w:rFonts w:ascii="Arial" w:cs="Arial" w:eastAsia="Arial" w:hAnsi="Arial"/>
          <w:sz w:val="19"/>
          <w:szCs w:val="19"/>
          <w:color w:val="auto"/>
        </w:rPr>
      </w:pPr>
      <w:r>
        <w:rPr>
          <w:rFonts w:ascii="Arial" w:cs="Arial" w:eastAsia="Arial" w:hAnsi="Arial"/>
          <w:sz w:val="19"/>
          <w:szCs w:val="19"/>
          <w:b w:val="1"/>
          <w:bCs w:val="1"/>
          <w:color w:val="auto"/>
        </w:rPr>
        <w:t>Leaves of Absence</w:t>
      </w:r>
      <w:r>
        <w:rPr>
          <w:rFonts w:ascii="Arial" w:cs="Arial" w:eastAsia="Arial" w:hAnsi="Arial"/>
          <w:sz w:val="19"/>
          <w:szCs w:val="19"/>
          <w:color w:val="auto"/>
        </w:rPr>
        <w:t>. For purposes of Subsection (f) above, Service shall be deemed to continue while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is on a bona fide leave of absence, if such leave was approved by the Company in writing and if continued crediting of Service for this purpose is expressly required by the terms of such leave or by applicable law (as determined by the Company).</w:t>
      </w:r>
    </w:p>
    <w:p>
      <w:pPr>
        <w:spacing w:after="0" w:line="71" w:lineRule="exact"/>
        <w:rPr>
          <w:rFonts w:ascii="Arial" w:cs="Arial" w:eastAsia="Arial" w:hAnsi="Arial"/>
          <w:sz w:val="19"/>
          <w:szCs w:val="19"/>
          <w:color w:val="auto"/>
        </w:rPr>
      </w:pPr>
    </w:p>
    <w:p>
      <w:pPr>
        <w:ind w:firstLine="1304"/>
        <w:spacing w:after="0" w:line="269" w:lineRule="auto"/>
        <w:tabs>
          <w:tab w:leader="none" w:pos="1939" w:val="left"/>
        </w:tabs>
        <w:numPr>
          <w:ilvl w:val="0"/>
          <w:numId w:val="318"/>
        </w:numPr>
        <w:rPr>
          <w:rFonts w:ascii="Arial" w:cs="Arial" w:eastAsia="Arial" w:hAnsi="Arial"/>
          <w:sz w:val="22"/>
          <w:szCs w:val="22"/>
          <w:color w:val="auto"/>
        </w:rPr>
      </w:pPr>
      <w:r>
        <w:rPr>
          <w:rFonts w:ascii="Arial" w:cs="Arial" w:eastAsia="Arial" w:hAnsi="Arial"/>
          <w:sz w:val="22"/>
          <w:szCs w:val="22"/>
          <w:b w:val="1"/>
          <w:bCs w:val="1"/>
          <w:color w:val="auto"/>
        </w:rPr>
        <w:t>Death of Optionee</w:t>
      </w:r>
      <w:r>
        <w:rPr>
          <w:rFonts w:ascii="Arial" w:cs="Arial" w:eastAsia="Arial" w:hAnsi="Arial"/>
          <w:sz w:val="22"/>
          <w:szCs w:val="22"/>
          <w:color w:val="auto"/>
        </w:rPr>
        <w:t>. If an Optionee dies while the Optionee is in Service, then the Optionee’s Options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expire on the earlier of the following dates:</w:t>
      </w:r>
    </w:p>
    <w:p>
      <w:pPr>
        <w:spacing w:after="0" w:line="113" w:lineRule="exact"/>
        <w:rPr>
          <w:rFonts w:ascii="Arial" w:cs="Arial" w:eastAsia="Arial" w:hAnsi="Arial"/>
          <w:sz w:val="22"/>
          <w:szCs w:val="22"/>
          <w:color w:val="auto"/>
        </w:rPr>
      </w:pPr>
    </w:p>
    <w:p>
      <w:pPr>
        <w:ind w:left="2600" w:hanging="609"/>
        <w:spacing w:after="0"/>
        <w:tabs>
          <w:tab w:leader="none" w:pos="2600" w:val="left"/>
        </w:tabs>
        <w:numPr>
          <w:ilvl w:val="1"/>
          <w:numId w:val="318"/>
        </w:numPr>
        <w:rPr>
          <w:rFonts w:ascii="Arial" w:cs="Arial" w:eastAsia="Arial" w:hAnsi="Arial"/>
          <w:sz w:val="22"/>
          <w:szCs w:val="22"/>
          <w:color w:val="auto"/>
        </w:rPr>
      </w:pPr>
      <w:r>
        <w:rPr>
          <w:rFonts w:ascii="Arial" w:cs="Arial" w:eastAsia="Arial" w:hAnsi="Arial"/>
          <w:sz w:val="22"/>
          <w:szCs w:val="22"/>
          <w:color w:val="auto"/>
        </w:rPr>
        <w:t>The expiration date determined pursuant to Subsection (e) above; or</w:t>
      </w:r>
    </w:p>
    <w:p>
      <w:pPr>
        <w:spacing w:after="0" w:line="165" w:lineRule="exact"/>
        <w:rPr>
          <w:rFonts w:ascii="Arial" w:cs="Arial" w:eastAsia="Arial" w:hAnsi="Arial"/>
          <w:sz w:val="22"/>
          <w:szCs w:val="22"/>
          <w:color w:val="auto"/>
        </w:rPr>
      </w:pPr>
    </w:p>
    <w:p>
      <w:pPr>
        <w:ind w:left="660" w:firstLine="1271"/>
        <w:spacing w:after="0" w:line="263" w:lineRule="auto"/>
        <w:tabs>
          <w:tab w:leader="none" w:pos="2604" w:val="left"/>
        </w:tabs>
        <w:numPr>
          <w:ilvl w:val="1"/>
          <w:numId w:val="318"/>
        </w:numPr>
        <w:rPr>
          <w:rFonts w:ascii="Arial" w:cs="Arial" w:eastAsia="Arial" w:hAnsi="Arial"/>
          <w:sz w:val="22"/>
          <w:szCs w:val="22"/>
          <w:color w:val="auto"/>
        </w:rPr>
      </w:pPr>
      <w:r>
        <w:rPr>
          <w:rFonts w:ascii="Arial" w:cs="Arial" w:eastAsia="Arial" w:hAnsi="Arial"/>
          <w:sz w:val="22"/>
          <w:szCs w:val="22"/>
          <w:color w:val="auto"/>
        </w:rPr>
        <w:t>The date 12 months after the Optionee’s death, or such earlier or later date as the Board of Directors may determine (but in no event earlier than six months after the Optionee’s death).</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33" w:lineRule="exact"/>
        <w:rPr>
          <w:sz w:val="20"/>
          <w:szCs w:val="20"/>
          <w:color w:val="auto"/>
        </w:rPr>
      </w:pPr>
    </w:p>
    <w:p>
      <w:pPr>
        <w:jc w:val="both"/>
        <w:ind w:firstLine="1304"/>
        <w:spacing w:after="0" w:line="315" w:lineRule="auto"/>
        <w:tabs>
          <w:tab w:leader="none" w:pos="1932" w:val="left"/>
        </w:tabs>
        <w:numPr>
          <w:ilvl w:val="0"/>
          <w:numId w:val="319"/>
        </w:numPr>
        <w:rPr>
          <w:rFonts w:ascii="Arial" w:cs="Arial" w:eastAsia="Arial" w:hAnsi="Arial"/>
          <w:sz w:val="19"/>
          <w:szCs w:val="19"/>
          <w:color w:val="auto"/>
        </w:rPr>
      </w:pPr>
      <w:r>
        <w:rPr>
          <w:rFonts w:ascii="Arial" w:cs="Arial" w:eastAsia="Arial" w:hAnsi="Arial"/>
          <w:sz w:val="19"/>
          <w:szCs w:val="19"/>
          <w:b w:val="1"/>
          <w:bCs w:val="1"/>
          <w:color w:val="auto"/>
        </w:rPr>
        <w:t>Pre-Exercise Restrictions on Transfer of Options or Shares</w:t>
      </w:r>
      <w:r>
        <w:rPr>
          <w:rFonts w:ascii="Arial" w:cs="Arial" w:eastAsia="Arial" w:hAnsi="Arial"/>
          <w:sz w:val="19"/>
          <w:szCs w:val="19"/>
          <w:color w:val="auto"/>
        </w:rPr>
        <w:t>. An Option shall be transferable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only by (i) a beneficiary designation, (ii) a will or (iii) the laws of descent and distribution, except as provided in the next sentence. If the applicable Stock Option Agreement so provides, a Nonstatutory Option shall also be transferable by gift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529" w:name="page530"/>
    <w:bookmarkEnd w:id="529"/>
    <w:p>
      <w:pPr>
        <w:spacing w:after="0" w:line="263" w:lineRule="auto"/>
        <w:rPr>
          <w:sz w:val="20"/>
          <w:szCs w:val="20"/>
          <w:color w:val="auto"/>
        </w:rPr>
      </w:pPr>
      <w:r>
        <w:rPr>
          <w:rFonts w:ascii="Arial" w:cs="Arial" w:eastAsia="Arial" w:hAnsi="Arial"/>
          <w:sz w:val="22"/>
          <w:szCs w:val="22"/>
          <w:color w:val="auto"/>
        </w:rPr>
        <w:t>domestic relations order to a Family Member of the Optionee. An ISO may be exercised during the lifetime of the Optionee only by the Optionee or by the Optionee’s guardian or legal representative.</w:t>
      </w:r>
    </w:p>
    <w:p>
      <w:pPr>
        <w:spacing w:after="0" w:line="115" w:lineRule="exact"/>
        <w:rPr>
          <w:sz w:val="20"/>
          <w:szCs w:val="20"/>
          <w:color w:val="auto"/>
        </w:rPr>
      </w:pPr>
    </w:p>
    <w:p>
      <w:pPr>
        <w:jc w:val="both"/>
        <w:ind w:firstLine="1304"/>
        <w:spacing w:after="0" w:line="274" w:lineRule="auto"/>
        <w:tabs>
          <w:tab w:leader="none" w:pos="1932" w:val="left"/>
        </w:tabs>
        <w:numPr>
          <w:ilvl w:val="0"/>
          <w:numId w:val="320"/>
        </w:numPr>
        <w:rPr>
          <w:rFonts w:ascii="Arial" w:cs="Arial" w:eastAsia="Arial" w:hAnsi="Arial"/>
          <w:sz w:val="21"/>
          <w:szCs w:val="21"/>
          <w:color w:val="auto"/>
        </w:rPr>
      </w:pPr>
      <w:r>
        <w:rPr>
          <w:rFonts w:ascii="Arial" w:cs="Arial" w:eastAsia="Arial" w:hAnsi="Arial"/>
          <w:sz w:val="21"/>
          <w:szCs w:val="21"/>
          <w:b w:val="1"/>
          <w:bCs w:val="1"/>
          <w:color w:val="auto"/>
        </w:rPr>
        <w:t>No Rights as a Stockholder</w:t>
      </w:r>
      <w:r>
        <w:rPr>
          <w:rFonts w:ascii="Arial" w:cs="Arial" w:eastAsia="Arial" w:hAnsi="Arial"/>
          <w:sz w:val="21"/>
          <w:szCs w:val="21"/>
          <w:color w:val="auto"/>
        </w:rPr>
        <w:t>. An Optionee, or a transferee of an Optionee, shall have no rights as a</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 with respect to any Shares covered by the Optionee’s Option until such person becomes entitled to receive such Shares by filing a notice of exercise and paying the Exercise Price pursuant to the terms of such Option.</w:t>
      </w:r>
    </w:p>
    <w:p>
      <w:pPr>
        <w:spacing w:after="0" w:line="104" w:lineRule="exact"/>
        <w:rPr>
          <w:rFonts w:ascii="Arial" w:cs="Arial" w:eastAsia="Arial" w:hAnsi="Arial"/>
          <w:sz w:val="21"/>
          <w:szCs w:val="21"/>
          <w:color w:val="auto"/>
        </w:rPr>
      </w:pPr>
    </w:p>
    <w:p>
      <w:pPr>
        <w:jc w:val="both"/>
        <w:ind w:firstLine="1304"/>
        <w:spacing w:after="0" w:line="259" w:lineRule="auto"/>
        <w:tabs>
          <w:tab w:leader="none" w:pos="1939" w:val="left"/>
        </w:tabs>
        <w:numPr>
          <w:ilvl w:val="0"/>
          <w:numId w:val="320"/>
        </w:numPr>
        <w:rPr>
          <w:rFonts w:ascii="Arial" w:cs="Arial" w:eastAsia="Arial" w:hAnsi="Arial"/>
          <w:sz w:val="21"/>
          <w:szCs w:val="21"/>
          <w:color w:val="auto"/>
        </w:rPr>
      </w:pPr>
      <w:r>
        <w:rPr>
          <w:rFonts w:ascii="Arial" w:cs="Arial" w:eastAsia="Arial" w:hAnsi="Arial"/>
          <w:sz w:val="21"/>
          <w:szCs w:val="21"/>
          <w:b w:val="1"/>
          <w:bCs w:val="1"/>
          <w:color w:val="auto"/>
        </w:rPr>
        <w:t>Modification, Extension and Assumption of Options</w:t>
      </w:r>
      <w:r>
        <w:rPr>
          <w:rFonts w:ascii="Arial" w:cs="Arial" w:eastAsia="Arial" w:hAnsi="Arial"/>
          <w:sz w:val="21"/>
          <w:szCs w:val="21"/>
          <w:color w:val="auto"/>
        </w:rPr>
        <w:t>. Within the limitations of the Plan,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may modify, reprice,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Service, or permitting additional forms of consideration) but causes the Option to lose its tax-favored status (for example, as an ISO) shall not require the consent of the Optionee.</w:t>
      </w:r>
    </w:p>
    <w:p>
      <w:pPr>
        <w:spacing w:after="0" w:line="125" w:lineRule="exact"/>
        <w:rPr>
          <w:rFonts w:ascii="Arial" w:cs="Arial" w:eastAsia="Arial" w:hAnsi="Arial"/>
          <w:sz w:val="21"/>
          <w:szCs w:val="21"/>
          <w:color w:val="auto"/>
        </w:rPr>
      </w:pPr>
    </w:p>
    <w:p>
      <w:pPr>
        <w:jc w:val="both"/>
        <w:ind w:firstLine="1304"/>
        <w:spacing w:after="0" w:line="260" w:lineRule="auto"/>
        <w:tabs>
          <w:tab w:leader="none" w:pos="2026" w:val="left"/>
        </w:tabs>
        <w:numPr>
          <w:ilvl w:val="0"/>
          <w:numId w:val="320"/>
        </w:numPr>
        <w:rPr>
          <w:rFonts w:ascii="Arial" w:cs="Arial" w:eastAsia="Arial" w:hAnsi="Arial"/>
          <w:sz w:val="21"/>
          <w:szCs w:val="21"/>
          <w:color w:val="auto"/>
        </w:rPr>
      </w:pPr>
      <w:r>
        <w:rPr>
          <w:rFonts w:ascii="Arial" w:cs="Arial" w:eastAsia="Arial" w:hAnsi="Arial"/>
          <w:sz w:val="21"/>
          <w:szCs w:val="21"/>
          <w:b w:val="1"/>
          <w:bCs w:val="1"/>
          <w:color w:val="auto"/>
        </w:rPr>
        <w:t>Company’s Right to Cancel Certain Options</w:t>
      </w:r>
      <w:r>
        <w:rPr>
          <w:rFonts w:ascii="Arial" w:cs="Arial" w:eastAsia="Arial" w:hAnsi="Arial"/>
          <w:sz w:val="21"/>
          <w:szCs w:val="21"/>
          <w:color w:val="auto"/>
        </w:rPr>
        <w:t>. Any other provision of the Plan or a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12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b w:val="1"/>
          <w:bCs w:val="1"/>
          <w:color w:val="auto"/>
        </w:rPr>
        <w:t>PAYMENT FOR SHARES.</w:t>
      </w:r>
    </w:p>
    <w:p>
      <w:pPr>
        <w:spacing w:after="0" w:line="166" w:lineRule="exact"/>
        <w:rPr>
          <w:sz w:val="20"/>
          <w:szCs w:val="20"/>
          <w:color w:val="auto"/>
        </w:rPr>
      </w:pPr>
    </w:p>
    <w:p>
      <w:pPr>
        <w:jc w:val="both"/>
        <w:ind w:firstLine="1304"/>
        <w:spacing w:after="0" w:line="252" w:lineRule="auto"/>
        <w:tabs>
          <w:tab w:leader="none" w:pos="1941" w:val="left"/>
        </w:tabs>
        <w:numPr>
          <w:ilvl w:val="0"/>
          <w:numId w:val="321"/>
        </w:numPr>
        <w:rPr>
          <w:rFonts w:ascii="Arial" w:cs="Arial" w:eastAsia="Arial" w:hAnsi="Arial"/>
          <w:sz w:val="22"/>
          <w:szCs w:val="22"/>
          <w:color w:val="auto"/>
        </w:rPr>
      </w:pPr>
      <w:r>
        <w:rPr>
          <w:rFonts w:ascii="Arial" w:cs="Arial" w:eastAsia="Arial" w:hAnsi="Arial"/>
          <w:sz w:val="22"/>
          <w:szCs w:val="22"/>
          <w:b w:val="1"/>
          <w:bCs w:val="1"/>
          <w:color w:val="auto"/>
        </w:rPr>
        <w:t>General Rule</w:t>
      </w:r>
      <w:r>
        <w:rPr>
          <w:rFonts w:ascii="Arial" w:cs="Arial" w:eastAsia="Arial" w:hAnsi="Arial"/>
          <w:sz w:val="22"/>
          <w:szCs w:val="22"/>
          <w:color w:val="auto"/>
        </w:rPr>
        <w:t>. The entire Purchase Price or Exercise Price of Shares issued under the Plan shall be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in cash or cash equivalents at the time when such Shares are purchased, except as otherwise provided in this Section 7. In addition, the Board of Directors in its sole discretion may also permit payment through any of the methods described in (b) through (g) below:</w:t>
      </w:r>
    </w:p>
    <w:p>
      <w:pPr>
        <w:spacing w:after="0" w:line="125" w:lineRule="exact"/>
        <w:rPr>
          <w:rFonts w:ascii="Arial" w:cs="Arial" w:eastAsia="Arial" w:hAnsi="Arial"/>
          <w:sz w:val="22"/>
          <w:szCs w:val="22"/>
          <w:color w:val="auto"/>
        </w:rPr>
      </w:pPr>
    </w:p>
    <w:p>
      <w:pPr>
        <w:ind w:firstLine="1304"/>
        <w:spacing w:after="0" w:line="269" w:lineRule="auto"/>
        <w:tabs>
          <w:tab w:leader="none" w:pos="1939" w:val="left"/>
        </w:tabs>
        <w:numPr>
          <w:ilvl w:val="0"/>
          <w:numId w:val="321"/>
        </w:numPr>
        <w:rPr>
          <w:rFonts w:ascii="Arial" w:cs="Arial" w:eastAsia="Arial" w:hAnsi="Arial"/>
          <w:sz w:val="22"/>
          <w:szCs w:val="22"/>
          <w:color w:val="auto"/>
        </w:rPr>
      </w:pPr>
      <w:r>
        <w:rPr>
          <w:rFonts w:ascii="Arial" w:cs="Arial" w:eastAsia="Arial" w:hAnsi="Arial"/>
          <w:sz w:val="22"/>
          <w:szCs w:val="22"/>
          <w:b w:val="1"/>
          <w:bCs w:val="1"/>
          <w:color w:val="auto"/>
        </w:rPr>
        <w:t>Services Rendered</w:t>
      </w:r>
      <w:r>
        <w:rPr>
          <w:rFonts w:ascii="Arial" w:cs="Arial" w:eastAsia="Arial" w:hAnsi="Arial"/>
          <w:sz w:val="22"/>
          <w:szCs w:val="22"/>
          <w:color w:val="auto"/>
        </w:rPr>
        <w:t>. Shares may be awarded under the Plan in consideration of services rendered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Parent or a Subsidiary prior to the Award.</w:t>
      </w:r>
    </w:p>
    <w:p>
      <w:pPr>
        <w:spacing w:after="0" w:line="107" w:lineRule="exact"/>
        <w:rPr>
          <w:rFonts w:ascii="Arial" w:cs="Arial" w:eastAsia="Arial" w:hAnsi="Arial"/>
          <w:sz w:val="22"/>
          <w:szCs w:val="22"/>
          <w:color w:val="auto"/>
        </w:rPr>
      </w:pPr>
    </w:p>
    <w:p>
      <w:pPr>
        <w:jc w:val="both"/>
        <w:ind w:firstLine="1304"/>
        <w:spacing w:after="0" w:line="256" w:lineRule="auto"/>
        <w:tabs>
          <w:tab w:leader="none" w:pos="1941" w:val="left"/>
        </w:tabs>
        <w:numPr>
          <w:ilvl w:val="0"/>
          <w:numId w:val="321"/>
        </w:numPr>
        <w:rPr>
          <w:rFonts w:ascii="Arial" w:cs="Arial" w:eastAsia="Arial" w:hAnsi="Arial"/>
          <w:sz w:val="22"/>
          <w:szCs w:val="22"/>
          <w:color w:val="auto"/>
        </w:rPr>
      </w:pPr>
      <w:r>
        <w:rPr>
          <w:rFonts w:ascii="Arial" w:cs="Arial" w:eastAsia="Arial" w:hAnsi="Arial"/>
          <w:sz w:val="22"/>
          <w:szCs w:val="22"/>
          <w:b w:val="1"/>
          <w:bCs w:val="1"/>
          <w:color w:val="auto"/>
        </w:rPr>
        <w:t>Promissory Note</w:t>
      </w:r>
      <w:r>
        <w:rPr>
          <w:rFonts w:ascii="Arial" w:cs="Arial" w:eastAsia="Arial" w:hAnsi="Arial"/>
          <w:sz w:val="22"/>
          <w:szCs w:val="22"/>
          <w:color w:val="auto"/>
        </w:rPr>
        <w:t>. All or a portion of the Purchase Price or Exercise Price (as the case may be)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issued under the Plan may be paid with a promissory note. The Shares shall be pledged as security for payment of the principal amount of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530" w:name="page531"/>
    <w:bookmarkEnd w:id="530"/>
    <w:p>
      <w:pPr>
        <w:jc w:val="both"/>
        <w:spacing w:after="0" w:line="312" w:lineRule="auto"/>
        <w:rPr>
          <w:sz w:val="20"/>
          <w:szCs w:val="20"/>
          <w:color w:val="auto"/>
        </w:rPr>
      </w:pPr>
      <w:r>
        <w:rPr>
          <w:rFonts w:ascii="Arial" w:cs="Arial" w:eastAsia="Arial" w:hAnsi="Arial"/>
          <w:sz w:val="19"/>
          <w:szCs w:val="19"/>
          <w:color w:val="auto"/>
        </w:rPr>
        <w:t>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73" w:lineRule="exact"/>
        <w:rPr>
          <w:sz w:val="20"/>
          <w:szCs w:val="20"/>
          <w:color w:val="auto"/>
        </w:rPr>
      </w:pPr>
    </w:p>
    <w:p>
      <w:pPr>
        <w:jc w:val="both"/>
        <w:ind w:firstLine="1304"/>
        <w:spacing w:after="0" w:line="274" w:lineRule="auto"/>
        <w:tabs>
          <w:tab w:leader="none" w:pos="1939" w:val="left"/>
        </w:tabs>
        <w:numPr>
          <w:ilvl w:val="0"/>
          <w:numId w:val="322"/>
        </w:numPr>
        <w:rPr>
          <w:rFonts w:ascii="Arial" w:cs="Arial" w:eastAsia="Arial" w:hAnsi="Arial"/>
          <w:sz w:val="21"/>
          <w:szCs w:val="21"/>
          <w:color w:val="auto"/>
        </w:rPr>
      </w:pPr>
      <w:r>
        <w:rPr>
          <w:rFonts w:ascii="Arial" w:cs="Arial" w:eastAsia="Arial" w:hAnsi="Arial"/>
          <w:sz w:val="21"/>
          <w:szCs w:val="21"/>
          <w:b w:val="1"/>
          <w:bCs w:val="1"/>
          <w:color w:val="auto"/>
        </w:rPr>
        <w:t>Surrender of Stock</w:t>
      </w:r>
      <w:r>
        <w:rPr>
          <w:rFonts w:ascii="Arial" w:cs="Arial" w:eastAsia="Arial" w:hAnsi="Arial"/>
          <w:sz w:val="21"/>
          <w:szCs w:val="21"/>
          <w:color w:val="auto"/>
        </w:rPr>
        <w:t>. All or any part of the Exercise Price may be paid by surrendering, or attesting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ownership of, Shares that are already owned by the Optionee. Such Shares shall be surrendered to the Company in good form for transfer and shall be valued at their Fair Market Value as of the date when the Option is exercised.</w:t>
      </w:r>
    </w:p>
    <w:p>
      <w:pPr>
        <w:spacing w:after="0" w:line="104" w:lineRule="exact"/>
        <w:rPr>
          <w:rFonts w:ascii="Arial" w:cs="Arial" w:eastAsia="Arial" w:hAnsi="Arial"/>
          <w:sz w:val="21"/>
          <w:szCs w:val="21"/>
          <w:color w:val="auto"/>
        </w:rPr>
      </w:pPr>
    </w:p>
    <w:p>
      <w:pPr>
        <w:jc w:val="both"/>
        <w:ind w:firstLine="1304"/>
        <w:spacing w:after="0" w:line="274" w:lineRule="auto"/>
        <w:tabs>
          <w:tab w:leader="none" w:pos="1941" w:val="left"/>
        </w:tabs>
        <w:numPr>
          <w:ilvl w:val="0"/>
          <w:numId w:val="322"/>
        </w:numPr>
        <w:rPr>
          <w:rFonts w:ascii="Arial" w:cs="Arial" w:eastAsia="Arial" w:hAnsi="Arial"/>
          <w:sz w:val="21"/>
          <w:szCs w:val="21"/>
          <w:color w:val="auto"/>
        </w:rPr>
      </w:pPr>
      <w:r>
        <w:rPr>
          <w:rFonts w:ascii="Arial" w:cs="Arial" w:eastAsia="Arial" w:hAnsi="Arial"/>
          <w:sz w:val="21"/>
          <w:szCs w:val="21"/>
          <w:b w:val="1"/>
          <w:bCs w:val="1"/>
          <w:color w:val="auto"/>
        </w:rPr>
        <w:t>Exercise/Sale</w:t>
      </w:r>
      <w:r>
        <w:rPr>
          <w:rFonts w:ascii="Arial" w:cs="Arial" w:eastAsia="Arial" w:hAnsi="Arial"/>
          <w:sz w:val="21"/>
          <w:szCs w:val="21"/>
          <w:color w:val="auto"/>
        </w:rPr>
        <w:t>. If the Stock is publicly traded, all or part of the Exercise Price and any withholding taxes</w:t>
      </w:r>
      <w:r>
        <w:rPr>
          <w:rFonts w:ascii="Arial" w:cs="Arial" w:eastAsia="Arial" w:hAnsi="Arial"/>
          <w:sz w:val="21"/>
          <w:szCs w:val="21"/>
          <w:b w:val="1"/>
          <w:bCs w:val="1"/>
          <w:color w:val="auto"/>
        </w:rPr>
        <w:t xml:space="preserve"> </w:t>
      </w:r>
      <w:r>
        <w:rPr>
          <w:rFonts w:ascii="Arial" w:cs="Arial" w:eastAsia="Arial" w:hAnsi="Arial"/>
          <w:sz w:val="21"/>
          <w:szCs w:val="21"/>
          <w:color w:val="auto"/>
        </w:rPr>
        <w:t>may be paid by the delivery (on a form prescribed by the Company) of an irrevocable direction to a securities broker approved by the Company to sell Shares and to deliver all or part of the sales proceeds to the Company.</w:t>
      </w:r>
    </w:p>
    <w:p>
      <w:pPr>
        <w:spacing w:after="0" w:line="104" w:lineRule="exact"/>
        <w:rPr>
          <w:rFonts w:ascii="Arial" w:cs="Arial" w:eastAsia="Arial" w:hAnsi="Arial"/>
          <w:sz w:val="21"/>
          <w:szCs w:val="21"/>
          <w:color w:val="auto"/>
        </w:rPr>
      </w:pPr>
    </w:p>
    <w:p>
      <w:pPr>
        <w:jc w:val="both"/>
        <w:ind w:firstLine="1304"/>
        <w:spacing w:after="0" w:line="291" w:lineRule="auto"/>
        <w:tabs>
          <w:tab w:leader="none" w:pos="1944" w:val="left"/>
        </w:tabs>
        <w:numPr>
          <w:ilvl w:val="0"/>
          <w:numId w:val="322"/>
        </w:numPr>
        <w:rPr>
          <w:rFonts w:ascii="Arial" w:cs="Arial" w:eastAsia="Arial" w:hAnsi="Arial"/>
          <w:sz w:val="19"/>
          <w:szCs w:val="19"/>
          <w:color w:val="auto"/>
        </w:rPr>
      </w:pPr>
      <w:r>
        <w:rPr>
          <w:rFonts w:ascii="Arial" w:cs="Arial" w:eastAsia="Arial" w:hAnsi="Arial"/>
          <w:sz w:val="19"/>
          <w:szCs w:val="19"/>
          <w:b w:val="1"/>
          <w:bCs w:val="1"/>
          <w:color w:val="auto"/>
        </w:rPr>
        <w:t>Net Exercise</w:t>
      </w:r>
      <w:r>
        <w:rPr>
          <w:rFonts w:ascii="Arial" w:cs="Arial" w:eastAsia="Arial" w:hAnsi="Arial"/>
          <w:sz w:val="19"/>
          <w:szCs w:val="19"/>
          <w:color w:val="auto"/>
        </w:rPr>
        <w:t>. An Option may permit exercise through a “net exercise” arrangement pursuant to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 Company accepting from the Optionee payment of cash or cash equivalents to satisfy any remaining balance of the aggregate Exercise Price and, if applicable, any additional withholding obligation not satisfied through such reduction in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94" w:lineRule="exact"/>
        <w:rPr>
          <w:rFonts w:ascii="Arial" w:cs="Arial" w:eastAsia="Arial" w:hAnsi="Arial"/>
          <w:sz w:val="19"/>
          <w:szCs w:val="19"/>
          <w:color w:val="auto"/>
        </w:rPr>
      </w:pPr>
    </w:p>
    <w:p>
      <w:pPr>
        <w:jc w:val="both"/>
        <w:ind w:right="20" w:firstLine="1304"/>
        <w:spacing w:after="0" w:line="256" w:lineRule="auto"/>
        <w:tabs>
          <w:tab w:leader="none" w:pos="1939" w:val="left"/>
        </w:tabs>
        <w:numPr>
          <w:ilvl w:val="0"/>
          <w:numId w:val="322"/>
        </w:numPr>
        <w:rPr>
          <w:rFonts w:ascii="Arial" w:cs="Arial" w:eastAsia="Arial" w:hAnsi="Arial"/>
          <w:sz w:val="22"/>
          <w:szCs w:val="22"/>
          <w:color w:val="auto"/>
        </w:rPr>
      </w:pPr>
      <w:r>
        <w:rPr>
          <w:rFonts w:ascii="Arial" w:cs="Arial" w:eastAsia="Arial" w:hAnsi="Arial"/>
          <w:sz w:val="22"/>
          <w:szCs w:val="22"/>
          <w:b w:val="1"/>
          <w:bCs w:val="1"/>
          <w:color w:val="auto"/>
        </w:rPr>
        <w:t>Other Forms of Payment</w:t>
      </w:r>
      <w:r>
        <w:rPr>
          <w:rFonts w:ascii="Arial" w:cs="Arial" w:eastAsia="Arial" w:hAnsi="Arial"/>
          <w:sz w:val="22"/>
          <w:szCs w:val="22"/>
          <w:color w:val="auto"/>
        </w:rPr>
        <w:t>. To the extent that an Award Agreement so provides, the Purchase Price or</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of Shares issued under the Plan may be paid in any other form permitted by the Delaware General Corporation Law, as amended.</w:t>
      </w:r>
    </w:p>
    <w:p>
      <w:pPr>
        <w:spacing w:after="0" w:line="12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1"/>
          <w:szCs w:val="21"/>
          <w:b w:val="1"/>
          <w:bCs w:val="1"/>
          <w:color w:val="auto"/>
        </w:rPr>
        <w:t>TERMS AND CONDITIONS OF RESTRICTED STOCK UNITS.</w:t>
      </w:r>
    </w:p>
    <w:p>
      <w:pPr>
        <w:spacing w:after="0" w:line="166" w:lineRule="exact"/>
        <w:rPr>
          <w:sz w:val="20"/>
          <w:szCs w:val="20"/>
          <w:color w:val="auto"/>
        </w:rPr>
      </w:pPr>
    </w:p>
    <w:p>
      <w:pPr>
        <w:jc w:val="both"/>
        <w:ind w:firstLine="1304"/>
        <w:spacing w:after="0" w:line="248" w:lineRule="auto"/>
        <w:tabs>
          <w:tab w:leader="none" w:pos="1941" w:val="left"/>
        </w:tabs>
        <w:numPr>
          <w:ilvl w:val="0"/>
          <w:numId w:val="323"/>
        </w:numPr>
        <w:rPr>
          <w:rFonts w:ascii="Arial" w:cs="Arial" w:eastAsia="Arial" w:hAnsi="Arial"/>
          <w:sz w:val="22"/>
          <w:szCs w:val="22"/>
          <w:color w:val="auto"/>
        </w:rPr>
      </w:pPr>
      <w:r>
        <w:rPr>
          <w:rFonts w:ascii="Arial" w:cs="Arial" w:eastAsia="Arial" w:hAnsi="Arial"/>
          <w:sz w:val="22"/>
          <w:szCs w:val="22"/>
          <w:b w:val="1"/>
          <w:bCs w:val="1"/>
          <w:color w:val="auto"/>
        </w:rPr>
        <w:t>Restricted Stock Unit Award Agreement</w:t>
      </w:r>
      <w:r>
        <w:rPr>
          <w:rFonts w:ascii="Arial" w:cs="Arial" w:eastAsia="Arial" w:hAnsi="Arial"/>
          <w:sz w:val="22"/>
          <w:szCs w:val="22"/>
          <w:color w:val="auto"/>
        </w:rPr>
        <w:t>. Each grant of Restricted Stock Units under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evidenced by a Restricted Stock Unit Award Agreement between the Participant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Award Agreement. The provisions of the various Restricted Stock Unit Award Agreements entered into under the Plan need not be identical.</w:t>
      </w:r>
    </w:p>
    <w:p>
      <w:pPr>
        <w:spacing w:after="0" w:line="132" w:lineRule="exact"/>
        <w:rPr>
          <w:rFonts w:ascii="Arial" w:cs="Arial" w:eastAsia="Arial" w:hAnsi="Arial"/>
          <w:sz w:val="22"/>
          <w:szCs w:val="22"/>
          <w:color w:val="auto"/>
        </w:rPr>
      </w:pPr>
    </w:p>
    <w:p>
      <w:pPr>
        <w:ind w:firstLine="1304"/>
        <w:spacing w:after="0" w:line="269" w:lineRule="auto"/>
        <w:tabs>
          <w:tab w:leader="none" w:pos="1939" w:val="left"/>
        </w:tabs>
        <w:numPr>
          <w:ilvl w:val="0"/>
          <w:numId w:val="323"/>
        </w:numPr>
        <w:rPr>
          <w:rFonts w:ascii="Arial" w:cs="Arial" w:eastAsia="Arial" w:hAnsi="Arial"/>
          <w:sz w:val="22"/>
          <w:szCs w:val="22"/>
          <w:color w:val="auto"/>
        </w:rPr>
      </w:pPr>
      <w:r>
        <w:rPr>
          <w:rFonts w:ascii="Arial" w:cs="Arial" w:eastAsia="Arial" w:hAnsi="Arial"/>
          <w:sz w:val="22"/>
          <w:szCs w:val="22"/>
          <w:b w:val="1"/>
          <w:bCs w:val="1"/>
          <w:color w:val="auto"/>
        </w:rPr>
        <w:t>Payment for Restricted Stock Units</w:t>
      </w:r>
      <w:r>
        <w:rPr>
          <w:rFonts w:ascii="Arial" w:cs="Arial" w:eastAsia="Arial" w:hAnsi="Arial"/>
          <w:sz w:val="22"/>
          <w:szCs w:val="22"/>
          <w:color w:val="auto"/>
        </w:rPr>
        <w:t>. No cash consideration shall be required of the Participant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grant of Restricted Stock Units.</w:t>
      </w:r>
    </w:p>
    <w:p>
      <w:pPr>
        <w:spacing w:after="0" w:line="107" w:lineRule="exact"/>
        <w:rPr>
          <w:rFonts w:ascii="Arial" w:cs="Arial" w:eastAsia="Arial" w:hAnsi="Arial"/>
          <w:sz w:val="22"/>
          <w:szCs w:val="22"/>
          <w:color w:val="auto"/>
        </w:rPr>
      </w:pPr>
    </w:p>
    <w:p>
      <w:pPr>
        <w:jc w:val="both"/>
        <w:ind w:firstLine="1304"/>
        <w:spacing w:after="0" w:line="256" w:lineRule="auto"/>
        <w:tabs>
          <w:tab w:leader="none" w:pos="1941" w:val="left"/>
        </w:tabs>
        <w:numPr>
          <w:ilvl w:val="0"/>
          <w:numId w:val="323"/>
        </w:numPr>
        <w:rPr>
          <w:rFonts w:ascii="Arial" w:cs="Arial" w:eastAsia="Arial" w:hAnsi="Arial"/>
          <w:sz w:val="22"/>
          <w:szCs w:val="22"/>
          <w:color w:val="auto"/>
        </w:rPr>
      </w:pPr>
      <w:r>
        <w:rPr>
          <w:rFonts w:ascii="Arial" w:cs="Arial" w:eastAsia="Arial" w:hAnsi="Arial"/>
          <w:sz w:val="22"/>
          <w:szCs w:val="22"/>
          <w:b w:val="1"/>
          <w:bCs w:val="1"/>
          <w:color w:val="auto"/>
        </w:rPr>
        <w:t>Vesting Conditions</w:t>
      </w:r>
      <w:r>
        <w:rPr>
          <w:rFonts w:ascii="Arial" w:cs="Arial" w:eastAsia="Arial" w:hAnsi="Arial"/>
          <w:sz w:val="22"/>
          <w:szCs w:val="22"/>
          <w:color w:val="auto"/>
        </w:rPr>
        <w:t>. Restricted Stock Units may or may not be subject to vesting, as determined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of the Board of Directors. Vesting may occur, in full or in installments, upon the satisfaction of the vesting conditions specified in the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531" w:name="page532"/>
    <w:bookmarkEnd w:id="531"/>
    <w:p>
      <w:pPr>
        <w:jc w:val="both"/>
        <w:spacing w:after="0" w:line="253" w:lineRule="auto"/>
        <w:rPr>
          <w:sz w:val="20"/>
          <w:szCs w:val="20"/>
          <w:color w:val="auto"/>
        </w:rPr>
      </w:pPr>
      <w:r>
        <w:rPr>
          <w:rFonts w:ascii="Arial" w:cs="Arial" w:eastAsia="Arial" w:hAnsi="Arial"/>
          <w:sz w:val="22"/>
          <w:szCs w:val="22"/>
          <w:color w:val="auto"/>
        </w:rPr>
        <w:t>Unit Award Agreement, which may include continued employment or other Service, achievement of performance goals and/or such other criteria as the Board of Directors may determine. A Restricted Stock Unit Award Agreement may provide for accelerated vesting upon specified events.</w:t>
      </w:r>
    </w:p>
    <w:p>
      <w:pPr>
        <w:spacing w:after="0" w:line="125" w:lineRule="exact"/>
        <w:rPr>
          <w:sz w:val="20"/>
          <w:szCs w:val="20"/>
          <w:color w:val="auto"/>
        </w:rPr>
      </w:pPr>
    </w:p>
    <w:p>
      <w:pPr>
        <w:jc w:val="both"/>
        <w:ind w:firstLine="1304"/>
        <w:spacing w:after="0" w:line="256" w:lineRule="auto"/>
        <w:tabs>
          <w:tab w:leader="none" w:pos="1939"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Unless a Restricted Stock Unit Award Agreement provides otherwise, upon termination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Partcipant’s Service and upon such other times specified in the Restricted Stock Unit Award Agreement, any unvested Restricted Stock Units shall be forfeited to the Company.</w:t>
      </w:r>
    </w:p>
    <w:p>
      <w:pPr>
        <w:spacing w:after="0" w:line="122" w:lineRule="exact"/>
        <w:rPr>
          <w:rFonts w:ascii="Arial" w:cs="Arial" w:eastAsia="Arial" w:hAnsi="Arial"/>
          <w:sz w:val="22"/>
          <w:szCs w:val="22"/>
          <w:color w:val="auto"/>
        </w:rPr>
      </w:pPr>
    </w:p>
    <w:p>
      <w:pPr>
        <w:jc w:val="both"/>
        <w:ind w:firstLine="1304"/>
        <w:spacing w:after="0" w:line="256" w:lineRule="auto"/>
        <w:tabs>
          <w:tab w:leader="none" w:pos="1941"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Leaves of Absence</w:t>
      </w:r>
      <w:r>
        <w:rPr>
          <w:rFonts w:ascii="Arial" w:cs="Arial" w:eastAsia="Arial" w:hAnsi="Arial"/>
          <w:sz w:val="22"/>
          <w:szCs w:val="22"/>
          <w:color w:val="auto"/>
        </w:rPr>
        <w:t>. For this purpose, Service will not cease if a Participant is on a bona fide leave of</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that was approved by the Company in writing and if continued crediting of Service for this purpose is expressly required by the terms of such leave or by applicable law (as determined by the Company).</w:t>
      </w:r>
    </w:p>
    <w:p>
      <w:pPr>
        <w:spacing w:after="0" w:line="122" w:lineRule="exact"/>
        <w:rPr>
          <w:rFonts w:ascii="Arial" w:cs="Arial" w:eastAsia="Arial" w:hAnsi="Arial"/>
          <w:sz w:val="22"/>
          <w:szCs w:val="22"/>
          <w:color w:val="auto"/>
        </w:rPr>
      </w:pPr>
    </w:p>
    <w:p>
      <w:pPr>
        <w:jc w:val="both"/>
        <w:ind w:firstLine="1304"/>
        <w:spacing w:after="0" w:line="261" w:lineRule="auto"/>
        <w:tabs>
          <w:tab w:leader="none" w:pos="1944" w:val="left"/>
        </w:tabs>
        <w:numPr>
          <w:ilvl w:val="0"/>
          <w:numId w:val="324"/>
        </w:numPr>
        <w:rPr>
          <w:rFonts w:ascii="Arial" w:cs="Arial" w:eastAsia="Arial" w:hAnsi="Arial"/>
          <w:sz w:val="21"/>
          <w:szCs w:val="21"/>
          <w:color w:val="auto"/>
        </w:rPr>
      </w:pPr>
      <w:r>
        <w:rPr>
          <w:rFonts w:ascii="Arial" w:cs="Arial" w:eastAsia="Arial" w:hAnsi="Arial"/>
          <w:sz w:val="21"/>
          <w:szCs w:val="21"/>
          <w:b w:val="1"/>
          <w:bCs w:val="1"/>
          <w:color w:val="auto"/>
        </w:rPr>
        <w:t>Voting and Dividend Rights</w:t>
      </w:r>
      <w:r>
        <w:rPr>
          <w:rFonts w:ascii="Arial" w:cs="Arial" w:eastAsia="Arial" w:hAnsi="Arial"/>
          <w:sz w:val="21"/>
          <w:szCs w:val="21"/>
          <w:color w:val="auto"/>
        </w:rPr>
        <w:t>. The holder of Restricted Stock Units shall have no voting rights.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or forfeiture, any 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w:t>
      </w:r>
    </w:p>
    <w:p>
      <w:pPr>
        <w:spacing w:after="0" w:line="119" w:lineRule="exact"/>
        <w:rPr>
          <w:rFonts w:ascii="Arial" w:cs="Arial" w:eastAsia="Arial" w:hAnsi="Arial"/>
          <w:sz w:val="21"/>
          <w:szCs w:val="21"/>
          <w:color w:val="auto"/>
        </w:rPr>
      </w:pPr>
    </w:p>
    <w:p>
      <w:pPr>
        <w:jc w:val="both"/>
        <w:ind w:firstLine="1304"/>
        <w:spacing w:after="0" w:line="262" w:lineRule="auto"/>
        <w:tabs>
          <w:tab w:leader="none" w:pos="1939" w:val="left"/>
        </w:tabs>
        <w:numPr>
          <w:ilvl w:val="0"/>
          <w:numId w:val="324"/>
        </w:numPr>
        <w:rPr>
          <w:rFonts w:ascii="Arial" w:cs="Arial" w:eastAsia="Arial" w:hAnsi="Arial"/>
          <w:sz w:val="21"/>
          <w:szCs w:val="21"/>
          <w:color w:val="auto"/>
        </w:rPr>
      </w:pPr>
      <w:r>
        <w:rPr>
          <w:rFonts w:ascii="Arial" w:cs="Arial" w:eastAsia="Arial" w:hAnsi="Arial"/>
          <w:sz w:val="21"/>
          <w:szCs w:val="21"/>
          <w:b w:val="1"/>
          <w:bCs w:val="1"/>
          <w:color w:val="auto"/>
        </w:rPr>
        <w:t>Form and Time of Settlement of Restricted Stock Units</w:t>
      </w:r>
      <w:r>
        <w:rPr>
          <w:rFonts w:ascii="Arial" w:cs="Arial" w:eastAsia="Arial" w:hAnsi="Arial"/>
          <w:sz w:val="21"/>
          <w:szCs w:val="21"/>
          <w:color w:val="auto"/>
        </w:rPr>
        <w:t>. Settlement of vested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may be made in the form of (i) 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Award Agreement. Until Restricted Stock Units are settled, the number of such Restricted Stock Units shall be subject to adjustment pursuant to Section 9.</w:t>
      </w:r>
    </w:p>
    <w:p>
      <w:pPr>
        <w:spacing w:after="0" w:line="119" w:lineRule="exact"/>
        <w:rPr>
          <w:rFonts w:ascii="Arial" w:cs="Arial" w:eastAsia="Arial" w:hAnsi="Arial"/>
          <w:sz w:val="21"/>
          <w:szCs w:val="21"/>
          <w:color w:val="auto"/>
        </w:rPr>
      </w:pPr>
    </w:p>
    <w:p>
      <w:pPr>
        <w:jc w:val="both"/>
        <w:ind w:firstLine="1304"/>
        <w:spacing w:after="0" w:line="262" w:lineRule="auto"/>
        <w:tabs>
          <w:tab w:leader="none" w:pos="1939" w:val="left"/>
        </w:tabs>
        <w:numPr>
          <w:ilvl w:val="0"/>
          <w:numId w:val="324"/>
        </w:numPr>
        <w:rPr>
          <w:rFonts w:ascii="Arial" w:cs="Arial" w:eastAsia="Arial" w:hAnsi="Arial"/>
          <w:sz w:val="21"/>
          <w:szCs w:val="21"/>
          <w:color w:val="auto"/>
        </w:rPr>
      </w:pPr>
      <w:r>
        <w:rPr>
          <w:rFonts w:ascii="Arial" w:cs="Arial" w:eastAsia="Arial" w:hAnsi="Arial"/>
          <w:sz w:val="21"/>
          <w:szCs w:val="21"/>
          <w:b w:val="1"/>
          <w:bCs w:val="1"/>
          <w:color w:val="auto"/>
        </w:rPr>
        <w:t>Death of Recipient</w:t>
      </w:r>
      <w:r>
        <w:rPr>
          <w:rFonts w:ascii="Arial" w:cs="Arial" w:eastAsia="Arial" w:hAnsi="Arial"/>
          <w:sz w:val="21"/>
          <w:szCs w:val="21"/>
          <w:color w:val="auto"/>
        </w:rPr>
        <w:t>. Any Restricted Stock Units that become distributable after the Participant’s death</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distributed to the Participant’s beneficiary or beneficiaries, if any have been designated, or if no beneficiary was designated or if no designated beneficiary survives the Participant, then any Restricted Stock Units that become payable after the Participant’s death shall be distributed to his or her estate. Each Participant under the Plan may designate one or more beneficiaries for this purpose by filing the prescribed form with the Company. A beneficiary designation may be changed by filing the prescribed form with the Company at any time before the Participant’s death.</w:t>
      </w:r>
    </w:p>
    <w:p>
      <w:pPr>
        <w:spacing w:after="0" w:line="119" w:lineRule="exact"/>
        <w:rPr>
          <w:rFonts w:ascii="Arial" w:cs="Arial" w:eastAsia="Arial" w:hAnsi="Arial"/>
          <w:sz w:val="21"/>
          <w:szCs w:val="21"/>
          <w:color w:val="auto"/>
        </w:rPr>
      </w:pPr>
    </w:p>
    <w:p>
      <w:pPr>
        <w:jc w:val="both"/>
        <w:ind w:firstLine="1304"/>
        <w:spacing w:after="0" w:line="256" w:lineRule="auto"/>
        <w:tabs>
          <w:tab w:leader="none" w:pos="1932"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Creditors’ Rights</w:t>
      </w:r>
      <w:r>
        <w:rPr>
          <w:rFonts w:ascii="Arial" w:cs="Arial" w:eastAsia="Arial" w:hAnsi="Arial"/>
          <w:sz w:val="22"/>
          <w:szCs w:val="22"/>
          <w:color w:val="auto"/>
        </w:rPr>
        <w:t>. A holder of Restricted Stock Units shall have no rights other than those of a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creditor of the Company. Restricted Stock Units represent an unfunded and unsecured obligation of the Company, subject to the terms and conditions of the applicable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532" w:name="page533"/>
    <w:bookmarkEnd w:id="532"/>
    <w:p>
      <w:pPr>
        <w:jc w:val="both"/>
        <w:ind w:firstLine="1304"/>
        <w:spacing w:after="0" w:line="252" w:lineRule="auto"/>
        <w:tabs>
          <w:tab w:leader="none" w:pos="1932" w:val="left"/>
        </w:tabs>
        <w:numPr>
          <w:ilvl w:val="0"/>
          <w:numId w:val="325"/>
        </w:numPr>
        <w:rPr>
          <w:rFonts w:ascii="Arial" w:cs="Arial" w:eastAsia="Arial" w:hAnsi="Arial"/>
          <w:sz w:val="22"/>
          <w:szCs w:val="22"/>
          <w:color w:val="auto"/>
        </w:rPr>
      </w:pPr>
      <w:r>
        <w:rPr>
          <w:rFonts w:ascii="Arial" w:cs="Arial" w:eastAsia="Arial" w:hAnsi="Arial"/>
          <w:sz w:val="22"/>
          <w:szCs w:val="22"/>
          <w:b w:val="1"/>
          <w:bCs w:val="1"/>
          <w:color w:val="auto"/>
        </w:rPr>
        <w:t>Modification, Extension and Assumption of Restricted Stock Units</w:t>
      </w:r>
      <w:r>
        <w:rPr>
          <w:rFonts w:ascii="Arial" w:cs="Arial" w:eastAsia="Arial" w:hAnsi="Arial"/>
          <w:sz w:val="22"/>
          <w:szCs w:val="22"/>
          <w:color w:val="auto"/>
        </w:rPr>
        <w:t>. Within the limitations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may modify, extend or assume outstanding Restricted Stock Units. The foregoing notwithstanding, no modification of a Restricted Stock Unit shall, without the consent of the Participant, impair the Participant’s rights or increase the Participant’s obligations under such Restricted Stock Unit.</w:t>
      </w:r>
    </w:p>
    <w:p>
      <w:pPr>
        <w:spacing w:after="0" w:line="125" w:lineRule="exact"/>
        <w:rPr>
          <w:rFonts w:ascii="Arial" w:cs="Arial" w:eastAsia="Arial" w:hAnsi="Arial"/>
          <w:sz w:val="22"/>
          <w:szCs w:val="22"/>
          <w:color w:val="auto"/>
        </w:rPr>
      </w:pPr>
    </w:p>
    <w:p>
      <w:pPr>
        <w:jc w:val="both"/>
        <w:ind w:firstLine="1304"/>
        <w:spacing w:after="0" w:line="267" w:lineRule="auto"/>
        <w:tabs>
          <w:tab w:leader="none" w:pos="1939" w:val="left"/>
        </w:tabs>
        <w:numPr>
          <w:ilvl w:val="0"/>
          <w:numId w:val="325"/>
        </w:numPr>
        <w:rPr>
          <w:rFonts w:ascii="Arial" w:cs="Arial" w:eastAsia="Arial" w:hAnsi="Arial"/>
          <w:sz w:val="21"/>
          <w:szCs w:val="21"/>
          <w:color w:val="auto"/>
        </w:rPr>
      </w:pPr>
      <w:r>
        <w:rPr>
          <w:rFonts w:ascii="Arial" w:cs="Arial" w:eastAsia="Arial" w:hAnsi="Arial"/>
          <w:sz w:val="21"/>
          <w:szCs w:val="21"/>
          <w:b w:val="1"/>
          <w:bCs w:val="1"/>
          <w:color w:val="auto"/>
        </w:rPr>
        <w:t>Restrictions on Transfer of Restricted Stock Units</w:t>
      </w:r>
      <w:r>
        <w:rPr>
          <w:rFonts w:ascii="Arial" w:cs="Arial" w:eastAsia="Arial" w:hAnsi="Arial"/>
          <w:sz w:val="21"/>
          <w:szCs w:val="21"/>
          <w:color w:val="auto"/>
        </w:rPr>
        <w:t>. A Restricted Stock Unit shall be transferable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only by (i) a 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w:t>
      </w:r>
    </w:p>
    <w:p>
      <w:pPr>
        <w:spacing w:after="0" w:line="11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b w:val="1"/>
          <w:bCs w:val="1"/>
          <w:color w:val="auto"/>
        </w:rPr>
        <w:t>ADJUSTMENT OF SHARES.</w:t>
      </w:r>
    </w:p>
    <w:p>
      <w:pPr>
        <w:spacing w:after="0" w:line="166" w:lineRule="exact"/>
        <w:rPr>
          <w:sz w:val="20"/>
          <w:szCs w:val="20"/>
          <w:color w:val="auto"/>
        </w:rPr>
      </w:pPr>
    </w:p>
    <w:p>
      <w:pPr>
        <w:jc w:val="both"/>
        <w:ind w:firstLine="1304"/>
        <w:spacing w:after="0" w:line="257" w:lineRule="auto"/>
        <w:tabs>
          <w:tab w:leader="none" w:pos="1941" w:val="left"/>
        </w:tabs>
        <w:numPr>
          <w:ilvl w:val="0"/>
          <w:numId w:val="326"/>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In the event of a subdivision of the outstanding Stock, a declaration of a dividend payable in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and kind of Shares available for future grants under Section 4, (ii) the number and kind of Shares covered by each outstanding and unexpired Award,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w:t>
      </w:r>
    </w:p>
    <w:p>
      <w:pPr>
        <w:spacing w:after="0" w:line="130" w:lineRule="exact"/>
        <w:rPr>
          <w:rFonts w:ascii="Arial" w:cs="Arial" w:eastAsia="Arial" w:hAnsi="Arial"/>
          <w:sz w:val="21"/>
          <w:szCs w:val="21"/>
          <w:color w:val="auto"/>
        </w:rPr>
      </w:pPr>
    </w:p>
    <w:p>
      <w:pPr>
        <w:jc w:val="both"/>
        <w:ind w:firstLine="1304"/>
        <w:spacing w:after="0" w:line="295" w:lineRule="auto"/>
        <w:tabs>
          <w:tab w:leader="none" w:pos="1939" w:val="left"/>
        </w:tabs>
        <w:numPr>
          <w:ilvl w:val="0"/>
          <w:numId w:val="326"/>
        </w:numPr>
        <w:rPr>
          <w:rFonts w:ascii="Arial" w:cs="Arial" w:eastAsia="Arial" w:hAnsi="Arial"/>
          <w:sz w:val="19"/>
          <w:szCs w:val="19"/>
          <w:color w:val="auto"/>
        </w:rPr>
      </w:pPr>
      <w:r>
        <w:rPr>
          <w:rFonts w:ascii="Arial" w:cs="Arial" w:eastAsia="Arial" w:hAnsi="Arial"/>
          <w:sz w:val="19"/>
          <w:szCs w:val="19"/>
          <w:b w:val="1"/>
          <w:bCs w:val="1"/>
          <w:color w:val="auto"/>
        </w:rPr>
        <w:t>Corporate Transactions</w:t>
      </w:r>
      <w:r>
        <w:rPr>
          <w:rFonts w:ascii="Arial" w:cs="Arial" w:eastAsia="Arial" w:hAnsi="Arial"/>
          <w:sz w:val="19"/>
          <w:szCs w:val="19"/>
          <w:color w:val="auto"/>
        </w:rPr>
        <w:t>. In the event that the Company is a party to a merger or consolidation, or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1" w:right="339" w:bottom="1440" w:gutter="0" w:footer="0" w:header="0"/>
        </w:sectPr>
      </w:pPr>
    </w:p>
    <w:bookmarkStart w:id="533" w:name="page534"/>
    <w:bookmarkEnd w:id="533"/>
    <w:p>
      <w:pPr>
        <w:spacing w:after="0" w:line="263" w:lineRule="auto"/>
        <w:rPr>
          <w:sz w:val="20"/>
          <w:szCs w:val="20"/>
          <w:color w:val="auto"/>
        </w:rPr>
      </w:pPr>
      <w:r>
        <w:rPr>
          <w:rFonts w:ascii="Arial" w:cs="Arial" w:eastAsia="Arial" w:hAnsi="Arial"/>
          <w:sz w:val="22"/>
          <w:szCs w:val="22"/>
          <w:color w:val="auto"/>
        </w:rPr>
        <w:t>identical manner. The treatment specified in the transaction agreement may include (without limitation) one or more of the following with respect to each outstanding Award:</w:t>
      </w:r>
    </w:p>
    <w:p>
      <w:pPr>
        <w:spacing w:after="0" w:line="121" w:lineRule="exact"/>
        <w:rPr>
          <w:sz w:val="20"/>
          <w:szCs w:val="20"/>
          <w:color w:val="auto"/>
        </w:rPr>
      </w:pPr>
    </w:p>
    <w:p>
      <w:pPr>
        <w:ind w:left="2000"/>
        <w:spacing w:after="0"/>
        <w:tabs>
          <w:tab w:leader="none" w:pos="25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Continuation of the outstanding Award by the Company (if the Company is the surviving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corporation).</w:t>
      </w:r>
    </w:p>
    <w:p>
      <w:pPr>
        <w:spacing w:after="0" w:line="148" w:lineRule="exact"/>
        <w:rPr>
          <w:sz w:val="20"/>
          <w:szCs w:val="20"/>
          <w:color w:val="auto"/>
        </w:rPr>
      </w:pPr>
    </w:p>
    <w:p>
      <w:pPr>
        <w:jc w:val="both"/>
        <w:ind w:left="660" w:firstLine="1271"/>
        <w:spacing w:after="0" w:line="271" w:lineRule="auto"/>
        <w:tabs>
          <w:tab w:leader="none" w:pos="2604" w:val="left"/>
        </w:tabs>
        <w:numPr>
          <w:ilvl w:val="0"/>
          <w:numId w:val="327"/>
        </w:numPr>
        <w:rPr>
          <w:rFonts w:ascii="Arial" w:cs="Arial" w:eastAsia="Arial" w:hAnsi="Arial"/>
          <w:sz w:val="21"/>
          <w:szCs w:val="21"/>
          <w:color w:val="auto"/>
        </w:rPr>
      </w:pPr>
      <w:r>
        <w:rPr>
          <w:rFonts w:ascii="Arial" w:cs="Arial" w:eastAsia="Arial" w:hAnsi="Arial"/>
          <w:sz w:val="21"/>
          <w:szCs w:val="21"/>
          <w:color w:val="auto"/>
        </w:rPr>
        <w:t>Assumption of the outstanding Award by the surviving corporation or its parent, provided that the assumption of Options shall be in a manner that complies with Code Section 409A (whether or not the Option is an ISO) and, if so determined by the Board of Directors, with Code Section 424(a) (if the Option is an ISO).</w:t>
      </w:r>
    </w:p>
    <w:p>
      <w:pPr>
        <w:spacing w:after="0" w:line="113" w:lineRule="exact"/>
        <w:rPr>
          <w:rFonts w:ascii="Arial" w:cs="Arial" w:eastAsia="Arial" w:hAnsi="Arial"/>
          <w:sz w:val="21"/>
          <w:szCs w:val="21"/>
          <w:color w:val="auto"/>
        </w:rPr>
      </w:pPr>
    </w:p>
    <w:p>
      <w:pPr>
        <w:jc w:val="both"/>
        <w:ind w:left="660" w:firstLine="1211"/>
        <w:spacing w:after="0" w:line="248" w:lineRule="auto"/>
        <w:tabs>
          <w:tab w:leader="none" w:pos="2604" w:val="left"/>
        </w:tabs>
        <w:numPr>
          <w:ilvl w:val="0"/>
          <w:numId w:val="327"/>
        </w:numPr>
        <w:rPr>
          <w:rFonts w:ascii="Arial" w:cs="Arial" w:eastAsia="Arial" w:hAnsi="Arial"/>
          <w:sz w:val="22"/>
          <w:szCs w:val="22"/>
          <w:color w:val="auto"/>
        </w:rPr>
      </w:pPr>
      <w:r>
        <w:rPr>
          <w:rFonts w:ascii="Arial" w:cs="Arial" w:eastAsia="Arial" w:hAnsi="Arial"/>
          <w:sz w:val="22"/>
          <w:szCs w:val="22"/>
          <w:color w:val="auto"/>
        </w:rPr>
        <w:t>Substitution by the surviving corporation or its parent of an equivalent award for an outstanding Award (including but not limited to an award to acquire the same consideration paid to the holders of Shares in the transaction) provided that the assumption of Options shall be in a manner that complies with Code Section 409A (whether or not the Option is an ISO) and, if so determined by the Board of Directors, with Code Section 424(a) (if the Option is an ISO).</w:t>
      </w:r>
    </w:p>
    <w:p>
      <w:pPr>
        <w:spacing w:after="0" w:line="137" w:lineRule="exact"/>
        <w:rPr>
          <w:rFonts w:ascii="Arial" w:cs="Arial" w:eastAsia="Arial" w:hAnsi="Arial"/>
          <w:sz w:val="22"/>
          <w:szCs w:val="22"/>
          <w:color w:val="auto"/>
        </w:rPr>
      </w:pPr>
    </w:p>
    <w:p>
      <w:pPr>
        <w:jc w:val="both"/>
        <w:ind w:left="660" w:firstLine="1223"/>
        <w:spacing w:after="0" w:line="287" w:lineRule="auto"/>
        <w:tabs>
          <w:tab w:leader="none" w:pos="260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“Spread”).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(b)(iv) may be conditioned upon the Participant acknowledging such escrow, indemnification, holdback, earn-out or other provisions on a form prescribed by the Company. If the Spread applicable to an Option is zero or a negative number, then the Option may be cancelled without making a payment to the Optionee.</w:t>
      </w:r>
    </w:p>
    <w:p>
      <w:pPr>
        <w:spacing w:after="0" w:line="109" w:lineRule="exact"/>
        <w:rPr>
          <w:rFonts w:ascii="Arial" w:cs="Arial" w:eastAsia="Arial" w:hAnsi="Arial"/>
          <w:sz w:val="19"/>
          <w:szCs w:val="19"/>
          <w:color w:val="auto"/>
        </w:rPr>
      </w:pPr>
    </w:p>
    <w:p>
      <w:pPr>
        <w:jc w:val="both"/>
        <w:ind w:left="660" w:firstLine="1283"/>
        <w:spacing w:after="0" w:line="294" w:lineRule="auto"/>
        <w:tabs>
          <w:tab w:leader="none" w:pos="260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Cancellation of the Option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Any exercise of the Option during such period may be contingent upon the closing of the transaction.</w:t>
      </w:r>
    </w:p>
    <w:p>
      <w:pPr>
        <w:spacing w:after="0" w:line="95" w:lineRule="exact"/>
        <w:rPr>
          <w:rFonts w:ascii="Arial" w:cs="Arial" w:eastAsia="Arial" w:hAnsi="Arial"/>
          <w:sz w:val="19"/>
          <w:szCs w:val="19"/>
          <w:color w:val="auto"/>
        </w:rPr>
      </w:pPr>
    </w:p>
    <w:p>
      <w:pPr>
        <w:ind w:left="660" w:right="20" w:firstLine="1223"/>
        <w:spacing w:after="0" w:line="343" w:lineRule="auto"/>
        <w:tabs>
          <w:tab w:leader="none" w:pos="260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Suspension of the Optionee’s right to exercise the Option during a limited period of time preceding the closing of the transaction if such suspension is administratively necessary to permit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534" w:name="page535"/>
    <w:bookmarkEnd w:id="534"/>
    <w:p>
      <w:pPr>
        <w:jc w:val="both"/>
        <w:ind w:left="660" w:firstLine="1163"/>
        <w:spacing w:after="0" w:line="253" w:lineRule="auto"/>
        <w:tabs>
          <w:tab w:leader="none" w:pos="2604" w:val="left"/>
        </w:tabs>
        <w:numPr>
          <w:ilvl w:val="0"/>
          <w:numId w:val="328"/>
        </w:numPr>
        <w:rPr>
          <w:rFonts w:ascii="Arial" w:cs="Arial" w:eastAsia="Arial" w:hAnsi="Arial"/>
          <w:sz w:val="22"/>
          <w:szCs w:val="22"/>
          <w:color w:val="auto"/>
        </w:rPr>
      </w:pPr>
      <w:r>
        <w:rPr>
          <w:rFonts w:ascii="Arial" w:cs="Arial" w:eastAsia="Arial" w:hAnsi="Arial"/>
          <w:sz w:val="22"/>
          <w:szCs w:val="22"/>
          <w:color w:val="auto"/>
        </w:rPr>
        <w:t>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the avoidance of doubt, the Board of Directors has discretion to accelerate, in whole or part, the vesting and exercisability of an Award in connection with a corporate transaction covered by this Section 9(b).</w:t>
      </w:r>
    </w:p>
    <w:p>
      <w:pPr>
        <w:spacing w:after="0" w:line="115" w:lineRule="exact"/>
        <w:rPr>
          <w:sz w:val="20"/>
          <w:szCs w:val="20"/>
          <w:color w:val="auto"/>
        </w:rPr>
      </w:pPr>
    </w:p>
    <w:p>
      <w:pPr>
        <w:ind w:left="1940" w:hanging="636"/>
        <w:spacing w:after="0"/>
        <w:tabs>
          <w:tab w:leader="none" w:pos="1940" w:val="left"/>
        </w:tabs>
        <w:numPr>
          <w:ilvl w:val="1"/>
          <w:numId w:val="329"/>
        </w:numPr>
        <w:rPr>
          <w:rFonts w:ascii="Arial" w:cs="Arial" w:eastAsia="Arial" w:hAnsi="Arial"/>
          <w:sz w:val="19"/>
          <w:szCs w:val="19"/>
          <w:color w:val="auto"/>
        </w:rPr>
      </w:pPr>
      <w:r>
        <w:rPr>
          <w:rFonts w:ascii="Arial" w:cs="Arial" w:eastAsia="Arial" w:hAnsi="Arial"/>
          <w:sz w:val="19"/>
          <w:szCs w:val="19"/>
          <w:b w:val="1"/>
          <w:bCs w:val="1"/>
          <w:color w:val="auto"/>
        </w:rPr>
        <w:t>Reservation of Rights</w:t>
      </w:r>
      <w:r>
        <w:rPr>
          <w:rFonts w:ascii="Arial" w:cs="Arial" w:eastAsia="Arial" w:hAnsi="Arial"/>
          <w:sz w:val="19"/>
          <w:szCs w:val="19"/>
          <w:color w:val="auto"/>
        </w:rPr>
        <w:t>. Except as provided in this Section 9, a Participant shall have no rights by reason of</w:t>
      </w:r>
    </w:p>
    <w:p>
      <w:pPr>
        <w:spacing w:after="0" w:line="61" w:lineRule="exact"/>
        <w:rPr>
          <w:rFonts w:ascii="Arial" w:cs="Arial" w:eastAsia="Arial" w:hAnsi="Arial"/>
          <w:sz w:val="19"/>
          <w:szCs w:val="19"/>
          <w:color w:val="auto"/>
        </w:rPr>
      </w:pPr>
    </w:p>
    <w:p>
      <w:pPr>
        <w:jc w:val="both"/>
        <w:ind w:firstLine="8"/>
        <w:spacing w:after="0" w:line="243" w:lineRule="auto"/>
        <w:tabs>
          <w:tab w:leader="none" w:pos="264" w:val="left"/>
        </w:tabs>
        <w:numPr>
          <w:ilvl w:val="0"/>
          <w:numId w:val="330"/>
        </w:numPr>
        <w:rPr>
          <w:rFonts w:ascii="Arial" w:cs="Arial" w:eastAsia="Arial" w:hAnsi="Arial"/>
          <w:sz w:val="22"/>
          <w:szCs w:val="22"/>
          <w:color w:val="auto"/>
        </w:rPr>
      </w:pPr>
      <w:r>
        <w:rPr>
          <w:rFonts w:ascii="Arial" w:cs="Arial" w:eastAsia="Arial" w:hAnsi="Arial"/>
          <w:sz w:val="22"/>
          <w:szCs w:val="22"/>
          <w:color w:val="auto"/>
        </w:rPr>
        <w:t>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of Shares subject to an Award or the Exercise Price of an Option.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4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1"/>
          <w:szCs w:val="21"/>
          <w:b w:val="1"/>
          <w:bCs w:val="1"/>
          <w:color w:val="auto"/>
        </w:rPr>
        <w:t>MISCELLANEOUS PROVISIONS.</w:t>
      </w:r>
    </w:p>
    <w:p>
      <w:pPr>
        <w:spacing w:after="0" w:line="166" w:lineRule="exact"/>
        <w:rPr>
          <w:sz w:val="20"/>
          <w:szCs w:val="20"/>
          <w:color w:val="auto"/>
        </w:rPr>
      </w:pPr>
    </w:p>
    <w:p>
      <w:pPr>
        <w:jc w:val="both"/>
        <w:ind w:firstLine="1304"/>
        <w:spacing w:after="0" w:line="261" w:lineRule="auto"/>
        <w:tabs>
          <w:tab w:leader="none" w:pos="1941" w:val="left"/>
        </w:tabs>
        <w:numPr>
          <w:ilvl w:val="0"/>
          <w:numId w:val="331"/>
        </w:numPr>
        <w:rPr>
          <w:rFonts w:ascii="Arial" w:cs="Arial" w:eastAsia="Arial" w:hAnsi="Arial"/>
          <w:sz w:val="21"/>
          <w:szCs w:val="21"/>
          <w:color w:val="auto"/>
        </w:rPr>
      </w:pPr>
      <w:r>
        <w:rPr>
          <w:rFonts w:ascii="Arial" w:cs="Arial" w:eastAsia="Arial" w:hAnsi="Arial"/>
          <w:sz w:val="21"/>
          <w:szCs w:val="21"/>
          <w:b w:val="1"/>
          <w:bCs w:val="1"/>
          <w:color w:val="auto"/>
        </w:rPr>
        <w:t>Securities Law Requirements</w:t>
      </w:r>
      <w:r>
        <w:rPr>
          <w:rFonts w:ascii="Arial" w:cs="Arial" w:eastAsia="Arial" w:hAnsi="Arial"/>
          <w:sz w:val="21"/>
          <w:szCs w:val="21"/>
          <w:color w:val="auto"/>
        </w:rPr>
        <w:t>. Shares shall not be issued under the Plan unless, in the opinion of counsel</w:t>
      </w:r>
      <w:r>
        <w:rPr>
          <w:rFonts w:ascii="Arial" w:cs="Arial" w:eastAsia="Arial" w:hAnsi="Arial"/>
          <w:sz w:val="21"/>
          <w:szCs w:val="21"/>
          <w:b w:val="1"/>
          <w:bCs w:val="1"/>
          <w:color w:val="auto"/>
        </w:rPr>
        <w:t xml:space="preserve"> </w:t>
      </w:r>
      <w:r>
        <w:rPr>
          <w:rFonts w:ascii="Arial" w:cs="Arial" w:eastAsia="Arial" w:hAnsi="Arial"/>
          <w:sz w:val="21"/>
          <w:szCs w:val="21"/>
          <w:color w:val="auto"/>
        </w:rPr>
        <w:t>acceptable to the Board of Directors, the issuance and delivery of such Shares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w:t>
      </w:r>
    </w:p>
    <w:p>
      <w:pPr>
        <w:spacing w:after="0" w:line="119" w:lineRule="exact"/>
        <w:rPr>
          <w:rFonts w:ascii="Arial" w:cs="Arial" w:eastAsia="Arial" w:hAnsi="Arial"/>
          <w:sz w:val="21"/>
          <w:szCs w:val="21"/>
          <w:color w:val="auto"/>
        </w:rPr>
      </w:pPr>
    </w:p>
    <w:p>
      <w:pPr>
        <w:jc w:val="both"/>
        <w:ind w:firstLine="1304"/>
        <w:spacing w:after="0" w:line="304" w:lineRule="auto"/>
        <w:tabs>
          <w:tab w:leader="none" w:pos="1939" w:val="left"/>
        </w:tabs>
        <w:numPr>
          <w:ilvl w:val="0"/>
          <w:numId w:val="331"/>
        </w:numPr>
        <w:rPr>
          <w:rFonts w:ascii="Arial" w:cs="Arial" w:eastAsia="Arial" w:hAnsi="Arial"/>
          <w:sz w:val="19"/>
          <w:szCs w:val="19"/>
          <w:color w:val="auto"/>
        </w:rPr>
      </w:pPr>
      <w:r>
        <w:rPr>
          <w:rFonts w:ascii="Arial" w:cs="Arial" w:eastAsia="Arial" w:hAnsi="Arial"/>
          <w:sz w:val="19"/>
          <w:szCs w:val="19"/>
          <w:b w:val="1"/>
          <w:bCs w:val="1"/>
          <w:color w:val="auto"/>
        </w:rPr>
        <w:t>No Retention Rights</w:t>
      </w:r>
      <w:r>
        <w:rPr>
          <w:rFonts w:ascii="Arial" w:cs="Arial" w:eastAsia="Arial" w:hAnsi="Arial"/>
          <w:sz w:val="19"/>
          <w:szCs w:val="19"/>
          <w:color w:val="auto"/>
        </w:rPr>
        <w:t>. Nothing in the Plan or in any Award granted under the Plan shall confer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80" w:lineRule="exact"/>
        <w:rPr>
          <w:rFonts w:ascii="Arial" w:cs="Arial" w:eastAsia="Arial" w:hAnsi="Arial"/>
          <w:sz w:val="19"/>
          <w:szCs w:val="19"/>
          <w:color w:val="auto"/>
        </w:rPr>
      </w:pPr>
    </w:p>
    <w:p>
      <w:pPr>
        <w:jc w:val="both"/>
        <w:ind w:firstLine="1304"/>
        <w:spacing w:after="0" w:line="315" w:lineRule="auto"/>
        <w:tabs>
          <w:tab w:leader="none" w:pos="1941" w:val="left"/>
        </w:tabs>
        <w:numPr>
          <w:ilvl w:val="0"/>
          <w:numId w:val="331"/>
        </w:numPr>
        <w:rPr>
          <w:rFonts w:ascii="Arial" w:cs="Arial" w:eastAsia="Arial" w:hAnsi="Arial"/>
          <w:sz w:val="19"/>
          <w:szCs w:val="19"/>
          <w:color w:val="auto"/>
        </w:rPr>
      </w:pPr>
      <w:r>
        <w:rPr>
          <w:rFonts w:ascii="Arial" w:cs="Arial" w:eastAsia="Arial" w:hAnsi="Arial"/>
          <w:sz w:val="19"/>
          <w:szCs w:val="19"/>
          <w:b w:val="1"/>
          <w:bCs w:val="1"/>
          <w:color w:val="auto"/>
        </w:rPr>
        <w:t>Treatment as Compensation</w:t>
      </w:r>
      <w:r>
        <w:rPr>
          <w:rFonts w:ascii="Arial" w:cs="Arial" w:eastAsia="Arial" w:hAnsi="Arial"/>
          <w:sz w:val="19"/>
          <w:szCs w:val="19"/>
          <w:color w:val="auto"/>
        </w:rPr>
        <w:t>. Any compensation that an individual earns or is deemed to earn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Plan shall not be considered a part of his or her compensation for purposes of calculating contributions, accruals or benefits under any other plan or program that is maintained or funded by the Company, a Parent or a Subsidiary.</w:t>
      </w:r>
    </w:p>
    <w:p>
      <w:pPr>
        <w:spacing w:after="0" w:line="71" w:lineRule="exact"/>
        <w:rPr>
          <w:rFonts w:ascii="Arial" w:cs="Arial" w:eastAsia="Arial" w:hAnsi="Arial"/>
          <w:sz w:val="19"/>
          <w:szCs w:val="19"/>
          <w:color w:val="auto"/>
        </w:rPr>
      </w:pPr>
    </w:p>
    <w:p>
      <w:pPr>
        <w:ind w:firstLine="1304"/>
        <w:spacing w:after="0" w:line="269" w:lineRule="auto"/>
        <w:tabs>
          <w:tab w:leader="none" w:pos="1939" w:val="left"/>
        </w:tabs>
        <w:numPr>
          <w:ilvl w:val="0"/>
          <w:numId w:val="331"/>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Plan and all Awards under the Plan shall be governed by,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the State of Delaware (except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535" w:name="page536"/>
    <w:bookmarkEnd w:id="535"/>
    <w:p>
      <w:pPr>
        <w:spacing w:after="0"/>
        <w:rPr>
          <w:sz w:val="20"/>
          <w:szCs w:val="20"/>
          <w:color w:val="auto"/>
        </w:rPr>
      </w:pPr>
      <w:r>
        <w:rPr>
          <w:rFonts w:ascii="Arial" w:cs="Arial" w:eastAsia="Arial" w:hAnsi="Arial"/>
          <w:sz w:val="22"/>
          <w:szCs w:val="22"/>
          <w:color w:val="auto"/>
        </w:rPr>
        <w:t>choice of law provisions), as such laws are applied to contracts entered into and performed in such State.</w:t>
      </w:r>
    </w:p>
    <w:p>
      <w:pPr>
        <w:spacing w:after="0" w:line="160" w:lineRule="exact"/>
        <w:rPr>
          <w:sz w:val="20"/>
          <w:szCs w:val="20"/>
          <w:color w:val="auto"/>
        </w:rPr>
      </w:pPr>
    </w:p>
    <w:p>
      <w:pPr>
        <w:jc w:val="both"/>
        <w:ind w:firstLine="1304"/>
        <w:spacing w:after="0" w:line="260" w:lineRule="auto"/>
        <w:tabs>
          <w:tab w:leader="none" w:pos="1941" w:val="left"/>
        </w:tabs>
        <w:numPr>
          <w:ilvl w:val="0"/>
          <w:numId w:val="332"/>
        </w:numPr>
        <w:rPr>
          <w:rFonts w:ascii="Arial" w:cs="Arial" w:eastAsia="Arial" w:hAnsi="Arial"/>
          <w:sz w:val="21"/>
          <w:szCs w:val="21"/>
          <w:color w:val="auto"/>
        </w:rPr>
      </w:pPr>
      <w:r>
        <w:rPr>
          <w:rFonts w:ascii="Arial" w:cs="Arial" w:eastAsia="Arial" w:hAnsi="Arial"/>
          <w:sz w:val="21"/>
          <w:szCs w:val="21"/>
          <w:b w:val="1"/>
          <w:bCs w:val="1"/>
          <w:color w:val="auto"/>
        </w:rPr>
        <w:t>Conditions and Restrictions on Shares</w:t>
      </w:r>
      <w:r>
        <w:rPr>
          <w:rFonts w:ascii="Arial" w:cs="Arial" w:eastAsia="Arial" w:hAnsi="Arial"/>
          <w:sz w:val="21"/>
          <w:szCs w:val="21"/>
          <w:color w:val="auto"/>
        </w:rPr>
        <w:t>. Shares issued under the Plan shall be subject to such forfeiture</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w:t>
      </w:r>
    </w:p>
    <w:p>
      <w:pPr>
        <w:spacing w:after="0" w:line="121" w:lineRule="exact"/>
        <w:rPr>
          <w:rFonts w:ascii="Arial" w:cs="Arial" w:eastAsia="Arial" w:hAnsi="Arial"/>
          <w:sz w:val="21"/>
          <w:szCs w:val="21"/>
          <w:color w:val="auto"/>
        </w:rPr>
      </w:pPr>
    </w:p>
    <w:p>
      <w:pPr>
        <w:ind w:left="1960" w:hanging="656"/>
        <w:spacing w:after="0"/>
        <w:tabs>
          <w:tab w:leader="none" w:pos="1960" w:val="left"/>
        </w:tabs>
        <w:numPr>
          <w:ilvl w:val="0"/>
          <w:numId w:val="332"/>
        </w:numPr>
        <w:rPr>
          <w:rFonts w:ascii="Arial" w:cs="Arial" w:eastAsia="Arial" w:hAnsi="Arial"/>
          <w:sz w:val="22"/>
          <w:szCs w:val="22"/>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jc w:val="both"/>
        <w:ind w:left="660" w:firstLine="1331"/>
        <w:spacing w:after="0" w:line="250" w:lineRule="auto"/>
        <w:tabs>
          <w:tab w:leader="none" w:pos="2604" w:val="left"/>
        </w:tabs>
        <w:numPr>
          <w:ilvl w:val="1"/>
          <w:numId w:val="332"/>
        </w:numPr>
        <w:rPr>
          <w:rFonts w:ascii="Arial" w:cs="Arial" w:eastAsia="Arial" w:hAnsi="Arial"/>
          <w:sz w:val="22"/>
          <w:szCs w:val="22"/>
          <w:color w:val="auto"/>
        </w:rPr>
      </w:pPr>
      <w:r>
        <w:rPr>
          <w:rFonts w:ascii="Arial" w:cs="Arial" w:eastAsia="Arial" w:hAnsi="Arial"/>
          <w:sz w:val="22"/>
          <w:szCs w:val="22"/>
          <w:color w:val="auto"/>
        </w:rPr>
        <w:t>As a condition to the award, grant, issuance, vesting, purchase, exercise, settlement or transfer of any Award ,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133" w:lineRule="exact"/>
        <w:rPr>
          <w:rFonts w:ascii="Arial" w:cs="Arial" w:eastAsia="Arial" w:hAnsi="Arial"/>
          <w:sz w:val="22"/>
          <w:szCs w:val="22"/>
          <w:color w:val="auto"/>
        </w:rPr>
      </w:pPr>
    </w:p>
    <w:p>
      <w:pPr>
        <w:jc w:val="both"/>
        <w:ind w:left="660" w:firstLine="1271"/>
        <w:spacing w:after="0" w:line="285" w:lineRule="auto"/>
        <w:tabs>
          <w:tab w:leader="none" w:pos="2604" w:val="left"/>
        </w:tabs>
        <w:numPr>
          <w:ilvl w:val="1"/>
          <w:numId w:val="332"/>
        </w:numPr>
        <w:rPr>
          <w:rFonts w:ascii="Arial" w:cs="Arial" w:eastAsia="Arial" w:hAnsi="Arial"/>
          <w:sz w:val="19"/>
          <w:szCs w:val="19"/>
          <w:color w:val="auto"/>
        </w:rPr>
      </w:pPr>
      <w:r>
        <w:rPr>
          <w:rFonts w:ascii="Arial" w:cs="Arial" w:eastAsia="Arial" w:hAnsi="Arial"/>
          <w:sz w:val="19"/>
          <w:szCs w:val="19"/>
          <w:color w:val="auto"/>
        </w:rPr>
        <w:t>Unless otherwise expressly set forth in an Award Agreement, it is intended that Awards granted under the Plan shall be exempt from Code Section 409A, and any ambiguity in the terms of an Award Agreement and the Plan shall be interpreted consistently with this intent. To the extent an Award is not exempt from Code Section 409A (any such award, a “</w:t>
      </w:r>
      <w:r>
        <w:rPr>
          <w:rFonts w:ascii="Arial" w:cs="Arial" w:eastAsia="Arial" w:hAnsi="Arial"/>
          <w:sz w:val="19"/>
          <w:szCs w:val="19"/>
          <w:b w:val="1"/>
          <w:bCs w:val="1"/>
          <w:color w:val="auto"/>
        </w:rPr>
        <w:t>409A Award</w:t>
      </w:r>
      <w:r>
        <w:rPr>
          <w:rFonts w:ascii="Arial" w:cs="Arial" w:eastAsia="Arial" w:hAnsi="Arial"/>
          <w:sz w:val="19"/>
          <w:szCs w:val="19"/>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be given effect if such modification would cause the Award to become subject to Code Section 409A unless the parties explicitly acknowledge and consent to the modification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536" w:name="page537"/>
    <w:bookmarkEnd w:id="536"/>
    <w:p>
      <w:pPr>
        <w:jc w:val="both"/>
        <w:ind w:left="660" w:firstLine="1211"/>
        <w:spacing w:after="0" w:line="253" w:lineRule="auto"/>
        <w:tabs>
          <w:tab w:leader="none" w:pos="2604" w:val="left"/>
        </w:tabs>
        <w:numPr>
          <w:ilvl w:val="0"/>
          <w:numId w:val="333"/>
        </w:numPr>
        <w:rPr>
          <w:rFonts w:ascii="Arial" w:cs="Arial" w:eastAsia="Arial" w:hAnsi="Arial"/>
          <w:sz w:val="22"/>
          <w:szCs w:val="22"/>
          <w:color w:val="auto"/>
        </w:rPr>
      </w:pPr>
      <w:r>
        <w:rPr>
          <w:rFonts w:ascii="Arial" w:cs="Arial" w:eastAsia="Arial" w:hAnsi="Arial"/>
          <w:sz w:val="22"/>
          <w:szCs w:val="22"/>
          <w:color w:val="auto"/>
        </w:rPr>
        <w:t>Neither the Company nor any member of the Board of Directors shall have any liability to a Participant in the event an Award held by the Participant fails to achieve its intended characterization under applicable tax law.</w:t>
      </w:r>
    </w:p>
    <w:p>
      <w:pPr>
        <w:spacing w:after="0" w:line="12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b w:val="1"/>
          <w:bCs w:val="1"/>
          <w:color w:val="auto"/>
        </w:rPr>
        <w:t>DURATION AND AMENDMENTS; STOCKHOLDER APPROVAL.</w:t>
      </w:r>
    </w:p>
    <w:p>
      <w:pPr>
        <w:spacing w:after="0" w:line="166" w:lineRule="exact"/>
        <w:rPr>
          <w:sz w:val="20"/>
          <w:szCs w:val="20"/>
          <w:color w:val="auto"/>
        </w:rPr>
      </w:pPr>
    </w:p>
    <w:p>
      <w:pPr>
        <w:jc w:val="both"/>
        <w:ind w:firstLine="1304"/>
        <w:spacing w:after="0" w:line="298" w:lineRule="auto"/>
        <w:tabs>
          <w:tab w:leader="none" w:pos="1941" w:val="left"/>
        </w:tabs>
        <w:numPr>
          <w:ilvl w:val="1"/>
          <w:numId w:val="334"/>
        </w:numPr>
        <w:rPr>
          <w:rFonts w:ascii="Arial" w:cs="Arial" w:eastAsia="Arial" w:hAnsi="Arial"/>
          <w:sz w:val="19"/>
          <w:szCs w:val="19"/>
          <w:color w:val="auto"/>
        </w:rPr>
      </w:pPr>
      <w:r>
        <w:rPr>
          <w:rFonts w:ascii="Arial" w:cs="Arial" w:eastAsia="Arial" w:hAnsi="Arial"/>
          <w:sz w:val="19"/>
          <w:szCs w:val="19"/>
          <w:b w:val="1"/>
          <w:bCs w:val="1"/>
          <w:color w:val="auto"/>
        </w:rPr>
        <w:t>Term of the Plan</w:t>
      </w:r>
      <w:r>
        <w:rPr>
          <w:rFonts w:ascii="Arial" w:cs="Arial" w:eastAsia="Arial" w:hAnsi="Arial"/>
          <w:sz w:val="19"/>
          <w:szCs w:val="19"/>
          <w:color w:val="auto"/>
        </w:rPr>
        <w:t>. The Plan, as set forth herein, shall become effective on the date of its adoption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88" w:lineRule="exact"/>
        <w:rPr>
          <w:rFonts w:ascii="Arial" w:cs="Arial" w:eastAsia="Arial" w:hAnsi="Arial"/>
          <w:sz w:val="19"/>
          <w:szCs w:val="19"/>
          <w:color w:val="auto"/>
        </w:rPr>
      </w:pPr>
    </w:p>
    <w:p>
      <w:pPr>
        <w:ind w:firstLine="1304"/>
        <w:spacing w:after="0" w:line="269" w:lineRule="auto"/>
        <w:tabs>
          <w:tab w:leader="none" w:pos="1939" w:val="left"/>
        </w:tabs>
        <w:numPr>
          <w:ilvl w:val="1"/>
          <w:numId w:val="334"/>
        </w:numPr>
        <w:rPr>
          <w:rFonts w:ascii="Arial" w:cs="Arial" w:eastAsia="Arial" w:hAnsi="Arial"/>
          <w:sz w:val="22"/>
          <w:szCs w:val="22"/>
          <w:color w:val="auto"/>
        </w:rPr>
      </w:pPr>
      <w:r>
        <w:rPr>
          <w:rFonts w:ascii="Arial" w:cs="Arial" w:eastAsia="Arial" w:hAnsi="Arial"/>
          <w:sz w:val="22"/>
          <w:szCs w:val="22"/>
          <w:b w:val="1"/>
          <w:bCs w:val="1"/>
          <w:color w:val="auto"/>
        </w:rPr>
        <w:t>Right to Amend or Terminate the Plan</w:t>
      </w:r>
      <w:r>
        <w:rPr>
          <w:rFonts w:ascii="Arial" w:cs="Arial" w:eastAsia="Arial" w:hAnsi="Arial"/>
          <w:sz w:val="22"/>
          <w:szCs w:val="22"/>
          <w:color w:val="auto"/>
        </w:rPr>
        <w:t>. Subject to Subsection (d) below, the Board of Directors may</w:t>
      </w:r>
      <w:r>
        <w:rPr>
          <w:rFonts w:ascii="Arial" w:cs="Arial" w:eastAsia="Arial" w:hAnsi="Arial"/>
          <w:sz w:val="22"/>
          <w:szCs w:val="22"/>
          <w:b w:val="1"/>
          <w:bCs w:val="1"/>
          <w:color w:val="auto"/>
        </w:rPr>
        <w:t xml:space="preserve"> </w:t>
      </w:r>
      <w:r>
        <w:rPr>
          <w:rFonts w:ascii="Arial" w:cs="Arial" w:eastAsia="Arial" w:hAnsi="Arial"/>
          <w:sz w:val="22"/>
          <w:szCs w:val="22"/>
          <w:color w:val="auto"/>
        </w:rPr>
        <w:t>amend, suspend or terminate the Plan at any time and for any reason.</w:t>
      </w:r>
    </w:p>
    <w:p>
      <w:pPr>
        <w:spacing w:after="0" w:line="107" w:lineRule="exact"/>
        <w:rPr>
          <w:rFonts w:ascii="Arial" w:cs="Arial" w:eastAsia="Arial" w:hAnsi="Arial"/>
          <w:sz w:val="22"/>
          <w:szCs w:val="22"/>
          <w:color w:val="auto"/>
        </w:rPr>
      </w:pPr>
    </w:p>
    <w:p>
      <w:pPr>
        <w:jc w:val="both"/>
        <w:ind w:firstLine="1304"/>
        <w:spacing w:after="0" w:line="252" w:lineRule="auto"/>
        <w:tabs>
          <w:tab w:leader="none" w:pos="1941" w:val="left"/>
        </w:tabs>
        <w:numPr>
          <w:ilvl w:val="1"/>
          <w:numId w:val="334"/>
        </w:numPr>
        <w:rPr>
          <w:rFonts w:ascii="Arial" w:cs="Arial" w:eastAsia="Arial" w:hAnsi="Arial"/>
          <w:sz w:val="22"/>
          <w:szCs w:val="22"/>
          <w:color w:val="auto"/>
        </w:rPr>
      </w:pPr>
      <w:r>
        <w:rPr>
          <w:rFonts w:ascii="Arial" w:cs="Arial" w:eastAsia="Arial" w:hAnsi="Arial"/>
          <w:sz w:val="22"/>
          <w:szCs w:val="22"/>
          <w:b w:val="1"/>
          <w:bCs w:val="1"/>
          <w:color w:val="auto"/>
        </w:rPr>
        <w:t>Effect of Amendment or Termination</w:t>
      </w:r>
      <w:r>
        <w:rPr>
          <w:rFonts w:ascii="Arial" w:cs="Arial" w:eastAsia="Arial" w:hAnsi="Arial"/>
          <w:sz w:val="22"/>
          <w:szCs w:val="22"/>
          <w:color w:val="auto"/>
        </w:rPr>
        <w:t>. No Shares shall be issued or sold and no Award granted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after the termination thereof, except upon exercise or settlement of an Award granted under the Plan prior to such termination. The termination of the Plan, or any amendment thereof, shall not affect any Share previously issued or any Award previously granted under the Plan.</w:t>
      </w:r>
    </w:p>
    <w:p>
      <w:pPr>
        <w:spacing w:after="0" w:line="125" w:lineRule="exact"/>
        <w:rPr>
          <w:rFonts w:ascii="Arial" w:cs="Arial" w:eastAsia="Arial" w:hAnsi="Arial"/>
          <w:sz w:val="22"/>
          <w:szCs w:val="22"/>
          <w:color w:val="auto"/>
        </w:rPr>
      </w:pPr>
    </w:p>
    <w:p>
      <w:pPr>
        <w:jc w:val="both"/>
        <w:ind w:firstLine="1304"/>
        <w:spacing w:after="0" w:line="290" w:lineRule="auto"/>
        <w:tabs>
          <w:tab w:leader="none" w:pos="1939" w:val="left"/>
        </w:tabs>
        <w:numPr>
          <w:ilvl w:val="1"/>
          <w:numId w:val="334"/>
        </w:numPr>
        <w:rPr>
          <w:rFonts w:ascii="Arial" w:cs="Arial" w:eastAsia="Arial" w:hAnsi="Arial"/>
          <w:sz w:val="19"/>
          <w:szCs w:val="19"/>
          <w:color w:val="auto"/>
        </w:rPr>
      </w:pPr>
      <w:r>
        <w:rPr>
          <w:rFonts w:ascii="Arial" w:cs="Arial" w:eastAsia="Arial" w:hAnsi="Arial"/>
          <w:sz w:val="19"/>
          <w:szCs w:val="19"/>
          <w:b w:val="1"/>
          <w:bCs w:val="1"/>
          <w:color w:val="auto"/>
        </w:rPr>
        <w:t>Stockholder Approval</w:t>
      </w:r>
      <w:r>
        <w:rPr>
          <w:rFonts w:ascii="Arial" w:cs="Arial" w:eastAsia="Arial" w:hAnsi="Arial"/>
          <w:sz w:val="19"/>
          <w:szCs w:val="19"/>
          <w:color w:val="auto"/>
        </w:rPr>
        <w:t>. To the extent required by applicable law, the Plan will be subject to approval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stockholders within 12 months of its adoption date. To the extent required by applicable law, any amendment of the Plan will be subject to the approval of the Company’s stockholders within 12 months of the amendment date if it</w:t>
      </w:r>
    </w:p>
    <w:p>
      <w:pPr>
        <w:spacing w:after="0" w:line="1" w:lineRule="exact"/>
        <w:rPr>
          <w:rFonts w:ascii="Arial" w:cs="Arial" w:eastAsia="Arial" w:hAnsi="Arial"/>
          <w:sz w:val="19"/>
          <w:szCs w:val="19"/>
          <w:color w:val="auto"/>
        </w:rPr>
      </w:pPr>
    </w:p>
    <w:p>
      <w:pPr>
        <w:jc w:val="both"/>
        <w:ind w:firstLine="8"/>
        <w:spacing w:after="0" w:line="244" w:lineRule="auto"/>
        <w:tabs>
          <w:tab w:leader="none" w:pos="50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increases the number of Shares available for issuance under the Plan (except as provided in Section 9), or (ii) materially changes the class of persons who are eligible for the grant of ISOs. In addition, an amendment effecting any other material change to the Plan terms will be subject to approval of the Company’s stockholder only if required by applicable law. Stockholder approval shall not be required for any other amendment of the Plan.</w:t>
      </w:r>
    </w:p>
    <w:p>
      <w:pPr>
        <w:spacing w:after="0" w:line="135"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2"/>
          <w:szCs w:val="22"/>
          <w:b w:val="1"/>
          <w:bCs w:val="1"/>
          <w:color w:val="auto"/>
        </w:rPr>
        <w:t>DEFINITIONS.</w:t>
      </w:r>
    </w:p>
    <w:p>
      <w:pPr>
        <w:spacing w:after="0" w:line="172" w:lineRule="exact"/>
        <w:rPr>
          <w:sz w:val="20"/>
          <w:szCs w:val="20"/>
          <w:color w:val="auto"/>
        </w:rPr>
      </w:pPr>
    </w:p>
    <w:p>
      <w:pPr>
        <w:ind w:left="1940" w:hanging="636"/>
        <w:spacing w:after="0"/>
        <w:tabs>
          <w:tab w:leader="none" w:pos="1940"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any award granted under the Plan, including an Option, Restricted Stock Unit, or the grant or sale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42" w:lineRule="exact"/>
        <w:rPr>
          <w:sz w:val="20"/>
          <w:szCs w:val="20"/>
          <w:color w:val="auto"/>
        </w:rPr>
      </w:pPr>
    </w:p>
    <w:p>
      <w:pPr>
        <w:ind w:right="20" w:firstLine="1304"/>
        <w:spacing w:after="0" w:line="269" w:lineRule="auto"/>
        <w:tabs>
          <w:tab w:leader="none" w:pos="1939" w:val="left"/>
        </w:tabs>
        <w:numPr>
          <w:ilvl w:val="0"/>
          <w:numId w:val="3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means a Stock Grant Agreement, Stock Option Agreement, Stock Purchase Agreement or Restricted Stock Unit Award Agreement.</w:t>
      </w:r>
    </w:p>
    <w:p>
      <w:pPr>
        <w:spacing w:after="0" w:line="107" w:lineRule="exact"/>
        <w:rPr>
          <w:rFonts w:ascii="Arial" w:cs="Arial" w:eastAsia="Arial" w:hAnsi="Arial"/>
          <w:sz w:val="22"/>
          <w:szCs w:val="22"/>
          <w:color w:val="auto"/>
        </w:rPr>
      </w:pPr>
    </w:p>
    <w:p>
      <w:pPr>
        <w:ind w:left="1940" w:hanging="636"/>
        <w:spacing w:after="0"/>
        <w:tabs>
          <w:tab w:leader="none" w:pos="194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 as constituted from time to time.</w:t>
      </w:r>
    </w:p>
    <w:p>
      <w:pPr>
        <w:spacing w:after="0" w:line="200" w:lineRule="exact"/>
        <w:rPr>
          <w:rFonts w:ascii="Arial" w:cs="Arial" w:eastAsia="Arial" w:hAnsi="Arial"/>
          <w:sz w:val="19"/>
          <w:szCs w:val="19"/>
          <w:color w:val="auto"/>
        </w:rPr>
      </w:pPr>
    </w:p>
    <w:p>
      <w:pPr>
        <w:ind w:left="1940" w:hanging="636"/>
        <w:spacing w:after="0"/>
        <w:tabs>
          <w:tab w:leader="none" w:pos="194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65" w:lineRule="exact"/>
        <w:rPr>
          <w:rFonts w:ascii="Arial" w:cs="Arial" w:eastAsia="Arial" w:hAnsi="Arial"/>
          <w:sz w:val="22"/>
          <w:szCs w:val="22"/>
          <w:color w:val="auto"/>
        </w:rPr>
      </w:pPr>
    </w:p>
    <w:p>
      <w:pPr>
        <w:ind w:left="1940" w:hanging="636"/>
        <w:spacing w:after="0"/>
        <w:tabs>
          <w:tab w:leader="none" w:pos="194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a committee of the Board of Directors, as described in Section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537" w:name="page538"/>
    <w:bookmarkEnd w:id="537"/>
    <w:p>
      <w:pPr>
        <w:ind w:left="1960" w:hanging="656"/>
        <w:spacing w:after="0"/>
        <w:tabs>
          <w:tab w:leader="none" w:pos="1960"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Robinhood Markets, Inc., a Delaware corporation.</w:t>
      </w:r>
    </w:p>
    <w:p>
      <w:pPr>
        <w:spacing w:after="0" w:line="165" w:lineRule="exact"/>
        <w:rPr>
          <w:rFonts w:ascii="Arial" w:cs="Arial" w:eastAsia="Arial" w:hAnsi="Arial"/>
          <w:sz w:val="22"/>
          <w:szCs w:val="22"/>
          <w:color w:val="auto"/>
        </w:rPr>
      </w:pPr>
    </w:p>
    <w:p>
      <w:pPr>
        <w:jc w:val="both"/>
        <w:ind w:firstLine="1304"/>
        <w:spacing w:after="0" w:line="274" w:lineRule="auto"/>
        <w:tabs>
          <w:tab w:leader="none" w:pos="1939" w:val="left"/>
        </w:tabs>
        <w:numPr>
          <w:ilvl w:val="0"/>
          <w:numId w:val="3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Consultant</w:t>
      </w:r>
      <w:r>
        <w:rPr>
          <w:rFonts w:ascii="Arial" w:cs="Arial" w:eastAsia="Arial" w:hAnsi="Arial"/>
          <w:sz w:val="21"/>
          <w:szCs w:val="21"/>
          <w:color w:val="auto"/>
        </w:rPr>
        <w:t>” means a person, excluding Employees and Outside Directors, who performs bona fide services for the Company, a Parent or a Subsidiary as a consultant or advisor and who qualifies as a consultant or advisor under Rule 701(c)(1) of the Securities Act or under Instruction A.1.(a)(1) of Form S-8 under the Securities Act.</w:t>
      </w:r>
    </w:p>
    <w:p>
      <w:pPr>
        <w:spacing w:after="0" w:line="104" w:lineRule="exact"/>
        <w:rPr>
          <w:rFonts w:ascii="Arial" w:cs="Arial" w:eastAsia="Arial" w:hAnsi="Arial"/>
          <w:sz w:val="21"/>
          <w:szCs w:val="21"/>
          <w:color w:val="auto"/>
        </w:rPr>
      </w:pPr>
    </w:p>
    <w:p>
      <w:pPr>
        <w:jc w:val="both"/>
        <w:ind w:firstLine="1304"/>
        <w:spacing w:after="0" w:line="256" w:lineRule="auto"/>
        <w:tabs>
          <w:tab w:leader="none" w:pos="1939"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Grant</w:t>
      </w:r>
      <w:r>
        <w:rPr>
          <w:rFonts w:ascii="Arial" w:cs="Arial" w:eastAsia="Arial" w:hAnsi="Arial"/>
          <w:sz w:val="22"/>
          <w:szCs w:val="22"/>
          <w:color w:val="auto"/>
        </w:rPr>
        <w:t>” means the date of grant specified in the applicable Award Agreement, which date shall be the later of (i) the date on which the Board of Directors resolved to grant the Award or (ii) the first day of the Participant’s Service.</w:t>
      </w:r>
    </w:p>
    <w:p>
      <w:pPr>
        <w:spacing w:after="0" w:line="122" w:lineRule="exact"/>
        <w:rPr>
          <w:rFonts w:ascii="Arial" w:cs="Arial" w:eastAsia="Arial" w:hAnsi="Arial"/>
          <w:sz w:val="22"/>
          <w:szCs w:val="22"/>
          <w:color w:val="auto"/>
        </w:rPr>
      </w:pPr>
    </w:p>
    <w:p>
      <w:pPr>
        <w:ind w:firstLine="1304"/>
        <w:spacing w:after="0" w:line="269" w:lineRule="auto"/>
        <w:tabs>
          <w:tab w:leader="none" w:pos="1932"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that the Optionee is unable to engage in any substantial gainful activity by reason of any medically determinable physical or mental impairment.</w:t>
      </w:r>
    </w:p>
    <w:p>
      <w:pPr>
        <w:spacing w:after="0" w:line="107" w:lineRule="exact"/>
        <w:rPr>
          <w:rFonts w:ascii="Arial" w:cs="Arial" w:eastAsia="Arial" w:hAnsi="Arial"/>
          <w:sz w:val="22"/>
          <w:szCs w:val="22"/>
          <w:color w:val="auto"/>
        </w:rPr>
      </w:pPr>
    </w:p>
    <w:p>
      <w:pPr>
        <w:ind w:left="1940" w:hanging="636"/>
        <w:spacing w:after="0"/>
        <w:tabs>
          <w:tab w:leader="none" w:pos="1940" w:val="left"/>
        </w:tabs>
        <w:numPr>
          <w:ilvl w:val="0"/>
          <w:numId w:val="3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 means any individual who is a common-law employee of the Company, a Parent or a</w:t>
      </w:r>
    </w:p>
    <w:p>
      <w:pPr>
        <w:spacing w:after="0" w:line="3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Subsidiary.</w:t>
      </w:r>
    </w:p>
    <w:p>
      <w:pPr>
        <w:spacing w:after="0" w:line="141" w:lineRule="exact"/>
        <w:rPr>
          <w:rFonts w:ascii="Arial" w:cs="Arial" w:eastAsia="Arial" w:hAnsi="Arial"/>
          <w:sz w:val="21"/>
          <w:szCs w:val="21"/>
          <w:color w:val="auto"/>
        </w:rPr>
      </w:pPr>
    </w:p>
    <w:p>
      <w:pPr>
        <w:ind w:left="1940" w:hanging="636"/>
        <w:spacing w:after="0"/>
        <w:tabs>
          <w:tab w:leader="none" w:pos="1940"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165" w:lineRule="exact"/>
        <w:rPr>
          <w:rFonts w:ascii="Arial" w:cs="Arial" w:eastAsia="Arial" w:hAnsi="Arial"/>
          <w:sz w:val="22"/>
          <w:szCs w:val="22"/>
          <w:color w:val="auto"/>
        </w:rPr>
      </w:pPr>
    </w:p>
    <w:p>
      <w:pPr>
        <w:ind w:right="20" w:firstLine="1304"/>
        <w:spacing w:after="0" w:line="269" w:lineRule="auto"/>
        <w:tabs>
          <w:tab w:leader="none" w:pos="1932"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Price</w:t>
      </w:r>
      <w:r>
        <w:rPr>
          <w:rFonts w:ascii="Arial" w:cs="Arial" w:eastAsia="Arial" w:hAnsi="Arial"/>
          <w:sz w:val="22"/>
          <w:szCs w:val="22"/>
          <w:color w:val="auto"/>
        </w:rPr>
        <w:t>” means the amount for which one Share may be purchased upon exercise of an Option, as specified by the Board of Directors in the applicable Stock Option Agreement.</w:t>
      </w:r>
    </w:p>
    <w:p>
      <w:pPr>
        <w:spacing w:after="0" w:line="107" w:lineRule="exact"/>
        <w:rPr>
          <w:rFonts w:ascii="Arial" w:cs="Arial" w:eastAsia="Arial" w:hAnsi="Arial"/>
          <w:sz w:val="22"/>
          <w:szCs w:val="22"/>
          <w:color w:val="auto"/>
        </w:rPr>
      </w:pPr>
    </w:p>
    <w:p>
      <w:pPr>
        <w:ind w:firstLine="1304"/>
        <w:spacing w:after="0" w:line="269" w:lineRule="auto"/>
        <w:tabs>
          <w:tab w:leader="none" w:pos="1932"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the fair market value of a Share, as determined by the Board of Directors in good faith. Such determination shall be conclusive and binding on all persons.</w:t>
      </w:r>
    </w:p>
    <w:p>
      <w:pPr>
        <w:spacing w:after="0" w:line="107" w:lineRule="exact"/>
        <w:rPr>
          <w:rFonts w:ascii="Arial" w:cs="Arial" w:eastAsia="Arial" w:hAnsi="Arial"/>
          <w:sz w:val="22"/>
          <w:szCs w:val="22"/>
          <w:color w:val="auto"/>
        </w:rPr>
      </w:pPr>
    </w:p>
    <w:p>
      <w:pPr>
        <w:jc w:val="both"/>
        <w:ind w:firstLine="1304"/>
        <w:spacing w:after="0" w:line="295" w:lineRule="auto"/>
        <w:tabs>
          <w:tab w:leader="none" w:pos="1939" w:val="left"/>
        </w:tabs>
        <w:numPr>
          <w:ilvl w:val="0"/>
          <w:numId w:val="3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Member</w:t>
      </w:r>
      <w:r>
        <w:rPr>
          <w:rFonts w:ascii="Arial" w:cs="Arial" w:eastAsia="Arial" w:hAnsi="Arial"/>
          <w:sz w:val="19"/>
          <w:szCs w:val="19"/>
          <w:color w:val="auto"/>
        </w:rPr>
        <w:t>” means (i) any child, stepchild, grandchild, parent, stepparent, grandparent, spouse, former spouse, sibling, niece, nephew, mother-in-law, father-in- law, son-in-law, daughter-in-law, brother-in-law or sister-in-law, including adoptive relationships, (ii) any person sharing the Participant’s household (other than a tenant or employee), (iii) a trust in which persons described in Clause (i) or (ii) have more than 50% of the beneficial interest, (iv) a foundation in which persons described in Clause (i) or (ii) or the Participant control the management of assets and (v) any other entity in which persons described in Clause (i) or (ii) or the Participant own more than 50% of the voting interests.</w:t>
      </w:r>
    </w:p>
    <w:p>
      <w:pPr>
        <w:spacing w:after="0" w:line="89" w:lineRule="exact"/>
        <w:rPr>
          <w:rFonts w:ascii="Arial" w:cs="Arial" w:eastAsia="Arial" w:hAnsi="Arial"/>
          <w:sz w:val="19"/>
          <w:szCs w:val="19"/>
          <w:color w:val="auto"/>
        </w:rPr>
      </w:pPr>
    </w:p>
    <w:p>
      <w:pPr>
        <w:ind w:left="1940" w:hanging="636"/>
        <w:spacing w:after="0"/>
        <w:tabs>
          <w:tab w:leader="none" w:pos="1940" w:val="left"/>
        </w:tabs>
        <w:numPr>
          <w:ilvl w:val="0"/>
          <w:numId w:val="3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Grantee</w:t>
      </w:r>
      <w:r>
        <w:rPr>
          <w:rFonts w:ascii="Arial" w:cs="Arial" w:eastAsia="Arial" w:hAnsi="Arial"/>
          <w:sz w:val="21"/>
          <w:szCs w:val="21"/>
          <w:color w:val="auto"/>
        </w:rPr>
        <w:t>” means a person to whom the Board of Directors has awarded Shares under the Plan.</w:t>
      </w:r>
    </w:p>
    <w:p>
      <w:pPr>
        <w:spacing w:after="0" w:line="177" w:lineRule="exact"/>
        <w:rPr>
          <w:rFonts w:ascii="Arial" w:cs="Arial" w:eastAsia="Arial" w:hAnsi="Arial"/>
          <w:sz w:val="21"/>
          <w:szCs w:val="21"/>
          <w:color w:val="auto"/>
        </w:rPr>
      </w:pPr>
    </w:p>
    <w:p>
      <w:pPr>
        <w:jc w:val="both"/>
        <w:ind w:firstLine="1304"/>
        <w:spacing w:after="0" w:line="256" w:lineRule="auto"/>
        <w:tabs>
          <w:tab w:leader="none" w:pos="1939"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ISO</w:t>
      </w:r>
      <w:r>
        <w:rPr>
          <w:rFonts w:ascii="Arial" w:cs="Arial" w:eastAsia="Arial" w:hAnsi="Arial"/>
          <w:sz w:val="22"/>
          <w:szCs w:val="22"/>
          <w:color w:val="auto"/>
        </w:rPr>
        <w:t>” means an Option that qualifies as an incentive stock option as described in Code Section 422(b). Notwithstanding its designation as an ISO, an Option that does not qualify as an ISO under applicable law shall be treated for all purposes as a Nonstatutory Option.</w:t>
      </w:r>
    </w:p>
    <w:p>
      <w:pPr>
        <w:spacing w:after="0" w:line="122" w:lineRule="exact"/>
        <w:rPr>
          <w:rFonts w:ascii="Arial" w:cs="Arial" w:eastAsia="Arial" w:hAnsi="Arial"/>
          <w:sz w:val="22"/>
          <w:szCs w:val="22"/>
          <w:color w:val="auto"/>
        </w:rPr>
      </w:pPr>
    </w:p>
    <w:p>
      <w:pPr>
        <w:ind w:firstLine="1304"/>
        <w:spacing w:after="0" w:line="269" w:lineRule="auto"/>
        <w:tabs>
          <w:tab w:leader="none" w:pos="1939"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Nonstatutory Option</w:t>
      </w:r>
      <w:r>
        <w:rPr>
          <w:rFonts w:ascii="Arial" w:cs="Arial" w:eastAsia="Arial" w:hAnsi="Arial"/>
          <w:sz w:val="22"/>
          <w:szCs w:val="22"/>
          <w:color w:val="auto"/>
        </w:rPr>
        <w:t>” means an Option that does not qualify as an incentive stock option as described in Code Section 422(b) or 423(b).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1" w:right="339" w:bottom="1440" w:gutter="0" w:footer="0" w:header="0"/>
        </w:sectPr>
      </w:pPr>
    </w:p>
    <w:bookmarkStart w:id="538" w:name="page539"/>
    <w:bookmarkEnd w:id="538"/>
    <w:p>
      <w:pPr>
        <w:ind w:left="1960" w:hanging="656"/>
        <w:spacing w:after="0"/>
        <w:tabs>
          <w:tab w:leader="none" w:pos="196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means an ISO or Nonstatutory Option granted under the Plan and entitling the holder to purchase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42" w:lineRule="exact"/>
        <w:rPr>
          <w:sz w:val="20"/>
          <w:szCs w:val="20"/>
          <w:color w:val="auto"/>
        </w:rPr>
      </w:pPr>
    </w:p>
    <w:p>
      <w:pPr>
        <w:ind w:left="1960" w:hanging="656"/>
        <w:spacing w:after="0"/>
        <w:tabs>
          <w:tab w:leader="none" w:pos="196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Optionee</w:t>
      </w:r>
      <w:r>
        <w:rPr>
          <w:rFonts w:ascii="Arial" w:cs="Arial" w:eastAsia="Arial" w:hAnsi="Arial"/>
          <w:sz w:val="22"/>
          <w:szCs w:val="22"/>
          <w:color w:val="auto"/>
        </w:rPr>
        <w:t>” means a person who holds an Option.</w:t>
      </w:r>
    </w:p>
    <w:p>
      <w:pPr>
        <w:spacing w:after="0" w:line="165" w:lineRule="exact"/>
        <w:rPr>
          <w:rFonts w:ascii="Arial" w:cs="Arial" w:eastAsia="Arial" w:hAnsi="Arial"/>
          <w:sz w:val="22"/>
          <w:szCs w:val="22"/>
          <w:color w:val="auto"/>
        </w:rPr>
      </w:pPr>
    </w:p>
    <w:p>
      <w:pPr>
        <w:ind w:left="1940" w:hanging="636"/>
        <w:spacing w:after="0"/>
        <w:tabs>
          <w:tab w:leader="none" w:pos="194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Outside Director</w:t>
      </w:r>
      <w:r>
        <w:rPr>
          <w:rFonts w:ascii="Arial" w:cs="Arial" w:eastAsia="Arial" w:hAnsi="Arial"/>
          <w:sz w:val="22"/>
          <w:szCs w:val="22"/>
          <w:color w:val="auto"/>
        </w:rPr>
        <w:t>” means a member of the Board of Directors who is not an Employee.</w:t>
      </w:r>
    </w:p>
    <w:p>
      <w:pPr>
        <w:spacing w:after="0" w:line="165" w:lineRule="exact"/>
        <w:rPr>
          <w:rFonts w:ascii="Arial" w:cs="Arial" w:eastAsia="Arial" w:hAnsi="Arial"/>
          <w:sz w:val="22"/>
          <w:szCs w:val="22"/>
          <w:color w:val="auto"/>
        </w:rPr>
      </w:pPr>
    </w:p>
    <w:p>
      <w:pPr>
        <w:jc w:val="both"/>
        <w:ind w:firstLine="1304"/>
        <w:spacing w:after="0" w:line="304" w:lineRule="auto"/>
        <w:tabs>
          <w:tab w:leader="none" w:pos="1939" w:val="left"/>
        </w:tabs>
        <w:numPr>
          <w:ilvl w:val="0"/>
          <w:numId w:val="3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w:t>
      </w:r>
      <w:r>
        <w:rPr>
          <w:rFonts w:ascii="Arial" w:cs="Arial" w:eastAsia="Arial" w:hAnsi="Arial"/>
          <w:sz w:val="19"/>
          <w:szCs w:val="19"/>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80" w:lineRule="exact"/>
        <w:rPr>
          <w:rFonts w:ascii="Arial" w:cs="Arial" w:eastAsia="Arial" w:hAnsi="Arial"/>
          <w:sz w:val="19"/>
          <w:szCs w:val="19"/>
          <w:color w:val="auto"/>
        </w:rPr>
      </w:pPr>
    </w:p>
    <w:p>
      <w:pPr>
        <w:ind w:left="1940" w:hanging="636"/>
        <w:spacing w:after="0"/>
        <w:tabs>
          <w:tab w:leader="none" w:pos="194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 holder of an outstanding Award.</w:t>
      </w:r>
    </w:p>
    <w:p>
      <w:pPr>
        <w:spacing w:after="0" w:line="165" w:lineRule="exact"/>
        <w:rPr>
          <w:rFonts w:ascii="Arial" w:cs="Arial" w:eastAsia="Arial" w:hAnsi="Arial"/>
          <w:sz w:val="22"/>
          <w:szCs w:val="22"/>
          <w:color w:val="auto"/>
        </w:rPr>
      </w:pPr>
    </w:p>
    <w:p>
      <w:pPr>
        <w:ind w:left="1940" w:hanging="636"/>
        <w:spacing w:after="0"/>
        <w:tabs>
          <w:tab w:leader="none" w:pos="194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this Robinhood Markets, Inc. 2013 Stock Plan.</w:t>
      </w:r>
    </w:p>
    <w:p>
      <w:pPr>
        <w:spacing w:after="0" w:line="165" w:lineRule="exact"/>
        <w:rPr>
          <w:rFonts w:ascii="Arial" w:cs="Arial" w:eastAsia="Arial" w:hAnsi="Arial"/>
          <w:sz w:val="22"/>
          <w:szCs w:val="22"/>
          <w:color w:val="auto"/>
        </w:rPr>
      </w:pPr>
    </w:p>
    <w:p>
      <w:pPr>
        <w:ind w:firstLine="1304"/>
        <w:spacing w:after="0" w:line="269" w:lineRule="auto"/>
        <w:tabs>
          <w:tab w:leader="none" w:pos="1939"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means the consideration for which one Share may be acquired under the Plan (other than upon exercise of an Option), as specified by the Board of Directors.</w:t>
      </w:r>
    </w:p>
    <w:p>
      <w:pPr>
        <w:spacing w:after="0" w:line="107" w:lineRule="exact"/>
        <w:rPr>
          <w:rFonts w:ascii="Arial" w:cs="Arial" w:eastAsia="Arial" w:hAnsi="Arial"/>
          <w:sz w:val="22"/>
          <w:szCs w:val="22"/>
          <w:color w:val="auto"/>
        </w:rPr>
      </w:pPr>
    </w:p>
    <w:p>
      <w:pPr>
        <w:ind w:firstLine="1304"/>
        <w:spacing w:after="0" w:line="269" w:lineRule="auto"/>
        <w:tabs>
          <w:tab w:leader="none" w:pos="1939" w:val="left"/>
        </w:tabs>
        <w:numPr>
          <w:ilvl w:val="0"/>
          <w:numId w:val="3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means a person to whom the Board of Directors has offered the right to purchase Shares under the Plan (other than upon exercise of an Option).</w:t>
      </w:r>
    </w:p>
    <w:p>
      <w:pPr>
        <w:spacing w:after="0" w:line="107" w:lineRule="exact"/>
        <w:rPr>
          <w:rFonts w:ascii="Arial" w:cs="Arial" w:eastAsia="Arial" w:hAnsi="Arial"/>
          <w:sz w:val="22"/>
          <w:szCs w:val="22"/>
          <w:color w:val="auto"/>
        </w:rPr>
      </w:pPr>
    </w:p>
    <w:p>
      <w:pPr>
        <w:ind w:left="1940" w:hanging="636"/>
        <w:spacing w:after="0"/>
        <w:tabs>
          <w:tab w:leader="none" w:pos="1940" w:val="left"/>
        </w:tabs>
        <w:numPr>
          <w:ilvl w:val="0"/>
          <w:numId w:val="3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w:t>
      </w:r>
      <w:r>
        <w:rPr>
          <w:rFonts w:ascii="Arial" w:cs="Arial" w:eastAsia="Arial" w:hAnsi="Arial"/>
          <w:sz w:val="19"/>
          <w:szCs w:val="19"/>
          <w:color w:val="auto"/>
        </w:rPr>
        <w:t>” means a bookkeeping entry representing the equivalent of one Share, as awarded</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the Plan.</w:t>
      </w:r>
    </w:p>
    <w:p>
      <w:pPr>
        <w:spacing w:after="0" w:line="142" w:lineRule="exact"/>
        <w:rPr>
          <w:sz w:val="20"/>
          <w:szCs w:val="20"/>
          <w:color w:val="auto"/>
        </w:rPr>
      </w:pPr>
    </w:p>
    <w:p>
      <w:pPr>
        <w:ind w:firstLine="1304"/>
        <w:spacing w:after="0" w:line="349" w:lineRule="auto"/>
        <w:tabs>
          <w:tab w:leader="none" w:pos="1942" w:val="left"/>
        </w:tabs>
        <w:numPr>
          <w:ilvl w:val="0"/>
          <w:numId w:val="3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 Award Agreement</w:t>
      </w:r>
      <w:r>
        <w:rPr>
          <w:rFonts w:ascii="Arial" w:cs="Arial" w:eastAsia="Arial" w:hAnsi="Arial"/>
          <w:sz w:val="19"/>
          <w:szCs w:val="19"/>
          <w:color w:val="auto"/>
        </w:rPr>
        <w:t>” means the agreement between the Company and the recipient of a Restricted Stock Unit that contains the terms, conditions and restrictions pertaining to such Restricted Stock Unit.</w:t>
      </w:r>
    </w:p>
    <w:p>
      <w:pPr>
        <w:spacing w:after="0" w:line="39" w:lineRule="exact"/>
        <w:rPr>
          <w:rFonts w:ascii="Arial" w:cs="Arial" w:eastAsia="Arial" w:hAnsi="Arial"/>
          <w:sz w:val="19"/>
          <w:szCs w:val="19"/>
          <w:color w:val="auto"/>
        </w:rPr>
      </w:pPr>
    </w:p>
    <w:p>
      <w:pPr>
        <w:ind w:left="1940" w:hanging="636"/>
        <w:spacing w:after="0"/>
        <w:tabs>
          <w:tab w:leader="none" w:pos="194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w:t>
      </w:r>
    </w:p>
    <w:p>
      <w:pPr>
        <w:spacing w:after="0" w:line="165" w:lineRule="exact"/>
        <w:rPr>
          <w:rFonts w:ascii="Arial" w:cs="Arial" w:eastAsia="Arial" w:hAnsi="Arial"/>
          <w:sz w:val="22"/>
          <w:szCs w:val="22"/>
          <w:color w:val="auto"/>
        </w:rPr>
      </w:pPr>
    </w:p>
    <w:p>
      <w:pPr>
        <w:jc w:val="both"/>
        <w:ind w:firstLine="1304"/>
        <w:spacing w:after="0" w:line="256" w:lineRule="auto"/>
        <w:tabs>
          <w:tab w:leader="none" w:pos="1942" w:val="left"/>
        </w:tabs>
        <w:numPr>
          <w:ilvl w:val="0"/>
          <w:numId w:val="3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service as an Employee, Outside Director or Consultant. In case of any dispute as to whether Service has terminated, the Board of Directors shall have sole discretion to determine whether such termination has occurred and the effective date of such termination.</w:t>
      </w:r>
    </w:p>
    <w:p>
      <w:pPr>
        <w:spacing w:after="0" w:line="122" w:lineRule="exact"/>
        <w:rPr>
          <w:rFonts w:ascii="Arial" w:cs="Arial" w:eastAsia="Arial" w:hAnsi="Arial"/>
          <w:sz w:val="22"/>
          <w:szCs w:val="22"/>
          <w:color w:val="auto"/>
        </w:rPr>
      </w:pPr>
    </w:p>
    <w:p>
      <w:pPr>
        <w:ind w:left="1940" w:hanging="636"/>
        <w:spacing w:after="0"/>
        <w:tabs>
          <w:tab w:leader="none" w:pos="194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means one share of Stock, as adjusted in accordance with Section 9 (if applicable).</w:t>
      </w:r>
    </w:p>
    <w:p>
      <w:pPr>
        <w:spacing w:after="0" w:line="165" w:lineRule="exact"/>
        <w:rPr>
          <w:rFonts w:ascii="Arial" w:cs="Arial" w:eastAsia="Arial" w:hAnsi="Arial"/>
          <w:sz w:val="22"/>
          <w:szCs w:val="22"/>
          <w:color w:val="auto"/>
        </w:rPr>
      </w:pPr>
    </w:p>
    <w:p>
      <w:pPr>
        <w:ind w:left="1960" w:hanging="656"/>
        <w:spacing w:after="0"/>
        <w:tabs>
          <w:tab w:leader="none" w:pos="196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w:t>
      </w:r>
      <w:r>
        <w:rPr>
          <w:rFonts w:ascii="Arial" w:cs="Arial" w:eastAsia="Arial" w:hAnsi="Arial"/>
          <w:sz w:val="22"/>
          <w:szCs w:val="22"/>
          <w:color w:val="auto"/>
        </w:rPr>
        <w:t>” means the Common Stock of the Company.</w:t>
      </w:r>
    </w:p>
    <w:p>
      <w:pPr>
        <w:spacing w:after="0" w:line="165" w:lineRule="exact"/>
        <w:rPr>
          <w:rFonts w:ascii="Arial" w:cs="Arial" w:eastAsia="Arial" w:hAnsi="Arial"/>
          <w:sz w:val="22"/>
          <w:szCs w:val="22"/>
          <w:color w:val="auto"/>
        </w:rPr>
      </w:pPr>
    </w:p>
    <w:p>
      <w:pPr>
        <w:ind w:firstLine="1304"/>
        <w:spacing w:after="0" w:line="349" w:lineRule="auto"/>
        <w:tabs>
          <w:tab w:leader="none" w:pos="1931" w:val="left"/>
        </w:tabs>
        <w:numPr>
          <w:ilvl w:val="0"/>
          <w:numId w:val="3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Grant Agreement</w:t>
      </w:r>
      <w:r>
        <w:rPr>
          <w:rFonts w:ascii="Arial" w:cs="Arial" w:eastAsia="Arial" w:hAnsi="Arial"/>
          <w:sz w:val="19"/>
          <w:szCs w:val="19"/>
          <w:color w:val="auto"/>
        </w:rPr>
        <w:t>” means the agreement between the Company and a Grantee who is awarded Shares under the Plan that contains the terms, conditions and restrictions pertaining to the award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1" w:right="339" w:bottom="1440" w:gutter="0" w:footer="0" w:header="0"/>
        </w:sectPr>
      </w:pPr>
    </w:p>
    <w:bookmarkStart w:id="539" w:name="page540"/>
    <w:bookmarkEnd w:id="539"/>
    <w:p>
      <w:pPr>
        <w:ind w:left="-20" w:right="20" w:firstLine="1304"/>
        <w:spacing w:after="0" w:line="269" w:lineRule="auto"/>
        <w:tabs>
          <w:tab w:leader="none" w:pos="1919" w:val="left"/>
        </w:tabs>
        <w:numPr>
          <w:ilvl w:val="0"/>
          <w:numId w:val="3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Option Agreement</w:t>
      </w:r>
      <w:r>
        <w:rPr>
          <w:rFonts w:ascii="Arial" w:cs="Arial" w:eastAsia="Arial" w:hAnsi="Arial"/>
          <w:sz w:val="22"/>
          <w:szCs w:val="22"/>
          <w:color w:val="auto"/>
        </w:rPr>
        <w:t>” means the agreement between the Company and an Optionee that contains the terms, conditions and restrictions pertaining to the Optionee’s Option.</w:t>
      </w:r>
    </w:p>
    <w:p>
      <w:pPr>
        <w:spacing w:after="0" w:line="107" w:lineRule="exact"/>
        <w:rPr>
          <w:rFonts w:ascii="Arial" w:cs="Arial" w:eastAsia="Arial" w:hAnsi="Arial"/>
          <w:sz w:val="22"/>
          <w:szCs w:val="22"/>
          <w:color w:val="auto"/>
        </w:rPr>
      </w:pPr>
    </w:p>
    <w:p>
      <w:pPr>
        <w:ind w:left="-20" w:right="20" w:firstLine="1304"/>
        <w:spacing w:after="0" w:line="349" w:lineRule="auto"/>
        <w:tabs>
          <w:tab w:leader="none" w:pos="1919" w:val="left"/>
        </w:tabs>
        <w:numPr>
          <w:ilvl w:val="0"/>
          <w:numId w:val="3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Purchase Agreement</w:t>
      </w:r>
      <w:r>
        <w:rPr>
          <w:rFonts w:ascii="Arial" w:cs="Arial" w:eastAsia="Arial" w:hAnsi="Arial"/>
          <w:sz w:val="19"/>
          <w:szCs w:val="19"/>
          <w:color w:val="auto"/>
        </w:rPr>
        <w:t>” means the agreement between the Company and a Purchaser who purchases Shares under the Plan that contains the terms, conditions and restrictions pertaining to the purchase of such Shares.</w:t>
      </w:r>
    </w:p>
    <w:p>
      <w:pPr>
        <w:spacing w:after="0" w:line="39" w:lineRule="exact"/>
        <w:rPr>
          <w:rFonts w:ascii="Arial" w:cs="Arial" w:eastAsia="Arial" w:hAnsi="Arial"/>
          <w:sz w:val="19"/>
          <w:szCs w:val="19"/>
          <w:color w:val="auto"/>
        </w:rPr>
      </w:pPr>
    </w:p>
    <w:p>
      <w:pPr>
        <w:jc w:val="both"/>
        <w:ind w:left="-20" w:firstLine="1304"/>
        <w:spacing w:after="0" w:line="249" w:lineRule="auto"/>
        <w:tabs>
          <w:tab w:leader="none" w:pos="1918" w:val="left"/>
        </w:tabs>
        <w:numPr>
          <w:ilvl w:val="0"/>
          <w:numId w:val="3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40" w:top="1421" w:right="339" w:bottom="1440" w:gutter="0" w:footer="0" w:header="0"/>
        </w:sectPr>
      </w:pPr>
    </w:p>
    <w:bookmarkStart w:id="540" w:name="page541"/>
    <w:bookmarkEnd w:id="540"/>
    <w:p>
      <w:pPr>
        <w:jc w:val="right"/>
        <w:spacing w:after="0"/>
        <w:rPr>
          <w:sz w:val="20"/>
          <w:szCs w:val="20"/>
          <w:color w:val="auto"/>
        </w:rPr>
      </w:pPr>
      <w:r>
        <w:rPr>
          <w:rFonts w:ascii="Arial" w:cs="Arial" w:eastAsia="Arial" w:hAnsi="Arial"/>
          <w:sz w:val="22"/>
          <w:szCs w:val="22"/>
          <w:color w:val="auto"/>
        </w:rPr>
        <w:t>Time-Based RSU Award Agreement for D. Gallagher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Award</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You (“</w:t>
      </w:r>
      <w:r>
        <w:rPr>
          <w:rFonts w:ascii="Arial" w:cs="Arial" w:eastAsia="Arial" w:hAnsi="Arial"/>
          <w:sz w:val="22"/>
          <w:szCs w:val="22"/>
          <w:b w:val="1"/>
          <w:bCs w:val="1"/>
          <w:color w:val="auto"/>
        </w:rPr>
        <w:t>Recipient</w:t>
      </w:r>
      <w:r>
        <w:rPr>
          <w:rFonts w:ascii="Arial" w:cs="Arial" w:eastAsia="Arial" w:hAnsi="Arial"/>
          <w:sz w:val="22"/>
          <w:szCs w:val="22"/>
          <w:color w:val="auto"/>
        </w:rPr>
        <w:t>”) have been granted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representing shares of the Common Stock of Robinhood Markets, Inc. (the “</w:t>
      </w:r>
      <w:r>
        <w:rPr>
          <w:rFonts w:ascii="Arial" w:cs="Arial" w:eastAsia="Arial" w:hAnsi="Arial"/>
          <w:sz w:val="22"/>
          <w:szCs w:val="22"/>
          <w:b w:val="1"/>
          <w:bCs w:val="1"/>
          <w:color w:val="auto"/>
        </w:rPr>
        <w:t>Company</w:t>
      </w:r>
      <w:r>
        <w:rPr>
          <w:rFonts w:ascii="Arial" w:cs="Arial" w:eastAsia="Arial" w:hAnsi="Arial"/>
          <w:sz w:val="22"/>
          <w:szCs w:val="22"/>
          <w:color w:val="auto"/>
        </w:rPr>
        <w:t>”) on the following terms:</w:t>
      </w:r>
    </w:p>
    <w:p>
      <w:pPr>
        <w:sectPr>
          <w:pgSz w:w="11900" w:h="16838" w:orient="portrait"/>
          <w:cols w:equalWidth="0" w:num="1">
            <w:col w:w="11240"/>
          </w:cols>
          <w:pgMar w:left="320" w:top="131" w:right="339" w:bottom="1440" w:gutter="0" w:footer="0" w:header="0"/>
        </w:sect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 of Recipient: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Daniel Gallagher</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October 8, 2019</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October 7, 2019</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w:t>
      </w:r>
    </w:p>
    <w:p>
      <w:pPr>
        <w:spacing w:after="0" w:line="20" w:lineRule="exact"/>
        <w:rPr>
          <w:sz w:val="20"/>
          <w:szCs w:val="20"/>
          <w:color w:val="auto"/>
        </w:rPr>
      </w:pPr>
      <w:r>
        <w:rPr>
          <w:sz w:val="20"/>
          <w:szCs w:val="20"/>
          <w:color w:val="auto"/>
        </w:rPr>
        <w:br w:type="column"/>
      </w:r>
    </w:p>
    <w:p>
      <w:pPr>
        <w:jc w:val="both"/>
        <w:ind w:right="80"/>
        <w:spacing w:after="0" w:line="257" w:lineRule="auto"/>
        <w:rPr>
          <w:sz w:val="20"/>
          <w:szCs w:val="20"/>
          <w:color w:val="auto"/>
        </w:rPr>
      </w:pPr>
      <w:r>
        <w:rPr>
          <w:rFonts w:ascii="Arial" w:cs="Arial" w:eastAsia="Arial" w:hAnsi="Arial"/>
          <w:sz w:val="21"/>
          <w:szCs w:val="21"/>
          <w:color w:val="auto"/>
        </w:rPr>
        <w:t>You will receive a benefit with respect to a RSU only if it vests. Two vesting requirements must be satisfied on or before the Expiration Date specified above in order for a RSU to vest: (i) a requirement that you provide Service over the period of time set forth in “Service-Based Requirement” below and (ii) a requirement that the Company complete either an IPO or Sale Event as set forth in “Liquidity Event Requirement” below. Your RSUs will not vest (in whole or in part) if only one (or if neither) of such requirements is satisfied on or before the Expiration Date. The “</w:t>
      </w:r>
      <w:r>
        <w:rPr>
          <w:rFonts w:ascii="Arial" w:cs="Arial" w:eastAsia="Arial" w:hAnsi="Arial"/>
          <w:sz w:val="21"/>
          <w:szCs w:val="21"/>
          <w:b w:val="1"/>
          <w:bCs w:val="1"/>
          <w:color w:val="auto"/>
        </w:rPr>
        <w:t>Vesting Date</w:t>
      </w:r>
      <w:r>
        <w:rPr>
          <w:rFonts w:ascii="Arial" w:cs="Arial" w:eastAsia="Arial" w:hAnsi="Arial"/>
          <w:sz w:val="21"/>
          <w:szCs w:val="21"/>
          <w:color w:val="auto"/>
        </w:rPr>
        <w:t>” of an RSU will be the first date on or before the Expiration Date upon which both the Service-Based Requirement and the Liquidity Event Requirement are satisfied with respect to that particular RSU.</w:t>
      </w:r>
    </w:p>
    <w:p>
      <w:pPr>
        <w:sectPr>
          <w:pgSz w:w="11900" w:h="16838" w:orient="portrait"/>
          <w:cols w:equalWidth="0" w:num="2">
            <w:col w:w="3900" w:space="720"/>
            <w:col w:w="6620"/>
          </w:cols>
          <w:pgMar w:left="320" w:top="131" w:right="339" w:bottom="1440" w:gutter="0" w:footer="0" w:header="0"/>
          <w:type w:val="continuous"/>
        </w:sectPr>
      </w:pPr>
    </w:p>
    <w:bookmarkStart w:id="541" w:name="page542"/>
    <w:bookmarkEnd w:id="541"/>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Service-Based Requirement: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Service-Based Requirement will be satisfied in installments as to 12.5% of the RSUs subject to this award when you complete each successive 3-month period of continuous Service after the Vesting Commencement Date set forth above; in each case, subject to Section 2 of the Restricted Stock Unit Award Agreement. With respect to the Recipient (A) if the Company is subject to a Change in Control (as defined below) and (B) if the Recipient remains in continuous Service with the Company through the time immediately prior to such Change in Control, then 100% of the remaining Service-Based Requirement of the RSUs shall immediately vest and, to the extent not settled in connection with the Change in Control, the RSUs shall not expire until the seventh anniversary of the date of grant. For purposes hereof, “Change in Control” means (i) the consummation of a merger or consolidation of the Company with or into another entity, (ii) a sale of all or substantially all of the assets of the Company, or (iii) the dissolution, liquidation or winding up of the Company. The foregoing notwithstanding, neither (i) a merger or consolidation of the Company, nor (ii) any rollup, consolidation or similar corporate transformation of any Company subsidiary or affiliate that may be the employer of the recipient, shall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200" w:lineRule="exact"/>
        <w:rPr>
          <w:sz w:val="20"/>
          <w:szCs w:val="20"/>
          <w:color w:val="auto"/>
        </w:rPr>
      </w:pPr>
    </w:p>
    <w:p>
      <w:pPr>
        <w:sectPr>
          <w:pgSz w:w="11900" w:h="16838" w:orient="portrait"/>
          <w:cols w:equalWidth="0" w:num="2">
            <w:col w:w="3760" w:space="720"/>
            <w:col w:w="6660"/>
          </w:cols>
          <w:pgMar w:left="40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40"/>
          </w:cols>
          <w:pgMar w:left="400" w:top="1440" w:right="359" w:bottom="1440" w:gutter="0" w:footer="0" w:header="0"/>
          <w:type w:val="continuous"/>
        </w:sectPr>
      </w:pPr>
    </w:p>
    <w:bookmarkStart w:id="542" w:name="page543"/>
    <w:bookmarkEnd w:id="542"/>
    <w:p>
      <w:pPr>
        <w:spacing w:after="0" w:line="42" w:lineRule="exact"/>
        <w:rPr>
          <w:sz w:val="20"/>
          <w:szCs w:val="20"/>
          <w:color w:val="auto"/>
        </w:rPr>
      </w:pPr>
    </w:p>
    <w:p>
      <w:pPr>
        <w:ind w:left="80"/>
        <w:spacing w:after="0"/>
        <w:rPr>
          <w:sz w:val="20"/>
          <w:szCs w:val="20"/>
          <w:color w:val="auto"/>
        </w:rPr>
      </w:pPr>
      <w:r>
        <w:rPr>
          <w:rFonts w:ascii="Arial" w:cs="Arial" w:eastAsia="Arial" w:hAnsi="Arial"/>
          <w:sz w:val="19"/>
          <w:szCs w:val="19"/>
          <w:color w:val="auto"/>
        </w:rPr>
        <w:t>Liquidity Event Requirement: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Liquidity Event Requirement will be satisfied (as to any then-outstanding RSUs that have not theretofore been terminated pursuant to Section 2 of the Restricted Stock Unit Agreement) on the earlier to occur of (i) an IPO or (ii) a Sale Event.</w:t>
      </w:r>
    </w:p>
    <w:p>
      <w:pPr>
        <w:spacing w:after="0" w:line="26" w:lineRule="exact"/>
        <w:rPr>
          <w:sz w:val="20"/>
          <w:szCs w:val="20"/>
          <w:color w:val="auto"/>
        </w:rPr>
      </w:pPr>
    </w:p>
    <w:p>
      <w:pPr>
        <w:sectPr>
          <w:pgSz w:w="11900" w:h="16838" w:orient="portrait"/>
          <w:cols w:equalWidth="0" w:num="2">
            <w:col w:w="3840" w:space="720"/>
            <w:col w:w="6680"/>
          </w:cols>
          <w:pgMar w:left="320" w:top="1440" w:right="339" w:bottom="1440" w:gutter="0" w:footer="0" w:header="0"/>
        </w:sectPr>
      </w:pPr>
    </w:p>
    <w:p>
      <w:pPr>
        <w:ind w:left="80"/>
        <w:spacing w:after="0"/>
        <w:rPr>
          <w:sz w:val="20"/>
          <w:szCs w:val="20"/>
          <w:color w:val="auto"/>
        </w:rPr>
      </w:pPr>
      <w:r>
        <w:rPr>
          <w:rFonts w:ascii="Arial" w:cs="Arial" w:eastAsia="Arial" w:hAnsi="Arial"/>
          <w:sz w:val="19"/>
          <w:szCs w:val="19"/>
          <w:color w:val="auto"/>
        </w:rPr>
        <w:t>Settlement:</w:t>
      </w:r>
    </w:p>
    <w:p>
      <w:pPr>
        <w:spacing w:after="0" w:line="20" w:lineRule="exact"/>
        <w:rPr>
          <w:sz w:val="20"/>
          <w:szCs w:val="20"/>
          <w:color w:val="auto"/>
        </w:rPr>
      </w:pPr>
      <w:r>
        <w:rPr>
          <w:sz w:val="20"/>
          <w:szCs w:val="20"/>
          <w:color w:val="auto"/>
        </w:rPr>
        <w:br w:type="column"/>
      </w:r>
    </w:p>
    <w:p>
      <w:pPr>
        <w:jc w:val="both"/>
        <w:ind w:right="20"/>
        <w:spacing w:after="0" w:line="248" w:lineRule="auto"/>
        <w:rPr>
          <w:sz w:val="20"/>
          <w:szCs w:val="20"/>
          <w:color w:val="auto"/>
        </w:rPr>
      </w:pPr>
      <w:r>
        <w:rPr>
          <w:rFonts w:ascii="Arial" w:cs="Arial" w:eastAsia="Arial" w:hAnsi="Arial"/>
          <w:sz w:val="22"/>
          <w:szCs w:val="22"/>
          <w:color w:val="auto"/>
        </w:rPr>
        <w:t>Settlement of RSUs refers to the issuance of Shares once the award is vested. If a RSU vests as a result of satisfaction of both applicable vesting requirements as described above, the Company will deliver one Share for such RSU at the time of settlement specified in Section 4 of the Restricted Stock Unit Agreement.</w:t>
      </w:r>
    </w:p>
    <w:p>
      <w:pPr>
        <w:spacing w:after="0" w:line="200" w:lineRule="exact"/>
        <w:rPr>
          <w:sz w:val="20"/>
          <w:szCs w:val="20"/>
          <w:color w:val="auto"/>
        </w:rPr>
      </w:pPr>
    </w:p>
    <w:p>
      <w:pPr>
        <w:sectPr>
          <w:pgSz w:w="11900" w:h="16838" w:orient="portrait"/>
          <w:cols w:equalWidth="0" w:num="2">
            <w:col w:w="3840" w:space="720"/>
            <w:col w:w="6680"/>
          </w:cols>
          <w:pgMar w:left="320" w:top="1440" w:right="339" w:bottom="1440" w:gutter="0" w:footer="0" w:header="0"/>
          <w:type w:val="continuous"/>
        </w:sectPr>
      </w:pP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references to the “Platform” in this Notice of Restricted Stock Unit Award or in the Restricted Stock Unit Award Agreement shall be interpreted as the equity management software currently in use by the Company.</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By signing below or otherwise accepting this award in a manner acceptable to the Company, you and the Company agree that these RSUs are granted under and governed by the terms and conditions of this Notice of Restricted Stock Unit Award, the Amended and Restated 2013 Stock Plan (the “</w:t>
      </w:r>
      <w:r>
        <w:rPr>
          <w:rFonts w:ascii="Arial" w:cs="Arial" w:eastAsia="Arial" w:hAnsi="Arial"/>
          <w:sz w:val="21"/>
          <w:szCs w:val="21"/>
          <w:b w:val="1"/>
          <w:bCs w:val="1"/>
          <w:color w:val="auto"/>
        </w:rPr>
        <w:t>Plan</w:t>
      </w:r>
      <w:r>
        <w:rPr>
          <w:rFonts w:ascii="Arial" w:cs="Arial" w:eastAsia="Arial" w:hAnsi="Arial"/>
          <w:sz w:val="21"/>
          <w:szCs w:val="21"/>
          <w:color w:val="auto"/>
        </w:rPr>
        <w:t xml:space="preserve">”) and the Restricted Stock Unit Agreement. These latter two documents are attached to, and made a part of, this Notice of Restricted Stock Unit Award. Capitalized terms not otherwise defined herein or in the Restricted Stock Unit Agreement shall have the meaning set forth in the Plan. You hereby acknowledge that the vesting of the RSUs pursuant to this Notice of Restricted Stock Unit Award is conditioned on the satisfaction of the Service-Based Requirement and the occurrence, on or before the Expiration Date, of an IPO or Sale Event. You shall have no right with respect to the RSUs to the extent an IPO or Sale Event does not occur on or before the Expiration Date (regardless of the extent to which the Service-Based Requirement was satisfied). </w:t>
      </w:r>
      <w:r>
        <w:rPr>
          <w:rFonts w:ascii="Arial" w:cs="Arial" w:eastAsia="Arial" w:hAnsi="Arial"/>
          <w:sz w:val="21"/>
          <w:szCs w:val="21"/>
          <w:b w:val="1"/>
          <w:bCs w:val="1"/>
          <w:color w:val="auto"/>
        </w:rPr>
        <w:t>Section 10 of the Restricted Stock Unit Agreement also includes important</w:t>
      </w:r>
      <w:r>
        <w:rPr>
          <w:rFonts w:ascii="Arial" w:cs="Arial" w:eastAsia="Arial" w:hAnsi="Arial"/>
          <w:sz w:val="21"/>
          <w:szCs w:val="21"/>
          <w:color w:val="auto"/>
        </w:rPr>
        <w:t xml:space="preserve"> </w:t>
      </w:r>
      <w:r>
        <w:rPr>
          <w:rFonts w:ascii="Arial" w:cs="Arial" w:eastAsia="Arial" w:hAnsi="Arial"/>
          <w:sz w:val="21"/>
          <w:szCs w:val="21"/>
          <w:b w:val="1"/>
          <w:bCs w:val="1"/>
          <w:color w:val="auto"/>
        </w:rPr>
        <w:t>acknowledgements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type w:val="continuous"/>
        </w:sectPr>
      </w:pPr>
    </w:p>
    <w:bookmarkStart w:id="543" w:name="page544"/>
    <w:bookmarkEnd w:id="543"/>
    <w:p>
      <w:pPr>
        <w:jc w:val="both"/>
        <w:spacing w:after="0" w:line="248" w:lineRule="auto"/>
        <w:rPr>
          <w:sz w:val="20"/>
          <w:szCs w:val="20"/>
          <w:color w:val="auto"/>
        </w:rPr>
      </w:pPr>
      <w:r>
        <w:rPr>
          <w:rFonts w:ascii="Arial" w:cs="Arial" w:eastAsia="Arial" w:hAnsi="Arial"/>
          <w:sz w:val="22"/>
          <w:szCs w:val="22"/>
          <w:b w:val="1"/>
          <w:bCs w:val="1"/>
          <w:color w:val="auto"/>
        </w:rPr>
        <w:t>THE RSUS GRANTED PURSUANT TO THE NOTICE OF RESTRICTED STOCK UNIT AWARD AND THIS AGREEMENT AND THE SHARES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19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color w:val="auto"/>
        </w:rPr>
        <w:t>GRANT OF RESTRICTED STOCK UNITS.</w:t>
      </w:r>
    </w:p>
    <w:p>
      <w:pPr>
        <w:spacing w:after="0" w:line="220" w:lineRule="exact"/>
        <w:rPr>
          <w:sz w:val="20"/>
          <w:szCs w:val="20"/>
          <w:color w:val="auto"/>
        </w:rPr>
      </w:pPr>
    </w:p>
    <w:p>
      <w:pPr>
        <w:ind w:right="80" w:firstLine="1628"/>
        <w:spacing w:after="0" w:line="315" w:lineRule="auto"/>
        <w:tabs>
          <w:tab w:leader="none" w:pos="2076" w:val="left"/>
        </w:tabs>
        <w:numPr>
          <w:ilvl w:val="0"/>
          <w:numId w:val="343"/>
        </w:numPr>
        <w:rPr>
          <w:rFonts w:ascii="Arial" w:cs="Arial" w:eastAsia="Arial" w:hAnsi="Arial"/>
          <w:sz w:val="19"/>
          <w:szCs w:val="19"/>
          <w:color w:val="auto"/>
        </w:rPr>
      </w:pPr>
      <w:r>
        <w:rPr>
          <w:rFonts w:ascii="Arial" w:cs="Arial" w:eastAsia="Arial" w:hAnsi="Arial"/>
          <w:sz w:val="19"/>
          <w:szCs w:val="19"/>
          <w:b w:val="1"/>
          <w:bCs w:val="1"/>
          <w:color w:val="auto"/>
        </w:rPr>
        <w:t>Grant</w:t>
      </w:r>
      <w:r>
        <w:rPr>
          <w:rFonts w:ascii="Arial" w:cs="Arial" w:eastAsia="Arial" w:hAnsi="Arial"/>
          <w:sz w:val="19"/>
          <w:szCs w:val="19"/>
          <w:color w:val="auto"/>
        </w:rPr>
        <w:t>. On the terms and conditions set forth in the Notice of Restricted Stock Unit Award and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Company grants to you on the Date of Grant the number of RSUs set forth in the Notice of Restricted Stock Unit Award. Each RSU represents the right to receive one Share on the terms and conditions set forth in this Agreement.</w:t>
      </w:r>
    </w:p>
    <w:p>
      <w:pPr>
        <w:spacing w:after="0" w:line="125" w:lineRule="exact"/>
        <w:rPr>
          <w:rFonts w:ascii="Arial" w:cs="Arial" w:eastAsia="Arial" w:hAnsi="Arial"/>
          <w:sz w:val="19"/>
          <w:szCs w:val="19"/>
          <w:color w:val="auto"/>
        </w:rPr>
      </w:pPr>
    </w:p>
    <w:p>
      <w:pPr>
        <w:ind w:left="2100" w:hanging="472"/>
        <w:spacing w:after="0"/>
        <w:tabs>
          <w:tab w:leader="none" w:pos="2100" w:val="left"/>
        </w:tabs>
        <w:numPr>
          <w:ilvl w:val="0"/>
          <w:numId w:val="343"/>
        </w:numPr>
        <w:rPr>
          <w:rFonts w:ascii="Arial" w:cs="Arial" w:eastAsia="Arial" w:hAnsi="Arial"/>
          <w:sz w:val="22"/>
          <w:szCs w:val="22"/>
          <w:color w:val="auto"/>
        </w:rPr>
      </w:pPr>
      <w:r>
        <w:rPr>
          <w:rFonts w:ascii="Arial" w:cs="Arial" w:eastAsia="Arial" w:hAnsi="Arial"/>
          <w:sz w:val="22"/>
          <w:szCs w:val="22"/>
          <w:b w:val="1"/>
          <w:bCs w:val="1"/>
          <w:color w:val="auto"/>
        </w:rPr>
        <w:t>Consideration</w:t>
      </w:r>
      <w:r>
        <w:rPr>
          <w:rFonts w:ascii="Arial" w:cs="Arial" w:eastAsia="Arial" w:hAnsi="Arial"/>
          <w:sz w:val="22"/>
          <w:szCs w:val="22"/>
          <w:color w:val="auto"/>
        </w:rPr>
        <w:t>. No payment is required for the RSUs that have been granted to you.</w:t>
      </w:r>
    </w:p>
    <w:p>
      <w:pPr>
        <w:spacing w:after="0" w:line="219" w:lineRule="exact"/>
        <w:rPr>
          <w:rFonts w:ascii="Arial" w:cs="Arial" w:eastAsia="Arial" w:hAnsi="Arial"/>
          <w:sz w:val="22"/>
          <w:szCs w:val="22"/>
          <w:color w:val="auto"/>
        </w:rPr>
      </w:pPr>
    </w:p>
    <w:p>
      <w:pPr>
        <w:ind w:right="160" w:firstLine="1628"/>
        <w:spacing w:after="0" w:line="249" w:lineRule="auto"/>
        <w:tabs>
          <w:tab w:leader="none" w:pos="2076" w:val="left"/>
        </w:tabs>
        <w:numPr>
          <w:ilvl w:val="0"/>
          <w:numId w:val="343"/>
        </w:numPr>
        <w:rPr>
          <w:rFonts w:ascii="Arial" w:cs="Arial" w:eastAsia="Arial" w:hAnsi="Arial"/>
          <w:sz w:val="22"/>
          <w:szCs w:val="22"/>
          <w:color w:val="auto"/>
        </w:rPr>
      </w:pPr>
      <w:r>
        <w:rPr>
          <w:rFonts w:ascii="Arial" w:cs="Arial" w:eastAsia="Arial" w:hAnsi="Arial"/>
          <w:sz w:val="22"/>
          <w:szCs w:val="22"/>
          <w:b w:val="1"/>
          <w:bCs w:val="1"/>
          <w:color w:val="auto"/>
        </w:rPr>
        <w:t>Nature of Units; No Rights As a Stockholder</w:t>
      </w:r>
      <w:r>
        <w:rPr>
          <w:rFonts w:ascii="Arial" w:cs="Arial" w:eastAsia="Arial" w:hAnsi="Arial"/>
          <w:sz w:val="22"/>
          <w:szCs w:val="22"/>
          <w:color w:val="auto"/>
        </w:rPr>
        <w:t>. Your RSUs are mere bookkeeping entries and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only the Company’s unfunded and unsecured promise to issue Shares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w:t>
      </w:r>
    </w:p>
    <w:p>
      <w:pPr>
        <w:spacing w:after="0" w:line="186" w:lineRule="exact"/>
        <w:rPr>
          <w:rFonts w:ascii="Arial" w:cs="Arial" w:eastAsia="Arial" w:hAnsi="Arial"/>
          <w:sz w:val="22"/>
          <w:szCs w:val="22"/>
          <w:color w:val="auto"/>
        </w:rPr>
      </w:pPr>
    </w:p>
    <w:p>
      <w:pPr>
        <w:ind w:right="160" w:firstLine="1628"/>
        <w:spacing w:after="0" w:line="252" w:lineRule="auto"/>
        <w:tabs>
          <w:tab w:leader="none" w:pos="2088" w:val="left"/>
        </w:tabs>
        <w:numPr>
          <w:ilvl w:val="0"/>
          <w:numId w:val="343"/>
        </w:numPr>
        <w:rPr>
          <w:rFonts w:ascii="Arial" w:cs="Arial" w:eastAsia="Arial" w:hAnsi="Arial"/>
          <w:sz w:val="22"/>
          <w:szCs w:val="22"/>
          <w:color w:val="auto"/>
        </w:rPr>
      </w:pPr>
      <w:r>
        <w:rPr>
          <w:rFonts w:ascii="Arial" w:cs="Arial" w:eastAsia="Arial" w:hAnsi="Arial"/>
          <w:sz w:val="22"/>
          <w:szCs w:val="22"/>
          <w:b w:val="1"/>
          <w:bCs w:val="1"/>
          <w:color w:val="auto"/>
        </w:rPr>
        <w:t>Stock Plan and Defined Terms</w:t>
      </w:r>
      <w:r>
        <w:rPr>
          <w:rFonts w:ascii="Arial" w:cs="Arial" w:eastAsia="Arial" w:hAnsi="Arial"/>
          <w:sz w:val="22"/>
          <w:szCs w:val="22"/>
          <w:color w:val="auto"/>
        </w:rPr>
        <w:t>. Your RSUs are granted pursuant to the Plan, a copy of which you</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having received. The provisions of the Plan are incorporated into this Agreement by this reference. Certain capitalized terms are defined in Section 11 of this Agreement. Capitalized terms not otherwise defined herein or in the Notice of Restricted Stock Unit Award shall have the meanings set forth in the Plan.</w:t>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2.</w:t>
        <w:tab/>
        <w:t>VESTING.</w:t>
      </w:r>
    </w:p>
    <w:p>
      <w:pPr>
        <w:spacing w:after="0" w:line="220" w:lineRule="exact"/>
        <w:rPr>
          <w:sz w:val="20"/>
          <w:szCs w:val="20"/>
          <w:color w:val="auto"/>
        </w:rPr>
      </w:pPr>
    </w:p>
    <w:p>
      <w:pPr>
        <w:ind w:firstLine="1628"/>
        <w:spacing w:after="0" w:line="267" w:lineRule="auto"/>
        <w:tabs>
          <w:tab w:leader="none" w:pos="2076" w:val="left"/>
        </w:tabs>
        <w:numPr>
          <w:ilvl w:val="0"/>
          <w:numId w:val="344"/>
        </w:numPr>
        <w:rPr>
          <w:rFonts w:ascii="Arial" w:cs="Arial" w:eastAsia="Arial" w:hAnsi="Arial"/>
          <w:sz w:val="21"/>
          <w:szCs w:val="21"/>
          <w:color w:val="auto"/>
        </w:rPr>
      </w:pPr>
      <w:r>
        <w:rPr>
          <w:rFonts w:ascii="Arial" w:cs="Arial" w:eastAsia="Arial" w:hAnsi="Arial"/>
          <w:sz w:val="21"/>
          <w:szCs w:val="21"/>
          <w:b w:val="1"/>
          <w:bCs w:val="1"/>
          <w:color w:val="auto"/>
        </w:rPr>
        <w:t>Generally</w:t>
      </w:r>
      <w:r>
        <w:rPr>
          <w:rFonts w:ascii="Arial" w:cs="Arial" w:eastAsia="Arial" w:hAnsi="Arial"/>
          <w:sz w:val="21"/>
          <w:szCs w:val="21"/>
          <w:color w:val="auto"/>
        </w:rPr>
        <w:t>. The RSUs vest in accordance with the vesting schedule set forth in the Notice of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You will receive a benefit with respect to a RSU only if both the Service-Based Requirement and the Liquidity Event Requirement are satisfied on or before the Expiration Date. Your RSUs will not vest (in whole or in part) if only one (or if neither) of such requirements is satisfied on or before the Expiration Date.</w:t>
      </w:r>
    </w:p>
    <w:p>
      <w:pPr>
        <w:spacing w:after="0" w:line="167" w:lineRule="exact"/>
        <w:rPr>
          <w:rFonts w:ascii="Arial" w:cs="Arial" w:eastAsia="Arial" w:hAnsi="Arial"/>
          <w:sz w:val="21"/>
          <w:szCs w:val="21"/>
          <w:color w:val="auto"/>
        </w:rPr>
      </w:pPr>
    </w:p>
    <w:p>
      <w:pPr>
        <w:ind w:right="160" w:firstLine="1628"/>
        <w:spacing w:after="0" w:line="256" w:lineRule="auto"/>
        <w:tabs>
          <w:tab w:leader="none" w:pos="2088" w:val="left"/>
        </w:tabs>
        <w:numPr>
          <w:ilvl w:val="0"/>
          <w:numId w:val="344"/>
        </w:numPr>
        <w:rPr>
          <w:rFonts w:ascii="Arial" w:cs="Arial" w:eastAsia="Arial" w:hAnsi="Arial"/>
          <w:sz w:val="22"/>
          <w:szCs w:val="22"/>
          <w:color w:val="auto"/>
        </w:rPr>
      </w:pPr>
      <w:r>
        <w:rPr>
          <w:rFonts w:ascii="Arial" w:cs="Arial" w:eastAsia="Arial" w:hAnsi="Arial"/>
          <w:sz w:val="22"/>
          <w:szCs w:val="22"/>
          <w:b w:val="1"/>
          <w:bCs w:val="1"/>
          <w:color w:val="auto"/>
        </w:rPr>
        <w:t>Termination of Service</w:t>
      </w:r>
      <w:r>
        <w:rPr>
          <w:rFonts w:ascii="Arial" w:cs="Arial" w:eastAsia="Arial" w:hAnsi="Arial"/>
          <w:sz w:val="22"/>
          <w:szCs w:val="22"/>
          <w:color w:val="auto"/>
        </w:rPr>
        <w:t>. If your Service terminates for any reason, all RSUs as to which the Service-Based Requirement has not been satisfied as of your termination date shall automatically terminate and be cancelled. Upon your termination of Service, any RSUs</w:t>
      </w:r>
    </w:p>
    <w:p>
      <w:pPr>
        <w:sectPr>
          <w:pgSz w:w="11900" w:h="16838" w:orient="portrait"/>
          <w:cols w:equalWidth="0" w:num="1">
            <w:col w:w="11240"/>
          </w:cols>
          <w:pgMar w:left="320" w:top="1421" w:right="339" w:bottom="1440" w:gutter="0" w:footer="0" w:header="0"/>
        </w:sectPr>
      </w:pPr>
    </w:p>
    <w:bookmarkStart w:id="544" w:name="page545"/>
    <w:bookmarkEnd w:id="544"/>
    <w:p>
      <w:pPr>
        <w:ind w:right="800"/>
        <w:spacing w:after="0" w:line="263" w:lineRule="auto"/>
        <w:rPr>
          <w:sz w:val="20"/>
          <w:szCs w:val="20"/>
          <w:color w:val="auto"/>
        </w:rPr>
      </w:pPr>
      <w:r>
        <w:rPr>
          <w:rFonts w:ascii="Arial" w:cs="Arial" w:eastAsia="Arial" w:hAnsi="Arial"/>
          <w:sz w:val="22"/>
          <w:szCs w:val="22"/>
          <w:color w:val="auto"/>
        </w:rPr>
        <w:t>as to which the Service-Based Requirement has been satisfied will (if an IPO or Sale Event had not yet occurred) remain outstanding until the Expiration Date.</w:t>
      </w:r>
    </w:p>
    <w:p>
      <w:pPr>
        <w:spacing w:after="0" w:line="169" w:lineRule="exact"/>
        <w:rPr>
          <w:sz w:val="20"/>
          <w:szCs w:val="20"/>
          <w:color w:val="auto"/>
        </w:rPr>
      </w:pPr>
    </w:p>
    <w:p>
      <w:pPr>
        <w:ind w:right="60" w:firstLine="1628"/>
        <w:spacing w:after="0" w:line="249" w:lineRule="auto"/>
        <w:tabs>
          <w:tab w:leader="none" w:pos="2076"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Expiration of RSUs</w:t>
      </w:r>
      <w:r>
        <w:rPr>
          <w:rFonts w:ascii="Arial" w:cs="Arial" w:eastAsia="Arial" w:hAnsi="Arial"/>
          <w:sz w:val="22"/>
          <w:szCs w:val="22"/>
          <w:color w:val="auto"/>
        </w:rPr>
        <w:t>. If an IPO or Sale Event does not occur on or before the Expiration Date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Notice of Restricted Stock Unit Award, all RSUs (regardless of whether or not, or the extent to which, the Service-Based Requirement had been satisfied as to such RSUs) shall automatically terminate and be cancelled upon such date. Upon a termination of one or more RSUs pursuant to this Section 2, you will have no further right with respect to such RSUs or the Shares previously allocated thereto.</w:t>
      </w:r>
    </w:p>
    <w:p>
      <w:pPr>
        <w:spacing w:after="0" w:line="186" w:lineRule="exact"/>
        <w:rPr>
          <w:rFonts w:ascii="Arial" w:cs="Arial" w:eastAsia="Arial" w:hAnsi="Arial"/>
          <w:sz w:val="22"/>
          <w:szCs w:val="22"/>
          <w:color w:val="auto"/>
        </w:rPr>
      </w:pPr>
    </w:p>
    <w:p>
      <w:pPr>
        <w:ind w:right="180" w:firstLine="1628"/>
        <w:spacing w:after="0" w:line="247" w:lineRule="auto"/>
        <w:tabs>
          <w:tab w:leader="none" w:pos="2088" w:val="left"/>
        </w:tabs>
        <w:numPr>
          <w:ilvl w:val="0"/>
          <w:numId w:val="345"/>
        </w:numPr>
        <w:rPr>
          <w:rFonts w:ascii="Arial" w:cs="Arial" w:eastAsia="Arial" w:hAnsi="Arial"/>
          <w:sz w:val="22"/>
          <w:szCs w:val="22"/>
          <w:color w:val="auto"/>
        </w:rPr>
      </w:pPr>
      <w:r>
        <w:rPr>
          <w:rFonts w:ascii="Arial" w:cs="Arial" w:eastAsia="Arial" w:hAnsi="Arial"/>
          <w:sz w:val="22"/>
          <w:szCs w:val="22"/>
          <w:b w:val="1"/>
          <w:bCs w:val="1"/>
          <w:color w:val="auto"/>
        </w:rPr>
        <w:t>Part-Time Employment and Leaves of Absence</w:t>
      </w:r>
      <w:r>
        <w:rPr>
          <w:rFonts w:ascii="Arial" w:cs="Arial" w:eastAsia="Arial" w:hAnsi="Arial"/>
          <w:sz w:val="22"/>
          <w:szCs w:val="22"/>
          <w:color w:val="auto"/>
        </w:rPr>
        <w:t>. If you commence working on a part-time basis, then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may adjust the Service-Based Requirement set forth in the Notice of Restricted Stock Unit Award. If you go on a leave of absence, then, to the extent permitted by applicable law, the Company may adjust or suspend the Service-Based Requirement set forth in the Notice of Restricted Stock Unit Award. Except as provided in the preceding sentence, Service shall be deemed to continue for any purpose under this Agreement while you are on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leave of absence approved by the Company in writing. Service shall be deemed to terminate when such leave ends, unless you immediately return to active work when such leave ends.</w:t>
      </w:r>
    </w:p>
    <w:p>
      <w:pPr>
        <w:spacing w:after="0" w:line="18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RESTRICTIONS APPLICABLE TO RSUS.</w:t>
      </w:r>
    </w:p>
    <w:p>
      <w:pPr>
        <w:spacing w:after="0" w:line="226"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19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SETTLEMENT OF RSUS.</w:t>
      </w:r>
    </w:p>
    <w:p>
      <w:pPr>
        <w:spacing w:after="0" w:line="220" w:lineRule="exact"/>
        <w:rPr>
          <w:sz w:val="20"/>
          <w:szCs w:val="20"/>
          <w:color w:val="auto"/>
        </w:rPr>
      </w:pPr>
    </w:p>
    <w:p>
      <w:pPr>
        <w:ind w:right="60" w:firstLine="1628"/>
        <w:spacing w:after="0" w:line="304" w:lineRule="auto"/>
        <w:tabs>
          <w:tab w:leader="none" w:pos="2076" w:val="left"/>
        </w:tabs>
        <w:numPr>
          <w:ilvl w:val="0"/>
          <w:numId w:val="346"/>
        </w:numPr>
        <w:rPr>
          <w:rFonts w:ascii="Arial" w:cs="Arial" w:eastAsia="Arial" w:hAnsi="Arial"/>
          <w:sz w:val="19"/>
          <w:szCs w:val="19"/>
          <w:color w:val="auto"/>
        </w:rPr>
      </w:pPr>
      <w:r>
        <w:rPr>
          <w:rFonts w:ascii="Arial" w:cs="Arial" w:eastAsia="Arial" w:hAnsi="Arial"/>
          <w:sz w:val="19"/>
          <w:szCs w:val="19"/>
          <w:b w:val="1"/>
          <w:bCs w:val="1"/>
          <w:color w:val="auto"/>
        </w:rPr>
        <w:t>Settlement Date</w:t>
      </w:r>
      <w:r>
        <w:rPr>
          <w:rFonts w:ascii="Arial" w:cs="Arial" w:eastAsia="Arial" w:hAnsi="Arial"/>
          <w:sz w:val="19"/>
          <w:szCs w:val="19"/>
          <w:color w:val="auto"/>
        </w:rPr>
        <w:t>. Upon a Vesting Date with respect to a particular RSU, the Company will deliver one</w:t>
      </w:r>
      <w:r>
        <w:rPr>
          <w:rFonts w:ascii="Arial" w:cs="Arial" w:eastAsia="Arial" w:hAnsi="Arial"/>
          <w:sz w:val="19"/>
          <w:szCs w:val="19"/>
          <w:b w:val="1"/>
          <w:bCs w:val="1"/>
          <w:color w:val="auto"/>
        </w:rPr>
        <w:t xml:space="preserve"> </w:t>
      </w:r>
      <w:r>
        <w:rPr>
          <w:rFonts w:ascii="Arial" w:cs="Arial" w:eastAsia="Arial" w:hAnsi="Arial"/>
          <w:sz w:val="19"/>
          <w:szCs w:val="19"/>
          <w:color w:val="auto"/>
        </w:rPr>
        <w:t>Share for that RSU. Settlement shall occur on or following the Vesting Date, but not later than the Short Term Deferral End Date. For the sake of clarity, settlement of RSUs that become vested RSUs upon an IPO shall occur no later than the earlier of (i) the 185th day following the IPO Date, (ii) the Short Term Deferral End Date or (iii) the Expiration Date.</w:t>
      </w:r>
    </w:p>
    <w:p>
      <w:pPr>
        <w:spacing w:after="0" w:line="134" w:lineRule="exact"/>
        <w:rPr>
          <w:rFonts w:ascii="Arial" w:cs="Arial" w:eastAsia="Arial" w:hAnsi="Arial"/>
          <w:sz w:val="19"/>
          <w:szCs w:val="19"/>
          <w:color w:val="auto"/>
        </w:rPr>
      </w:pPr>
    </w:p>
    <w:p>
      <w:pPr>
        <w:ind w:right="720" w:firstLine="1628"/>
        <w:spacing w:after="0" w:line="269" w:lineRule="auto"/>
        <w:tabs>
          <w:tab w:leader="none" w:pos="2088"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Form of Delivery</w:t>
      </w:r>
      <w:r>
        <w:rPr>
          <w:rFonts w:ascii="Arial" w:cs="Arial" w:eastAsia="Arial" w:hAnsi="Arial"/>
          <w:sz w:val="22"/>
          <w:szCs w:val="22"/>
          <w:color w:val="auto"/>
        </w:rPr>
        <w:t>. The form of any delivery of Shares (e.g., a stock certificate or electronic entry</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such shares) shall be determined by the Company.</w:t>
      </w:r>
    </w:p>
    <w:p>
      <w:pPr>
        <w:spacing w:after="0" w:line="161" w:lineRule="exact"/>
        <w:rPr>
          <w:rFonts w:ascii="Arial" w:cs="Arial" w:eastAsia="Arial" w:hAnsi="Arial"/>
          <w:sz w:val="22"/>
          <w:szCs w:val="22"/>
          <w:color w:val="auto"/>
        </w:rPr>
      </w:pPr>
    </w:p>
    <w:p>
      <w:pPr>
        <w:ind w:right="280" w:firstLine="1628"/>
        <w:spacing w:after="0" w:line="269" w:lineRule="auto"/>
        <w:tabs>
          <w:tab w:leader="none" w:pos="2076" w:val="left"/>
        </w:tabs>
        <w:numPr>
          <w:ilvl w:val="0"/>
          <w:numId w:val="346"/>
        </w:numPr>
        <w:rPr>
          <w:rFonts w:ascii="Arial" w:cs="Arial" w:eastAsia="Arial" w:hAnsi="Arial"/>
          <w:sz w:val="22"/>
          <w:szCs w:val="22"/>
          <w:color w:val="auto"/>
        </w:rPr>
      </w:pPr>
      <w:r>
        <w:rPr>
          <w:rFonts w:ascii="Arial" w:cs="Arial" w:eastAsia="Arial" w:hAnsi="Arial"/>
          <w:sz w:val="22"/>
          <w:szCs w:val="22"/>
          <w:b w:val="1"/>
          <w:bCs w:val="1"/>
          <w:color w:val="auto"/>
        </w:rPr>
        <w:t>Legality of Issuance</w:t>
      </w:r>
      <w:r>
        <w:rPr>
          <w:rFonts w:ascii="Arial" w:cs="Arial" w:eastAsia="Arial" w:hAnsi="Arial"/>
          <w:sz w:val="22"/>
          <w:szCs w:val="22"/>
          <w:color w:val="auto"/>
        </w:rPr>
        <w:t>. No Shares shall be issued to you upon settlement of these RSUs unless and until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determined that (i) you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45" w:name="page546"/>
    <w:bookmarkEnd w:id="545"/>
    <w:p>
      <w:pPr>
        <w:spacing w:after="0" w:line="248" w:lineRule="auto"/>
        <w:rPr>
          <w:sz w:val="20"/>
          <w:szCs w:val="20"/>
          <w:color w:val="auto"/>
        </w:rPr>
      </w:pPr>
      <w:r>
        <w:rPr>
          <w:rFonts w:ascii="Arial" w:cs="Arial" w:eastAsia="Arial" w:hAnsi="Arial"/>
          <w:sz w:val="22"/>
          <w:szCs w:val="22"/>
          <w:color w:val="auto"/>
        </w:rPr>
        <w:t>Company have taken any actions required to register the Shares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in respect of the RSUs unless it is able to do so in compliance with applicable law.</w:t>
      </w:r>
    </w:p>
    <w:p>
      <w:pPr>
        <w:spacing w:after="0" w:line="186"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TAXES.</w:t>
      </w:r>
    </w:p>
    <w:p>
      <w:pPr>
        <w:spacing w:after="0" w:line="220" w:lineRule="exact"/>
        <w:rPr>
          <w:sz w:val="20"/>
          <w:szCs w:val="20"/>
          <w:color w:val="auto"/>
        </w:rPr>
      </w:pPr>
    </w:p>
    <w:p>
      <w:pPr>
        <w:ind w:right="20" w:firstLine="1628"/>
        <w:spacing w:after="0" w:line="285" w:lineRule="auto"/>
        <w:tabs>
          <w:tab w:leader="none" w:pos="2076" w:val="left"/>
        </w:tabs>
        <w:numPr>
          <w:ilvl w:val="1"/>
          <w:numId w:val="347"/>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No consideration will be paid to you in respect of this award unless you have made</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satisfactory to the Company and/or the Parent or Subsidiary employing you (your “</w:t>
      </w:r>
      <w:r>
        <w:rPr>
          <w:rFonts w:ascii="Arial" w:cs="Arial" w:eastAsia="Arial" w:hAnsi="Arial"/>
          <w:sz w:val="19"/>
          <w:szCs w:val="19"/>
          <w:b w:val="1"/>
          <w:bCs w:val="1"/>
          <w:color w:val="auto"/>
        </w:rPr>
        <w:t>Employer</w:t>
      </w:r>
      <w:r>
        <w:rPr>
          <w:rFonts w:ascii="Arial" w:cs="Arial" w:eastAsia="Arial" w:hAnsi="Arial"/>
          <w:sz w:val="19"/>
          <w:szCs w:val="19"/>
          <w:color w:val="auto"/>
        </w:rPr>
        <w:t>”) for the payment of all applicable federal, State, local and foreign income and employment withholding taxes which arise in connection with the vesting and/or settlement of these RSUs (the “</w:t>
      </w: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you fail to make such arrangements within a reasonable time, as determined by the Company, with respect to the Withholding Taxes that will arise or have arisen in connection with these RSUs, then you will permanently forfeit such RSUs. At the discretion of the Company, these arrangements may include (i) withholding from other compensation or amounts that are owed to you by your Employer, (ii) payment in cash,</w:t>
      </w:r>
    </w:p>
    <w:p>
      <w:pPr>
        <w:spacing w:after="0" w:line="3" w:lineRule="exact"/>
        <w:rPr>
          <w:rFonts w:ascii="Arial" w:cs="Arial" w:eastAsia="Arial" w:hAnsi="Arial"/>
          <w:sz w:val="19"/>
          <w:szCs w:val="19"/>
          <w:color w:val="auto"/>
        </w:rPr>
      </w:pPr>
    </w:p>
    <w:p>
      <w:pPr>
        <w:ind w:right="20" w:firstLine="8"/>
        <w:spacing w:after="0" w:line="288" w:lineRule="auto"/>
        <w:tabs>
          <w:tab w:leader="none" w:pos="378" w:val="left"/>
        </w:tabs>
        <w:numPr>
          <w:ilvl w:val="0"/>
          <w:numId w:val="348"/>
        </w:numPr>
        <w:rPr>
          <w:rFonts w:ascii="Arial" w:cs="Arial" w:eastAsia="Arial" w:hAnsi="Arial"/>
          <w:sz w:val="19"/>
          <w:szCs w:val="19"/>
          <w:color w:val="auto"/>
        </w:rPr>
      </w:pPr>
      <w:r>
        <w:rPr>
          <w:rFonts w:ascii="Arial" w:cs="Arial" w:eastAsia="Arial" w:hAnsi="Arial"/>
          <w:sz w:val="19"/>
          <w:szCs w:val="19"/>
          <w:color w:val="auto"/>
        </w:rPr>
        <w:t>if the Stock is publicly traded, payment from the proceeds of the sale of shares through a Company-approved broker, (iv) withholding a number of Shares that otherwise would be issued to you when the RSUs are settled, or (v) any other method permitted by the Company. If the Withholding Taxes are satisfied pursuant to clause (iv),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152" w:lineRule="exact"/>
        <w:rPr>
          <w:rFonts w:ascii="Arial" w:cs="Arial" w:eastAsia="Arial" w:hAnsi="Arial"/>
          <w:sz w:val="19"/>
          <w:szCs w:val="19"/>
          <w:color w:val="auto"/>
        </w:rPr>
      </w:pPr>
    </w:p>
    <w:p>
      <w:pPr>
        <w:ind w:firstLine="1628"/>
        <w:spacing w:after="0" w:line="287" w:lineRule="auto"/>
        <w:tabs>
          <w:tab w:leader="none" w:pos="2088" w:val="left"/>
        </w:tabs>
        <w:numPr>
          <w:ilvl w:val="1"/>
          <w:numId w:val="348"/>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settlement of these RSUs is intended to be exempt from the application of Code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pursuant to the “short-term deferral exemption” in Treasury Regulation 1.409A-1(b)(4) and shall be administered and interpreted in a manner that complies with such exemption. To the extent that any provision of this Agreement is ambiguous as to its exemption from Code Section 409A, the provision shall be read in such a manner so that all payments hereunder are exempt from Code Section 409A. Notwithstanding the foregoing, if this award of RSUs is interpreted as not being exempt from Code Section 409A, it shall be interpreted to comply with the requirements of Code Section 409A so that this award is not subject to additional tax or interest under Code Section 409A. In this regard, to the extent necessary to comply with or qualify for an exemption from Code Section 409A, any reference to “termination of employment” or similar terms will mean your “separation from service” within the meaning of Code Section 409A(2)(A)(i) (a “</w:t>
      </w:r>
      <w:r>
        <w:rPr>
          <w:rFonts w:ascii="Arial" w:cs="Arial" w:eastAsia="Arial" w:hAnsi="Arial"/>
          <w:sz w:val="19"/>
          <w:szCs w:val="19"/>
          <w:b w:val="1"/>
          <w:bCs w:val="1"/>
          <w:color w:val="auto"/>
        </w:rPr>
        <w:t>Separation</w:t>
      </w:r>
      <w:r>
        <w:rPr>
          <w:rFonts w:ascii="Arial" w:cs="Arial" w:eastAsia="Arial" w:hAnsi="Arial"/>
          <w:sz w:val="19"/>
          <w:szCs w:val="19"/>
          <w:color w:val="auto"/>
        </w:rPr>
        <w:t>”). In addition, if this award is payable upon your Separation and you are a “specified employee” of the Company or any affiliate thereof within the meaning of Code Section 409A(a)(2)(B)(i) on the day of your Separation, then no such payment shall be made prior to the date that is the earlier of (i) six months and one day after your Separation, or (ii) your death, but only to the extent such delay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7" w:right="379" w:bottom="1440" w:gutter="0" w:footer="0" w:header="0"/>
        </w:sectPr>
      </w:pPr>
    </w:p>
    <w:bookmarkStart w:id="546" w:name="page547"/>
    <w:bookmarkEnd w:id="546"/>
    <w:p>
      <w:pPr>
        <w:ind w:right="160"/>
        <w:spacing w:after="0" w:line="287" w:lineRule="auto"/>
        <w:rPr>
          <w:sz w:val="20"/>
          <w:szCs w:val="20"/>
          <w:color w:val="auto"/>
        </w:rPr>
      </w:pPr>
      <w:r>
        <w:rPr>
          <w:rFonts w:ascii="Arial" w:cs="Arial" w:eastAsia="Arial" w:hAnsi="Arial"/>
          <w:sz w:val="21"/>
          <w:szCs w:val="21"/>
          <w:color w:val="auto"/>
        </w:rPr>
        <w:t>necessary so that this award is not subject to additional tax or interest under Code Section 409A. Each installment of your RSUs that vests is intended to constitute a separate payment for purposes of Code Section 409A.</w:t>
      </w:r>
    </w:p>
    <w:p>
      <w:pPr>
        <w:spacing w:after="0" w:line="145"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RIGHT OF FIRST REFUSAL.</w:t>
      </w:r>
    </w:p>
    <w:p>
      <w:pPr>
        <w:spacing w:after="0" w:line="220" w:lineRule="exact"/>
        <w:rPr>
          <w:sz w:val="20"/>
          <w:szCs w:val="20"/>
          <w:color w:val="auto"/>
        </w:rPr>
      </w:pPr>
    </w:p>
    <w:p>
      <w:pPr>
        <w:ind w:firstLine="1628"/>
        <w:spacing w:after="0" w:line="289" w:lineRule="auto"/>
        <w:tabs>
          <w:tab w:leader="none" w:pos="2076" w:val="left"/>
        </w:tabs>
        <w:numPr>
          <w:ilvl w:val="0"/>
          <w:numId w:val="349"/>
        </w:numPr>
        <w:rPr>
          <w:rFonts w:ascii="Arial" w:cs="Arial" w:eastAsia="Arial" w:hAnsi="Arial"/>
          <w:sz w:val="19"/>
          <w:szCs w:val="19"/>
          <w:color w:val="auto"/>
        </w:rPr>
      </w:pPr>
      <w:r>
        <w:rPr>
          <w:rFonts w:ascii="Arial" w:cs="Arial" w:eastAsia="Arial" w:hAnsi="Arial"/>
          <w:sz w:val="19"/>
          <w:szCs w:val="19"/>
          <w:b w:val="1"/>
          <w:bCs w:val="1"/>
          <w:color w:val="auto"/>
        </w:rPr>
        <w:t>Right of First Refusal</w:t>
      </w:r>
      <w:r>
        <w:rPr>
          <w:rFonts w:ascii="Arial" w:cs="Arial" w:eastAsia="Arial" w:hAnsi="Arial"/>
          <w:sz w:val="19"/>
          <w:szCs w:val="19"/>
          <w:color w:val="auto"/>
        </w:rPr>
        <w:t>. In the event that you propose to sell, pledge or otherwise transfer to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acquired under this Agreement, or any interest in such Shares, the Company shall have the Right of First Refusal with respect to all (and not less than all) of such Shares. If you desire to transfer Shares acquired under this Agreement, you must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you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Section 6(b) below) by delivery of a notice of exercise of the Right of First Refusal within 30 days after the date when the Transfer Notice was received by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20" w:firstLine="1628"/>
        <w:spacing w:after="0" w:line="287" w:lineRule="auto"/>
        <w:tabs>
          <w:tab w:leader="none" w:pos="2088" w:val="left"/>
        </w:tabs>
        <w:numPr>
          <w:ilvl w:val="0"/>
          <w:numId w:val="349"/>
        </w:numPr>
        <w:rPr>
          <w:rFonts w:ascii="Arial" w:cs="Arial" w:eastAsia="Arial" w:hAnsi="Arial"/>
          <w:sz w:val="19"/>
          <w:szCs w:val="19"/>
          <w:color w:val="auto"/>
        </w:rPr>
      </w:pPr>
      <w:r>
        <w:rPr>
          <w:rFonts w:ascii="Arial" w:cs="Arial" w:eastAsia="Arial" w:hAnsi="Arial"/>
          <w:sz w:val="19"/>
          <w:szCs w:val="19"/>
          <w:b w:val="1"/>
          <w:bCs w:val="1"/>
          <w:color w:val="auto"/>
        </w:rPr>
        <w:t>Transfer of Shares</w:t>
      </w:r>
      <w:r>
        <w:rPr>
          <w:rFonts w:ascii="Arial" w:cs="Arial" w:eastAsia="Arial" w:hAnsi="Arial"/>
          <w:sz w:val="19"/>
          <w:szCs w:val="19"/>
          <w:color w:val="auto"/>
        </w:rPr>
        <w:t>. If the Company fails to exercise its Right of First Refusal within 30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when it received the Transfer Notice, you may, not later than 90 days following receipt of the Transfer Notice by the Company, conclude a transfer of the Shares subject to the Transfer Notice on the terms and conditions no less favorable to you than those described in the Transfer Notice, provided that any such sale is made in compliance with applicable federal, State and foreign securities laws and not in violation of any other contractual restrictions to which you are bound. Any proposed transfer on terms and conditions less favorable than those described in the Transfer Notice, as well as any subsequent proposed transfer by you, shall again be subject to the Right of First Refusal and shall require compliance with the procedure described in Section 6(a)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53" w:lineRule="exact"/>
        <w:rPr>
          <w:rFonts w:ascii="Arial" w:cs="Arial" w:eastAsia="Arial" w:hAnsi="Arial"/>
          <w:sz w:val="19"/>
          <w:szCs w:val="19"/>
          <w:color w:val="auto"/>
        </w:rPr>
      </w:pPr>
    </w:p>
    <w:p>
      <w:pPr>
        <w:ind w:right="180" w:firstLine="1628"/>
        <w:spacing w:after="0" w:line="264" w:lineRule="auto"/>
        <w:tabs>
          <w:tab w:leader="none" w:pos="2076" w:val="left"/>
        </w:tabs>
        <w:numPr>
          <w:ilvl w:val="0"/>
          <w:numId w:val="349"/>
        </w:numPr>
        <w:rPr>
          <w:rFonts w:ascii="Arial" w:cs="Arial" w:eastAsia="Arial" w:hAnsi="Arial"/>
          <w:sz w:val="21"/>
          <w:szCs w:val="21"/>
          <w:color w:val="auto"/>
        </w:rPr>
      </w:pPr>
      <w:r>
        <w:rPr>
          <w:rFonts w:ascii="Arial" w:cs="Arial" w:eastAsia="Arial" w:hAnsi="Arial"/>
          <w:sz w:val="21"/>
          <w:szCs w:val="21"/>
          <w:b w:val="1"/>
          <w:bCs w:val="1"/>
          <w:color w:val="auto"/>
        </w:rPr>
        <w:t>Additional or Exchanged Securities and Property</w:t>
      </w:r>
      <w:r>
        <w:rPr>
          <w:rFonts w:ascii="Arial" w:cs="Arial" w:eastAsia="Arial" w:hAnsi="Arial"/>
          <w:sz w:val="21"/>
          <w:szCs w:val="21"/>
          <w:color w:val="auto"/>
        </w:rPr>
        <w:t>. In the event of a merger or consolidation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547" w:name="page548"/>
    <w:bookmarkEnd w:id="547"/>
    <w:p>
      <w:pPr>
        <w:ind w:right="20"/>
        <w:spacing w:after="0" w:line="312" w:lineRule="auto"/>
        <w:rPr>
          <w:sz w:val="20"/>
          <w:szCs w:val="20"/>
          <w:color w:val="auto"/>
        </w:rPr>
      </w:pPr>
      <w:r>
        <w:rPr>
          <w:rFonts w:ascii="Arial" w:cs="Arial" w:eastAsia="Arial" w:hAnsi="Arial"/>
          <w:sz w:val="19"/>
          <w:szCs w:val="19"/>
          <w:color w:val="auto"/>
        </w:rPr>
        <w:t>equivalents) that are by reason of such transaction exchanged for, or distributed with respect to, any Shares subject to this Section 6 shall immediately be subject to the Right of First Refusal. Appropriate adjustments to reflect the exchange or distribution of such securities or property shall be made to the number and/or class of the Shares subject to this Section 6.</w:t>
      </w:r>
    </w:p>
    <w:p>
      <w:pPr>
        <w:spacing w:after="0" w:line="127" w:lineRule="exact"/>
        <w:rPr>
          <w:sz w:val="20"/>
          <w:szCs w:val="20"/>
          <w:color w:val="auto"/>
        </w:rPr>
      </w:pPr>
    </w:p>
    <w:p>
      <w:pPr>
        <w:ind w:right="80" w:firstLine="1628"/>
        <w:spacing w:after="0" w:line="252" w:lineRule="auto"/>
        <w:tabs>
          <w:tab w:leader="none" w:pos="2088" w:val="left"/>
        </w:tabs>
        <w:numPr>
          <w:ilvl w:val="0"/>
          <w:numId w:val="350"/>
        </w:numPr>
        <w:rPr>
          <w:rFonts w:ascii="Arial" w:cs="Arial" w:eastAsia="Arial" w:hAnsi="Arial"/>
          <w:sz w:val="22"/>
          <w:szCs w:val="22"/>
          <w:color w:val="auto"/>
        </w:rPr>
      </w:pPr>
      <w:r>
        <w:rPr>
          <w:rFonts w:ascii="Arial" w:cs="Arial" w:eastAsia="Arial" w:hAnsi="Arial"/>
          <w:sz w:val="22"/>
          <w:szCs w:val="22"/>
          <w:b w:val="1"/>
          <w:bCs w:val="1"/>
          <w:color w:val="auto"/>
        </w:rPr>
        <w:t>Termination of Right of First Refusal</w:t>
      </w:r>
      <w:r>
        <w:rPr>
          <w:rFonts w:ascii="Arial" w:cs="Arial" w:eastAsia="Arial" w:hAnsi="Arial"/>
          <w:sz w:val="22"/>
          <w:szCs w:val="22"/>
          <w:color w:val="auto"/>
        </w:rPr>
        <w:t>. Any other provision of this Section 6 notwithstanding,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the Stock is readily tradable on an established securities market when you desire to transfer Shares, the Company shall have no Right of First Refusal, and you shall have no obligation to comply with the procedures prescribed by Sections 6(a) and 6(b) above.</w:t>
      </w:r>
    </w:p>
    <w:p>
      <w:pPr>
        <w:spacing w:after="0" w:line="179" w:lineRule="exact"/>
        <w:rPr>
          <w:rFonts w:ascii="Arial" w:cs="Arial" w:eastAsia="Arial" w:hAnsi="Arial"/>
          <w:sz w:val="22"/>
          <w:szCs w:val="22"/>
          <w:color w:val="auto"/>
        </w:rPr>
      </w:pPr>
    </w:p>
    <w:p>
      <w:pPr>
        <w:ind w:firstLine="1628"/>
        <w:spacing w:after="0" w:line="295" w:lineRule="auto"/>
        <w:tabs>
          <w:tab w:leader="none" w:pos="2076" w:val="left"/>
        </w:tabs>
        <w:numPr>
          <w:ilvl w:val="0"/>
          <w:numId w:val="350"/>
        </w:numPr>
        <w:rPr>
          <w:rFonts w:ascii="Arial" w:cs="Arial" w:eastAsia="Arial" w:hAnsi="Arial"/>
          <w:sz w:val="19"/>
          <w:szCs w:val="19"/>
          <w:color w:val="auto"/>
        </w:rPr>
      </w:pPr>
      <w:r>
        <w:rPr>
          <w:rFonts w:ascii="Arial" w:cs="Arial" w:eastAsia="Arial" w:hAnsi="Arial"/>
          <w:sz w:val="19"/>
          <w:szCs w:val="19"/>
          <w:b w:val="1"/>
          <w:bCs w:val="1"/>
          <w:color w:val="auto"/>
        </w:rPr>
        <w:t>Permitted Transfers</w:t>
      </w:r>
      <w:r>
        <w:rPr>
          <w:rFonts w:ascii="Arial" w:cs="Arial" w:eastAsia="Arial" w:hAnsi="Arial"/>
          <w:sz w:val="19"/>
          <w:szCs w:val="19"/>
          <w:color w:val="auto"/>
        </w:rPr>
        <w:t>. This Section 6 shall not apply to (i) a transfer by beneficiary designation, will or</w:t>
      </w:r>
      <w:r>
        <w:rPr>
          <w:rFonts w:ascii="Arial" w:cs="Arial" w:eastAsia="Arial" w:hAnsi="Arial"/>
          <w:sz w:val="19"/>
          <w:szCs w:val="19"/>
          <w:b w:val="1"/>
          <w:bCs w:val="1"/>
          <w:color w:val="auto"/>
        </w:rPr>
        <w:t xml:space="preserve"> </w:t>
      </w:r>
      <w:r>
        <w:rPr>
          <w:rFonts w:ascii="Arial" w:cs="Arial" w:eastAsia="Arial" w:hAnsi="Arial"/>
          <w:sz w:val="19"/>
          <w:szCs w:val="19"/>
          <w:color w:val="auto"/>
        </w:rPr>
        <w:t>intestate succession or (ii) a transfer to one or more members of your Immediate Family or to a trust or other entity established by you solely for the benefit of you and/or one or more members of your Immediate Family, provided in either case that the Transferee agrees in writing on a form prescribed by the Company to be bound by all provisions of this Agreement. If you transfer any Shares acquired under this Agreement, either under this Section 6(e) or after the Company has failed to exercise the Right of First Refusal, then this Agreement shall apply to the Transferee to the same extent as to you.</w:t>
      </w:r>
    </w:p>
    <w:p>
      <w:pPr>
        <w:spacing w:after="0" w:line="143" w:lineRule="exact"/>
        <w:rPr>
          <w:rFonts w:ascii="Arial" w:cs="Arial" w:eastAsia="Arial" w:hAnsi="Arial"/>
          <w:sz w:val="19"/>
          <w:szCs w:val="19"/>
          <w:color w:val="auto"/>
        </w:rPr>
      </w:pPr>
    </w:p>
    <w:p>
      <w:pPr>
        <w:ind w:firstLine="1628"/>
        <w:spacing w:after="0" w:line="262" w:lineRule="auto"/>
        <w:tabs>
          <w:tab w:leader="none" w:pos="2052" w:val="left"/>
        </w:tabs>
        <w:numPr>
          <w:ilvl w:val="0"/>
          <w:numId w:val="350"/>
        </w:numPr>
        <w:rPr>
          <w:rFonts w:ascii="Arial" w:cs="Arial" w:eastAsia="Arial" w:hAnsi="Arial"/>
          <w:sz w:val="21"/>
          <w:szCs w:val="21"/>
          <w:color w:val="auto"/>
        </w:rPr>
      </w:pPr>
      <w:r>
        <w:rPr>
          <w:rFonts w:ascii="Arial" w:cs="Arial" w:eastAsia="Arial" w:hAnsi="Arial"/>
          <w:sz w:val="21"/>
          <w:szCs w:val="21"/>
          <w:b w:val="1"/>
          <w:bCs w:val="1"/>
          <w:color w:val="auto"/>
        </w:rPr>
        <w:t>Termination of Rights as Stockholder</w:t>
      </w:r>
      <w:r>
        <w:rPr>
          <w:rFonts w:ascii="Arial" w:cs="Arial" w:eastAsia="Arial" w:hAnsi="Arial"/>
          <w:sz w:val="21"/>
          <w:szCs w:val="21"/>
          <w:color w:val="auto"/>
        </w:rPr>
        <w:t>. If the Company makes available, at the time and place and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and form provided in this Agreement, the consideration for the Shares to be purchased in accordance with this Section 6,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3" w:lineRule="exact"/>
        <w:rPr>
          <w:rFonts w:ascii="Arial" w:cs="Arial" w:eastAsia="Arial" w:hAnsi="Arial"/>
          <w:sz w:val="21"/>
          <w:szCs w:val="21"/>
          <w:color w:val="auto"/>
        </w:rPr>
      </w:pPr>
    </w:p>
    <w:p>
      <w:pPr>
        <w:ind w:right="20" w:firstLine="1628"/>
        <w:spacing w:after="0" w:line="274" w:lineRule="auto"/>
        <w:tabs>
          <w:tab w:leader="none" w:pos="2088" w:val="left"/>
        </w:tabs>
        <w:numPr>
          <w:ilvl w:val="0"/>
          <w:numId w:val="350"/>
        </w:numPr>
        <w:rPr>
          <w:rFonts w:ascii="Arial" w:cs="Arial" w:eastAsia="Arial" w:hAnsi="Arial"/>
          <w:sz w:val="21"/>
          <w:szCs w:val="21"/>
          <w:color w:val="auto"/>
        </w:rPr>
      </w:pPr>
      <w:r>
        <w:rPr>
          <w:rFonts w:ascii="Arial" w:cs="Arial" w:eastAsia="Arial" w:hAnsi="Arial"/>
          <w:sz w:val="21"/>
          <w:szCs w:val="21"/>
          <w:b w:val="1"/>
          <w:bCs w:val="1"/>
          <w:color w:val="auto"/>
        </w:rPr>
        <w:t>Assignment of Right of First Refusal</w:t>
      </w:r>
      <w:r>
        <w:rPr>
          <w:rFonts w:ascii="Arial" w:cs="Arial" w:eastAsia="Arial" w:hAnsi="Arial"/>
          <w:sz w:val="21"/>
          <w:szCs w:val="21"/>
          <w:color w:val="auto"/>
        </w:rPr>
        <w:t>. The Board of Directors may freely assign the Company’s Right</w:t>
      </w:r>
      <w:r>
        <w:rPr>
          <w:rFonts w:ascii="Arial" w:cs="Arial" w:eastAsia="Arial" w:hAnsi="Arial"/>
          <w:sz w:val="21"/>
          <w:szCs w:val="21"/>
          <w:b w:val="1"/>
          <w:bCs w:val="1"/>
          <w:color w:val="auto"/>
        </w:rPr>
        <w:t xml:space="preserve"> </w:t>
      </w:r>
      <w:r>
        <w:rPr>
          <w:rFonts w:ascii="Arial" w:cs="Arial" w:eastAsia="Arial" w:hAnsi="Arial"/>
          <w:sz w:val="21"/>
          <w:szCs w:val="21"/>
          <w:color w:val="auto"/>
        </w:rPr>
        <w:t>of First Refusal, in whole or in part. Any person who accepts an assignment of the Right of First Refusal from the Company shall be entitled to and assume all of the Company’s rights and obligations under this Section 6.</w:t>
      </w:r>
    </w:p>
    <w:p>
      <w:pPr>
        <w:spacing w:after="0" w:line="158"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RESTRICTIONS APPLICABLE TO SHARES.</w:t>
      </w:r>
    </w:p>
    <w:p>
      <w:pPr>
        <w:spacing w:after="0" w:line="220" w:lineRule="exact"/>
        <w:rPr>
          <w:sz w:val="20"/>
          <w:szCs w:val="20"/>
          <w:color w:val="auto"/>
        </w:rPr>
      </w:pPr>
    </w:p>
    <w:p>
      <w:pPr>
        <w:ind w:right="420" w:firstLine="1628"/>
        <w:spacing w:after="0" w:line="252" w:lineRule="auto"/>
        <w:tabs>
          <w:tab w:leader="none" w:pos="2076" w:val="left"/>
        </w:tabs>
        <w:numPr>
          <w:ilvl w:val="0"/>
          <w:numId w:val="351"/>
        </w:numPr>
        <w:rPr>
          <w:rFonts w:ascii="Arial" w:cs="Arial" w:eastAsia="Arial" w:hAnsi="Arial"/>
          <w:sz w:val="22"/>
          <w:szCs w:val="22"/>
          <w:color w:val="auto"/>
        </w:rPr>
      </w:pPr>
      <w:r>
        <w:rPr>
          <w:rFonts w:ascii="Arial" w:cs="Arial" w:eastAsia="Arial" w:hAnsi="Arial"/>
          <w:sz w:val="22"/>
          <w:szCs w:val="22"/>
          <w:b w:val="1"/>
          <w:bCs w:val="1"/>
          <w:color w:val="auto"/>
        </w:rPr>
        <w:t>General Restrictions</w:t>
      </w:r>
      <w:r>
        <w:rPr>
          <w:rFonts w:ascii="Arial" w:cs="Arial" w:eastAsia="Arial" w:hAnsi="Arial"/>
          <w:sz w:val="22"/>
          <w:szCs w:val="22"/>
          <w:color w:val="auto"/>
        </w:rPr>
        <w:t>. Unless the Stock is readily tradeable on an established securities market,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any of the Shares acquired pursuant to this Agreement (or any interest therein) shall, at the Company’s request, be condition upon (i) effecting such transfer pursuant to a form of stock transfer agreement prescribed by the Company and (ii) payment of a transfer fee not to exceed $5,000.</w:t>
      </w:r>
    </w:p>
    <w:p>
      <w:pPr>
        <w:spacing w:after="0" w:line="179" w:lineRule="exact"/>
        <w:rPr>
          <w:rFonts w:ascii="Arial" w:cs="Arial" w:eastAsia="Arial" w:hAnsi="Arial"/>
          <w:sz w:val="22"/>
          <w:szCs w:val="22"/>
          <w:color w:val="auto"/>
        </w:rPr>
      </w:pPr>
    </w:p>
    <w:p>
      <w:pPr>
        <w:ind w:right="120" w:firstLine="1628"/>
        <w:spacing w:after="0" w:line="315" w:lineRule="auto"/>
        <w:tabs>
          <w:tab w:leader="none" w:pos="2088" w:val="left"/>
        </w:tabs>
        <w:numPr>
          <w:ilvl w:val="0"/>
          <w:numId w:val="351"/>
        </w:numPr>
        <w:rPr>
          <w:rFonts w:ascii="Arial" w:cs="Arial" w:eastAsia="Arial" w:hAnsi="Arial"/>
          <w:sz w:val="19"/>
          <w:szCs w:val="19"/>
          <w:color w:val="auto"/>
        </w:rPr>
      </w:pPr>
      <w:r>
        <w:rPr>
          <w:rFonts w:ascii="Arial" w:cs="Arial" w:eastAsia="Arial" w:hAnsi="Arial"/>
          <w:sz w:val="19"/>
          <w:szCs w:val="19"/>
          <w:b w:val="1"/>
          <w:bCs w:val="1"/>
          <w:color w:val="auto"/>
        </w:rPr>
        <w:t>Securities Law Restrictions</w:t>
      </w:r>
      <w:r>
        <w:rPr>
          <w:rFonts w:ascii="Arial" w:cs="Arial" w:eastAsia="Arial" w:hAnsi="Arial"/>
          <w:sz w:val="19"/>
          <w:szCs w:val="19"/>
          <w:color w:val="auto"/>
        </w:rPr>
        <w:t>. Regardless of whether the offering and sale of Shares under the Plan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registered under the Securities Act or have been registered or qualified under the securities laws of any State or other relevant jurisdiction, the Company at its discretion may impose restrictions upon the sale, pledge or other transfer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7" w:right="359" w:bottom="1440" w:gutter="0" w:footer="0" w:header="0"/>
        </w:sectPr>
      </w:pPr>
    </w:p>
    <w:bookmarkStart w:id="548" w:name="page549"/>
    <w:bookmarkEnd w:id="548"/>
    <w:p>
      <w:pPr>
        <w:spacing w:after="0" w:line="290" w:lineRule="auto"/>
        <w:rPr>
          <w:sz w:val="20"/>
          <w:szCs w:val="20"/>
          <w:color w:val="auto"/>
        </w:rPr>
      </w:pPr>
      <w:r>
        <w:rPr>
          <w:rFonts w:ascii="Arial" w:cs="Arial" w:eastAsia="Arial" w:hAnsi="Arial"/>
          <w:sz w:val="19"/>
          <w:szCs w:val="19"/>
          <w:color w:val="auto"/>
        </w:rPr>
        <w:t>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150" w:lineRule="exact"/>
        <w:rPr>
          <w:sz w:val="20"/>
          <w:szCs w:val="20"/>
          <w:color w:val="auto"/>
        </w:rPr>
      </w:pPr>
    </w:p>
    <w:p>
      <w:pPr>
        <w:ind w:right="40" w:firstLine="1628"/>
        <w:spacing w:after="0" w:line="285" w:lineRule="auto"/>
        <w:tabs>
          <w:tab w:leader="none" w:pos="2076" w:val="left"/>
        </w:tabs>
        <w:numPr>
          <w:ilvl w:val="0"/>
          <w:numId w:val="352"/>
        </w:numPr>
        <w:rPr>
          <w:rFonts w:ascii="Arial" w:cs="Arial" w:eastAsia="Arial" w:hAnsi="Arial"/>
          <w:sz w:val="19"/>
          <w:szCs w:val="19"/>
          <w:color w:val="auto"/>
        </w:rPr>
      </w:pPr>
      <w:r>
        <w:rPr>
          <w:rFonts w:ascii="Arial" w:cs="Arial" w:eastAsia="Arial" w:hAnsi="Arial"/>
          <w:sz w:val="19"/>
          <w:szCs w:val="19"/>
          <w:b w:val="1"/>
          <w:bCs w:val="1"/>
          <w:color w:val="auto"/>
        </w:rPr>
        <w:t>Market Stand-Off</w:t>
      </w:r>
      <w:r>
        <w:rPr>
          <w:rFonts w:ascii="Arial" w:cs="Arial" w:eastAsia="Arial" w:hAnsi="Arial"/>
          <w:sz w:val="19"/>
          <w:szCs w:val="19"/>
          <w:color w:val="auto"/>
        </w:rPr>
        <w:t>. In connection with any underwritten public offering by the Company of its equity</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pursuant to an effective 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9"/>
          <w:szCs w:val="19"/>
          <w:b w:val="1"/>
          <w:bCs w:val="1"/>
          <w:color w:val="auto"/>
        </w:rPr>
        <w:t>Market Stand-Off</w:t>
      </w:r>
      <w:r>
        <w:rPr>
          <w:rFonts w:ascii="Arial" w:cs="Arial" w:eastAsia="Arial" w:hAnsi="Arial"/>
          <w:sz w:val="19"/>
          <w:szCs w:val="19"/>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Section 7(c). This Section 7(c) shall not apply to Shares registered in the public offering under the Securities Act.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180" w:firstLine="1628"/>
        <w:spacing w:after="0" w:line="269" w:lineRule="auto"/>
        <w:tabs>
          <w:tab w:leader="none" w:pos="2088" w:val="left"/>
        </w:tabs>
        <w:numPr>
          <w:ilvl w:val="0"/>
          <w:numId w:val="352"/>
        </w:numPr>
        <w:rPr>
          <w:rFonts w:ascii="Arial" w:cs="Arial" w:eastAsia="Arial" w:hAnsi="Arial"/>
          <w:sz w:val="22"/>
          <w:szCs w:val="22"/>
          <w:color w:val="auto"/>
        </w:rPr>
      </w:pPr>
      <w:r>
        <w:rPr>
          <w:rFonts w:ascii="Arial" w:cs="Arial" w:eastAsia="Arial" w:hAnsi="Arial"/>
          <w:sz w:val="22"/>
          <w:szCs w:val="22"/>
          <w:b w:val="1"/>
          <w:bCs w:val="1"/>
          <w:color w:val="auto"/>
        </w:rPr>
        <w:t>Investment Intent at Grant</w:t>
      </w:r>
      <w:r>
        <w:rPr>
          <w:rFonts w:ascii="Arial" w:cs="Arial" w:eastAsia="Arial" w:hAnsi="Arial"/>
          <w:sz w:val="22"/>
          <w:szCs w:val="22"/>
          <w:color w:val="auto"/>
        </w:rPr>
        <w:t>. You represent and agree that the Shares to be acquired upon 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these RSUs will be acquired for investment, and not with a view to the sale or distribution thereof.</w:t>
      </w:r>
    </w:p>
    <w:p>
      <w:pPr>
        <w:spacing w:after="0" w:line="161" w:lineRule="exact"/>
        <w:rPr>
          <w:rFonts w:ascii="Arial" w:cs="Arial" w:eastAsia="Arial" w:hAnsi="Arial"/>
          <w:sz w:val="22"/>
          <w:szCs w:val="22"/>
          <w:color w:val="auto"/>
        </w:rPr>
      </w:pPr>
    </w:p>
    <w:p>
      <w:pPr>
        <w:ind w:right="420" w:firstLine="1628"/>
        <w:spacing w:after="0" w:line="269" w:lineRule="auto"/>
        <w:tabs>
          <w:tab w:leader="none" w:pos="2076" w:val="left"/>
        </w:tabs>
        <w:numPr>
          <w:ilvl w:val="0"/>
          <w:numId w:val="352"/>
        </w:numPr>
        <w:rPr>
          <w:rFonts w:ascii="Arial" w:cs="Arial" w:eastAsia="Arial" w:hAnsi="Arial"/>
          <w:sz w:val="22"/>
          <w:szCs w:val="22"/>
          <w:color w:val="auto"/>
        </w:rPr>
      </w:pPr>
      <w:r>
        <w:rPr>
          <w:rFonts w:ascii="Arial" w:cs="Arial" w:eastAsia="Arial" w:hAnsi="Arial"/>
          <w:sz w:val="22"/>
          <w:szCs w:val="22"/>
          <w:b w:val="1"/>
          <w:bCs w:val="1"/>
          <w:color w:val="auto"/>
        </w:rPr>
        <w:t>Investment Intent at Settlement</w:t>
      </w:r>
      <w:r>
        <w:rPr>
          <w:rFonts w:ascii="Arial" w:cs="Arial" w:eastAsia="Arial" w:hAnsi="Arial"/>
          <w:sz w:val="22"/>
          <w:szCs w:val="22"/>
          <w:color w:val="auto"/>
        </w:rPr>
        <w:t>. In the event that the sale of Shares under the Plan is not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Securities Act but an exemption is available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549" w:name="page550"/>
    <w:bookmarkEnd w:id="549"/>
    <w:p>
      <w:pPr>
        <w:ind w:right="60"/>
        <w:spacing w:after="0" w:line="312" w:lineRule="auto"/>
        <w:rPr>
          <w:sz w:val="20"/>
          <w:szCs w:val="20"/>
          <w:color w:val="auto"/>
        </w:rPr>
      </w:pPr>
      <w:r>
        <w:rPr>
          <w:rFonts w:ascii="Arial" w:cs="Arial" w:eastAsia="Arial" w:hAnsi="Arial"/>
          <w:sz w:val="19"/>
          <w:szCs w:val="19"/>
          <w:color w:val="auto"/>
        </w:rPr>
        <w:t>requires an investment representation or other representation, you shall represent and agree at the time of issuance that the Shares being acquired upon settlement of these RSUs are being acquired for investment, and not with a view to the sale or distribution thereof, and shall make such other representations as are deemed necessary or appropriate by the Company and its counsel.</w:t>
      </w:r>
    </w:p>
    <w:p>
      <w:pPr>
        <w:spacing w:after="0" w:line="127" w:lineRule="exact"/>
        <w:rPr>
          <w:sz w:val="20"/>
          <w:szCs w:val="20"/>
          <w:color w:val="auto"/>
        </w:rPr>
      </w:pPr>
    </w:p>
    <w:p>
      <w:pPr>
        <w:ind w:right="220" w:firstLine="1628"/>
        <w:spacing w:after="0" w:line="252" w:lineRule="auto"/>
        <w:tabs>
          <w:tab w:leader="none" w:pos="2052" w:val="left"/>
        </w:tabs>
        <w:numPr>
          <w:ilvl w:val="0"/>
          <w:numId w:val="353"/>
        </w:numPr>
        <w:rPr>
          <w:rFonts w:ascii="Arial" w:cs="Arial" w:eastAsia="Arial" w:hAnsi="Arial"/>
          <w:sz w:val="22"/>
          <w:szCs w:val="22"/>
          <w:color w:val="auto"/>
        </w:rPr>
      </w:pPr>
      <w:r>
        <w:rPr>
          <w:rFonts w:ascii="Arial" w:cs="Arial" w:eastAsia="Arial" w:hAnsi="Arial"/>
          <w:sz w:val="22"/>
          <w:szCs w:val="22"/>
          <w:b w:val="1"/>
          <w:bCs w:val="1"/>
          <w:color w:val="auto"/>
        </w:rPr>
        <w:t>Rights of the Company</w:t>
      </w:r>
      <w:r>
        <w:rPr>
          <w:rFonts w:ascii="Arial" w:cs="Arial" w:eastAsia="Arial" w:hAnsi="Arial"/>
          <w:sz w:val="22"/>
          <w:szCs w:val="22"/>
          <w:color w:val="auto"/>
        </w:rPr>
        <w:t>. The Company shall not be required to (i) transfer on its books any Shares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sold or transferred in contravention of this Agreement or (ii) treat as the owner of Shares, or otherwise to accord voting, dividend or liquidation rights to, any Transferee to whom the Shares have been transferred in contravention of this Agreement.</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0"/>
          <w:numId w:val="353"/>
        </w:numPr>
        <w:rPr>
          <w:rFonts w:ascii="Arial" w:cs="Arial" w:eastAsia="Arial" w:hAnsi="Arial"/>
          <w:sz w:val="19"/>
          <w:szCs w:val="19"/>
          <w:color w:val="auto"/>
        </w:rPr>
      </w:pPr>
      <w:r>
        <w:rPr>
          <w:rFonts w:ascii="Arial" w:cs="Arial" w:eastAsia="Arial" w:hAnsi="Arial"/>
          <w:sz w:val="19"/>
          <w:szCs w:val="19"/>
          <w:b w:val="1"/>
          <w:bCs w:val="1"/>
          <w:color w:val="auto"/>
        </w:rPr>
        <w:t>Legends</w:t>
      </w:r>
      <w:r>
        <w:rPr>
          <w:rFonts w:ascii="Arial" w:cs="Arial" w:eastAsia="Arial" w:hAnsi="Arial"/>
          <w:sz w:val="19"/>
          <w:szCs w:val="19"/>
          <w:color w:val="auto"/>
        </w:rPr>
        <w:t>. All certificates evidencing the Shares issued under this Agreement shall bear the following</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legend:</w:t>
      </w:r>
    </w:p>
    <w:p>
      <w:pPr>
        <w:spacing w:after="0" w:line="202" w:lineRule="exact"/>
        <w:rPr>
          <w:sz w:val="20"/>
          <w:szCs w:val="20"/>
          <w:color w:val="auto"/>
        </w:rPr>
      </w:pPr>
    </w:p>
    <w:p>
      <w:pPr>
        <w:jc w:val="both"/>
        <w:ind w:left="660" w:right="640"/>
        <w:spacing w:after="0" w:line="245" w:lineRule="auto"/>
        <w:rPr>
          <w:sz w:val="20"/>
          <w:szCs w:val="20"/>
          <w:color w:val="auto"/>
        </w:rPr>
      </w:pPr>
      <w:r>
        <w:rPr>
          <w:rFonts w:ascii="Arial" w:cs="Arial" w:eastAsia="Arial" w:hAnsi="Arial"/>
          <w:sz w:val="22"/>
          <w:szCs w:val="22"/>
          <w:color w:val="auto"/>
        </w:rPr>
        <w:t>“THE SHARES REPRESENTED HEREBY (AND ANY INTEREST THEREIN) MAY NOT BE SOLD, ASSIGNED, TRANSFERRED, ENCUMBERED OR IN ANY MANNER DISPOSED OF, EXCEPT IN COMPLIANCE WITH THE TERMS OF THE RESTRICTED STOCK UNIT AGREEMENT PURSUANT TO WHICH SUCH SHARES WERE ACQUIRED. SUCH AGREEMENT GRANTS TO THE COMPANY CERTAIN RIGHTS OF FIRST REFUSAL UPON AN ATTEMPTED TRANSFER OF THE SHARES. IN ADDITION,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20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All certificates evidencing Shares issued under this Agreement in an unregistered transaction shall bear the following legend (and such other restrictive legends as are required or deemed advisable under the provisions of any applicable law):</w:t>
      </w:r>
    </w:p>
    <w:p>
      <w:pPr>
        <w:spacing w:after="0" w:line="104" w:lineRule="exact"/>
        <w:rPr>
          <w:sz w:val="20"/>
          <w:szCs w:val="20"/>
          <w:color w:val="auto"/>
        </w:rPr>
      </w:pPr>
    </w:p>
    <w:p>
      <w:pPr>
        <w:jc w:val="both"/>
        <w:ind w:left="660" w:right="640"/>
        <w:spacing w:after="0" w:line="258" w:lineRule="auto"/>
        <w:rPr>
          <w:sz w:val="20"/>
          <w:szCs w:val="20"/>
          <w:color w:val="auto"/>
        </w:rPr>
      </w:pPr>
      <w:r>
        <w:rPr>
          <w:rFonts w:ascii="Arial" w:cs="Arial" w:eastAsia="Arial" w:hAnsi="Arial"/>
          <w:sz w:val="21"/>
          <w:szCs w:val="21"/>
          <w:color w:val="auto"/>
        </w:rPr>
        <w:t>“THE SHARES REPRESENTED HEREBY HAVE NOT BEEN REGISTERED UNDER THE SECURITIES ACT OF 1933, AS AMENDED (THE “ACT”) OR ANY SECURITIES LAWS OF ANY U.S. STATE, AND MAY NOT BE SOLD, REOFFERED, PLEDGED, ASSIGNED, ENCUMBERED OR OTHERWISE TRANSFERRED OR DISPOSED OF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550" w:name="page551"/>
    <w:bookmarkEnd w:id="550"/>
    <w:p>
      <w:pPr>
        <w:ind w:left="660" w:right="660"/>
        <w:spacing w:after="0" w:line="263" w:lineRule="auto"/>
        <w:rPr>
          <w:sz w:val="20"/>
          <w:szCs w:val="20"/>
          <w:color w:val="auto"/>
        </w:rPr>
      </w:pPr>
      <w:r>
        <w:rPr>
          <w:rFonts w:ascii="Arial" w:cs="Arial" w:eastAsia="Arial" w:hAnsi="Arial"/>
          <w:sz w:val="22"/>
          <w:szCs w:val="22"/>
          <w:color w:val="auto"/>
        </w:rPr>
        <w:t>HEDGING TRANSACTIONS INVOLVING THESE SHARES MAY NOT BE CONDUCTED UNLESS IN COMPLIANCE WITH THE ACT.”</w:t>
      </w:r>
    </w:p>
    <w:p>
      <w:pPr>
        <w:spacing w:after="0" w:line="169" w:lineRule="exact"/>
        <w:rPr>
          <w:sz w:val="20"/>
          <w:szCs w:val="20"/>
          <w:color w:val="auto"/>
        </w:rPr>
      </w:pPr>
    </w:p>
    <w:p>
      <w:pPr>
        <w:ind w:right="20" w:firstLine="1628"/>
        <w:spacing w:after="0" w:line="315" w:lineRule="auto"/>
        <w:tabs>
          <w:tab w:leader="none" w:pos="2088" w:val="left"/>
        </w:tabs>
        <w:numPr>
          <w:ilvl w:val="0"/>
          <w:numId w:val="354"/>
        </w:numPr>
        <w:rPr>
          <w:rFonts w:ascii="Arial" w:cs="Arial" w:eastAsia="Arial" w:hAnsi="Arial"/>
          <w:sz w:val="19"/>
          <w:szCs w:val="19"/>
          <w:color w:val="auto"/>
        </w:rPr>
      </w:pPr>
      <w:r>
        <w:rPr>
          <w:rFonts w:ascii="Arial" w:cs="Arial" w:eastAsia="Arial" w:hAnsi="Arial"/>
          <w:sz w:val="19"/>
          <w:szCs w:val="19"/>
          <w:b w:val="1"/>
          <w:bCs w:val="1"/>
          <w:color w:val="auto"/>
        </w:rPr>
        <w:t>Removal of Legends</w:t>
      </w:r>
      <w:r>
        <w:rPr>
          <w:rFonts w:ascii="Arial" w:cs="Arial" w:eastAsia="Arial" w:hAnsi="Arial"/>
          <w:sz w:val="19"/>
          <w:szCs w:val="19"/>
          <w:color w:val="auto"/>
        </w:rPr>
        <w:t>. If, in the opinion of the Company and its counsel, any legend placed on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Shares issued under this Agreement is no longer required, the holder of such certificate shall be entitled to exchange such certificate for a certificate representing the same number of Shares but without such legend.</w:t>
      </w:r>
    </w:p>
    <w:p>
      <w:pPr>
        <w:spacing w:after="0" w:line="125" w:lineRule="exact"/>
        <w:rPr>
          <w:rFonts w:ascii="Arial" w:cs="Arial" w:eastAsia="Arial" w:hAnsi="Arial"/>
          <w:sz w:val="19"/>
          <w:szCs w:val="19"/>
          <w:color w:val="auto"/>
        </w:rPr>
      </w:pPr>
    </w:p>
    <w:p>
      <w:pPr>
        <w:ind w:right="640" w:firstLine="1628"/>
        <w:spacing w:after="0" w:line="269" w:lineRule="auto"/>
        <w:tabs>
          <w:tab w:leader="none" w:pos="2040" w:val="left"/>
        </w:tabs>
        <w:numPr>
          <w:ilvl w:val="0"/>
          <w:numId w:val="354"/>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Any determination by the Company and its counsel in connection with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set forth in this Section 7 shall be conclusive and binding on you and all other persons.</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ADJUSTMENT OF SHARES.</w:t>
      </w:r>
    </w:p>
    <w:p>
      <w:pPr>
        <w:spacing w:after="0" w:line="226" w:lineRule="exact"/>
        <w:rPr>
          <w:sz w:val="20"/>
          <w:szCs w:val="20"/>
          <w:color w:val="auto"/>
        </w:rPr>
      </w:pPr>
    </w:p>
    <w:p>
      <w:pPr>
        <w:jc w:val="both"/>
        <w:ind w:firstLine="1620"/>
        <w:spacing w:after="0" w:line="290" w:lineRule="auto"/>
        <w:rPr>
          <w:sz w:val="20"/>
          <w:szCs w:val="20"/>
          <w:color w:val="auto"/>
        </w:rPr>
      </w:pPr>
      <w:r>
        <w:rPr>
          <w:rFonts w:ascii="Arial" w:cs="Arial" w:eastAsia="Arial" w:hAnsi="Arial"/>
          <w:sz w:val="19"/>
          <w:szCs w:val="19"/>
          <w:color w:val="auto"/>
        </w:rPr>
        <w:t>In the event of any transaction described in Section 9(a) of the Plan, the terms of these RSUs (including, without limitation, the number and kind of shares subject to these RSUs) shall be adjusted as set forth in Section 9(a) of the Plan. In the event that the Company is a party to a merger or consolidation or in the event of a sale of all or substantially all of the Company’s stock or assets, your RSUs shall be subject to the treatment provided by the Board of Directors in its sole discretion, as provided in Section 9(b) of the Plan; provided, however, that any action taken must either preserve the exemption of your RSUs from Code Section 409A or comply with Code Section 409A.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5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MISCELLANEOUS PROVISIONS.</w:t>
      </w:r>
    </w:p>
    <w:p>
      <w:pPr>
        <w:spacing w:after="0" w:line="220" w:lineRule="exact"/>
        <w:rPr>
          <w:sz w:val="20"/>
          <w:szCs w:val="20"/>
          <w:color w:val="auto"/>
        </w:rPr>
      </w:pPr>
    </w:p>
    <w:p>
      <w:pPr>
        <w:ind w:right="20" w:firstLine="1628"/>
        <w:spacing w:after="0" w:line="267" w:lineRule="auto"/>
        <w:tabs>
          <w:tab w:leader="none" w:pos="2076" w:val="left"/>
        </w:tabs>
        <w:numPr>
          <w:ilvl w:val="0"/>
          <w:numId w:val="355"/>
        </w:numPr>
        <w:rPr>
          <w:rFonts w:ascii="Arial" w:cs="Arial" w:eastAsia="Arial" w:hAnsi="Arial"/>
          <w:sz w:val="21"/>
          <w:szCs w:val="21"/>
          <w:color w:val="auto"/>
        </w:rPr>
      </w:pPr>
      <w:r>
        <w:rPr>
          <w:rFonts w:ascii="Arial" w:cs="Arial" w:eastAsia="Arial" w:hAnsi="Arial"/>
          <w:sz w:val="21"/>
          <w:szCs w:val="21"/>
          <w:b w:val="1"/>
          <w:bCs w:val="1"/>
          <w:color w:val="auto"/>
        </w:rPr>
        <w:t>No Retention Rights</w:t>
      </w:r>
      <w:r>
        <w:rPr>
          <w:rFonts w:ascii="Arial" w:cs="Arial" w:eastAsia="Arial" w:hAnsi="Arial"/>
          <w:sz w:val="21"/>
          <w:szCs w:val="21"/>
          <w:color w:val="auto"/>
        </w:rPr>
        <w:t>. Nothing in this Agreement or in the Plan shall confer upon you the right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Service in any capacity for any period of specific duration or interfere with or otherwise restrict in any way the rights of the Company (or any Parent or Subsidiary employing or retaining you) or you, which rights are hereby expressly reserved by each, to terminate your Service at any time and for any reason, with or without cause.</w:t>
      </w:r>
    </w:p>
    <w:p>
      <w:pPr>
        <w:spacing w:after="0" w:line="167" w:lineRule="exact"/>
        <w:rPr>
          <w:rFonts w:ascii="Arial" w:cs="Arial" w:eastAsia="Arial" w:hAnsi="Arial"/>
          <w:sz w:val="21"/>
          <w:szCs w:val="21"/>
          <w:color w:val="auto"/>
        </w:rPr>
      </w:pPr>
    </w:p>
    <w:p>
      <w:pPr>
        <w:ind w:right="20" w:firstLine="1628"/>
        <w:spacing w:after="0" w:line="261" w:lineRule="auto"/>
        <w:tabs>
          <w:tab w:leader="none" w:pos="2088" w:val="left"/>
        </w:tabs>
        <w:numPr>
          <w:ilvl w:val="0"/>
          <w:numId w:val="355"/>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Any notice required by the terms of this Agreement shall be given in writing. It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9(b). In addition, to the extent required or permitted pursuant to rules established by the Company from time to time, notices may be delivered electronically.</w:t>
      </w:r>
    </w:p>
    <w:p>
      <w:pPr>
        <w:spacing w:after="0" w:line="173" w:lineRule="exact"/>
        <w:rPr>
          <w:rFonts w:ascii="Arial" w:cs="Arial" w:eastAsia="Arial" w:hAnsi="Arial"/>
          <w:sz w:val="21"/>
          <w:szCs w:val="21"/>
          <w:color w:val="auto"/>
        </w:rPr>
      </w:pPr>
    </w:p>
    <w:p>
      <w:pPr>
        <w:ind w:right="320" w:firstLine="1628"/>
        <w:spacing w:after="0" w:line="269" w:lineRule="auto"/>
        <w:tabs>
          <w:tab w:leader="none" w:pos="2076" w:val="left"/>
        </w:tabs>
        <w:numPr>
          <w:ilvl w:val="0"/>
          <w:numId w:val="355"/>
        </w:numPr>
        <w:rPr>
          <w:rFonts w:ascii="Arial" w:cs="Arial" w:eastAsia="Arial" w:hAnsi="Arial"/>
          <w:sz w:val="22"/>
          <w:szCs w:val="22"/>
          <w:color w:val="auto"/>
        </w:rPr>
      </w:pPr>
      <w:r>
        <w:rPr>
          <w:rFonts w:ascii="Arial" w:cs="Arial" w:eastAsia="Arial" w:hAnsi="Arial"/>
          <w:sz w:val="22"/>
          <w:szCs w:val="22"/>
          <w:b w:val="1"/>
          <w:bCs w:val="1"/>
          <w:color w:val="auto"/>
        </w:rPr>
        <w:t>Modifications and Waivers</w:t>
      </w:r>
      <w:r>
        <w:rPr>
          <w:rFonts w:ascii="Arial" w:cs="Arial" w:eastAsia="Arial" w:hAnsi="Arial"/>
          <w:sz w:val="22"/>
          <w:szCs w:val="22"/>
          <w:color w:val="auto"/>
        </w:rPr>
        <w:t>. No provision of this Agreement shall be modified, waived or discharged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modification, waiver or discharge is agreed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551" w:name="page552"/>
    <w:bookmarkEnd w:id="551"/>
    <w:p>
      <w:pPr>
        <w:ind w:right="40"/>
        <w:spacing w:after="0" w:line="253" w:lineRule="auto"/>
        <w:rPr>
          <w:sz w:val="20"/>
          <w:szCs w:val="20"/>
          <w:color w:val="auto"/>
        </w:rPr>
      </w:pPr>
      <w:r>
        <w:rPr>
          <w:rFonts w:ascii="Arial" w:cs="Arial" w:eastAsia="Arial" w:hAnsi="Arial"/>
          <w:sz w:val="22"/>
          <w:szCs w:val="22"/>
          <w:color w:val="auto"/>
        </w:rPr>
        <w:t>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9" w:lineRule="exact"/>
        <w:rPr>
          <w:sz w:val="20"/>
          <w:szCs w:val="20"/>
          <w:color w:val="auto"/>
        </w:rPr>
      </w:pPr>
    </w:p>
    <w:p>
      <w:pPr>
        <w:ind w:right="180" w:firstLine="1628"/>
        <w:spacing w:after="0" w:line="252" w:lineRule="auto"/>
        <w:tabs>
          <w:tab w:leader="none" w:pos="2088"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Notice of Restricted Stock Unit Award,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you and the Company regarding the subject matter hereof. They supersede any other agreements, representations or understandings (whether oral or written and whether express or implied) that relate to the subject matter hereof.</w:t>
      </w:r>
    </w:p>
    <w:p>
      <w:pPr>
        <w:spacing w:after="0" w:line="179" w:lineRule="exact"/>
        <w:rPr>
          <w:rFonts w:ascii="Arial" w:cs="Arial" w:eastAsia="Arial" w:hAnsi="Arial"/>
          <w:sz w:val="22"/>
          <w:szCs w:val="22"/>
          <w:color w:val="auto"/>
        </w:rPr>
      </w:pPr>
    </w:p>
    <w:p>
      <w:pPr>
        <w:ind w:right="120" w:firstLine="1628"/>
        <w:spacing w:after="0" w:line="269" w:lineRule="auto"/>
        <w:tabs>
          <w:tab w:leader="none" w:pos="2076"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such laws are applied to contracts entered into and performed in such State.</w:t>
      </w:r>
    </w:p>
    <w:p>
      <w:pPr>
        <w:spacing w:after="0" w:line="161" w:lineRule="exact"/>
        <w:rPr>
          <w:rFonts w:ascii="Arial" w:cs="Arial" w:eastAsia="Arial" w:hAnsi="Arial"/>
          <w:sz w:val="22"/>
          <w:szCs w:val="22"/>
          <w:color w:val="auto"/>
        </w:rPr>
      </w:pPr>
    </w:p>
    <w:p>
      <w:pPr>
        <w:ind w:right="20" w:firstLine="1628"/>
        <w:spacing w:after="0" w:line="267" w:lineRule="auto"/>
        <w:tabs>
          <w:tab w:leader="none" w:pos="2052" w:val="left"/>
        </w:tabs>
        <w:numPr>
          <w:ilvl w:val="0"/>
          <w:numId w:val="356"/>
        </w:numPr>
        <w:rPr>
          <w:rFonts w:ascii="Arial" w:cs="Arial" w:eastAsia="Arial" w:hAnsi="Arial"/>
          <w:sz w:val="21"/>
          <w:szCs w:val="2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Whenever possible, each provision of this Agreement shall be interpreted in such manner as</w:t>
      </w:r>
      <w:r>
        <w:rPr>
          <w:rFonts w:ascii="Arial" w:cs="Arial" w:eastAsia="Arial" w:hAnsi="Arial"/>
          <w:sz w:val="21"/>
          <w:szCs w:val="21"/>
          <w:b w:val="1"/>
          <w:bCs w:val="1"/>
          <w:color w:val="auto"/>
        </w:rPr>
        <w:t xml:space="preserve"> </w:t>
      </w:r>
      <w:r>
        <w:rPr>
          <w:rFonts w:ascii="Arial" w:cs="Arial" w:eastAsia="Arial" w:hAnsi="Arial"/>
          <w:sz w:val="21"/>
          <w:szCs w:val="21"/>
          <w:color w:val="auto"/>
        </w:rPr>
        <w:t>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67" w:lineRule="exact"/>
        <w:rPr>
          <w:rFonts w:ascii="Arial" w:cs="Arial" w:eastAsia="Arial" w:hAnsi="Arial"/>
          <w:sz w:val="21"/>
          <w:szCs w:val="21"/>
          <w:color w:val="auto"/>
        </w:rPr>
      </w:pPr>
    </w:p>
    <w:p>
      <w:pPr>
        <w:ind w:firstLine="1628"/>
        <w:spacing w:after="0" w:line="249" w:lineRule="auto"/>
        <w:tabs>
          <w:tab w:leader="none" w:pos="2088"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Except as otherwise expressly provided to the contrary,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inure to the 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ACKNOWLEDGEMENTS.</w:t>
      </w:r>
    </w:p>
    <w:p>
      <w:pPr>
        <w:spacing w:after="0" w:line="226"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In addition to the other terms, conditions and restrictions imposed on your RSUs and the Shares issuable upon settlement of your RSUs pursuant to this Agreement and the Plan, you expressly acknowledge being subject to Sections 6 (Right of First Refusal) and 7 (Restrictions Applicable to Shares, including without limitation the Market Stand-Off), as well as the following provisions:</w:t>
      </w:r>
    </w:p>
    <w:p>
      <w:pPr>
        <w:spacing w:after="0" w:line="182" w:lineRule="exact"/>
        <w:rPr>
          <w:sz w:val="20"/>
          <w:szCs w:val="20"/>
          <w:color w:val="auto"/>
        </w:rPr>
      </w:pPr>
    </w:p>
    <w:p>
      <w:pPr>
        <w:ind w:right="20" w:firstLine="1628"/>
        <w:spacing w:after="0" w:line="260" w:lineRule="auto"/>
        <w:tabs>
          <w:tab w:leader="none" w:pos="2076" w:val="left"/>
        </w:tabs>
        <w:numPr>
          <w:ilvl w:val="0"/>
          <w:numId w:val="357"/>
        </w:numPr>
        <w:rPr>
          <w:rFonts w:ascii="Arial" w:cs="Arial" w:eastAsia="Arial" w:hAnsi="Arial"/>
          <w:sz w:val="21"/>
          <w:szCs w:val="21"/>
          <w:color w:val="auto"/>
        </w:rPr>
      </w:pPr>
      <w:r>
        <w:rPr>
          <w:rFonts w:ascii="Arial" w:cs="Arial" w:eastAsia="Arial" w:hAnsi="Arial"/>
          <w:sz w:val="21"/>
          <w:szCs w:val="21"/>
          <w:b w:val="1"/>
          <w:bCs w:val="1"/>
          <w:color w:val="auto"/>
        </w:rPr>
        <w:t>Tax Consequences</w:t>
      </w:r>
      <w:r>
        <w:rPr>
          <w:rFonts w:ascii="Arial" w:cs="Arial" w:eastAsia="Arial" w:hAnsi="Arial"/>
          <w:sz w:val="21"/>
          <w:szCs w:val="21"/>
          <w:color w:val="auto"/>
        </w:rPr>
        <w:t>. You acknowledge that there will be tax consequences upon vesting and/or settlement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RSUs and/or disposition of the Shares,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 tax, legal, and financial advisors regarding your participation in the Plan. You further acknowledge that the Company (i) makes no representations or undertakings regarding the tax treatment of the award of RSUs, including, but not limited to the grant, vesting, or settlement of the RSUs, the subsequent sale of Shares acquired pursuant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552" w:name="page553"/>
    <w:bookmarkEnd w:id="552"/>
    <w:p>
      <w:pPr>
        <w:ind w:right="140"/>
        <w:spacing w:after="0" w:line="263" w:lineRule="auto"/>
        <w:rPr>
          <w:sz w:val="20"/>
          <w:szCs w:val="20"/>
          <w:color w:val="auto"/>
        </w:rPr>
      </w:pPr>
      <w:r>
        <w:rPr>
          <w:rFonts w:ascii="Arial" w:cs="Arial" w:eastAsia="Arial" w:hAnsi="Arial"/>
          <w:sz w:val="21"/>
          <w:szCs w:val="21"/>
          <w:color w:val="auto"/>
        </w:rPr>
        <w:t>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 Directors, officers, or employees related to tax matters arising from this award or your other compensation.</w:t>
      </w:r>
    </w:p>
    <w:p>
      <w:pPr>
        <w:spacing w:after="0" w:line="169" w:lineRule="exact"/>
        <w:rPr>
          <w:sz w:val="20"/>
          <w:szCs w:val="20"/>
          <w:color w:val="auto"/>
        </w:rPr>
      </w:pPr>
    </w:p>
    <w:p>
      <w:pPr>
        <w:ind w:firstLine="1628"/>
        <w:spacing w:after="0" w:line="293" w:lineRule="auto"/>
        <w:tabs>
          <w:tab w:leader="none" w:pos="2088" w:val="left"/>
        </w:tabs>
        <w:numPr>
          <w:ilvl w:val="0"/>
          <w:numId w:val="358"/>
        </w:numPr>
        <w:rPr>
          <w:rFonts w:ascii="Arial" w:cs="Arial" w:eastAsia="Arial" w:hAnsi="Arial"/>
          <w:sz w:val="19"/>
          <w:szCs w:val="19"/>
          <w:color w:val="auto"/>
        </w:rPr>
      </w:pPr>
      <w:r>
        <w:rPr>
          <w:rFonts w:ascii="Arial" w:cs="Arial" w:eastAsia="Arial" w:hAnsi="Arial"/>
          <w:sz w:val="19"/>
          <w:szCs w:val="19"/>
          <w:b w:val="1"/>
          <w:bCs w:val="1"/>
          <w:color w:val="auto"/>
        </w:rPr>
        <w:t>Electronic Delivery of Documents</w:t>
      </w:r>
      <w:r>
        <w:rPr>
          <w:rFonts w:ascii="Arial" w:cs="Arial" w:eastAsia="Arial" w:hAnsi="Arial"/>
          <w:sz w:val="19"/>
          <w:szCs w:val="19"/>
          <w:color w:val="auto"/>
        </w:rPr>
        <w:t>. You acknowledge and agree that the Company may,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deliver all documents 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44" w:lineRule="exact"/>
        <w:rPr>
          <w:rFonts w:ascii="Arial" w:cs="Arial" w:eastAsia="Arial" w:hAnsi="Arial"/>
          <w:sz w:val="19"/>
          <w:szCs w:val="19"/>
          <w:color w:val="auto"/>
        </w:rPr>
      </w:pPr>
    </w:p>
    <w:p>
      <w:pPr>
        <w:ind w:right="80" w:firstLine="1628"/>
        <w:spacing w:after="0" w:line="248" w:lineRule="auto"/>
        <w:tabs>
          <w:tab w:leader="none" w:pos="2076"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Plan Discretionary</w:t>
      </w:r>
      <w:r>
        <w:rPr>
          <w:rFonts w:ascii="Arial" w:cs="Arial" w:eastAsia="Arial" w:hAnsi="Arial"/>
          <w:sz w:val="22"/>
          <w:szCs w:val="22"/>
          <w:color w:val="auto"/>
        </w:rPr>
        <w:t>. You understand and acknowledge that (i) the Plan is entirely discretionary, (ii)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your employer 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186" w:lineRule="exact"/>
        <w:rPr>
          <w:rFonts w:ascii="Arial" w:cs="Arial" w:eastAsia="Arial" w:hAnsi="Arial"/>
          <w:sz w:val="22"/>
          <w:szCs w:val="22"/>
          <w:color w:val="auto"/>
        </w:rPr>
      </w:pPr>
    </w:p>
    <w:p>
      <w:pPr>
        <w:ind w:right="400" w:firstLine="1628"/>
        <w:spacing w:after="0" w:line="349" w:lineRule="auto"/>
        <w:tabs>
          <w:tab w:leader="none" w:pos="2088" w:val="left"/>
        </w:tabs>
        <w:numPr>
          <w:ilvl w:val="0"/>
          <w:numId w:val="358"/>
        </w:numPr>
        <w:rPr>
          <w:rFonts w:ascii="Arial" w:cs="Arial" w:eastAsia="Arial" w:hAnsi="Arial"/>
          <w:sz w:val="19"/>
          <w:szCs w:val="19"/>
          <w:color w:val="auto"/>
        </w:rPr>
      </w:pPr>
      <w:r>
        <w:rPr>
          <w:rFonts w:ascii="Arial" w:cs="Arial" w:eastAsia="Arial" w:hAnsi="Arial"/>
          <w:sz w:val="19"/>
          <w:szCs w:val="19"/>
          <w:b w:val="1"/>
          <w:bCs w:val="1"/>
          <w:color w:val="auto"/>
        </w:rPr>
        <w:t>Termination of Service</w:t>
      </w:r>
      <w:r>
        <w:rPr>
          <w:rFonts w:ascii="Arial" w:cs="Arial" w:eastAsia="Arial" w:hAnsi="Arial"/>
          <w:sz w:val="19"/>
          <w:szCs w:val="19"/>
          <w:color w:val="auto"/>
        </w:rPr>
        <w:t>. You understand and acknowledge that participation in the Plan ceases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your Service for any reason, except as may explicitly be provided otherwise in the Plan or this Agreement.</w:t>
      </w:r>
    </w:p>
    <w:p>
      <w:pPr>
        <w:spacing w:after="0" w:line="93" w:lineRule="exact"/>
        <w:rPr>
          <w:rFonts w:ascii="Arial" w:cs="Arial" w:eastAsia="Arial" w:hAnsi="Arial"/>
          <w:sz w:val="19"/>
          <w:szCs w:val="19"/>
          <w:color w:val="auto"/>
        </w:rPr>
      </w:pPr>
    </w:p>
    <w:p>
      <w:pPr>
        <w:jc w:val="both"/>
        <w:ind w:right="180" w:firstLine="1628"/>
        <w:spacing w:after="0" w:line="304" w:lineRule="auto"/>
        <w:tabs>
          <w:tab w:leader="none" w:pos="2076" w:val="left"/>
        </w:tabs>
        <w:numPr>
          <w:ilvl w:val="0"/>
          <w:numId w:val="358"/>
        </w:numPr>
        <w:rPr>
          <w:rFonts w:ascii="Arial" w:cs="Arial" w:eastAsia="Arial" w:hAnsi="Arial"/>
          <w:sz w:val="19"/>
          <w:szCs w:val="19"/>
          <w:color w:val="auto"/>
        </w:rPr>
      </w:pPr>
      <w:r>
        <w:rPr>
          <w:rFonts w:ascii="Arial" w:cs="Arial" w:eastAsia="Arial" w:hAnsi="Arial"/>
          <w:sz w:val="19"/>
          <w:szCs w:val="19"/>
          <w:b w:val="1"/>
          <w:bCs w:val="1"/>
          <w:color w:val="auto"/>
        </w:rPr>
        <w:t>Extraordinary Compensation</w:t>
      </w:r>
      <w:r>
        <w:rPr>
          <w:rFonts w:ascii="Arial" w:cs="Arial" w:eastAsia="Arial" w:hAnsi="Arial"/>
          <w:sz w:val="19"/>
          <w:szCs w:val="19"/>
          <w:color w:val="auto"/>
        </w:rPr>
        <w:t>. The value of your RSUs and the Shares issuable thereunder shall be an</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34" w:lineRule="exact"/>
        <w:rPr>
          <w:rFonts w:ascii="Arial" w:cs="Arial" w:eastAsia="Arial" w:hAnsi="Arial"/>
          <w:sz w:val="19"/>
          <w:szCs w:val="19"/>
          <w:color w:val="auto"/>
        </w:rPr>
      </w:pPr>
    </w:p>
    <w:p>
      <w:pPr>
        <w:ind w:firstLine="1628"/>
        <w:spacing w:after="0" w:line="252" w:lineRule="auto"/>
        <w:tabs>
          <w:tab w:leader="none" w:pos="2052" w:val="left"/>
        </w:tabs>
        <w:numPr>
          <w:ilvl w:val="0"/>
          <w:numId w:val="358"/>
        </w:numPr>
        <w:rPr>
          <w:rFonts w:ascii="Arial" w:cs="Arial" w:eastAsia="Arial" w:hAnsi="Arial"/>
          <w:sz w:val="22"/>
          <w:szCs w:val="22"/>
          <w:color w:val="auto"/>
        </w:rPr>
      </w:pPr>
      <w:r>
        <w:rPr>
          <w:rFonts w:ascii="Arial" w:cs="Arial" w:eastAsia="Arial" w:hAnsi="Arial"/>
          <w:sz w:val="22"/>
          <w:szCs w:val="22"/>
          <w:b w:val="1"/>
          <w:bCs w:val="1"/>
          <w:color w:val="auto"/>
        </w:rPr>
        <w:t>Authorization to Disclose</w:t>
      </w:r>
      <w:r>
        <w:rPr>
          <w:rFonts w:ascii="Arial" w:cs="Arial" w:eastAsia="Arial" w:hAnsi="Arial"/>
          <w:sz w:val="22"/>
          <w:szCs w:val="22"/>
          <w:color w:val="auto"/>
        </w:rPr>
        <w:t>. You hereby authorize and direct your employer to disclose to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79" w:lineRule="exact"/>
        <w:rPr>
          <w:rFonts w:ascii="Arial" w:cs="Arial" w:eastAsia="Arial" w:hAnsi="Arial"/>
          <w:sz w:val="22"/>
          <w:szCs w:val="22"/>
          <w:color w:val="auto"/>
        </w:rPr>
      </w:pPr>
    </w:p>
    <w:p>
      <w:pPr>
        <w:ind w:right="300" w:firstLine="1628"/>
        <w:spacing w:after="0" w:line="315" w:lineRule="auto"/>
        <w:tabs>
          <w:tab w:leader="none" w:pos="2088" w:val="left"/>
        </w:tabs>
        <w:numPr>
          <w:ilvl w:val="0"/>
          <w:numId w:val="358"/>
        </w:numPr>
        <w:rPr>
          <w:rFonts w:ascii="Arial" w:cs="Arial" w:eastAsia="Arial" w:hAnsi="Arial"/>
          <w:sz w:val="19"/>
          <w:szCs w:val="19"/>
          <w:color w:val="auto"/>
        </w:rPr>
      </w:pPr>
      <w:r>
        <w:rPr>
          <w:rFonts w:ascii="Arial" w:cs="Arial" w:eastAsia="Arial" w:hAnsi="Arial"/>
          <w:sz w:val="19"/>
          <w:szCs w:val="19"/>
          <w:b w:val="1"/>
          <w:bCs w:val="1"/>
          <w:color w:val="auto"/>
        </w:rPr>
        <w:t>Personal Data Authorization</w:t>
      </w:r>
      <w:r>
        <w:rPr>
          <w:rFonts w:ascii="Arial" w:cs="Arial" w:eastAsia="Arial" w:hAnsi="Arial"/>
          <w:sz w:val="19"/>
          <w:szCs w:val="19"/>
          <w:color w:val="auto"/>
        </w:rPr>
        <w:t>. You consent to the collection, use and transfer of personal data as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this Subsection (g). You understand and acknowledge that the Company, your employer and the Company’s other Subsidiaries retain and process certain personal information about you in order to manage and administer the Plan,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7" w:right="359" w:bottom="1440" w:gutter="0" w:footer="0" w:header="0"/>
        </w:sectPr>
      </w:pPr>
    </w:p>
    <w:bookmarkStart w:id="553" w:name="page554"/>
    <w:bookmarkEnd w:id="553"/>
    <w:p>
      <w:pPr>
        <w:spacing w:after="0" w:line="287" w:lineRule="auto"/>
        <w:rPr>
          <w:sz w:val="20"/>
          <w:szCs w:val="20"/>
          <w:color w:val="auto"/>
        </w:rPr>
      </w:pPr>
      <w:r>
        <w:rPr>
          <w:rFonts w:ascii="Arial" w:cs="Arial" w:eastAsia="Arial" w:hAnsi="Arial"/>
          <w:sz w:val="19"/>
          <w:szCs w:val="19"/>
          <w:color w:val="auto"/>
        </w:rPr>
        <w:t>without limitation, your name, home address, telephone number, date of birth, social insurance number, salary, nationality, job title, any Shares or directorships held in the Company and details of all RSUs or any other entitlements to Shares awarded, canceled, exercised, vested, unvested or outstanding in your favor (the “</w:t>
      </w:r>
      <w:r>
        <w:rPr>
          <w:rFonts w:ascii="Arial" w:cs="Arial" w:eastAsia="Arial" w:hAnsi="Arial"/>
          <w:sz w:val="19"/>
          <w:szCs w:val="19"/>
          <w:b w:val="1"/>
          <w:bCs w:val="1"/>
          <w:color w:val="auto"/>
        </w:rPr>
        <w:t>Data</w:t>
      </w:r>
      <w:r>
        <w:rPr>
          <w:rFonts w:ascii="Arial" w:cs="Arial" w:eastAsia="Arial" w:hAnsi="Arial"/>
          <w:sz w:val="19"/>
          <w:szCs w:val="19"/>
          <w:color w:val="auto"/>
        </w:rPr>
        <w:t>”).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receive a copy of the Data, require any necessary modifications of the Data or withdraw the consents set forth in this Subsection (g) by contacting the Company in writing.</w:t>
      </w:r>
    </w:p>
    <w:p>
      <w:pPr>
        <w:spacing w:after="0" w:line="153" w:lineRule="exact"/>
        <w:rPr>
          <w:sz w:val="20"/>
          <w:szCs w:val="20"/>
          <w:color w:val="auto"/>
        </w:rPr>
      </w:pPr>
    </w:p>
    <w:p>
      <w:pPr>
        <w:ind w:right="120" w:firstLine="1628"/>
        <w:spacing w:after="0" w:line="256" w:lineRule="auto"/>
        <w:tabs>
          <w:tab w:leader="none" w:pos="2088" w:val="left"/>
        </w:tabs>
        <w:numPr>
          <w:ilvl w:val="0"/>
          <w:numId w:val="359"/>
        </w:numPr>
        <w:rPr>
          <w:rFonts w:ascii="Arial" w:cs="Arial" w:eastAsia="Arial" w:hAnsi="Arial"/>
          <w:sz w:val="22"/>
          <w:szCs w:val="22"/>
          <w:color w:val="auto"/>
        </w:rPr>
      </w:pPr>
      <w:r>
        <w:rPr>
          <w:rFonts w:ascii="Arial" w:cs="Arial" w:eastAsia="Arial" w:hAnsi="Arial"/>
          <w:sz w:val="22"/>
          <w:szCs w:val="22"/>
          <w:b w:val="1"/>
          <w:bCs w:val="1"/>
          <w:color w:val="auto"/>
        </w:rPr>
        <w:t>Uncertificated Shares</w:t>
      </w:r>
      <w:r>
        <w:rPr>
          <w:rFonts w:ascii="Arial" w:cs="Arial" w:eastAsia="Arial" w:hAnsi="Arial"/>
          <w:sz w:val="22"/>
          <w:szCs w:val="22"/>
          <w:color w:val="auto"/>
        </w:rPr>
        <w:t>. You hereby agree and acknowledge that to the extent the shares issued upon</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of the RSUs are uncertificated then all references herein to stock certificates also includes electronic or uncertificated equivalents.</w:t>
      </w:r>
    </w:p>
    <w:p>
      <w:pPr>
        <w:spacing w:after="0" w:line="17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2"/>
          <w:szCs w:val="22"/>
          <w:b w:val="1"/>
          <w:bCs w:val="1"/>
          <w:color w:val="auto"/>
        </w:rPr>
        <w:t>DEFINITIONS.</w:t>
      </w:r>
    </w:p>
    <w:p>
      <w:pPr>
        <w:spacing w:after="0" w:line="220" w:lineRule="exact"/>
        <w:rPr>
          <w:sz w:val="20"/>
          <w:szCs w:val="20"/>
          <w:color w:val="auto"/>
        </w:rPr>
      </w:pPr>
    </w:p>
    <w:p>
      <w:pPr>
        <w:ind w:left="2080" w:hanging="452"/>
        <w:spacing w:after="0"/>
        <w:tabs>
          <w:tab w:leader="none" w:pos="208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Restricted Stock Unit Agreement.</w:t>
      </w:r>
    </w:p>
    <w:p>
      <w:pPr>
        <w:spacing w:after="0" w:line="219" w:lineRule="exact"/>
        <w:rPr>
          <w:rFonts w:ascii="Arial" w:cs="Arial" w:eastAsia="Arial" w:hAnsi="Arial"/>
          <w:sz w:val="22"/>
          <w:szCs w:val="22"/>
          <w:color w:val="auto"/>
        </w:rPr>
      </w:pPr>
    </w:p>
    <w:p>
      <w:pPr>
        <w:ind w:right="20" w:firstLine="1628"/>
        <w:spacing w:after="0" w:line="269" w:lineRule="auto"/>
        <w:tabs>
          <w:tab w:leader="none" w:pos="2088"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as constituted from time to time or, if a Committee has been appointed, such Committee.</w:t>
      </w:r>
    </w:p>
    <w:p>
      <w:pPr>
        <w:spacing w:after="0" w:line="161" w:lineRule="exact"/>
        <w:rPr>
          <w:rFonts w:ascii="Arial" w:cs="Arial" w:eastAsia="Arial" w:hAnsi="Arial"/>
          <w:sz w:val="22"/>
          <w:szCs w:val="22"/>
          <w:color w:val="auto"/>
        </w:rPr>
      </w:pPr>
    </w:p>
    <w:p>
      <w:pPr>
        <w:ind w:left="2080" w:hanging="452"/>
        <w:spacing w:after="0"/>
        <w:tabs>
          <w:tab w:leader="none" w:pos="208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Robinhood Markets, Inc., a Delaware corporation.</w:t>
      </w:r>
    </w:p>
    <w:p>
      <w:pPr>
        <w:spacing w:after="0" w:line="219" w:lineRule="exact"/>
        <w:rPr>
          <w:rFonts w:ascii="Arial" w:cs="Arial" w:eastAsia="Arial" w:hAnsi="Arial"/>
          <w:sz w:val="22"/>
          <w:szCs w:val="22"/>
          <w:color w:val="auto"/>
        </w:rPr>
      </w:pPr>
    </w:p>
    <w:p>
      <w:pPr>
        <w:ind w:right="20" w:firstLine="1628"/>
        <w:spacing w:after="0" w:line="349" w:lineRule="auto"/>
        <w:tabs>
          <w:tab w:leader="none" w:pos="2076" w:val="left"/>
        </w:tabs>
        <w:numPr>
          <w:ilvl w:val="0"/>
          <w:numId w:val="3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Date of Grant</w:t>
      </w:r>
      <w:r>
        <w:rPr>
          <w:rFonts w:ascii="Arial" w:cs="Arial" w:eastAsia="Arial" w:hAnsi="Arial"/>
          <w:sz w:val="19"/>
          <w:szCs w:val="19"/>
          <w:color w:val="auto"/>
        </w:rPr>
        <w:t>” means the date specified in the Notice of Restricted Stock Unit Award, which date shall be the later of (i) the date on which the Board of Directors resolved to grant these RSUs or (ii) your first date of Service.</w:t>
      </w:r>
    </w:p>
    <w:p>
      <w:pPr>
        <w:spacing w:after="0" w:line="93" w:lineRule="exact"/>
        <w:rPr>
          <w:rFonts w:ascii="Arial" w:cs="Arial" w:eastAsia="Arial" w:hAnsi="Arial"/>
          <w:sz w:val="19"/>
          <w:szCs w:val="19"/>
          <w:color w:val="auto"/>
        </w:rPr>
      </w:pPr>
    </w:p>
    <w:p>
      <w:pPr>
        <w:ind w:left="2060" w:hanging="432"/>
        <w:spacing w:after="0"/>
        <w:tabs>
          <w:tab w:leader="none" w:pos="206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Expiration Date</w:t>
      </w:r>
      <w:r>
        <w:rPr>
          <w:rFonts w:ascii="Arial" w:cs="Arial" w:eastAsia="Arial" w:hAnsi="Arial"/>
          <w:sz w:val="19"/>
          <w:szCs w:val="19"/>
          <w:color w:val="auto"/>
        </w:rPr>
        <w:t>” means the expiration date of the RSUs as set forth in the Notice of Restricted Stock</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Unit Award.</w:t>
      </w:r>
    </w:p>
    <w:p>
      <w:pPr>
        <w:spacing w:after="0" w:line="195" w:lineRule="exact"/>
        <w:rPr>
          <w:rFonts w:ascii="Arial" w:cs="Arial" w:eastAsia="Arial" w:hAnsi="Arial"/>
          <w:sz w:val="19"/>
          <w:szCs w:val="19"/>
          <w:color w:val="auto"/>
        </w:rPr>
      </w:pPr>
    </w:p>
    <w:p>
      <w:pPr>
        <w:ind w:right="300" w:firstLine="1628"/>
        <w:spacing w:after="0" w:line="256" w:lineRule="auto"/>
        <w:tabs>
          <w:tab w:leader="none" w:pos="2088"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Family</w:t>
      </w:r>
      <w:r>
        <w:rPr>
          <w:rFonts w:ascii="Arial" w:cs="Arial" w:eastAsia="Arial" w:hAnsi="Arial"/>
          <w:sz w:val="22"/>
          <w:szCs w:val="22"/>
          <w:color w:val="auto"/>
        </w:rPr>
        <w:t>” means any child, stepchild, grandchild, parent, stepparent, grandparent, spouse, sibling, mother-in-law, father-in-law, son-in-law, daughter-in-law, brother-in-law or sister-in-law and shall include adoptive relationships.</w:t>
      </w:r>
    </w:p>
    <w:p>
      <w:pPr>
        <w:spacing w:after="0" w:line="176" w:lineRule="exact"/>
        <w:rPr>
          <w:rFonts w:ascii="Arial" w:cs="Arial" w:eastAsia="Arial" w:hAnsi="Arial"/>
          <w:sz w:val="22"/>
          <w:szCs w:val="22"/>
          <w:color w:val="auto"/>
        </w:rPr>
      </w:pPr>
    </w:p>
    <w:p>
      <w:pPr>
        <w:ind w:right="560" w:firstLine="1628"/>
        <w:spacing w:after="0" w:line="269" w:lineRule="auto"/>
        <w:tabs>
          <w:tab w:leader="none" w:pos="2088" w:val="left"/>
        </w:tabs>
        <w:numPr>
          <w:ilvl w:val="0"/>
          <w:numId w:val="3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the initial public offering on an established securities market pursuant to an effective registration statement under the Securities Act covering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1427" w:right="379" w:bottom="1440" w:gutter="0" w:footer="0" w:header="0"/>
        </w:sectPr>
      </w:pPr>
    </w:p>
    <w:bookmarkStart w:id="554" w:name="page555"/>
    <w:bookmarkEnd w:id="554"/>
    <w:p>
      <w:pPr>
        <w:ind w:right="320"/>
        <w:spacing w:after="0" w:line="269" w:lineRule="auto"/>
        <w:rPr>
          <w:sz w:val="20"/>
          <w:szCs w:val="20"/>
          <w:color w:val="auto"/>
        </w:rPr>
      </w:pPr>
      <w:r>
        <w:rPr>
          <w:rFonts w:ascii="Arial" w:cs="Arial" w:eastAsia="Arial" w:hAnsi="Arial"/>
          <w:sz w:val="22"/>
          <w:szCs w:val="22"/>
          <w:color w:val="auto"/>
        </w:rPr>
        <w:t>and sale by the Company of its equity securities, as a result of or following which the Shares shall be publicly held, and “</w:t>
      </w:r>
      <w:r>
        <w:rPr>
          <w:rFonts w:ascii="Arial" w:cs="Arial" w:eastAsia="Arial" w:hAnsi="Arial"/>
          <w:sz w:val="22"/>
          <w:szCs w:val="22"/>
          <w:b w:val="1"/>
          <w:bCs w:val="1"/>
          <w:color w:val="auto"/>
        </w:rPr>
        <w:t>IPO</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means the date on which the IPO occurs.</w:t>
      </w:r>
    </w:p>
    <w:p>
      <w:pPr>
        <w:spacing w:after="0" w:line="162" w:lineRule="exact"/>
        <w:rPr>
          <w:sz w:val="20"/>
          <w:szCs w:val="20"/>
          <w:color w:val="auto"/>
        </w:rPr>
      </w:pPr>
    </w:p>
    <w:p>
      <w:pPr>
        <w:ind w:right="460" w:firstLine="1628"/>
        <w:spacing w:after="0" w:line="269" w:lineRule="auto"/>
        <w:tabs>
          <w:tab w:leader="none" w:pos="204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Event Requirement</w:t>
      </w:r>
      <w:r>
        <w:rPr>
          <w:rFonts w:ascii="Arial" w:cs="Arial" w:eastAsia="Arial" w:hAnsi="Arial"/>
          <w:sz w:val="22"/>
          <w:szCs w:val="22"/>
          <w:color w:val="auto"/>
        </w:rPr>
        <w:t>” means the requirement that the Company complete an IPO or Sale Event as described in the Notice of Restricted Stock Unit Award.</w:t>
      </w:r>
    </w:p>
    <w:p>
      <w:pPr>
        <w:spacing w:after="0" w:line="161" w:lineRule="exact"/>
        <w:rPr>
          <w:rFonts w:ascii="Arial" w:cs="Arial" w:eastAsia="Arial" w:hAnsi="Arial"/>
          <w:sz w:val="22"/>
          <w:szCs w:val="22"/>
          <w:color w:val="auto"/>
        </w:rPr>
      </w:pPr>
    </w:p>
    <w:p>
      <w:pPr>
        <w:ind w:left="2040" w:hanging="412"/>
        <w:spacing w:after="0"/>
        <w:tabs>
          <w:tab w:leader="none" w:pos="2040" w:val="left"/>
        </w:tabs>
        <w:numPr>
          <w:ilvl w:val="0"/>
          <w:numId w:val="3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Robinhood Markets, Inc. Amended and Restated 2013 Stock Plan, as in effect on the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of Grant.</w:t>
      </w:r>
    </w:p>
    <w:p>
      <w:pPr>
        <w:spacing w:after="0" w:line="195" w:lineRule="exact"/>
        <w:rPr>
          <w:rFonts w:ascii="Arial" w:cs="Arial" w:eastAsia="Arial" w:hAnsi="Arial"/>
          <w:sz w:val="19"/>
          <w:szCs w:val="19"/>
          <w:color w:val="auto"/>
        </w:rPr>
      </w:pPr>
    </w:p>
    <w:p>
      <w:pPr>
        <w:ind w:left="2100" w:hanging="472"/>
        <w:spacing w:after="0"/>
        <w:tabs>
          <w:tab w:leader="none" w:pos="210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 of First Refusal</w:t>
      </w:r>
      <w:r>
        <w:rPr>
          <w:rFonts w:ascii="Arial" w:cs="Arial" w:eastAsia="Arial" w:hAnsi="Arial"/>
          <w:sz w:val="22"/>
          <w:szCs w:val="22"/>
          <w:color w:val="auto"/>
        </w:rPr>
        <w:t>” means the Company’s right of first refusal described in Section 6.</w:t>
      </w:r>
    </w:p>
    <w:p>
      <w:pPr>
        <w:spacing w:after="0" w:line="219" w:lineRule="exact"/>
        <w:rPr>
          <w:rFonts w:ascii="Arial" w:cs="Arial" w:eastAsia="Arial" w:hAnsi="Arial"/>
          <w:sz w:val="22"/>
          <w:szCs w:val="22"/>
          <w:color w:val="auto"/>
        </w:rPr>
      </w:pPr>
    </w:p>
    <w:p>
      <w:pPr>
        <w:ind w:right="340" w:firstLine="1628"/>
        <w:spacing w:after="0" w:line="269" w:lineRule="auto"/>
        <w:tabs>
          <w:tab w:leader="none" w:pos="204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RSUs</w:t>
      </w:r>
      <w:r>
        <w:rPr>
          <w:rFonts w:ascii="Arial" w:cs="Arial" w:eastAsia="Arial" w:hAnsi="Arial"/>
          <w:sz w:val="22"/>
          <w:szCs w:val="22"/>
          <w:color w:val="auto"/>
        </w:rPr>
        <w:t>” means the Restricted Stock Units granted to you by the Company as set forth in the Notice of Restricted Stock Unit Award.</w:t>
      </w:r>
    </w:p>
    <w:p>
      <w:pPr>
        <w:spacing w:after="0" w:line="161" w:lineRule="exact"/>
        <w:rPr>
          <w:rFonts w:ascii="Arial" w:cs="Arial" w:eastAsia="Arial" w:hAnsi="Arial"/>
          <w:sz w:val="22"/>
          <w:szCs w:val="22"/>
          <w:color w:val="auto"/>
        </w:rPr>
      </w:pPr>
    </w:p>
    <w:p>
      <w:pPr>
        <w:ind w:firstLine="1628"/>
        <w:spacing w:after="0" w:line="287" w:lineRule="auto"/>
        <w:tabs>
          <w:tab w:leader="none" w:pos="2148" w:val="left"/>
        </w:tabs>
        <w:numPr>
          <w:ilvl w:val="0"/>
          <w:numId w:val="3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Event</w:t>
      </w:r>
      <w:r>
        <w:rPr>
          <w:rFonts w:ascii="Arial" w:cs="Arial" w:eastAsia="Arial" w:hAnsi="Arial"/>
          <w:sz w:val="19"/>
          <w:szCs w:val="19"/>
          <w:color w:val="auto"/>
        </w:rPr>
        <w:t>” means the consummation of the following transactions in which holders of Shares receive cash and/or marketable securities tradable on an established national or foreign securities exchange: (i) a sale of all or substantially all of the assets of the Company determined on a consolidated basis to an unrelated person or entity; (ii)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of the outstanding voting power of such surviving or resulting entity; or (iii) the acquisition of all or a majority of the outstanding voting stock of the Company in a single transaction or series of related transactions by a person or group of persons. For the avoidance of doubt, an initial public offering, any subsequent public offering, another capital raising event, and a merger effected solely to change the Company’s domicile shall not constitute a “Sale Event.” In addition, a transaction shall not constitute a Sale Event unless such transaction also qualifies as an event under Treasury Regulation Section 1.409A-3(i)(5)(v) (change in the ownership of a corporation), Treasury Regulation Section 1.409A-3(i)(5)(vi) (change in the effective control of a corporation), or Treasury Regulation Section 1.409A-3(i)(5)(vii) (change in the ownership of a substantial portion of a corporation’s assets).</w:t>
      </w:r>
    </w:p>
    <w:p>
      <w:pPr>
        <w:spacing w:after="0" w:line="153" w:lineRule="exact"/>
        <w:rPr>
          <w:rFonts w:ascii="Arial" w:cs="Arial" w:eastAsia="Arial" w:hAnsi="Arial"/>
          <w:sz w:val="19"/>
          <w:szCs w:val="19"/>
          <w:color w:val="auto"/>
        </w:rPr>
      </w:pPr>
    </w:p>
    <w:p>
      <w:pPr>
        <w:ind w:right="360" w:firstLine="1628"/>
        <w:spacing w:after="0" w:line="256" w:lineRule="auto"/>
        <w:tabs>
          <w:tab w:leader="none" w:pos="2088"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service as an Employee or Consultant. In the event of any dispute over whether and when Service has terminated, the Board of Directors shall have sole discretion to determine whether such termination has occurred and the effective date of such termination.</w:t>
      </w:r>
    </w:p>
    <w:p>
      <w:pPr>
        <w:spacing w:after="0" w:line="176" w:lineRule="exact"/>
        <w:rPr>
          <w:rFonts w:ascii="Arial" w:cs="Arial" w:eastAsia="Arial" w:hAnsi="Arial"/>
          <w:sz w:val="22"/>
          <w:szCs w:val="22"/>
          <w:color w:val="auto"/>
        </w:rPr>
      </w:pPr>
    </w:p>
    <w:p>
      <w:pPr>
        <w:ind w:right="360" w:firstLine="1628"/>
        <w:spacing w:after="0" w:line="269" w:lineRule="auto"/>
        <w:tabs>
          <w:tab w:leader="none" w:pos="2088"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Service-Based Requirement</w:t>
      </w:r>
      <w:r>
        <w:rPr>
          <w:rFonts w:ascii="Arial" w:cs="Arial" w:eastAsia="Arial" w:hAnsi="Arial"/>
          <w:sz w:val="22"/>
          <w:szCs w:val="22"/>
          <w:color w:val="auto"/>
        </w:rPr>
        <w:t>” means the requirement to provide Service over the period of time set forth in the Notice of Restricted Stock Unit Award.</w:t>
      </w:r>
    </w:p>
    <w:p>
      <w:pPr>
        <w:spacing w:after="0" w:line="161" w:lineRule="exact"/>
        <w:rPr>
          <w:rFonts w:ascii="Arial" w:cs="Arial" w:eastAsia="Arial" w:hAnsi="Arial"/>
          <w:sz w:val="22"/>
          <w:szCs w:val="22"/>
          <w:color w:val="auto"/>
        </w:rPr>
      </w:pPr>
    </w:p>
    <w:p>
      <w:pPr>
        <w:ind w:right="700" w:firstLine="1628"/>
        <w:spacing w:after="0" w:line="269" w:lineRule="auto"/>
        <w:tabs>
          <w:tab w:leader="none" w:pos="2088" w:val="left"/>
        </w:tabs>
        <w:numPr>
          <w:ilvl w:val="0"/>
          <w:numId w:val="3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Short-Term Deferral End Date</w:t>
      </w:r>
      <w:r>
        <w:rPr>
          <w:rFonts w:ascii="Arial" w:cs="Arial" w:eastAsia="Arial" w:hAnsi="Arial"/>
          <w:sz w:val="22"/>
          <w:szCs w:val="22"/>
          <w:color w:val="auto"/>
        </w:rPr>
        <w:t>” means the date that is the later of (i) two and one-half months following the end of the calendar year in which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21" w:right="379" w:bottom="1440" w:gutter="0" w:footer="0" w:header="0"/>
        </w:sectPr>
      </w:pPr>
    </w:p>
    <w:bookmarkStart w:id="555" w:name="page556"/>
    <w:bookmarkEnd w:id="555"/>
    <w:p>
      <w:pPr>
        <w:spacing w:after="0" w:line="263" w:lineRule="auto"/>
        <w:rPr>
          <w:sz w:val="20"/>
          <w:szCs w:val="20"/>
          <w:color w:val="auto"/>
        </w:rPr>
      </w:pPr>
      <w:r>
        <w:rPr>
          <w:rFonts w:ascii="Arial" w:cs="Arial" w:eastAsia="Arial" w:hAnsi="Arial"/>
          <w:sz w:val="22"/>
          <w:szCs w:val="22"/>
          <w:color w:val="auto"/>
        </w:rPr>
        <w:t>applicable to an RSU occurs or (ii) two and one-half months following the end of the Company’s fiscal year in which the Vesting Date applicable to an RSU occurs.</w:t>
      </w:r>
    </w:p>
    <w:p>
      <w:pPr>
        <w:spacing w:after="0" w:line="169" w:lineRule="exact"/>
        <w:rPr>
          <w:sz w:val="20"/>
          <w:szCs w:val="20"/>
          <w:color w:val="auto"/>
        </w:rPr>
      </w:pPr>
    </w:p>
    <w:p>
      <w:pPr>
        <w:ind w:left="2100" w:hanging="472"/>
        <w:spacing w:after="0"/>
        <w:tabs>
          <w:tab w:leader="none" w:pos="210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Transferee</w:t>
      </w:r>
      <w:r>
        <w:rPr>
          <w:rFonts w:ascii="Arial" w:cs="Arial" w:eastAsia="Arial" w:hAnsi="Arial"/>
          <w:sz w:val="19"/>
          <w:szCs w:val="19"/>
          <w:color w:val="auto"/>
        </w:rPr>
        <w:t>” means any person to whom you have directly or indirectly transferred any Shares acquired</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95" w:lineRule="exact"/>
        <w:rPr>
          <w:rFonts w:ascii="Arial" w:cs="Arial" w:eastAsia="Arial" w:hAnsi="Arial"/>
          <w:sz w:val="19"/>
          <w:szCs w:val="19"/>
          <w:color w:val="auto"/>
        </w:rPr>
      </w:pPr>
    </w:p>
    <w:p>
      <w:pPr>
        <w:ind w:left="2060" w:hanging="432"/>
        <w:spacing w:after="0"/>
        <w:tabs>
          <w:tab w:leader="none" w:pos="206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means the notice of a proposed transfer of Shares described in Section 6.</w:t>
      </w:r>
    </w:p>
    <w:p>
      <w:pPr>
        <w:spacing w:after="0" w:line="219" w:lineRule="exact"/>
        <w:rPr>
          <w:rFonts w:ascii="Arial" w:cs="Arial" w:eastAsia="Arial" w:hAnsi="Arial"/>
          <w:sz w:val="22"/>
          <w:szCs w:val="22"/>
          <w:color w:val="auto"/>
        </w:rPr>
      </w:pPr>
    </w:p>
    <w:p>
      <w:pPr>
        <w:ind w:right="40" w:firstLine="1628"/>
        <w:spacing w:after="0" w:line="315" w:lineRule="auto"/>
        <w:tabs>
          <w:tab w:leader="none" w:pos="2064" w:val="left"/>
        </w:tabs>
        <w:numPr>
          <w:ilvl w:val="0"/>
          <w:numId w:val="3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60"/>
          </w:cols>
          <w:pgMar w:left="320" w:top="1427" w:right="419" w:bottom="1440" w:gutter="0" w:footer="0" w:header="0"/>
        </w:sectPr>
      </w:pPr>
    </w:p>
    <w:bookmarkStart w:id="556" w:name="page557"/>
    <w:bookmarkEnd w:id="556"/>
    <w:p>
      <w:pPr>
        <w:jc w:val="right"/>
        <w:spacing w:after="0"/>
        <w:rPr>
          <w:sz w:val="20"/>
          <w:szCs w:val="20"/>
          <w:color w:val="auto"/>
        </w:rPr>
      </w:pPr>
      <w:r>
        <w:rPr>
          <w:rFonts w:ascii="Arial" w:cs="Arial" w:eastAsia="Arial" w:hAnsi="Arial"/>
          <w:sz w:val="22"/>
          <w:szCs w:val="22"/>
          <w:color w:val="auto"/>
        </w:rPr>
        <w:t>Time-Based RSU Award Agreement for G. Howard and J. Warnick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ROBINHOOD MARKETS, INC. AMENDED AND RESTATED 2013 STOCK PLAN NOTICE OF RESTRICTED STOCK UNIT AWARD</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You (“</w:t>
      </w:r>
      <w:r>
        <w:rPr>
          <w:rFonts w:ascii="Arial" w:cs="Arial" w:eastAsia="Arial" w:hAnsi="Arial"/>
          <w:sz w:val="22"/>
          <w:szCs w:val="22"/>
          <w:b w:val="1"/>
          <w:bCs w:val="1"/>
          <w:color w:val="auto"/>
        </w:rPr>
        <w:t>Recipient</w:t>
      </w:r>
      <w:r>
        <w:rPr>
          <w:rFonts w:ascii="Arial" w:cs="Arial" w:eastAsia="Arial" w:hAnsi="Arial"/>
          <w:sz w:val="22"/>
          <w:szCs w:val="22"/>
          <w:color w:val="auto"/>
        </w:rPr>
        <w:t>”) have been granted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representing shares of the Common Stock of Robinhood Markets, Inc. (the “</w:t>
      </w:r>
      <w:r>
        <w:rPr>
          <w:rFonts w:ascii="Arial" w:cs="Arial" w:eastAsia="Arial" w:hAnsi="Arial"/>
          <w:sz w:val="22"/>
          <w:szCs w:val="22"/>
          <w:b w:val="1"/>
          <w:bCs w:val="1"/>
          <w:color w:val="auto"/>
        </w:rPr>
        <w:t>Company</w:t>
      </w:r>
      <w:r>
        <w:rPr>
          <w:rFonts w:ascii="Arial" w:cs="Arial" w:eastAsia="Arial" w:hAnsi="Arial"/>
          <w:sz w:val="22"/>
          <w:szCs w:val="22"/>
          <w:color w:val="auto"/>
        </w:rPr>
        <w:t>”) on the following terms:</w:t>
      </w:r>
    </w:p>
    <w:p>
      <w:pPr>
        <w:sectPr>
          <w:pgSz w:w="11900" w:h="16838" w:orient="portrait"/>
          <w:cols w:equalWidth="0" w:num="1">
            <w:col w:w="11240"/>
          </w:cols>
          <w:pgMar w:left="320" w:top="131" w:right="339" w:bottom="1440" w:gutter="0" w:footer="0" w:header="0"/>
        </w:sect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 of Recipient: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[Gretchen Howard][Jason Warnick]</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w:t>
      </w:r>
    </w:p>
    <w:p>
      <w:pPr>
        <w:spacing w:after="0" w:line="20" w:lineRule="exact"/>
        <w:rPr>
          <w:sz w:val="20"/>
          <w:szCs w:val="20"/>
          <w:color w:val="auto"/>
        </w:rPr>
      </w:pPr>
      <w:r>
        <w:rPr>
          <w:sz w:val="20"/>
          <w:szCs w:val="20"/>
          <w:color w:val="auto"/>
        </w:rPr>
        <w:br w:type="column"/>
      </w:r>
    </w:p>
    <w:p>
      <w:pPr>
        <w:jc w:val="both"/>
        <w:ind w:right="80"/>
        <w:spacing w:after="0" w:line="257" w:lineRule="auto"/>
        <w:rPr>
          <w:sz w:val="20"/>
          <w:szCs w:val="20"/>
          <w:color w:val="auto"/>
        </w:rPr>
      </w:pPr>
      <w:r>
        <w:rPr>
          <w:rFonts w:ascii="Arial" w:cs="Arial" w:eastAsia="Arial" w:hAnsi="Arial"/>
          <w:sz w:val="21"/>
          <w:szCs w:val="21"/>
          <w:color w:val="auto"/>
        </w:rPr>
        <w:t>You will receive a benefit with respect to the RSU only if it vests. Two vesting requirements must be satisfied on or before the Expiration Date specified above in order for the RSU to vest: (i) a requirement that you provide Service over the period of time set forth in “Service-Based Requirement” below and (ii) a requirement that the Company complete either an IPO or Sale Event as set forth in “Liquidity Event Requirement” below. Your RSUs will not vest (in whole or in part) if only one (or if neither) of such requirements is satisfied on or before the Expiration Date. The “</w:t>
      </w:r>
      <w:r>
        <w:rPr>
          <w:rFonts w:ascii="Arial" w:cs="Arial" w:eastAsia="Arial" w:hAnsi="Arial"/>
          <w:sz w:val="21"/>
          <w:szCs w:val="21"/>
          <w:b w:val="1"/>
          <w:bCs w:val="1"/>
          <w:color w:val="auto"/>
        </w:rPr>
        <w:t>Vesting Date</w:t>
      </w:r>
      <w:r>
        <w:rPr>
          <w:rFonts w:ascii="Arial" w:cs="Arial" w:eastAsia="Arial" w:hAnsi="Arial"/>
          <w:sz w:val="21"/>
          <w:szCs w:val="21"/>
          <w:color w:val="auto"/>
        </w:rPr>
        <w:t>” of an RSU will be the first date on or before the Expiration Date upon which both the Service-Based Requirement and the Liquidity Event Requirement are satisfied with respect to that particular RSU.</w:t>
      </w:r>
    </w:p>
    <w:p>
      <w:pPr>
        <w:sectPr>
          <w:pgSz w:w="11900" w:h="16838" w:orient="portrait"/>
          <w:cols w:equalWidth="0" w:num="2">
            <w:col w:w="3900" w:space="720"/>
            <w:col w:w="6620"/>
          </w:cols>
          <w:pgMar w:left="320" w:top="131" w:right="339" w:bottom="1440" w:gutter="0" w:footer="0" w:header="0"/>
          <w:type w:val="continuous"/>
        </w:sectPr>
      </w:pPr>
    </w:p>
    <w:bookmarkStart w:id="557" w:name="page558"/>
    <w:bookmarkEnd w:id="557"/>
    <w:p>
      <w:pPr>
        <w:spacing w:after="0" w:line="42" w:lineRule="exact"/>
        <w:rPr>
          <w:sz w:val="20"/>
          <w:szCs w:val="20"/>
          <w:color w:val="auto"/>
        </w:rPr>
      </w:pPr>
    </w:p>
    <w:p>
      <w:pPr>
        <w:ind w:left="80"/>
        <w:spacing w:after="0"/>
        <w:rPr>
          <w:sz w:val="20"/>
          <w:szCs w:val="20"/>
          <w:color w:val="auto"/>
        </w:rPr>
      </w:pPr>
      <w:r>
        <w:rPr>
          <w:rFonts w:ascii="Arial" w:cs="Arial" w:eastAsia="Arial" w:hAnsi="Arial"/>
          <w:sz w:val="19"/>
          <w:szCs w:val="19"/>
          <w:color w:val="auto"/>
        </w:rPr>
        <w:t>Service-Based Requirement: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20"/>
        <w:spacing w:after="0" w:line="285" w:lineRule="auto"/>
        <w:rPr>
          <w:sz w:val="20"/>
          <w:szCs w:val="20"/>
          <w:color w:val="auto"/>
        </w:rPr>
      </w:pPr>
      <w:r>
        <w:rPr>
          <w:rFonts w:ascii="Arial" w:cs="Arial" w:eastAsia="Arial" w:hAnsi="Arial"/>
          <w:sz w:val="19"/>
          <w:szCs w:val="19"/>
          <w:color w:val="auto"/>
        </w:rPr>
        <w:t>The Service-Based Requirement will be satisfied in installments as to the RSUs as follows: (i) the requirement will be satisfied as to [ ● ]% of the RSUs subject to this award when you complete [●] months of continuous Service beginning with the Vesting Commencement Date set forth above, and (ii) the requirement will be satisfied with respect to an additional [●]% of the RSUs subject to this award when you complete each successive [●] period of continuous Service thereafter; in each case, subject to Section 2 of the Restricted Stock Unit Agreement. If the Company is subject to a Change in Control while you remain in continuous Service (or within three (3) months following an Involuntary Termination) and the RSUs are not assumed by the acquirer or its parent, continued by the surviving company, or substituted for an equivalent award or cash payment, then 100% of the service-based requirement will be deemed satisfied effective immediately prior to the closing of the Change in Control. In addition, if you are subject to an Involuntary Termination during the period beginning three (3) months prior to or within eighteen (18) months after a Change in Control, then, the service-based requirement will be satisfied in full, and, to the extent not settled in connection with the Change in Control, the RSUs shall not expire until the Expiration Date.</w:t>
      </w:r>
    </w:p>
    <w:p>
      <w:pPr>
        <w:spacing w:after="0" w:line="200" w:lineRule="exact"/>
        <w:rPr>
          <w:sz w:val="20"/>
          <w:szCs w:val="20"/>
          <w:color w:val="auto"/>
        </w:rPr>
      </w:pPr>
    </w:p>
    <w:p>
      <w:pPr>
        <w:sectPr>
          <w:pgSz w:w="11900" w:h="16838" w:orient="portrait"/>
          <w:cols w:equalWidth="0" w:num="2">
            <w:col w:w="3840" w:space="720"/>
            <w:col w:w="6680"/>
          </w:cols>
          <w:pgMar w:left="320" w:top="1440" w:right="339" w:bottom="1440" w:gutter="0" w:footer="0" w:header="0"/>
        </w:sectPr>
      </w:pPr>
    </w:p>
    <w:p>
      <w:pPr>
        <w:spacing w:after="0" w:line="57" w:lineRule="exact"/>
        <w:rPr>
          <w:sz w:val="20"/>
          <w:szCs w:val="20"/>
          <w:color w:val="auto"/>
        </w:rPr>
      </w:pPr>
    </w:p>
    <w:p>
      <w:pPr>
        <w:ind w:left="80"/>
        <w:spacing w:after="0"/>
        <w:rPr>
          <w:sz w:val="20"/>
          <w:szCs w:val="20"/>
          <w:color w:val="auto"/>
        </w:rPr>
      </w:pPr>
      <w:r>
        <w:rPr>
          <w:rFonts w:ascii="Arial" w:cs="Arial" w:eastAsia="Arial" w:hAnsi="Arial"/>
          <w:sz w:val="19"/>
          <w:szCs w:val="19"/>
          <w:color w:val="auto"/>
        </w:rPr>
        <w:t>Liquidity Event Requirement: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Liquidity Event Requirement will be satisfied (as to any then-outstanding RSUs that have not theretofore been terminated pursuant to Section 2 of the Restricted Stock Unit Agreement) on the earlier to occur of (i) an IPO or (ii) a Sale Event.</w:t>
      </w:r>
    </w:p>
    <w:p>
      <w:pPr>
        <w:spacing w:after="0" w:line="26" w:lineRule="exact"/>
        <w:rPr>
          <w:sz w:val="20"/>
          <w:szCs w:val="20"/>
          <w:color w:val="auto"/>
        </w:rPr>
      </w:pPr>
    </w:p>
    <w:p>
      <w:pPr>
        <w:sectPr>
          <w:pgSz w:w="11900" w:h="16838" w:orient="portrait"/>
          <w:cols w:equalWidth="0" w:num="2">
            <w:col w:w="3840" w:space="720"/>
            <w:col w:w="6680"/>
          </w:cols>
          <w:pgMar w:left="320" w:top="1440"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Settlement of RSUs refers to the issuance of Shares once the award is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vested. If the RSU vests as a result of satisfaction of both applicable vesting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requirements as described above, the Company will deliver one Share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RSU at the time of settlement specified in Section 4 of the Restricted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Stock Unit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0" w:lineRule="exact"/>
        <w:rPr>
          <w:sz w:val="20"/>
          <w:szCs w:val="20"/>
          <w:color w:val="auto"/>
        </w:rPr>
      </w:pPr>
    </w:p>
    <w:p>
      <w:pPr>
        <w:sectPr>
          <w:pgSz w:w="11900" w:h="16838" w:orient="portrait"/>
          <w:cols w:equalWidth="0" w:num="2">
            <w:col w:w="3840" w:space="720"/>
            <w:col w:w="6680"/>
          </w:cols>
          <w:pgMar w:left="320" w:top="1440" w:right="339" w:bottom="1440" w:gutter="0" w:footer="0" w:header="0"/>
          <w:type w:val="continuous"/>
        </w:sectPr>
      </w:pPr>
    </w:p>
    <w:p>
      <w:pPr>
        <w:spacing w:after="0" w:line="25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By signing below or otherwise accepting this award in a manner acceptable to the Company, you and the Company agree that these RSUs are granted under and governed by the terms and conditions of this Notice of Restricted Stock Unit Award, the Amended and Restated 2013 Stock Plan (the “</w:t>
      </w:r>
      <w:r>
        <w:rPr>
          <w:rFonts w:ascii="Arial" w:cs="Arial" w:eastAsia="Arial" w:hAnsi="Arial"/>
          <w:sz w:val="19"/>
          <w:szCs w:val="19"/>
          <w:b w:val="1"/>
          <w:bCs w:val="1"/>
          <w:color w:val="auto"/>
        </w:rPr>
        <w:t>Plan</w:t>
      </w:r>
      <w:r>
        <w:rPr>
          <w:rFonts w:ascii="Arial" w:cs="Arial" w:eastAsia="Arial" w:hAnsi="Arial"/>
          <w:sz w:val="19"/>
          <w:szCs w:val="19"/>
          <w:color w:val="auto"/>
        </w:rPr>
        <w:t>”) and the Restricted Stock Unit Agreement. These latter two documents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type w:val="continuous"/>
        </w:sectPr>
      </w:pPr>
    </w:p>
    <w:bookmarkStart w:id="558" w:name="page559"/>
    <w:bookmarkEnd w:id="558"/>
    <w:p>
      <w:pPr>
        <w:jc w:val="both"/>
        <w:spacing w:after="0" w:line="246" w:lineRule="auto"/>
        <w:rPr>
          <w:sz w:val="20"/>
          <w:szCs w:val="20"/>
          <w:color w:val="auto"/>
        </w:rPr>
      </w:pPr>
      <w:r>
        <w:rPr>
          <w:rFonts w:ascii="Arial" w:cs="Arial" w:eastAsia="Arial" w:hAnsi="Arial"/>
          <w:sz w:val="22"/>
          <w:szCs w:val="22"/>
          <w:color w:val="auto"/>
        </w:rPr>
        <w:t xml:space="preserve">attached to, and made a part of, this Notice of Restricted Stock Unit Award. Capitalized terms not otherwise defined herein or in the Restricted Stock Unit Agreement shall have the meaning set forth in the Plan. You hereby acknowledge that the vesting of the RSUs pursuant to this Notice of Restricted Stock Unit Award is conditioned on the satisfaction of the Service-Based Requirement and the occurrence, on or before the Expiration Date, of an IPO or Sale Event. You shall have no right with respect to the RSUs to the extent an IPO or Sale Event does not occur on or before the Expiration Date (regardless of the extent to which the Service-Based Requirement was satisfied). </w:t>
      </w:r>
      <w:r>
        <w:rPr>
          <w:rFonts w:ascii="Arial" w:cs="Arial" w:eastAsia="Arial" w:hAnsi="Arial"/>
          <w:sz w:val="22"/>
          <w:szCs w:val="22"/>
          <w:b w:val="1"/>
          <w:bCs w:val="1"/>
          <w:color w:val="auto"/>
        </w:rPr>
        <w:t>Section 10 of the Restricted Stock Unit Agreement also includes important</w:t>
      </w:r>
      <w:r>
        <w:rPr>
          <w:rFonts w:ascii="Arial" w:cs="Arial" w:eastAsia="Arial" w:hAnsi="Arial"/>
          <w:sz w:val="22"/>
          <w:szCs w:val="22"/>
          <w:color w:val="auto"/>
        </w:rPr>
        <w:t xml:space="preserve"> </w:t>
      </w:r>
      <w:r>
        <w:rPr>
          <w:rFonts w:ascii="Arial" w:cs="Arial" w:eastAsia="Arial" w:hAnsi="Arial"/>
          <w:sz w:val="22"/>
          <w:szCs w:val="22"/>
          <w:b w:val="1"/>
          <w:bCs w:val="1"/>
          <w:color w:val="auto"/>
        </w:rPr>
        <w:t>acknowledgements.</w:t>
      </w:r>
    </w:p>
    <w:p>
      <w:pPr>
        <w:spacing w:after="0" w:line="244" w:lineRule="exact"/>
        <w:rPr>
          <w:sz w:val="20"/>
          <w:szCs w:val="20"/>
          <w:color w:val="auto"/>
        </w:rPr>
      </w:pPr>
    </w:p>
    <w:p>
      <w:pPr>
        <w:ind w:left="80"/>
        <w:spacing w:after="0"/>
        <w:tabs>
          <w:tab w:leader="none" w:pos="5440" w:val="left"/>
        </w:tabs>
        <w:rPr>
          <w:sz w:val="20"/>
          <w:szCs w:val="20"/>
          <w:color w:val="auto"/>
        </w:rPr>
      </w:pPr>
      <w:r>
        <w:rPr>
          <w:rFonts w:ascii="Arial" w:cs="Arial" w:eastAsia="Arial" w:hAnsi="Arial"/>
          <w:sz w:val="22"/>
          <w:szCs w:val="22"/>
          <w:b w:val="1"/>
          <w:bCs w:val="1"/>
          <w:color w:val="auto"/>
        </w:rPr>
        <w:t>RECIPIENT:</w:t>
      </w:r>
      <w:r>
        <w:rPr>
          <w:sz w:val="20"/>
          <w:szCs w:val="20"/>
          <w:color w:val="auto"/>
        </w:rPr>
        <w:tab/>
      </w:r>
      <w:r>
        <w:rPr>
          <w:rFonts w:ascii="Arial" w:cs="Arial" w:eastAsia="Arial" w:hAnsi="Arial"/>
          <w:sz w:val="22"/>
          <w:szCs w:val="22"/>
          <w:b w:val="1"/>
          <w:bCs w:val="1"/>
          <w:color w:val="auto"/>
        </w:rPr>
        <w:t>ROBINHOOD MARKETS, INC.</w:t>
      </w:r>
    </w:p>
    <w:p>
      <w:pPr>
        <w:spacing w:after="0" w:line="6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1" w:lineRule="exact"/>
        <w:rPr>
          <w:sz w:val="20"/>
          <w:szCs w:val="20"/>
          <w:color w:val="auto"/>
        </w:rPr>
      </w:pPr>
    </w:p>
    <w:p>
      <w:pPr>
        <w:ind w:left="546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559" w:name="page560"/>
    <w:bookmarkEnd w:id="559"/>
    <w:p>
      <w:pPr>
        <w:jc w:val="both"/>
        <w:spacing w:after="0" w:line="248" w:lineRule="auto"/>
        <w:rPr>
          <w:sz w:val="20"/>
          <w:szCs w:val="20"/>
          <w:color w:val="auto"/>
        </w:rPr>
      </w:pPr>
      <w:r>
        <w:rPr>
          <w:rFonts w:ascii="Arial" w:cs="Arial" w:eastAsia="Arial" w:hAnsi="Arial"/>
          <w:sz w:val="22"/>
          <w:szCs w:val="22"/>
          <w:b w:val="1"/>
          <w:bCs w:val="1"/>
          <w:color w:val="auto"/>
        </w:rPr>
        <w:t>THE RSUS GRANTED PURSUANT TO THE NOTICE OF RESTRICTED STOCK UNIT AWARD AND THIS AGREEMENT AND THE SHARES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19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color w:val="auto"/>
        </w:rPr>
        <w:t>GRANT OF RESTRICTED STOCK UNITS.</w:t>
      </w:r>
    </w:p>
    <w:p>
      <w:pPr>
        <w:spacing w:after="0" w:line="220" w:lineRule="exact"/>
        <w:rPr>
          <w:sz w:val="20"/>
          <w:szCs w:val="20"/>
          <w:color w:val="auto"/>
        </w:rPr>
      </w:pPr>
    </w:p>
    <w:p>
      <w:pPr>
        <w:ind w:right="80" w:firstLine="1628"/>
        <w:spacing w:after="0" w:line="315" w:lineRule="auto"/>
        <w:tabs>
          <w:tab w:leader="none" w:pos="2076" w:val="left"/>
        </w:tabs>
        <w:numPr>
          <w:ilvl w:val="0"/>
          <w:numId w:val="363"/>
        </w:numPr>
        <w:rPr>
          <w:rFonts w:ascii="Arial" w:cs="Arial" w:eastAsia="Arial" w:hAnsi="Arial"/>
          <w:sz w:val="19"/>
          <w:szCs w:val="19"/>
          <w:color w:val="auto"/>
        </w:rPr>
      </w:pPr>
      <w:r>
        <w:rPr>
          <w:rFonts w:ascii="Arial" w:cs="Arial" w:eastAsia="Arial" w:hAnsi="Arial"/>
          <w:sz w:val="19"/>
          <w:szCs w:val="19"/>
          <w:b w:val="1"/>
          <w:bCs w:val="1"/>
          <w:color w:val="auto"/>
        </w:rPr>
        <w:t>Grant</w:t>
      </w:r>
      <w:r>
        <w:rPr>
          <w:rFonts w:ascii="Arial" w:cs="Arial" w:eastAsia="Arial" w:hAnsi="Arial"/>
          <w:sz w:val="19"/>
          <w:szCs w:val="19"/>
          <w:color w:val="auto"/>
        </w:rPr>
        <w:t>. On the terms and conditions set forth in the Notice of Restricted Stock Unit Award and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Company grants to you on the Date of Grant the number of RSUs set forth in the Notice of Restricted Stock Unit Award. Each RSU represents the right to receive one Share on the terms and conditions set forth in this Agreement.</w:t>
      </w:r>
    </w:p>
    <w:p>
      <w:pPr>
        <w:spacing w:after="0" w:line="125" w:lineRule="exact"/>
        <w:rPr>
          <w:rFonts w:ascii="Arial" w:cs="Arial" w:eastAsia="Arial" w:hAnsi="Arial"/>
          <w:sz w:val="19"/>
          <w:szCs w:val="19"/>
          <w:color w:val="auto"/>
        </w:rPr>
      </w:pPr>
    </w:p>
    <w:p>
      <w:pPr>
        <w:ind w:left="2100" w:hanging="472"/>
        <w:spacing w:after="0"/>
        <w:tabs>
          <w:tab w:leader="none" w:pos="2100" w:val="left"/>
        </w:tabs>
        <w:numPr>
          <w:ilvl w:val="0"/>
          <w:numId w:val="363"/>
        </w:numPr>
        <w:rPr>
          <w:rFonts w:ascii="Arial" w:cs="Arial" w:eastAsia="Arial" w:hAnsi="Arial"/>
          <w:sz w:val="22"/>
          <w:szCs w:val="22"/>
          <w:color w:val="auto"/>
        </w:rPr>
      </w:pPr>
      <w:r>
        <w:rPr>
          <w:rFonts w:ascii="Arial" w:cs="Arial" w:eastAsia="Arial" w:hAnsi="Arial"/>
          <w:sz w:val="22"/>
          <w:szCs w:val="22"/>
          <w:b w:val="1"/>
          <w:bCs w:val="1"/>
          <w:color w:val="auto"/>
        </w:rPr>
        <w:t>Consideration</w:t>
      </w:r>
      <w:r>
        <w:rPr>
          <w:rFonts w:ascii="Arial" w:cs="Arial" w:eastAsia="Arial" w:hAnsi="Arial"/>
          <w:sz w:val="22"/>
          <w:szCs w:val="22"/>
          <w:color w:val="auto"/>
        </w:rPr>
        <w:t>. No payment is required for the RSUs that have been granted to you.</w:t>
      </w:r>
    </w:p>
    <w:p>
      <w:pPr>
        <w:spacing w:after="0" w:line="219" w:lineRule="exact"/>
        <w:rPr>
          <w:rFonts w:ascii="Arial" w:cs="Arial" w:eastAsia="Arial" w:hAnsi="Arial"/>
          <w:sz w:val="22"/>
          <w:szCs w:val="22"/>
          <w:color w:val="auto"/>
        </w:rPr>
      </w:pPr>
    </w:p>
    <w:p>
      <w:pPr>
        <w:ind w:right="160" w:firstLine="1628"/>
        <w:spacing w:after="0" w:line="249" w:lineRule="auto"/>
        <w:tabs>
          <w:tab w:leader="none" w:pos="2076" w:val="left"/>
        </w:tabs>
        <w:numPr>
          <w:ilvl w:val="0"/>
          <w:numId w:val="363"/>
        </w:numPr>
        <w:rPr>
          <w:rFonts w:ascii="Arial" w:cs="Arial" w:eastAsia="Arial" w:hAnsi="Arial"/>
          <w:sz w:val="22"/>
          <w:szCs w:val="22"/>
          <w:color w:val="auto"/>
        </w:rPr>
      </w:pPr>
      <w:r>
        <w:rPr>
          <w:rFonts w:ascii="Arial" w:cs="Arial" w:eastAsia="Arial" w:hAnsi="Arial"/>
          <w:sz w:val="22"/>
          <w:szCs w:val="22"/>
          <w:b w:val="1"/>
          <w:bCs w:val="1"/>
          <w:color w:val="auto"/>
        </w:rPr>
        <w:t>Nature of Units; No Rights As a Stockholder</w:t>
      </w:r>
      <w:r>
        <w:rPr>
          <w:rFonts w:ascii="Arial" w:cs="Arial" w:eastAsia="Arial" w:hAnsi="Arial"/>
          <w:sz w:val="22"/>
          <w:szCs w:val="22"/>
          <w:color w:val="auto"/>
        </w:rPr>
        <w:t>. Your RSUs are mere bookkeeping entries and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only the Company’s unfunded and unsecured promise to issue Shares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w:t>
      </w:r>
    </w:p>
    <w:p>
      <w:pPr>
        <w:spacing w:after="0" w:line="186" w:lineRule="exact"/>
        <w:rPr>
          <w:rFonts w:ascii="Arial" w:cs="Arial" w:eastAsia="Arial" w:hAnsi="Arial"/>
          <w:sz w:val="22"/>
          <w:szCs w:val="22"/>
          <w:color w:val="auto"/>
        </w:rPr>
      </w:pPr>
    </w:p>
    <w:p>
      <w:pPr>
        <w:ind w:right="160" w:firstLine="1628"/>
        <w:spacing w:after="0" w:line="252" w:lineRule="auto"/>
        <w:tabs>
          <w:tab w:leader="none" w:pos="2088" w:val="left"/>
        </w:tabs>
        <w:numPr>
          <w:ilvl w:val="0"/>
          <w:numId w:val="363"/>
        </w:numPr>
        <w:rPr>
          <w:rFonts w:ascii="Arial" w:cs="Arial" w:eastAsia="Arial" w:hAnsi="Arial"/>
          <w:sz w:val="22"/>
          <w:szCs w:val="22"/>
          <w:color w:val="auto"/>
        </w:rPr>
      </w:pPr>
      <w:r>
        <w:rPr>
          <w:rFonts w:ascii="Arial" w:cs="Arial" w:eastAsia="Arial" w:hAnsi="Arial"/>
          <w:sz w:val="22"/>
          <w:szCs w:val="22"/>
          <w:b w:val="1"/>
          <w:bCs w:val="1"/>
          <w:color w:val="auto"/>
        </w:rPr>
        <w:t>Stock Plan and Defined Terms</w:t>
      </w:r>
      <w:r>
        <w:rPr>
          <w:rFonts w:ascii="Arial" w:cs="Arial" w:eastAsia="Arial" w:hAnsi="Arial"/>
          <w:sz w:val="22"/>
          <w:szCs w:val="22"/>
          <w:color w:val="auto"/>
        </w:rPr>
        <w:t>. Your RSUs are granted pursuant to the Plan, a copy of which you</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having received. The provisions of the Plan are incorporated into this Agreement by this reference. Certain capitalized terms are defined in Section 11 of this Agreement. Capitalized terms not otherwise defined herein or in the Notice of Restricted Stock Unit Award shall have the meanings set forth in the Plan.</w:t>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2.</w:t>
        <w:tab/>
        <w:t>VESTING.</w:t>
      </w:r>
    </w:p>
    <w:p>
      <w:pPr>
        <w:spacing w:after="0" w:line="220" w:lineRule="exact"/>
        <w:rPr>
          <w:sz w:val="20"/>
          <w:szCs w:val="20"/>
          <w:color w:val="auto"/>
        </w:rPr>
      </w:pPr>
    </w:p>
    <w:p>
      <w:pPr>
        <w:ind w:firstLine="1628"/>
        <w:spacing w:after="0" w:line="267" w:lineRule="auto"/>
        <w:tabs>
          <w:tab w:leader="none" w:pos="2076" w:val="left"/>
        </w:tabs>
        <w:numPr>
          <w:ilvl w:val="0"/>
          <w:numId w:val="364"/>
        </w:numPr>
        <w:rPr>
          <w:rFonts w:ascii="Arial" w:cs="Arial" w:eastAsia="Arial" w:hAnsi="Arial"/>
          <w:sz w:val="21"/>
          <w:szCs w:val="21"/>
          <w:color w:val="auto"/>
        </w:rPr>
      </w:pPr>
      <w:r>
        <w:rPr>
          <w:rFonts w:ascii="Arial" w:cs="Arial" w:eastAsia="Arial" w:hAnsi="Arial"/>
          <w:sz w:val="21"/>
          <w:szCs w:val="21"/>
          <w:b w:val="1"/>
          <w:bCs w:val="1"/>
          <w:color w:val="auto"/>
        </w:rPr>
        <w:t>Generally</w:t>
      </w:r>
      <w:r>
        <w:rPr>
          <w:rFonts w:ascii="Arial" w:cs="Arial" w:eastAsia="Arial" w:hAnsi="Arial"/>
          <w:sz w:val="21"/>
          <w:szCs w:val="21"/>
          <w:color w:val="auto"/>
        </w:rPr>
        <w:t>. The RSUs vest in accordance with the vesting schedule set forth in the Notice of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You will receive a benefit with respect to a RSU only if both the Service-Based Requirement and the Liquidity Event Requirement are satisfied on or before the Expiration Date. Your RSUs will not vest (in whole or in part) if only one (or if neither) of such requirements is satisfied on or before the Expiration Date.</w:t>
      </w:r>
    </w:p>
    <w:p>
      <w:pPr>
        <w:spacing w:after="0" w:line="167" w:lineRule="exact"/>
        <w:rPr>
          <w:rFonts w:ascii="Arial" w:cs="Arial" w:eastAsia="Arial" w:hAnsi="Arial"/>
          <w:sz w:val="21"/>
          <w:szCs w:val="21"/>
          <w:color w:val="auto"/>
        </w:rPr>
      </w:pPr>
    </w:p>
    <w:p>
      <w:pPr>
        <w:ind w:right="680" w:firstLine="1628"/>
        <w:spacing w:after="0" w:line="269" w:lineRule="auto"/>
        <w:tabs>
          <w:tab w:leader="none" w:pos="2088" w:val="left"/>
        </w:tabs>
        <w:numPr>
          <w:ilvl w:val="0"/>
          <w:numId w:val="364"/>
        </w:numPr>
        <w:rPr>
          <w:rFonts w:ascii="Arial" w:cs="Arial" w:eastAsia="Arial" w:hAnsi="Arial"/>
          <w:sz w:val="22"/>
          <w:szCs w:val="22"/>
          <w:color w:val="auto"/>
        </w:rPr>
      </w:pPr>
      <w:r>
        <w:rPr>
          <w:rFonts w:ascii="Arial" w:cs="Arial" w:eastAsia="Arial" w:hAnsi="Arial"/>
          <w:sz w:val="22"/>
          <w:szCs w:val="22"/>
          <w:b w:val="1"/>
          <w:bCs w:val="1"/>
          <w:color w:val="auto"/>
        </w:rPr>
        <w:t>Termination of Service</w:t>
      </w:r>
      <w:r>
        <w:rPr>
          <w:rFonts w:ascii="Arial" w:cs="Arial" w:eastAsia="Arial" w:hAnsi="Arial"/>
          <w:sz w:val="22"/>
          <w:szCs w:val="22"/>
          <w:color w:val="auto"/>
        </w:rPr>
        <w:t>. Upon and following the termination of your service for any reason, each</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RSU shall terminate on the first date in which you</w:t>
      </w:r>
    </w:p>
    <w:p>
      <w:pPr>
        <w:sectPr>
          <w:pgSz w:w="11900" w:h="16838" w:orient="portrait"/>
          <w:cols w:equalWidth="0" w:num="1">
            <w:col w:w="11240"/>
          </w:cols>
          <w:pgMar w:left="320" w:top="1421" w:right="339" w:bottom="1440" w:gutter="0" w:footer="0" w:header="0"/>
        </w:sectPr>
      </w:pPr>
    </w:p>
    <w:bookmarkStart w:id="560" w:name="page561"/>
    <w:bookmarkEnd w:id="560"/>
    <w:p>
      <w:pPr>
        <w:spacing w:after="0"/>
        <w:rPr>
          <w:sz w:val="20"/>
          <w:szCs w:val="20"/>
          <w:color w:val="auto"/>
        </w:rPr>
      </w:pPr>
      <w:r>
        <w:rPr>
          <w:rFonts w:ascii="Arial" w:cs="Arial" w:eastAsia="Arial" w:hAnsi="Arial"/>
          <w:sz w:val="22"/>
          <w:szCs w:val="22"/>
          <w:color w:val="auto"/>
        </w:rPr>
        <w:t>would no longer be able to satisfy the necessary vesting requirements with respect to that particular RSU.</w:t>
      </w:r>
    </w:p>
    <w:p>
      <w:pPr>
        <w:spacing w:after="0" w:line="214" w:lineRule="exact"/>
        <w:rPr>
          <w:sz w:val="20"/>
          <w:szCs w:val="20"/>
          <w:color w:val="auto"/>
        </w:rPr>
      </w:pPr>
    </w:p>
    <w:p>
      <w:pPr>
        <w:ind w:right="60" w:firstLine="1628"/>
        <w:spacing w:after="0" w:line="249" w:lineRule="auto"/>
        <w:tabs>
          <w:tab w:leader="none" w:pos="2076" w:val="left"/>
        </w:tabs>
        <w:numPr>
          <w:ilvl w:val="0"/>
          <w:numId w:val="365"/>
        </w:numPr>
        <w:rPr>
          <w:rFonts w:ascii="Arial" w:cs="Arial" w:eastAsia="Arial" w:hAnsi="Arial"/>
          <w:sz w:val="22"/>
          <w:szCs w:val="22"/>
          <w:color w:val="auto"/>
        </w:rPr>
      </w:pPr>
      <w:r>
        <w:rPr>
          <w:rFonts w:ascii="Arial" w:cs="Arial" w:eastAsia="Arial" w:hAnsi="Arial"/>
          <w:sz w:val="22"/>
          <w:szCs w:val="22"/>
          <w:b w:val="1"/>
          <w:bCs w:val="1"/>
          <w:color w:val="auto"/>
        </w:rPr>
        <w:t>Expiration of RSUs</w:t>
      </w:r>
      <w:r>
        <w:rPr>
          <w:rFonts w:ascii="Arial" w:cs="Arial" w:eastAsia="Arial" w:hAnsi="Arial"/>
          <w:sz w:val="22"/>
          <w:szCs w:val="22"/>
          <w:color w:val="auto"/>
        </w:rPr>
        <w:t>. If an IPO or Sale Event does not occur on or before the Expiration Date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Notice of Restricted Stock Unit Award, all RSUs (regardless of whether or not, or the extent to which, the Service-Based Requirement had been satisfied as to such RSUs) shall automatically terminate and be cancelled upon such date. Upon a termination of one or more RSUs pursuant to this Section 2, you will have no further right with respect to such RSUs or the Shares previously allocated thereto.</w:t>
      </w:r>
    </w:p>
    <w:p>
      <w:pPr>
        <w:spacing w:after="0" w:line="186" w:lineRule="exact"/>
        <w:rPr>
          <w:rFonts w:ascii="Arial" w:cs="Arial" w:eastAsia="Arial" w:hAnsi="Arial"/>
          <w:sz w:val="22"/>
          <w:szCs w:val="22"/>
          <w:color w:val="auto"/>
        </w:rPr>
      </w:pPr>
    </w:p>
    <w:p>
      <w:pPr>
        <w:ind w:right="180" w:firstLine="1628"/>
        <w:spacing w:after="0" w:line="247" w:lineRule="auto"/>
        <w:tabs>
          <w:tab w:leader="none" w:pos="2088" w:val="left"/>
        </w:tabs>
        <w:numPr>
          <w:ilvl w:val="0"/>
          <w:numId w:val="365"/>
        </w:numPr>
        <w:rPr>
          <w:rFonts w:ascii="Arial" w:cs="Arial" w:eastAsia="Arial" w:hAnsi="Arial"/>
          <w:sz w:val="22"/>
          <w:szCs w:val="22"/>
          <w:color w:val="auto"/>
        </w:rPr>
      </w:pPr>
      <w:r>
        <w:rPr>
          <w:rFonts w:ascii="Arial" w:cs="Arial" w:eastAsia="Arial" w:hAnsi="Arial"/>
          <w:sz w:val="22"/>
          <w:szCs w:val="22"/>
          <w:b w:val="1"/>
          <w:bCs w:val="1"/>
          <w:color w:val="auto"/>
        </w:rPr>
        <w:t>Part-Time Employment and Leaves of Absence</w:t>
      </w:r>
      <w:r>
        <w:rPr>
          <w:rFonts w:ascii="Arial" w:cs="Arial" w:eastAsia="Arial" w:hAnsi="Arial"/>
          <w:sz w:val="22"/>
          <w:szCs w:val="22"/>
          <w:color w:val="auto"/>
        </w:rPr>
        <w:t>. If you commence working on a part-time basis, then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may adjust the Service-Based Requirement set forth in the Notice of Restricted Stock Unit Award. If you go on a leave of absence, then, to the extent permitted by applicable law, the Company may adjust or suspend the Service-Based Requirement set forth in the Notice of Restricted Stock Unit Award. Except as provided in the preceding sentence, Service shall be deemed to continue for any purpose under this Agreement while you are on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leave of absence approved by the Company in writing. Service shall be deemed to terminate when such leave ends, unless you immediately return to active work when such leave ends.</w:t>
      </w:r>
    </w:p>
    <w:p>
      <w:pPr>
        <w:spacing w:after="0" w:line="18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RESTRICTIONS APPLICABLE TO RSUS.</w:t>
      </w:r>
    </w:p>
    <w:p>
      <w:pPr>
        <w:spacing w:after="0" w:line="226"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19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SETTLEMENT OF RSUS.</w:t>
      </w:r>
    </w:p>
    <w:p>
      <w:pPr>
        <w:spacing w:after="0" w:line="220" w:lineRule="exact"/>
        <w:rPr>
          <w:sz w:val="20"/>
          <w:szCs w:val="20"/>
          <w:color w:val="auto"/>
        </w:rPr>
      </w:pPr>
    </w:p>
    <w:p>
      <w:pPr>
        <w:ind w:right="60" w:firstLine="1628"/>
        <w:spacing w:after="0" w:line="286" w:lineRule="auto"/>
        <w:tabs>
          <w:tab w:leader="none" w:pos="2076" w:val="left"/>
        </w:tabs>
        <w:numPr>
          <w:ilvl w:val="0"/>
          <w:numId w:val="366"/>
        </w:numPr>
        <w:rPr>
          <w:rFonts w:ascii="Arial" w:cs="Arial" w:eastAsia="Arial" w:hAnsi="Arial"/>
          <w:sz w:val="20"/>
          <w:szCs w:val="20"/>
          <w:color w:val="auto"/>
        </w:rPr>
      </w:pPr>
      <w:r>
        <w:rPr>
          <w:rFonts w:ascii="Arial" w:cs="Arial" w:eastAsia="Arial" w:hAnsi="Arial"/>
          <w:sz w:val="20"/>
          <w:szCs w:val="20"/>
          <w:b w:val="1"/>
          <w:bCs w:val="1"/>
          <w:color w:val="auto"/>
        </w:rPr>
        <w:t>Settlement Date</w:t>
      </w:r>
      <w:r>
        <w:rPr>
          <w:rFonts w:ascii="Arial" w:cs="Arial" w:eastAsia="Arial" w:hAnsi="Arial"/>
          <w:sz w:val="20"/>
          <w:szCs w:val="20"/>
          <w:color w:val="auto"/>
        </w:rPr>
        <w:t>. Upon a Vesting Date with respect to a particular RSU, the Company will deliver one</w:t>
      </w:r>
      <w:r>
        <w:rPr>
          <w:rFonts w:ascii="Arial" w:cs="Arial" w:eastAsia="Arial" w:hAnsi="Arial"/>
          <w:sz w:val="20"/>
          <w:szCs w:val="20"/>
          <w:b w:val="1"/>
          <w:bCs w:val="1"/>
          <w:color w:val="auto"/>
        </w:rPr>
        <w:t xml:space="preserve"> </w:t>
      </w:r>
      <w:r>
        <w:rPr>
          <w:rFonts w:ascii="Arial" w:cs="Arial" w:eastAsia="Arial" w:hAnsi="Arial"/>
          <w:sz w:val="20"/>
          <w:szCs w:val="20"/>
          <w:color w:val="auto"/>
        </w:rPr>
        <w:t>Share for that RSU. Settlement shall occur on or following the Vesting Date, but not later than the Short Term Deferral End Date. For the sake of clarity, settlement of RSUs that become vested RSUs upon an IPO shall occur no later than the earlier of (i) the 185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IPO Date, (ii) the Short Term Deferral End Date or (iii) the Expiration Date.</w:t>
      </w:r>
    </w:p>
    <w:p>
      <w:pPr>
        <w:spacing w:after="0" w:line="63" w:lineRule="exact"/>
        <w:rPr>
          <w:rFonts w:ascii="Arial" w:cs="Arial" w:eastAsia="Arial" w:hAnsi="Arial"/>
          <w:sz w:val="20"/>
          <w:szCs w:val="20"/>
          <w:color w:val="auto"/>
        </w:rPr>
      </w:pPr>
    </w:p>
    <w:p>
      <w:pPr>
        <w:ind w:right="720" w:firstLine="1628"/>
        <w:spacing w:after="0" w:line="269" w:lineRule="auto"/>
        <w:tabs>
          <w:tab w:leader="none" w:pos="2088" w:val="left"/>
        </w:tabs>
        <w:numPr>
          <w:ilvl w:val="0"/>
          <w:numId w:val="366"/>
        </w:numPr>
        <w:rPr>
          <w:rFonts w:ascii="Arial" w:cs="Arial" w:eastAsia="Arial" w:hAnsi="Arial"/>
          <w:sz w:val="22"/>
          <w:szCs w:val="22"/>
          <w:color w:val="auto"/>
        </w:rPr>
      </w:pPr>
      <w:r>
        <w:rPr>
          <w:rFonts w:ascii="Arial" w:cs="Arial" w:eastAsia="Arial" w:hAnsi="Arial"/>
          <w:sz w:val="22"/>
          <w:szCs w:val="22"/>
          <w:b w:val="1"/>
          <w:bCs w:val="1"/>
          <w:color w:val="auto"/>
        </w:rPr>
        <w:t>Form of Delivery</w:t>
      </w:r>
      <w:r>
        <w:rPr>
          <w:rFonts w:ascii="Arial" w:cs="Arial" w:eastAsia="Arial" w:hAnsi="Arial"/>
          <w:sz w:val="22"/>
          <w:szCs w:val="22"/>
          <w:color w:val="auto"/>
        </w:rPr>
        <w:t>. The form of any delivery of Shares (e.g., a stock certificate or electronic entry</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such shares) shall be determined by the Company.</w:t>
      </w:r>
    </w:p>
    <w:p>
      <w:pPr>
        <w:spacing w:after="0" w:line="161" w:lineRule="exact"/>
        <w:rPr>
          <w:rFonts w:ascii="Arial" w:cs="Arial" w:eastAsia="Arial" w:hAnsi="Arial"/>
          <w:sz w:val="22"/>
          <w:szCs w:val="22"/>
          <w:color w:val="auto"/>
        </w:rPr>
      </w:pPr>
    </w:p>
    <w:p>
      <w:pPr>
        <w:ind w:right="280" w:firstLine="1628"/>
        <w:spacing w:after="0" w:line="269" w:lineRule="auto"/>
        <w:tabs>
          <w:tab w:leader="none" w:pos="2076" w:val="left"/>
        </w:tabs>
        <w:numPr>
          <w:ilvl w:val="0"/>
          <w:numId w:val="366"/>
        </w:numPr>
        <w:rPr>
          <w:rFonts w:ascii="Arial" w:cs="Arial" w:eastAsia="Arial" w:hAnsi="Arial"/>
          <w:sz w:val="22"/>
          <w:szCs w:val="22"/>
          <w:color w:val="auto"/>
        </w:rPr>
      </w:pPr>
      <w:r>
        <w:rPr>
          <w:rFonts w:ascii="Arial" w:cs="Arial" w:eastAsia="Arial" w:hAnsi="Arial"/>
          <w:sz w:val="22"/>
          <w:szCs w:val="22"/>
          <w:b w:val="1"/>
          <w:bCs w:val="1"/>
          <w:color w:val="auto"/>
        </w:rPr>
        <w:t>Legality of Issuance</w:t>
      </w:r>
      <w:r>
        <w:rPr>
          <w:rFonts w:ascii="Arial" w:cs="Arial" w:eastAsia="Arial" w:hAnsi="Arial"/>
          <w:sz w:val="22"/>
          <w:szCs w:val="22"/>
          <w:color w:val="auto"/>
        </w:rPr>
        <w:t>. No Shares shall be issued to you upon settlement of these RSUs unless and until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determined that (i) you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61" w:name="page562"/>
    <w:bookmarkEnd w:id="561"/>
    <w:p>
      <w:pPr>
        <w:spacing w:after="0" w:line="248" w:lineRule="auto"/>
        <w:rPr>
          <w:sz w:val="20"/>
          <w:szCs w:val="20"/>
          <w:color w:val="auto"/>
        </w:rPr>
      </w:pPr>
      <w:r>
        <w:rPr>
          <w:rFonts w:ascii="Arial" w:cs="Arial" w:eastAsia="Arial" w:hAnsi="Arial"/>
          <w:sz w:val="22"/>
          <w:szCs w:val="22"/>
          <w:color w:val="auto"/>
        </w:rPr>
        <w:t>Company have taken any actions required to register the Shares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in respect of the RSUs unless it is able to do so in compliance with applicable law.</w:t>
      </w:r>
    </w:p>
    <w:p>
      <w:pPr>
        <w:spacing w:after="0" w:line="186"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TAXES.</w:t>
      </w:r>
    </w:p>
    <w:p>
      <w:pPr>
        <w:spacing w:after="0" w:line="220" w:lineRule="exact"/>
        <w:rPr>
          <w:sz w:val="20"/>
          <w:szCs w:val="20"/>
          <w:color w:val="auto"/>
        </w:rPr>
      </w:pPr>
    </w:p>
    <w:p>
      <w:pPr>
        <w:ind w:right="20" w:firstLine="1628"/>
        <w:spacing w:after="0" w:line="285" w:lineRule="auto"/>
        <w:tabs>
          <w:tab w:leader="none" w:pos="2076" w:val="left"/>
        </w:tabs>
        <w:numPr>
          <w:ilvl w:val="1"/>
          <w:numId w:val="367"/>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No consideration will be paid to you in respect of this award unless you have made</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satisfactory to the Company and/or the Parent or Subsidiary employing you (your “</w:t>
      </w:r>
      <w:r>
        <w:rPr>
          <w:rFonts w:ascii="Arial" w:cs="Arial" w:eastAsia="Arial" w:hAnsi="Arial"/>
          <w:sz w:val="19"/>
          <w:szCs w:val="19"/>
          <w:b w:val="1"/>
          <w:bCs w:val="1"/>
          <w:color w:val="auto"/>
        </w:rPr>
        <w:t>Employer</w:t>
      </w:r>
      <w:r>
        <w:rPr>
          <w:rFonts w:ascii="Arial" w:cs="Arial" w:eastAsia="Arial" w:hAnsi="Arial"/>
          <w:sz w:val="19"/>
          <w:szCs w:val="19"/>
          <w:color w:val="auto"/>
        </w:rPr>
        <w:t>”) for the payment of all applicable federal, State, local and foreign income and employment withholding taxes which arise in connection with the vesting and/or settlement of these RSUs (the “</w:t>
      </w: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you fail to make such arrangements within a reasonable time, as determined by the Company, with respect to the Withholding Taxes that will arise or have arisen in connection with these RSUs, then you will permanently forfeit such RSUs. At the discretion of the Company, these arrangements may include (i) withholding from other compensation or amounts that are owed to you by your Employer, (ii) payment in cash,</w:t>
      </w:r>
    </w:p>
    <w:p>
      <w:pPr>
        <w:spacing w:after="0" w:line="3" w:lineRule="exact"/>
        <w:rPr>
          <w:rFonts w:ascii="Arial" w:cs="Arial" w:eastAsia="Arial" w:hAnsi="Arial"/>
          <w:sz w:val="19"/>
          <w:szCs w:val="19"/>
          <w:color w:val="auto"/>
        </w:rPr>
      </w:pPr>
    </w:p>
    <w:p>
      <w:pPr>
        <w:ind w:right="20" w:firstLine="8"/>
        <w:spacing w:after="0" w:line="288" w:lineRule="auto"/>
        <w:tabs>
          <w:tab w:leader="none" w:pos="378" w:val="left"/>
        </w:tabs>
        <w:numPr>
          <w:ilvl w:val="0"/>
          <w:numId w:val="368"/>
        </w:numPr>
        <w:rPr>
          <w:rFonts w:ascii="Arial" w:cs="Arial" w:eastAsia="Arial" w:hAnsi="Arial"/>
          <w:sz w:val="19"/>
          <w:szCs w:val="19"/>
          <w:color w:val="auto"/>
        </w:rPr>
      </w:pPr>
      <w:r>
        <w:rPr>
          <w:rFonts w:ascii="Arial" w:cs="Arial" w:eastAsia="Arial" w:hAnsi="Arial"/>
          <w:sz w:val="19"/>
          <w:szCs w:val="19"/>
          <w:color w:val="auto"/>
        </w:rPr>
        <w:t>if the Stock is publicly traded, payment from the proceeds of the sale of shares through a Company-approved broker, (iv) withholding a number of Shares that otherwise would be issued to you when the RSUs are settled, or (v) any other method permitted by the Company. If the Withholding Taxes are satisfied pursuant to clause (iv),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152" w:lineRule="exact"/>
        <w:rPr>
          <w:rFonts w:ascii="Arial" w:cs="Arial" w:eastAsia="Arial" w:hAnsi="Arial"/>
          <w:sz w:val="19"/>
          <w:szCs w:val="19"/>
          <w:color w:val="auto"/>
        </w:rPr>
      </w:pPr>
    </w:p>
    <w:p>
      <w:pPr>
        <w:ind w:right="20" w:firstLine="1628"/>
        <w:spacing w:after="0" w:line="287" w:lineRule="auto"/>
        <w:tabs>
          <w:tab w:leader="none" w:pos="2088" w:val="left"/>
        </w:tabs>
        <w:numPr>
          <w:ilvl w:val="1"/>
          <w:numId w:val="368"/>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settlement of these RSUs is intended to be exempt from the application of Code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pursuant to the “short-term deferral exemption” in Treasury Regulation 1.409A-1(b)(4) and shall be administered and interpreted in a manner that complies with such exemption. To the extent that any provision of this Agreement is ambiguous as to its exemption from Code Section 409A, the provision shall be read in such a manner so that all payments hereunder are exempt from Code Section 409A. Notwithstanding the foregoing, if this award of RSUs is interpreted as not being exempt from Code Section 409A, it shall be interpreted to comply with the requirements of Code Section 409A so that this award is not subject to additional tax or interest under Code Section 409A. In this regard, to the extent necessary to comply with or qualify for an exemption from Code Section 409A, any reference to “termination of employment” or similar terms will mean your “separation from service” within the meaning of Code Section 409A(2)(A)(i) (a “</w:t>
      </w:r>
      <w:r>
        <w:rPr>
          <w:rFonts w:ascii="Arial" w:cs="Arial" w:eastAsia="Arial" w:hAnsi="Arial"/>
          <w:sz w:val="19"/>
          <w:szCs w:val="19"/>
          <w:b w:val="1"/>
          <w:bCs w:val="1"/>
          <w:color w:val="auto"/>
        </w:rPr>
        <w:t>Separation</w:t>
      </w:r>
      <w:r>
        <w:rPr>
          <w:rFonts w:ascii="Arial" w:cs="Arial" w:eastAsia="Arial" w:hAnsi="Arial"/>
          <w:sz w:val="19"/>
          <w:szCs w:val="19"/>
          <w:color w:val="auto"/>
        </w:rPr>
        <w:t>”). In addition, if this award is payable upon your Separation and you are a “specified employee” of the Company or any affiliate thereof within the meaning of Code Section 409A(a)(2)(B)(i) on the day of your Separation, then no such payment shall be made prior to the date that is the earlier of (i) six months and one day after your Separation, or (ii) your death, but only to the extent such delay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7" w:right="379" w:bottom="1440" w:gutter="0" w:footer="0" w:header="0"/>
        </w:sectPr>
      </w:pPr>
    </w:p>
    <w:bookmarkStart w:id="562" w:name="page563"/>
    <w:bookmarkEnd w:id="562"/>
    <w:p>
      <w:pPr>
        <w:ind w:right="160"/>
        <w:spacing w:after="0" w:line="287" w:lineRule="auto"/>
        <w:rPr>
          <w:sz w:val="20"/>
          <w:szCs w:val="20"/>
          <w:color w:val="auto"/>
        </w:rPr>
      </w:pPr>
      <w:r>
        <w:rPr>
          <w:rFonts w:ascii="Arial" w:cs="Arial" w:eastAsia="Arial" w:hAnsi="Arial"/>
          <w:sz w:val="21"/>
          <w:szCs w:val="21"/>
          <w:color w:val="auto"/>
        </w:rPr>
        <w:t>necessary so that this award is not subject to additional tax or interest under Code Section 409A. Each installment of your RSUs that vests is intended to constitute a separate payment for purposes of Code Section 409A.</w:t>
      </w:r>
    </w:p>
    <w:p>
      <w:pPr>
        <w:spacing w:after="0" w:line="145"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RIGHT OF FIRST REFUSAL.</w:t>
      </w:r>
    </w:p>
    <w:p>
      <w:pPr>
        <w:spacing w:after="0" w:line="220" w:lineRule="exact"/>
        <w:rPr>
          <w:sz w:val="20"/>
          <w:szCs w:val="20"/>
          <w:color w:val="auto"/>
        </w:rPr>
      </w:pPr>
    </w:p>
    <w:p>
      <w:pPr>
        <w:ind w:firstLine="1628"/>
        <w:spacing w:after="0" w:line="289" w:lineRule="auto"/>
        <w:tabs>
          <w:tab w:leader="none" w:pos="2076" w:val="left"/>
        </w:tabs>
        <w:numPr>
          <w:ilvl w:val="0"/>
          <w:numId w:val="369"/>
        </w:numPr>
        <w:rPr>
          <w:rFonts w:ascii="Arial" w:cs="Arial" w:eastAsia="Arial" w:hAnsi="Arial"/>
          <w:sz w:val="19"/>
          <w:szCs w:val="19"/>
          <w:color w:val="auto"/>
        </w:rPr>
      </w:pPr>
      <w:r>
        <w:rPr>
          <w:rFonts w:ascii="Arial" w:cs="Arial" w:eastAsia="Arial" w:hAnsi="Arial"/>
          <w:sz w:val="19"/>
          <w:szCs w:val="19"/>
          <w:b w:val="1"/>
          <w:bCs w:val="1"/>
          <w:color w:val="auto"/>
        </w:rPr>
        <w:t>Right of First Refusal</w:t>
      </w:r>
      <w:r>
        <w:rPr>
          <w:rFonts w:ascii="Arial" w:cs="Arial" w:eastAsia="Arial" w:hAnsi="Arial"/>
          <w:sz w:val="19"/>
          <w:szCs w:val="19"/>
          <w:color w:val="auto"/>
        </w:rPr>
        <w:t>. In the event that you propose to sell, pledge or otherwise transfer to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acquired under this Agreement, or any interest in such Shares, the Company shall have the Right of First Refusal with respect to all (and not less than all) of such Shares. If you desire to transfer Shares acquired under this Agreement, you must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you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Section 6(b) below) by delivery of a notice of exercise of the Right of First Refusal within 30 days after the date when the Transfer Notice was received by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20" w:firstLine="1628"/>
        <w:spacing w:after="0" w:line="287" w:lineRule="auto"/>
        <w:tabs>
          <w:tab w:leader="none" w:pos="2088" w:val="left"/>
        </w:tabs>
        <w:numPr>
          <w:ilvl w:val="0"/>
          <w:numId w:val="369"/>
        </w:numPr>
        <w:rPr>
          <w:rFonts w:ascii="Arial" w:cs="Arial" w:eastAsia="Arial" w:hAnsi="Arial"/>
          <w:sz w:val="19"/>
          <w:szCs w:val="19"/>
          <w:color w:val="auto"/>
        </w:rPr>
      </w:pPr>
      <w:r>
        <w:rPr>
          <w:rFonts w:ascii="Arial" w:cs="Arial" w:eastAsia="Arial" w:hAnsi="Arial"/>
          <w:sz w:val="19"/>
          <w:szCs w:val="19"/>
          <w:b w:val="1"/>
          <w:bCs w:val="1"/>
          <w:color w:val="auto"/>
        </w:rPr>
        <w:t>Transfer of Shares</w:t>
      </w:r>
      <w:r>
        <w:rPr>
          <w:rFonts w:ascii="Arial" w:cs="Arial" w:eastAsia="Arial" w:hAnsi="Arial"/>
          <w:sz w:val="19"/>
          <w:szCs w:val="19"/>
          <w:color w:val="auto"/>
        </w:rPr>
        <w:t>. If the Company fails to exercise its Right of First Refusal within 30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when it received the Transfer Notice, you may, not later than 90 days following receipt of the Transfer Notice by the Company, conclude a transfer of the Shares subject to the Transfer Notice on the terms and conditions no less favorable to you than those described in the Transfer Notice, provided that any such sale is made in compliance with applicable federal, State and foreign securities laws and not in violation of any other contractual restrictions to which you are bound. Any proposed transfer on terms and conditions less favorable than those described in the Transfer Notice, as well as any subsequent proposed transfer by you, shall again be subject to the Right of First Refusal and shall require compliance with the procedure described in Section 6(a)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53" w:lineRule="exact"/>
        <w:rPr>
          <w:rFonts w:ascii="Arial" w:cs="Arial" w:eastAsia="Arial" w:hAnsi="Arial"/>
          <w:sz w:val="19"/>
          <w:szCs w:val="19"/>
          <w:color w:val="auto"/>
        </w:rPr>
      </w:pPr>
    </w:p>
    <w:p>
      <w:pPr>
        <w:ind w:right="180" w:firstLine="1628"/>
        <w:spacing w:after="0" w:line="264" w:lineRule="auto"/>
        <w:tabs>
          <w:tab w:leader="none" w:pos="2076" w:val="left"/>
        </w:tabs>
        <w:numPr>
          <w:ilvl w:val="0"/>
          <w:numId w:val="369"/>
        </w:numPr>
        <w:rPr>
          <w:rFonts w:ascii="Arial" w:cs="Arial" w:eastAsia="Arial" w:hAnsi="Arial"/>
          <w:sz w:val="21"/>
          <w:szCs w:val="21"/>
          <w:color w:val="auto"/>
        </w:rPr>
      </w:pPr>
      <w:r>
        <w:rPr>
          <w:rFonts w:ascii="Arial" w:cs="Arial" w:eastAsia="Arial" w:hAnsi="Arial"/>
          <w:sz w:val="21"/>
          <w:szCs w:val="21"/>
          <w:b w:val="1"/>
          <w:bCs w:val="1"/>
          <w:color w:val="auto"/>
        </w:rPr>
        <w:t>Additional or Exchanged Securities and Property</w:t>
      </w:r>
      <w:r>
        <w:rPr>
          <w:rFonts w:ascii="Arial" w:cs="Arial" w:eastAsia="Arial" w:hAnsi="Arial"/>
          <w:sz w:val="21"/>
          <w:szCs w:val="21"/>
          <w:color w:val="auto"/>
        </w:rPr>
        <w:t>. In the event of a merger or consolidation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563" w:name="page564"/>
    <w:bookmarkEnd w:id="563"/>
    <w:p>
      <w:pPr>
        <w:ind w:right="20"/>
        <w:spacing w:after="0" w:line="312" w:lineRule="auto"/>
        <w:rPr>
          <w:sz w:val="20"/>
          <w:szCs w:val="20"/>
          <w:color w:val="auto"/>
        </w:rPr>
      </w:pPr>
      <w:r>
        <w:rPr>
          <w:rFonts w:ascii="Arial" w:cs="Arial" w:eastAsia="Arial" w:hAnsi="Arial"/>
          <w:sz w:val="19"/>
          <w:szCs w:val="19"/>
          <w:color w:val="auto"/>
        </w:rPr>
        <w:t>equivalents) that are by reason of such transaction exchanged for, or distributed with respect to, any Shares subject to this Section 6 shall immediately be subject to the Right of First Refusal. Appropriate adjustments to reflect the exchange or distribution of such securities or property shall be made to the number and/or class of the Shares subject to this Section 6.</w:t>
      </w:r>
    </w:p>
    <w:p>
      <w:pPr>
        <w:spacing w:after="0" w:line="127" w:lineRule="exact"/>
        <w:rPr>
          <w:sz w:val="20"/>
          <w:szCs w:val="20"/>
          <w:color w:val="auto"/>
        </w:rPr>
      </w:pPr>
    </w:p>
    <w:p>
      <w:pPr>
        <w:ind w:right="80" w:firstLine="1628"/>
        <w:spacing w:after="0" w:line="252" w:lineRule="auto"/>
        <w:tabs>
          <w:tab w:leader="none" w:pos="2088" w:val="left"/>
        </w:tabs>
        <w:numPr>
          <w:ilvl w:val="0"/>
          <w:numId w:val="370"/>
        </w:numPr>
        <w:rPr>
          <w:rFonts w:ascii="Arial" w:cs="Arial" w:eastAsia="Arial" w:hAnsi="Arial"/>
          <w:sz w:val="22"/>
          <w:szCs w:val="22"/>
          <w:color w:val="auto"/>
        </w:rPr>
      </w:pPr>
      <w:r>
        <w:rPr>
          <w:rFonts w:ascii="Arial" w:cs="Arial" w:eastAsia="Arial" w:hAnsi="Arial"/>
          <w:sz w:val="22"/>
          <w:szCs w:val="22"/>
          <w:b w:val="1"/>
          <w:bCs w:val="1"/>
          <w:color w:val="auto"/>
        </w:rPr>
        <w:t>Termination of Right of First Refusal</w:t>
      </w:r>
      <w:r>
        <w:rPr>
          <w:rFonts w:ascii="Arial" w:cs="Arial" w:eastAsia="Arial" w:hAnsi="Arial"/>
          <w:sz w:val="22"/>
          <w:szCs w:val="22"/>
          <w:color w:val="auto"/>
        </w:rPr>
        <w:t>. Any other provision of this Section 6 notwithstanding,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the Stock is readily tradable on an established securities market when you desire to transfer Shares, the Company shall have no Right of First Refusal, and you shall have no obligation to comply with the procedures prescribed by Sections 6(a) and 6(b) above.</w:t>
      </w:r>
    </w:p>
    <w:p>
      <w:pPr>
        <w:spacing w:after="0" w:line="179" w:lineRule="exact"/>
        <w:rPr>
          <w:rFonts w:ascii="Arial" w:cs="Arial" w:eastAsia="Arial" w:hAnsi="Arial"/>
          <w:sz w:val="22"/>
          <w:szCs w:val="22"/>
          <w:color w:val="auto"/>
        </w:rPr>
      </w:pPr>
    </w:p>
    <w:p>
      <w:pPr>
        <w:ind w:firstLine="1628"/>
        <w:spacing w:after="0" w:line="295" w:lineRule="auto"/>
        <w:tabs>
          <w:tab w:leader="none" w:pos="2076" w:val="left"/>
        </w:tabs>
        <w:numPr>
          <w:ilvl w:val="0"/>
          <w:numId w:val="370"/>
        </w:numPr>
        <w:rPr>
          <w:rFonts w:ascii="Arial" w:cs="Arial" w:eastAsia="Arial" w:hAnsi="Arial"/>
          <w:sz w:val="19"/>
          <w:szCs w:val="19"/>
          <w:color w:val="auto"/>
        </w:rPr>
      </w:pPr>
      <w:r>
        <w:rPr>
          <w:rFonts w:ascii="Arial" w:cs="Arial" w:eastAsia="Arial" w:hAnsi="Arial"/>
          <w:sz w:val="19"/>
          <w:szCs w:val="19"/>
          <w:b w:val="1"/>
          <w:bCs w:val="1"/>
          <w:color w:val="auto"/>
        </w:rPr>
        <w:t>Permitted Transfers</w:t>
      </w:r>
      <w:r>
        <w:rPr>
          <w:rFonts w:ascii="Arial" w:cs="Arial" w:eastAsia="Arial" w:hAnsi="Arial"/>
          <w:sz w:val="19"/>
          <w:szCs w:val="19"/>
          <w:color w:val="auto"/>
        </w:rPr>
        <w:t>. This Section 6 shall not apply to (i) a transfer by beneficiary designation, will or</w:t>
      </w:r>
      <w:r>
        <w:rPr>
          <w:rFonts w:ascii="Arial" w:cs="Arial" w:eastAsia="Arial" w:hAnsi="Arial"/>
          <w:sz w:val="19"/>
          <w:szCs w:val="19"/>
          <w:b w:val="1"/>
          <w:bCs w:val="1"/>
          <w:color w:val="auto"/>
        </w:rPr>
        <w:t xml:space="preserve"> </w:t>
      </w:r>
      <w:r>
        <w:rPr>
          <w:rFonts w:ascii="Arial" w:cs="Arial" w:eastAsia="Arial" w:hAnsi="Arial"/>
          <w:sz w:val="19"/>
          <w:szCs w:val="19"/>
          <w:color w:val="auto"/>
        </w:rPr>
        <w:t>intestate succession or (ii) a transfer to one or more members of your Immediate Family or to a trust or other entity established by you solely for the benefit of you and/or one or more members of your Immediate Family, provided in either case that the Transferee agrees in writing on a form prescribed by the Company to be bound by all provisions of this Agreement. If you transfer any Shares acquired under this Agreement, either under this Section 6(e) or after the Company has failed to exercise the Right of First Refusal, then this Agreement shall apply to the Transferee to the same extent as to you.</w:t>
      </w:r>
    </w:p>
    <w:p>
      <w:pPr>
        <w:spacing w:after="0" w:line="143" w:lineRule="exact"/>
        <w:rPr>
          <w:rFonts w:ascii="Arial" w:cs="Arial" w:eastAsia="Arial" w:hAnsi="Arial"/>
          <w:sz w:val="19"/>
          <w:szCs w:val="19"/>
          <w:color w:val="auto"/>
        </w:rPr>
      </w:pPr>
    </w:p>
    <w:p>
      <w:pPr>
        <w:ind w:firstLine="1628"/>
        <w:spacing w:after="0" w:line="262" w:lineRule="auto"/>
        <w:tabs>
          <w:tab w:leader="none" w:pos="2052" w:val="left"/>
        </w:tabs>
        <w:numPr>
          <w:ilvl w:val="0"/>
          <w:numId w:val="370"/>
        </w:numPr>
        <w:rPr>
          <w:rFonts w:ascii="Arial" w:cs="Arial" w:eastAsia="Arial" w:hAnsi="Arial"/>
          <w:sz w:val="21"/>
          <w:szCs w:val="21"/>
          <w:color w:val="auto"/>
        </w:rPr>
      </w:pPr>
      <w:r>
        <w:rPr>
          <w:rFonts w:ascii="Arial" w:cs="Arial" w:eastAsia="Arial" w:hAnsi="Arial"/>
          <w:sz w:val="21"/>
          <w:szCs w:val="21"/>
          <w:b w:val="1"/>
          <w:bCs w:val="1"/>
          <w:color w:val="auto"/>
        </w:rPr>
        <w:t>Termination of Rights as Stockholder</w:t>
      </w:r>
      <w:r>
        <w:rPr>
          <w:rFonts w:ascii="Arial" w:cs="Arial" w:eastAsia="Arial" w:hAnsi="Arial"/>
          <w:sz w:val="21"/>
          <w:szCs w:val="21"/>
          <w:color w:val="auto"/>
        </w:rPr>
        <w:t>. If the Company makes available, at the time and place and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and form provided in this Agreement, the consideration for the Shares to be purchased in accordance with this Section 6,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3" w:lineRule="exact"/>
        <w:rPr>
          <w:rFonts w:ascii="Arial" w:cs="Arial" w:eastAsia="Arial" w:hAnsi="Arial"/>
          <w:sz w:val="21"/>
          <w:szCs w:val="21"/>
          <w:color w:val="auto"/>
        </w:rPr>
      </w:pPr>
    </w:p>
    <w:p>
      <w:pPr>
        <w:ind w:right="20" w:firstLine="1628"/>
        <w:spacing w:after="0" w:line="274" w:lineRule="auto"/>
        <w:tabs>
          <w:tab w:leader="none" w:pos="2088" w:val="left"/>
        </w:tabs>
        <w:numPr>
          <w:ilvl w:val="0"/>
          <w:numId w:val="370"/>
        </w:numPr>
        <w:rPr>
          <w:rFonts w:ascii="Arial" w:cs="Arial" w:eastAsia="Arial" w:hAnsi="Arial"/>
          <w:sz w:val="21"/>
          <w:szCs w:val="21"/>
          <w:color w:val="auto"/>
        </w:rPr>
      </w:pPr>
      <w:r>
        <w:rPr>
          <w:rFonts w:ascii="Arial" w:cs="Arial" w:eastAsia="Arial" w:hAnsi="Arial"/>
          <w:sz w:val="21"/>
          <w:szCs w:val="21"/>
          <w:b w:val="1"/>
          <w:bCs w:val="1"/>
          <w:color w:val="auto"/>
        </w:rPr>
        <w:t>Assignment of Right of First Refusal</w:t>
      </w:r>
      <w:r>
        <w:rPr>
          <w:rFonts w:ascii="Arial" w:cs="Arial" w:eastAsia="Arial" w:hAnsi="Arial"/>
          <w:sz w:val="21"/>
          <w:szCs w:val="21"/>
          <w:color w:val="auto"/>
        </w:rPr>
        <w:t>. The Board of Directors may freely assign the Company’s Right</w:t>
      </w:r>
      <w:r>
        <w:rPr>
          <w:rFonts w:ascii="Arial" w:cs="Arial" w:eastAsia="Arial" w:hAnsi="Arial"/>
          <w:sz w:val="21"/>
          <w:szCs w:val="21"/>
          <w:b w:val="1"/>
          <w:bCs w:val="1"/>
          <w:color w:val="auto"/>
        </w:rPr>
        <w:t xml:space="preserve"> </w:t>
      </w:r>
      <w:r>
        <w:rPr>
          <w:rFonts w:ascii="Arial" w:cs="Arial" w:eastAsia="Arial" w:hAnsi="Arial"/>
          <w:sz w:val="21"/>
          <w:szCs w:val="21"/>
          <w:color w:val="auto"/>
        </w:rPr>
        <w:t>of First Refusal, in whole or in part. Any person who accepts an assignment of the Right of First Refusal from the Company shall be entitled to and assume all of the Company’s rights and obligations under this Section 6.</w:t>
      </w:r>
    </w:p>
    <w:p>
      <w:pPr>
        <w:spacing w:after="0" w:line="158"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RESTRICTIONS APPLICABLE TO SHARES.</w:t>
      </w:r>
    </w:p>
    <w:p>
      <w:pPr>
        <w:spacing w:after="0" w:line="220" w:lineRule="exact"/>
        <w:rPr>
          <w:sz w:val="20"/>
          <w:szCs w:val="20"/>
          <w:color w:val="auto"/>
        </w:rPr>
      </w:pPr>
    </w:p>
    <w:p>
      <w:pPr>
        <w:ind w:right="420" w:firstLine="1628"/>
        <w:spacing w:after="0" w:line="252" w:lineRule="auto"/>
        <w:tabs>
          <w:tab w:leader="none" w:pos="2076" w:val="left"/>
        </w:tabs>
        <w:numPr>
          <w:ilvl w:val="0"/>
          <w:numId w:val="371"/>
        </w:numPr>
        <w:rPr>
          <w:rFonts w:ascii="Arial" w:cs="Arial" w:eastAsia="Arial" w:hAnsi="Arial"/>
          <w:sz w:val="22"/>
          <w:szCs w:val="22"/>
          <w:color w:val="auto"/>
        </w:rPr>
      </w:pPr>
      <w:r>
        <w:rPr>
          <w:rFonts w:ascii="Arial" w:cs="Arial" w:eastAsia="Arial" w:hAnsi="Arial"/>
          <w:sz w:val="22"/>
          <w:szCs w:val="22"/>
          <w:b w:val="1"/>
          <w:bCs w:val="1"/>
          <w:color w:val="auto"/>
        </w:rPr>
        <w:t>General Restrictions</w:t>
      </w:r>
      <w:r>
        <w:rPr>
          <w:rFonts w:ascii="Arial" w:cs="Arial" w:eastAsia="Arial" w:hAnsi="Arial"/>
          <w:sz w:val="22"/>
          <w:szCs w:val="22"/>
          <w:color w:val="auto"/>
        </w:rPr>
        <w:t>. Unless the Stock is readily tradeable on an established securities market,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any of the Shares acquired pursuant to this Agreement (or any interest therein) shall, at the Company’s request, be condition upon (i) effecting such transfer pursuant to a form of stock transfer agreement prescribed by the Company and (ii) payment of a transfer fee not to exceed $5,000.</w:t>
      </w:r>
    </w:p>
    <w:p>
      <w:pPr>
        <w:spacing w:after="0" w:line="179" w:lineRule="exact"/>
        <w:rPr>
          <w:rFonts w:ascii="Arial" w:cs="Arial" w:eastAsia="Arial" w:hAnsi="Arial"/>
          <w:sz w:val="22"/>
          <w:szCs w:val="22"/>
          <w:color w:val="auto"/>
        </w:rPr>
      </w:pPr>
    </w:p>
    <w:p>
      <w:pPr>
        <w:ind w:right="120" w:firstLine="1628"/>
        <w:spacing w:after="0" w:line="315" w:lineRule="auto"/>
        <w:tabs>
          <w:tab w:leader="none" w:pos="2088" w:val="left"/>
        </w:tabs>
        <w:numPr>
          <w:ilvl w:val="0"/>
          <w:numId w:val="371"/>
        </w:numPr>
        <w:rPr>
          <w:rFonts w:ascii="Arial" w:cs="Arial" w:eastAsia="Arial" w:hAnsi="Arial"/>
          <w:sz w:val="19"/>
          <w:szCs w:val="19"/>
          <w:color w:val="auto"/>
        </w:rPr>
      </w:pPr>
      <w:r>
        <w:rPr>
          <w:rFonts w:ascii="Arial" w:cs="Arial" w:eastAsia="Arial" w:hAnsi="Arial"/>
          <w:sz w:val="19"/>
          <w:szCs w:val="19"/>
          <w:b w:val="1"/>
          <w:bCs w:val="1"/>
          <w:color w:val="auto"/>
        </w:rPr>
        <w:t>Securities Law Restrictions</w:t>
      </w:r>
      <w:r>
        <w:rPr>
          <w:rFonts w:ascii="Arial" w:cs="Arial" w:eastAsia="Arial" w:hAnsi="Arial"/>
          <w:sz w:val="19"/>
          <w:szCs w:val="19"/>
          <w:color w:val="auto"/>
        </w:rPr>
        <w:t>. Regardless of whether the offering and sale of Shares under the Plan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registered under the Securities Act or have been registered or qualified under the securities laws of any State or other relevant jurisdiction, the Company at its discretion may impose restrictions upon the sale, pledge or other transfer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7" w:right="359" w:bottom="1440" w:gutter="0" w:footer="0" w:header="0"/>
        </w:sectPr>
      </w:pPr>
    </w:p>
    <w:bookmarkStart w:id="564" w:name="page565"/>
    <w:bookmarkEnd w:id="564"/>
    <w:p>
      <w:pPr>
        <w:ind w:right="80"/>
        <w:spacing w:after="0" w:line="290" w:lineRule="auto"/>
        <w:rPr>
          <w:sz w:val="20"/>
          <w:szCs w:val="20"/>
          <w:color w:val="auto"/>
        </w:rPr>
      </w:pPr>
      <w:r>
        <w:rPr>
          <w:rFonts w:ascii="Arial" w:cs="Arial" w:eastAsia="Arial" w:hAnsi="Arial"/>
          <w:sz w:val="19"/>
          <w:szCs w:val="19"/>
          <w:color w:val="auto"/>
        </w:rPr>
        <w:t>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150" w:lineRule="exact"/>
        <w:rPr>
          <w:sz w:val="20"/>
          <w:szCs w:val="20"/>
          <w:color w:val="auto"/>
        </w:rPr>
      </w:pPr>
    </w:p>
    <w:p>
      <w:pPr>
        <w:ind w:firstLine="1628"/>
        <w:spacing w:after="0" w:line="285" w:lineRule="auto"/>
        <w:tabs>
          <w:tab w:leader="none" w:pos="2076" w:val="left"/>
        </w:tabs>
        <w:numPr>
          <w:ilvl w:val="0"/>
          <w:numId w:val="372"/>
        </w:numPr>
        <w:rPr>
          <w:rFonts w:ascii="Arial" w:cs="Arial" w:eastAsia="Arial" w:hAnsi="Arial"/>
          <w:sz w:val="19"/>
          <w:szCs w:val="19"/>
          <w:color w:val="auto"/>
        </w:rPr>
      </w:pPr>
      <w:r>
        <w:rPr>
          <w:rFonts w:ascii="Arial" w:cs="Arial" w:eastAsia="Arial" w:hAnsi="Arial"/>
          <w:sz w:val="19"/>
          <w:szCs w:val="19"/>
          <w:b w:val="1"/>
          <w:bCs w:val="1"/>
          <w:color w:val="auto"/>
        </w:rPr>
        <w:t>Market Stand-Off</w:t>
      </w:r>
      <w:r>
        <w:rPr>
          <w:rFonts w:ascii="Arial" w:cs="Arial" w:eastAsia="Arial" w:hAnsi="Arial"/>
          <w:sz w:val="19"/>
          <w:szCs w:val="19"/>
          <w:color w:val="auto"/>
        </w:rPr>
        <w:t>. In connection with any underwritten public offering by the Company of its equity</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pursuant to an effective 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9"/>
          <w:szCs w:val="19"/>
          <w:b w:val="1"/>
          <w:bCs w:val="1"/>
          <w:color w:val="auto"/>
        </w:rPr>
        <w:t>Market Stand-Off</w:t>
      </w:r>
      <w:r>
        <w:rPr>
          <w:rFonts w:ascii="Arial" w:cs="Arial" w:eastAsia="Arial" w:hAnsi="Arial"/>
          <w:sz w:val="19"/>
          <w:szCs w:val="19"/>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Section 7(c). This Section 7(c) shall not apply to Shares registered in the public offering under the Securities Act.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160" w:firstLine="1628"/>
        <w:spacing w:after="0" w:line="269" w:lineRule="auto"/>
        <w:tabs>
          <w:tab w:leader="none" w:pos="2088" w:val="left"/>
        </w:tabs>
        <w:numPr>
          <w:ilvl w:val="0"/>
          <w:numId w:val="372"/>
        </w:numPr>
        <w:rPr>
          <w:rFonts w:ascii="Arial" w:cs="Arial" w:eastAsia="Arial" w:hAnsi="Arial"/>
          <w:sz w:val="22"/>
          <w:szCs w:val="22"/>
          <w:color w:val="auto"/>
        </w:rPr>
      </w:pPr>
      <w:r>
        <w:rPr>
          <w:rFonts w:ascii="Arial" w:cs="Arial" w:eastAsia="Arial" w:hAnsi="Arial"/>
          <w:sz w:val="22"/>
          <w:szCs w:val="22"/>
          <w:b w:val="1"/>
          <w:bCs w:val="1"/>
          <w:color w:val="auto"/>
        </w:rPr>
        <w:t>Investment Intent at Grant</w:t>
      </w:r>
      <w:r>
        <w:rPr>
          <w:rFonts w:ascii="Arial" w:cs="Arial" w:eastAsia="Arial" w:hAnsi="Arial"/>
          <w:sz w:val="22"/>
          <w:szCs w:val="22"/>
          <w:color w:val="auto"/>
        </w:rPr>
        <w:t>. You represent and agree that the Shares to be acquired upon 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these RSUs will be acquired for investment, and not with a view to the sale or distribution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7" w:right="359" w:bottom="1440" w:gutter="0" w:footer="0" w:header="0"/>
        </w:sectPr>
      </w:pPr>
    </w:p>
    <w:bookmarkStart w:id="565" w:name="page566"/>
    <w:bookmarkEnd w:id="565"/>
    <w:p>
      <w:pPr>
        <w:ind w:right="80" w:firstLine="1628"/>
        <w:spacing w:after="0" w:line="264" w:lineRule="auto"/>
        <w:tabs>
          <w:tab w:leader="none" w:pos="2076" w:val="left"/>
        </w:tabs>
        <w:numPr>
          <w:ilvl w:val="0"/>
          <w:numId w:val="373"/>
        </w:numPr>
        <w:rPr>
          <w:rFonts w:ascii="Arial" w:cs="Arial" w:eastAsia="Arial" w:hAnsi="Arial"/>
          <w:sz w:val="21"/>
          <w:szCs w:val="21"/>
          <w:color w:val="auto"/>
        </w:rPr>
      </w:pPr>
      <w:r>
        <w:rPr>
          <w:rFonts w:ascii="Arial" w:cs="Arial" w:eastAsia="Arial" w:hAnsi="Arial"/>
          <w:sz w:val="21"/>
          <w:szCs w:val="21"/>
          <w:b w:val="1"/>
          <w:bCs w:val="1"/>
          <w:color w:val="auto"/>
        </w:rPr>
        <w:t>Investment Intent at Settlement</w:t>
      </w:r>
      <w:r>
        <w:rPr>
          <w:rFonts w:ascii="Arial" w:cs="Arial" w:eastAsia="Arial" w:hAnsi="Arial"/>
          <w:sz w:val="21"/>
          <w:szCs w:val="21"/>
          <w:color w:val="auto"/>
        </w:rPr>
        <w:t>. In the event that the sale of Shares under the Plan is not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Securities Act but an exemption is available that requires an investment representation or other representation, you shall represent and agree at the time of issuance that the Shares being acquired upon settlement of these RSUs are being acquired for investment, and not with a view to the sale or distribution thereof, and shall make such other representations as are deemed necessary or appropriate by the Company and its counsel.</w:t>
      </w:r>
    </w:p>
    <w:p>
      <w:pPr>
        <w:spacing w:after="0" w:line="170" w:lineRule="exact"/>
        <w:rPr>
          <w:rFonts w:ascii="Arial" w:cs="Arial" w:eastAsia="Arial" w:hAnsi="Arial"/>
          <w:sz w:val="21"/>
          <w:szCs w:val="21"/>
          <w:color w:val="auto"/>
        </w:rPr>
      </w:pPr>
    </w:p>
    <w:p>
      <w:pPr>
        <w:ind w:right="60" w:firstLine="1628"/>
        <w:spacing w:after="0" w:line="252" w:lineRule="auto"/>
        <w:tabs>
          <w:tab w:leader="none" w:pos="2052" w:val="left"/>
        </w:tabs>
        <w:numPr>
          <w:ilvl w:val="0"/>
          <w:numId w:val="373"/>
        </w:numPr>
        <w:rPr>
          <w:rFonts w:ascii="Arial" w:cs="Arial" w:eastAsia="Arial" w:hAnsi="Arial"/>
          <w:sz w:val="22"/>
          <w:szCs w:val="22"/>
          <w:color w:val="auto"/>
        </w:rPr>
      </w:pPr>
      <w:r>
        <w:rPr>
          <w:rFonts w:ascii="Arial" w:cs="Arial" w:eastAsia="Arial" w:hAnsi="Arial"/>
          <w:sz w:val="22"/>
          <w:szCs w:val="22"/>
          <w:b w:val="1"/>
          <w:bCs w:val="1"/>
          <w:color w:val="auto"/>
        </w:rPr>
        <w:t>Rights of the Company</w:t>
      </w:r>
      <w:r>
        <w:rPr>
          <w:rFonts w:ascii="Arial" w:cs="Arial" w:eastAsia="Arial" w:hAnsi="Arial"/>
          <w:sz w:val="22"/>
          <w:szCs w:val="22"/>
          <w:color w:val="auto"/>
        </w:rPr>
        <w:t>. The Company shall not be required to (i) transfer on its books any Shares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sold or transferred in contravention of this Agreement or (ii) treat as the owner of Shares, or otherwise to accord voting, dividend or liquidation rights to, any Transferee to whom the Shares have been transferred in contravention of this Agreement.</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0"/>
          <w:numId w:val="373"/>
        </w:numPr>
        <w:rPr>
          <w:rFonts w:ascii="Arial" w:cs="Arial" w:eastAsia="Arial" w:hAnsi="Arial"/>
          <w:sz w:val="19"/>
          <w:szCs w:val="19"/>
          <w:color w:val="auto"/>
        </w:rPr>
      </w:pPr>
      <w:r>
        <w:rPr>
          <w:rFonts w:ascii="Arial" w:cs="Arial" w:eastAsia="Arial" w:hAnsi="Arial"/>
          <w:sz w:val="19"/>
          <w:szCs w:val="19"/>
          <w:b w:val="1"/>
          <w:bCs w:val="1"/>
          <w:color w:val="auto"/>
        </w:rPr>
        <w:t>Legends</w:t>
      </w:r>
      <w:r>
        <w:rPr>
          <w:rFonts w:ascii="Arial" w:cs="Arial" w:eastAsia="Arial" w:hAnsi="Arial"/>
          <w:sz w:val="19"/>
          <w:szCs w:val="19"/>
          <w:color w:val="auto"/>
        </w:rPr>
        <w:t>. All certificates evidencing the Shares issued under this Agreement shall bear the following</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legend:</w:t>
      </w:r>
    </w:p>
    <w:p>
      <w:pPr>
        <w:spacing w:after="0" w:line="202" w:lineRule="exact"/>
        <w:rPr>
          <w:sz w:val="20"/>
          <w:szCs w:val="20"/>
          <w:color w:val="auto"/>
        </w:rPr>
      </w:pPr>
    </w:p>
    <w:p>
      <w:pPr>
        <w:jc w:val="both"/>
        <w:ind w:left="660" w:right="640"/>
        <w:spacing w:after="0" w:line="245" w:lineRule="auto"/>
        <w:rPr>
          <w:sz w:val="20"/>
          <w:szCs w:val="20"/>
          <w:color w:val="auto"/>
        </w:rPr>
      </w:pPr>
      <w:r>
        <w:rPr>
          <w:rFonts w:ascii="Arial" w:cs="Arial" w:eastAsia="Arial" w:hAnsi="Arial"/>
          <w:sz w:val="22"/>
          <w:szCs w:val="22"/>
          <w:color w:val="auto"/>
        </w:rPr>
        <w:t>“THE SHARES REPRESENTED HEREBY (AND ANY INTEREST THEREIN) MAY NOT BE SOLD, ASSIGNED, TRANSFERRED, ENCUMBERED OR IN ANY MANNER DISPOSED OF, EXCEPT IN COMPLIANCE WITH THE TERMS OF THE RESTRICTED STOCK UNIT AGREEMENT PURSUANT TO WHICH SUCH SHARES WERE ACQUIRED. SUCH AGREEMENT GRANTS TO THE COMPANY CERTAIN RIGHTS OF FIRST REFUSAL UPON AN ATTEMPTED TRANSFER OF THE SHARES. IN ADDITION,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20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All certificates evidencing Shares issued under this Agreement in an unregistered transaction shall bear the following legend (and such other restrictive legends as are required or deemed advisable under the provisions of any applicable law):</w:t>
      </w:r>
    </w:p>
    <w:p>
      <w:pPr>
        <w:spacing w:after="0" w:line="104" w:lineRule="exact"/>
        <w:rPr>
          <w:sz w:val="20"/>
          <w:szCs w:val="20"/>
          <w:color w:val="auto"/>
        </w:rPr>
      </w:pPr>
    </w:p>
    <w:p>
      <w:pPr>
        <w:jc w:val="both"/>
        <w:ind w:left="660" w:right="640"/>
        <w:spacing w:after="0" w:line="245" w:lineRule="auto"/>
        <w:rPr>
          <w:sz w:val="20"/>
          <w:szCs w:val="20"/>
          <w:color w:val="auto"/>
        </w:rPr>
      </w:pPr>
      <w:r>
        <w:rPr>
          <w:rFonts w:ascii="Arial" w:cs="Arial" w:eastAsia="Arial" w:hAnsi="Arial"/>
          <w:sz w:val="22"/>
          <w:szCs w:val="22"/>
          <w:color w:val="auto"/>
        </w:rPr>
        <w:t>“THE SHARES REPRESENTED HEREBY HAVE NOT BEEN REGISTERED UNDER THE SECURITIES ACT OF 1933, AS AMENDED (THE “ACT”) OR ANY SECURITIES LAWS OF ANY U.S. STATE, AND MAY NOT BE SOLD, REOFFERED, PLEDGED, ASSIGNED, ENCUMBERED OR OTHERWISE TRANSFERRED OR DISPOSED OF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566" w:name="page567"/>
    <w:bookmarkEnd w:id="566"/>
    <w:p>
      <w:pPr>
        <w:jc w:val="both"/>
        <w:ind w:left="660" w:right="660"/>
        <w:spacing w:after="0" w:line="287" w:lineRule="auto"/>
        <w:rPr>
          <w:sz w:val="20"/>
          <w:szCs w:val="20"/>
          <w:color w:val="auto"/>
        </w:rPr>
      </w:pPr>
      <w:r>
        <w:rPr>
          <w:rFonts w:ascii="Arial" w:cs="Arial" w:eastAsia="Arial" w:hAnsi="Arial"/>
          <w:sz w:val="21"/>
          <w:szCs w:val="21"/>
          <w:color w:val="auto"/>
        </w:rPr>
        <w:t>ENCUMBERED OR OTHERWISE TRANSFERRED OR DISPOSED OF. HEDGING TRANSACTIONS INVOLVING THESE SHARES MAY NOT BE CONDUCTED UNLESS IN COMPLIANCE WITH THE ACT.”</w:t>
      </w:r>
    </w:p>
    <w:p>
      <w:pPr>
        <w:spacing w:after="0" w:line="145" w:lineRule="exact"/>
        <w:rPr>
          <w:sz w:val="20"/>
          <w:szCs w:val="20"/>
          <w:color w:val="auto"/>
        </w:rPr>
      </w:pPr>
    </w:p>
    <w:p>
      <w:pPr>
        <w:ind w:right="20" w:firstLine="1628"/>
        <w:spacing w:after="0" w:line="315" w:lineRule="auto"/>
        <w:tabs>
          <w:tab w:leader="none" w:pos="2088" w:val="left"/>
        </w:tabs>
        <w:numPr>
          <w:ilvl w:val="0"/>
          <w:numId w:val="374"/>
        </w:numPr>
        <w:rPr>
          <w:rFonts w:ascii="Arial" w:cs="Arial" w:eastAsia="Arial" w:hAnsi="Arial"/>
          <w:sz w:val="19"/>
          <w:szCs w:val="19"/>
          <w:color w:val="auto"/>
        </w:rPr>
      </w:pPr>
      <w:r>
        <w:rPr>
          <w:rFonts w:ascii="Arial" w:cs="Arial" w:eastAsia="Arial" w:hAnsi="Arial"/>
          <w:sz w:val="19"/>
          <w:szCs w:val="19"/>
          <w:b w:val="1"/>
          <w:bCs w:val="1"/>
          <w:color w:val="auto"/>
        </w:rPr>
        <w:t>Removal of Legends</w:t>
      </w:r>
      <w:r>
        <w:rPr>
          <w:rFonts w:ascii="Arial" w:cs="Arial" w:eastAsia="Arial" w:hAnsi="Arial"/>
          <w:sz w:val="19"/>
          <w:szCs w:val="19"/>
          <w:color w:val="auto"/>
        </w:rPr>
        <w:t>. If, in the opinion of the Company and its counsel, any legend placed on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Shares issued under this Agreement is no longer required, the holder of such certificate shall be entitled to exchange such certificate for a certificate representing the same number of Shares but without such legend.</w:t>
      </w:r>
    </w:p>
    <w:p>
      <w:pPr>
        <w:spacing w:after="0" w:line="125" w:lineRule="exact"/>
        <w:rPr>
          <w:rFonts w:ascii="Arial" w:cs="Arial" w:eastAsia="Arial" w:hAnsi="Arial"/>
          <w:sz w:val="19"/>
          <w:szCs w:val="19"/>
          <w:color w:val="auto"/>
        </w:rPr>
      </w:pPr>
    </w:p>
    <w:p>
      <w:pPr>
        <w:ind w:right="640" w:firstLine="1628"/>
        <w:spacing w:after="0" w:line="269" w:lineRule="auto"/>
        <w:tabs>
          <w:tab w:leader="none" w:pos="2040" w:val="left"/>
        </w:tabs>
        <w:numPr>
          <w:ilvl w:val="0"/>
          <w:numId w:val="374"/>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Any determination by the Company and its counsel in connection with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set forth in this Section 7 shall be conclusive and binding on you and all other persons.</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ADJUSTMENT OF SHARES.</w:t>
      </w:r>
    </w:p>
    <w:p>
      <w:pPr>
        <w:spacing w:after="0" w:line="226" w:lineRule="exact"/>
        <w:rPr>
          <w:sz w:val="20"/>
          <w:szCs w:val="20"/>
          <w:color w:val="auto"/>
        </w:rPr>
      </w:pPr>
    </w:p>
    <w:p>
      <w:pPr>
        <w:jc w:val="both"/>
        <w:ind w:firstLine="1620"/>
        <w:spacing w:after="0" w:line="290" w:lineRule="auto"/>
        <w:rPr>
          <w:sz w:val="20"/>
          <w:szCs w:val="20"/>
          <w:color w:val="auto"/>
        </w:rPr>
      </w:pPr>
      <w:r>
        <w:rPr>
          <w:rFonts w:ascii="Arial" w:cs="Arial" w:eastAsia="Arial" w:hAnsi="Arial"/>
          <w:sz w:val="19"/>
          <w:szCs w:val="19"/>
          <w:color w:val="auto"/>
        </w:rPr>
        <w:t>In the event of any transaction described in Section 9(a) of the Plan, the terms of these RSUs (including, without limitation, the number and kind of shares subject to these RSUs) shall be adjusted as set forth in Section 9(a) of the Plan. In the event that the Company is a party to a merger or consolidation or in the event of a sale of all or substantially all of the Company’s stock or assets, your RSUs shall be subject to the treatment provided by the Board of Directors in its sole discretion, as provided in Section 9(b) of the Plan; provided, however, that any action taken must either preserve the exemption of your RSUs from Code Section 409A or comply with Code Section 409A.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5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MISCELLANEOUS PROVISIONS.</w:t>
      </w:r>
    </w:p>
    <w:p>
      <w:pPr>
        <w:spacing w:after="0" w:line="220" w:lineRule="exact"/>
        <w:rPr>
          <w:sz w:val="20"/>
          <w:szCs w:val="20"/>
          <w:color w:val="auto"/>
        </w:rPr>
      </w:pPr>
    </w:p>
    <w:p>
      <w:pPr>
        <w:ind w:right="20" w:firstLine="1628"/>
        <w:spacing w:after="0" w:line="267" w:lineRule="auto"/>
        <w:tabs>
          <w:tab w:leader="none" w:pos="2076" w:val="left"/>
        </w:tabs>
        <w:numPr>
          <w:ilvl w:val="0"/>
          <w:numId w:val="375"/>
        </w:numPr>
        <w:rPr>
          <w:rFonts w:ascii="Arial" w:cs="Arial" w:eastAsia="Arial" w:hAnsi="Arial"/>
          <w:sz w:val="21"/>
          <w:szCs w:val="21"/>
          <w:color w:val="auto"/>
        </w:rPr>
      </w:pPr>
      <w:r>
        <w:rPr>
          <w:rFonts w:ascii="Arial" w:cs="Arial" w:eastAsia="Arial" w:hAnsi="Arial"/>
          <w:sz w:val="21"/>
          <w:szCs w:val="21"/>
          <w:b w:val="1"/>
          <w:bCs w:val="1"/>
          <w:color w:val="auto"/>
        </w:rPr>
        <w:t>No Retention Rights</w:t>
      </w:r>
      <w:r>
        <w:rPr>
          <w:rFonts w:ascii="Arial" w:cs="Arial" w:eastAsia="Arial" w:hAnsi="Arial"/>
          <w:sz w:val="21"/>
          <w:szCs w:val="21"/>
          <w:color w:val="auto"/>
        </w:rPr>
        <w:t>. Nothing in this Agreement or in the Plan shall confer upon you the right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Service in any capacity for any period of specific duration or interfere with or otherwise restrict in any way the rights of the Company (or any Parent or Subsidiary employing or retaining you) or you, which rights are hereby expressly reserved by each, to terminate your Service at any time and for any reason, with or without cause.</w:t>
      </w:r>
    </w:p>
    <w:p>
      <w:pPr>
        <w:spacing w:after="0" w:line="167" w:lineRule="exact"/>
        <w:rPr>
          <w:rFonts w:ascii="Arial" w:cs="Arial" w:eastAsia="Arial" w:hAnsi="Arial"/>
          <w:sz w:val="21"/>
          <w:szCs w:val="21"/>
          <w:color w:val="auto"/>
        </w:rPr>
      </w:pPr>
    </w:p>
    <w:p>
      <w:pPr>
        <w:ind w:right="20" w:firstLine="1628"/>
        <w:spacing w:after="0" w:line="261" w:lineRule="auto"/>
        <w:tabs>
          <w:tab w:leader="none" w:pos="2088" w:val="left"/>
        </w:tabs>
        <w:numPr>
          <w:ilvl w:val="0"/>
          <w:numId w:val="375"/>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Any notice required by the terms of this Agreement shall be given in writing. It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9(b). In addition, to the extent required or permitted pursuant to rules established by the Company from time to time, notices may be delivered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7" w:right="339" w:bottom="1440" w:gutter="0" w:footer="0" w:header="0"/>
        </w:sectPr>
      </w:pPr>
    </w:p>
    <w:bookmarkStart w:id="567" w:name="page568"/>
    <w:bookmarkEnd w:id="567"/>
    <w:p>
      <w:pPr>
        <w:ind w:right="160" w:firstLine="1628"/>
        <w:spacing w:after="0" w:line="249" w:lineRule="auto"/>
        <w:tabs>
          <w:tab w:leader="none" w:pos="2076" w:val="left"/>
        </w:tabs>
        <w:numPr>
          <w:ilvl w:val="0"/>
          <w:numId w:val="376"/>
        </w:numPr>
        <w:rPr>
          <w:rFonts w:ascii="Arial" w:cs="Arial" w:eastAsia="Arial" w:hAnsi="Arial"/>
          <w:sz w:val="22"/>
          <w:szCs w:val="22"/>
          <w:color w:val="auto"/>
        </w:rPr>
      </w:pPr>
      <w:r>
        <w:rPr>
          <w:rFonts w:ascii="Arial" w:cs="Arial" w:eastAsia="Arial" w:hAnsi="Arial"/>
          <w:sz w:val="22"/>
          <w:szCs w:val="22"/>
          <w:b w:val="1"/>
          <w:bCs w:val="1"/>
          <w:color w:val="auto"/>
        </w:rPr>
        <w:t>Modifications and Waivers</w:t>
      </w:r>
      <w:r>
        <w:rPr>
          <w:rFonts w:ascii="Arial" w:cs="Arial" w:eastAsia="Arial" w:hAnsi="Arial"/>
          <w:sz w:val="22"/>
          <w:szCs w:val="22"/>
          <w:color w:val="auto"/>
        </w:rPr>
        <w:t>. No provision of this Agreement shall be modified, waived or discharged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modification, waiver or discharge is agreed to in 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22"/>
          <w:szCs w:val="22"/>
          <w:color w:val="auto"/>
        </w:rPr>
      </w:pPr>
    </w:p>
    <w:p>
      <w:pPr>
        <w:ind w:right="180" w:firstLine="1628"/>
        <w:spacing w:after="0" w:line="252" w:lineRule="auto"/>
        <w:tabs>
          <w:tab w:leader="none" w:pos="2088" w:val="left"/>
        </w:tabs>
        <w:numPr>
          <w:ilvl w:val="0"/>
          <w:numId w:val="376"/>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Notice of Restricted Stock Unit Award,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you and the Company regarding the subject matter hereof. They supersede any other agreements, representations or understandings (whether oral or written and whether express or implied) that relate to the subject matter hereof.</w:t>
      </w:r>
    </w:p>
    <w:p>
      <w:pPr>
        <w:spacing w:after="0" w:line="179" w:lineRule="exact"/>
        <w:rPr>
          <w:rFonts w:ascii="Arial" w:cs="Arial" w:eastAsia="Arial" w:hAnsi="Arial"/>
          <w:sz w:val="22"/>
          <w:szCs w:val="22"/>
          <w:color w:val="auto"/>
        </w:rPr>
      </w:pPr>
    </w:p>
    <w:p>
      <w:pPr>
        <w:ind w:right="120" w:firstLine="1628"/>
        <w:spacing w:after="0" w:line="269" w:lineRule="auto"/>
        <w:tabs>
          <w:tab w:leader="none" w:pos="2076" w:val="left"/>
        </w:tabs>
        <w:numPr>
          <w:ilvl w:val="0"/>
          <w:numId w:val="376"/>
        </w:numPr>
        <w:rPr>
          <w:rFonts w:ascii="Arial" w:cs="Arial" w:eastAsia="Arial" w:hAnsi="Arial"/>
          <w:sz w:val="22"/>
          <w:szCs w:val="22"/>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such laws are applied to contracts entered into and performed in such State.</w:t>
      </w:r>
    </w:p>
    <w:p>
      <w:pPr>
        <w:spacing w:after="0" w:line="161" w:lineRule="exact"/>
        <w:rPr>
          <w:rFonts w:ascii="Arial" w:cs="Arial" w:eastAsia="Arial" w:hAnsi="Arial"/>
          <w:sz w:val="22"/>
          <w:szCs w:val="22"/>
          <w:color w:val="auto"/>
        </w:rPr>
      </w:pPr>
    </w:p>
    <w:p>
      <w:pPr>
        <w:ind w:right="20" w:firstLine="1628"/>
        <w:spacing w:after="0" w:line="267" w:lineRule="auto"/>
        <w:tabs>
          <w:tab w:leader="none" w:pos="2052" w:val="left"/>
        </w:tabs>
        <w:numPr>
          <w:ilvl w:val="0"/>
          <w:numId w:val="376"/>
        </w:numPr>
        <w:rPr>
          <w:rFonts w:ascii="Arial" w:cs="Arial" w:eastAsia="Arial" w:hAnsi="Arial"/>
          <w:sz w:val="21"/>
          <w:szCs w:val="2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Whenever possible, each provision of this Agreement shall be interpreted in such manner as</w:t>
      </w:r>
      <w:r>
        <w:rPr>
          <w:rFonts w:ascii="Arial" w:cs="Arial" w:eastAsia="Arial" w:hAnsi="Arial"/>
          <w:sz w:val="21"/>
          <w:szCs w:val="21"/>
          <w:b w:val="1"/>
          <w:bCs w:val="1"/>
          <w:color w:val="auto"/>
        </w:rPr>
        <w:t xml:space="preserve"> </w:t>
      </w:r>
      <w:r>
        <w:rPr>
          <w:rFonts w:ascii="Arial" w:cs="Arial" w:eastAsia="Arial" w:hAnsi="Arial"/>
          <w:sz w:val="21"/>
          <w:szCs w:val="21"/>
          <w:color w:val="auto"/>
        </w:rPr>
        <w:t>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67" w:lineRule="exact"/>
        <w:rPr>
          <w:rFonts w:ascii="Arial" w:cs="Arial" w:eastAsia="Arial" w:hAnsi="Arial"/>
          <w:sz w:val="21"/>
          <w:szCs w:val="21"/>
          <w:color w:val="auto"/>
        </w:rPr>
      </w:pPr>
    </w:p>
    <w:p>
      <w:pPr>
        <w:ind w:firstLine="1628"/>
        <w:spacing w:after="0" w:line="249" w:lineRule="auto"/>
        <w:tabs>
          <w:tab w:leader="none" w:pos="2088" w:val="left"/>
        </w:tabs>
        <w:numPr>
          <w:ilvl w:val="0"/>
          <w:numId w:val="376"/>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Except as otherwise expressly provided to the contrary,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inure to the 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ACKNOWLEDGEMENTS.</w:t>
      </w:r>
    </w:p>
    <w:p>
      <w:pPr>
        <w:spacing w:after="0" w:line="226"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In addition to the other terms, conditions and restrictions imposed on your RSUs and the Shares issuable upon settlement of your RSUs pursuant to this Agreement and the Plan, you expressly acknowledge being subject to Sections 6 (Right of First Refusal) and 7 (Restrictions Applicable to Shares, including without limitation the Market Stand-Off), as well as the following provisions:</w:t>
      </w:r>
    </w:p>
    <w:p>
      <w:pPr>
        <w:spacing w:after="0" w:line="182" w:lineRule="exact"/>
        <w:rPr>
          <w:sz w:val="20"/>
          <w:szCs w:val="20"/>
          <w:color w:val="auto"/>
        </w:rPr>
      </w:pPr>
    </w:p>
    <w:p>
      <w:pPr>
        <w:ind w:right="20" w:firstLine="1628"/>
        <w:spacing w:after="0" w:line="295" w:lineRule="auto"/>
        <w:tabs>
          <w:tab w:leader="none" w:pos="2076" w:val="left"/>
        </w:tabs>
        <w:numPr>
          <w:ilvl w:val="0"/>
          <w:numId w:val="377"/>
        </w:numPr>
        <w:rPr>
          <w:rFonts w:ascii="Arial" w:cs="Arial" w:eastAsia="Arial" w:hAnsi="Arial"/>
          <w:sz w:val="19"/>
          <w:szCs w:val="19"/>
          <w:color w:val="auto"/>
        </w:rPr>
      </w:pPr>
      <w:r>
        <w:rPr>
          <w:rFonts w:ascii="Arial" w:cs="Arial" w:eastAsia="Arial" w:hAnsi="Arial"/>
          <w:sz w:val="19"/>
          <w:szCs w:val="19"/>
          <w:b w:val="1"/>
          <w:bCs w:val="1"/>
          <w:color w:val="auto"/>
        </w:rPr>
        <w:t xml:space="preserve">Tax Consequences. </w:t>
      </w:r>
      <w:r>
        <w:rPr>
          <w:rFonts w:ascii="Arial" w:cs="Arial" w:eastAsia="Arial" w:hAnsi="Arial"/>
          <w:sz w:val="19"/>
          <w:szCs w:val="19"/>
          <w:color w:val="auto"/>
        </w:rPr>
        <w:t>You acknowledge that there will be tax consequences upon vesting and/or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RSUs and/or disposition of the Shares,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 tax, legal, and financial advisors regarding your participation in the Plan. You further acknowledge that the Company (i) makes no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1" w:right="339" w:bottom="1440" w:gutter="0" w:footer="0" w:header="0"/>
        </w:sectPr>
      </w:pPr>
    </w:p>
    <w:bookmarkStart w:id="568" w:name="page569"/>
    <w:bookmarkEnd w:id="568"/>
    <w:p>
      <w:pPr>
        <w:ind w:right="100"/>
        <w:spacing w:after="0" w:line="246" w:lineRule="auto"/>
        <w:rPr>
          <w:sz w:val="20"/>
          <w:szCs w:val="20"/>
          <w:color w:val="auto"/>
        </w:rPr>
      </w:pPr>
      <w:r>
        <w:rPr>
          <w:rFonts w:ascii="Arial" w:cs="Arial" w:eastAsia="Arial" w:hAnsi="Arial"/>
          <w:sz w:val="22"/>
          <w:szCs w:val="22"/>
          <w:color w:val="auto"/>
        </w:rPr>
        <w:t>undertakings regarding the tax treatment of the award of RSUs, including, but not limited to the grant, vesting, or settlement of the RSUs, the subsequent sale of Shares acquired pursuant to such 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 Directors, officers, or employees related to tax matters arising from this award or your other compensation.</w:t>
      </w:r>
    </w:p>
    <w:p>
      <w:pPr>
        <w:spacing w:after="0" w:line="190" w:lineRule="exact"/>
        <w:rPr>
          <w:sz w:val="20"/>
          <w:szCs w:val="20"/>
          <w:color w:val="auto"/>
        </w:rPr>
      </w:pPr>
    </w:p>
    <w:p>
      <w:pPr>
        <w:ind w:firstLine="1628"/>
        <w:spacing w:after="0" w:line="293" w:lineRule="auto"/>
        <w:tabs>
          <w:tab w:leader="none" w:pos="2088"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 xml:space="preserve">Electronic Delivery of Documents. </w:t>
      </w:r>
      <w:r>
        <w:rPr>
          <w:rFonts w:ascii="Arial" w:cs="Arial" w:eastAsia="Arial" w:hAnsi="Arial"/>
          <w:sz w:val="19"/>
          <w:szCs w:val="19"/>
          <w:color w:val="auto"/>
        </w:rPr>
        <w:t>You acknowledge and agree that the Company may,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deliver all documents 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44" w:lineRule="exact"/>
        <w:rPr>
          <w:rFonts w:ascii="Arial" w:cs="Arial" w:eastAsia="Arial" w:hAnsi="Arial"/>
          <w:sz w:val="19"/>
          <w:szCs w:val="19"/>
          <w:color w:val="auto"/>
        </w:rPr>
      </w:pPr>
    </w:p>
    <w:p>
      <w:pPr>
        <w:ind w:right="80" w:firstLine="1628"/>
        <w:spacing w:after="0" w:line="248" w:lineRule="auto"/>
        <w:tabs>
          <w:tab w:leader="none" w:pos="2076"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Plan Discretionary</w:t>
      </w:r>
      <w:r>
        <w:rPr>
          <w:rFonts w:ascii="Arial" w:cs="Arial" w:eastAsia="Arial" w:hAnsi="Arial"/>
          <w:sz w:val="22"/>
          <w:szCs w:val="22"/>
          <w:color w:val="auto"/>
        </w:rPr>
        <w:t>. You understand and acknowledge that (i) the Plan is entirely discretionary, (ii)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your employer 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186" w:lineRule="exact"/>
        <w:rPr>
          <w:rFonts w:ascii="Arial" w:cs="Arial" w:eastAsia="Arial" w:hAnsi="Arial"/>
          <w:sz w:val="22"/>
          <w:szCs w:val="22"/>
          <w:color w:val="auto"/>
        </w:rPr>
      </w:pPr>
    </w:p>
    <w:p>
      <w:pPr>
        <w:ind w:right="400" w:firstLine="1628"/>
        <w:spacing w:after="0" w:line="349" w:lineRule="auto"/>
        <w:tabs>
          <w:tab w:leader="none" w:pos="2088"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Termination of Service</w:t>
      </w:r>
      <w:r>
        <w:rPr>
          <w:rFonts w:ascii="Arial" w:cs="Arial" w:eastAsia="Arial" w:hAnsi="Arial"/>
          <w:sz w:val="19"/>
          <w:szCs w:val="19"/>
          <w:color w:val="auto"/>
        </w:rPr>
        <w:t>. You understand and acknowledge that participation in the Plan ceases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your Service for any reason, except as may explicitly be provided otherwise in the Plan or this Agreement.</w:t>
      </w:r>
    </w:p>
    <w:p>
      <w:pPr>
        <w:spacing w:after="0" w:line="93" w:lineRule="exact"/>
        <w:rPr>
          <w:rFonts w:ascii="Arial" w:cs="Arial" w:eastAsia="Arial" w:hAnsi="Arial"/>
          <w:sz w:val="19"/>
          <w:szCs w:val="19"/>
          <w:color w:val="auto"/>
        </w:rPr>
      </w:pPr>
    </w:p>
    <w:p>
      <w:pPr>
        <w:jc w:val="both"/>
        <w:ind w:right="180" w:firstLine="1628"/>
        <w:spacing w:after="0" w:line="304" w:lineRule="auto"/>
        <w:tabs>
          <w:tab w:leader="none" w:pos="2076" w:val="left"/>
        </w:tabs>
        <w:numPr>
          <w:ilvl w:val="0"/>
          <w:numId w:val="378"/>
        </w:numPr>
        <w:rPr>
          <w:rFonts w:ascii="Arial" w:cs="Arial" w:eastAsia="Arial" w:hAnsi="Arial"/>
          <w:sz w:val="19"/>
          <w:szCs w:val="19"/>
          <w:color w:val="auto"/>
        </w:rPr>
      </w:pPr>
      <w:r>
        <w:rPr>
          <w:rFonts w:ascii="Arial" w:cs="Arial" w:eastAsia="Arial" w:hAnsi="Arial"/>
          <w:sz w:val="19"/>
          <w:szCs w:val="19"/>
          <w:b w:val="1"/>
          <w:bCs w:val="1"/>
          <w:color w:val="auto"/>
        </w:rPr>
        <w:t>Extraordinary Compensation</w:t>
      </w:r>
      <w:r>
        <w:rPr>
          <w:rFonts w:ascii="Arial" w:cs="Arial" w:eastAsia="Arial" w:hAnsi="Arial"/>
          <w:sz w:val="19"/>
          <w:szCs w:val="19"/>
          <w:color w:val="auto"/>
        </w:rPr>
        <w:t>. The value of your RSUs and the Shares issuable thereunder shall be an</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35" w:lineRule="exact"/>
        <w:rPr>
          <w:rFonts w:ascii="Arial" w:cs="Arial" w:eastAsia="Arial" w:hAnsi="Arial"/>
          <w:sz w:val="19"/>
          <w:szCs w:val="19"/>
          <w:color w:val="auto"/>
        </w:rPr>
      </w:pPr>
    </w:p>
    <w:p>
      <w:pPr>
        <w:ind w:firstLine="1628"/>
        <w:spacing w:after="0" w:line="252" w:lineRule="auto"/>
        <w:tabs>
          <w:tab w:leader="none" w:pos="2052"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Authorization to Disclose</w:t>
      </w:r>
      <w:r>
        <w:rPr>
          <w:rFonts w:ascii="Arial" w:cs="Arial" w:eastAsia="Arial" w:hAnsi="Arial"/>
          <w:sz w:val="22"/>
          <w:szCs w:val="22"/>
          <w:color w:val="auto"/>
        </w:rPr>
        <w:t>. You hereby authorize and direct your employer to disclose to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79" w:lineRule="exact"/>
        <w:rPr>
          <w:rFonts w:ascii="Arial" w:cs="Arial" w:eastAsia="Arial" w:hAnsi="Arial"/>
          <w:sz w:val="22"/>
          <w:szCs w:val="22"/>
          <w:color w:val="auto"/>
        </w:rPr>
      </w:pPr>
    </w:p>
    <w:p>
      <w:pPr>
        <w:ind w:right="720" w:firstLine="1628"/>
        <w:spacing w:after="0" w:line="269" w:lineRule="auto"/>
        <w:tabs>
          <w:tab w:leader="none" w:pos="2088"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Personal Data Authorization</w:t>
      </w:r>
      <w:r>
        <w:rPr>
          <w:rFonts w:ascii="Arial" w:cs="Arial" w:eastAsia="Arial" w:hAnsi="Arial"/>
          <w:sz w:val="22"/>
          <w:szCs w:val="22"/>
          <w:color w:val="auto"/>
        </w:rPr>
        <w:t>. You consent to the collection, use and transfer of personal data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Subsection (g). You understand and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7" w:right="359" w:bottom="1440" w:gutter="0" w:footer="0" w:header="0"/>
        </w:sectPr>
      </w:pPr>
    </w:p>
    <w:bookmarkStart w:id="569" w:name="page570"/>
    <w:bookmarkEnd w:id="569"/>
    <w:p>
      <w:pPr>
        <w:spacing w:after="0"/>
        <w:rPr>
          <w:sz w:val="20"/>
          <w:szCs w:val="20"/>
          <w:color w:val="auto"/>
        </w:rPr>
      </w:pPr>
      <w:r>
        <w:rPr>
          <w:rFonts w:ascii="Arial" w:cs="Arial" w:eastAsia="Arial" w:hAnsi="Arial"/>
          <w:sz w:val="19"/>
          <w:szCs w:val="19"/>
          <w:color w:val="auto"/>
        </w:rPr>
        <w:t>that the Company, your employer and the Company’s other Subsidiaries retain and process certain personal information about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you in order to manage and administer the Plan, including, without limitation, your name, home address, telephone number, date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birth, social insurance number, salary, nationality, job title, any Shares or directorships held in the Company and details of 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RSUs or any other entitlements to Shares awarded, canceled, exercised, vested, unvested or outstanding in your favor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w:t>
      </w:r>
      <w:r>
        <w:rPr>
          <w:rFonts w:ascii="Arial" w:cs="Arial" w:eastAsia="Arial" w:hAnsi="Arial"/>
          <w:sz w:val="19"/>
          <w:szCs w:val="19"/>
          <w:color w:val="auto"/>
        </w:rPr>
        <w:t>”). You further understand and acknowledge that the Company and/or its Subsidiaries will transfer Data among themselves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as necessary for the purpose of implementation, administration and management of your participation in the Plan and that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Company and/or any Subsidiary may each further transfer Data to any third party assisting the Company in the implementation,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administration and management of the Plan. You understand and acknowledge that the recipients of Data may be located in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United States or elsewhere. You authorize such recipients to receive, possess, use, retain and transfer Data, in electronic or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form, for the purpose of administering your participation in the Plan, including a transfer to any broker or other third party with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whom you elect to deposit Shares acquired under the Plan of such Data as may be required for the administration of the Plan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and/or the subsequent holding of Shares on your behalf. You may, at any time, receive a copy of the Data, require any necessary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modifications of the Data or withdraw the consents set forth in this Subsection (g) by contacting the Company in writing.</w:t>
      </w:r>
    </w:p>
    <w:p>
      <w:pPr>
        <w:spacing w:after="0" w:line="207"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2"/>
          <w:szCs w:val="22"/>
          <w:b w:val="1"/>
          <w:bCs w:val="1"/>
          <w:color w:val="auto"/>
        </w:rPr>
        <w:t>DEFINITIONS.</w:t>
      </w:r>
    </w:p>
    <w:p>
      <w:pPr>
        <w:spacing w:after="0" w:line="220" w:lineRule="exact"/>
        <w:rPr>
          <w:sz w:val="20"/>
          <w:szCs w:val="20"/>
          <w:color w:val="auto"/>
        </w:rPr>
      </w:pPr>
    </w:p>
    <w:p>
      <w:pPr>
        <w:ind w:left="2080" w:hanging="452"/>
        <w:spacing w:after="0"/>
        <w:tabs>
          <w:tab w:leader="none" w:pos="208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Restricted Stock Unit Agreement.</w:t>
      </w:r>
    </w:p>
    <w:p>
      <w:pPr>
        <w:spacing w:after="0" w:line="219" w:lineRule="exact"/>
        <w:rPr>
          <w:rFonts w:ascii="Arial" w:cs="Arial" w:eastAsia="Arial" w:hAnsi="Arial"/>
          <w:sz w:val="22"/>
          <w:szCs w:val="22"/>
          <w:color w:val="auto"/>
        </w:rPr>
      </w:pPr>
    </w:p>
    <w:p>
      <w:pPr>
        <w:ind w:right="60" w:firstLine="1628"/>
        <w:spacing w:after="0" w:line="269" w:lineRule="auto"/>
        <w:tabs>
          <w:tab w:leader="none" w:pos="2088" w:val="left"/>
        </w:tabs>
        <w:numPr>
          <w:ilvl w:val="0"/>
          <w:numId w:val="3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as constituted from time to time or, if a Committee has been appointed, such Committee.</w:t>
      </w:r>
    </w:p>
    <w:p>
      <w:pPr>
        <w:spacing w:after="0" w:line="161" w:lineRule="exact"/>
        <w:rPr>
          <w:rFonts w:ascii="Arial" w:cs="Arial" w:eastAsia="Arial" w:hAnsi="Arial"/>
          <w:sz w:val="22"/>
          <w:szCs w:val="22"/>
          <w:color w:val="auto"/>
        </w:rPr>
      </w:pPr>
    </w:p>
    <w:p>
      <w:pPr>
        <w:ind w:firstLine="1628"/>
        <w:spacing w:after="0" w:line="288" w:lineRule="auto"/>
        <w:tabs>
          <w:tab w:leader="none" w:pos="2076" w:val="left"/>
        </w:tabs>
        <w:numPr>
          <w:ilvl w:val="0"/>
          <w:numId w:val="3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(i) an unauthorized use or disclosure by you of the Company’s confidential information or trade secrets, which use or disclosure causes material harm to the Company; (ii) a breach by you of any agreement between you and the Company, which breach causes material harm to the Company; (iii) failure by you to comply with the Company’s written policies or rules, which failure causes material harm to the Company; (iv) your conviction of, or plea of “guilty” or “no contest” to, a felony under the laws of the United States or any state thereof; (v) your gross negligence or willful misconduct; (vi) a willful continuing failure by you to perform assigned duties after having received written notification of such failure from the Board and failing to have reasonably cured such failure within 30 days of that notice; or (vii) a failure by you to cooperate in good faith with a governmental or internal investigation of the Company or its directors, officers or employees, if the Company has requested your cooperation, provided that, as to prongs (ii) and (iii), an event will only constitute Cause after you have been given written notice of the breach or non-compliance from the Chief Executive Officer or the Board and you have failed to reasonably cure those conditions, including any material harm resulting to the Company from such breach or non-compliance, within 30 days of such notice.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right="20" w:firstLine="1628"/>
        <w:spacing w:after="0" w:line="256" w:lineRule="auto"/>
        <w:tabs>
          <w:tab w:leader="none" w:pos="2088" w:val="left"/>
        </w:tabs>
        <w:numPr>
          <w:ilvl w:val="0"/>
          <w:numId w:val="3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(i) the consummation of a merger or consolidation of the Company with or into another entity, (ii) a sale of all or substantially all of the assets of the Company, or (iii) the dissolution, liquidation or winding up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570" w:name="page571"/>
    <w:bookmarkEnd w:id="570"/>
    <w:p>
      <w:pPr>
        <w:ind w:right="80"/>
        <w:spacing w:after="0" w:line="246" w:lineRule="auto"/>
        <w:rPr>
          <w:sz w:val="20"/>
          <w:szCs w:val="20"/>
          <w:color w:val="auto"/>
        </w:rPr>
      </w:pPr>
      <w:r>
        <w:rPr>
          <w:rFonts w:ascii="Arial" w:cs="Arial" w:eastAsia="Arial" w:hAnsi="Arial"/>
          <w:sz w:val="22"/>
          <w:szCs w:val="22"/>
          <w:color w:val="auto"/>
        </w:rPr>
        <w:t>The foregoing notwithstanding, neither (A) a merger or consolidation of the Company, nor (B) any rollup, consolidation or similar corporate transformation of any Company subsidiary or affiliate that may be the employer of the Purchaser, shall constitute a “</w:t>
      </w:r>
      <w:r>
        <w:rPr>
          <w:rFonts w:ascii="Arial" w:cs="Arial" w:eastAsia="Arial" w:hAnsi="Arial"/>
          <w:sz w:val="22"/>
          <w:szCs w:val="22"/>
          <w:b w:val="1"/>
          <w:bCs w:val="1"/>
          <w:color w:val="auto"/>
        </w:rPr>
        <w:t>Change in Control</w:t>
      </w:r>
      <w:r>
        <w:rPr>
          <w:rFonts w:ascii="Arial" w:cs="Arial" w:eastAsia="Arial" w:hAnsi="Arial"/>
          <w:sz w:val="22"/>
          <w:szCs w:val="22"/>
          <w:color w:val="auto"/>
        </w:rPr>
        <w:t>”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90" w:lineRule="exact"/>
        <w:rPr>
          <w:sz w:val="20"/>
          <w:szCs w:val="20"/>
          <w:color w:val="auto"/>
        </w:rPr>
      </w:pPr>
    </w:p>
    <w:p>
      <w:pPr>
        <w:ind w:right="40" w:firstLine="1628"/>
        <w:spacing w:after="0" w:line="252" w:lineRule="auto"/>
        <w:tabs>
          <w:tab w:leader="none" w:pos="2076" w:val="left"/>
        </w:tabs>
        <w:numPr>
          <w:ilvl w:val="0"/>
          <w:numId w:val="3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Chief Executive Officer</w:t>
      </w:r>
      <w:r>
        <w:rPr>
          <w:rFonts w:ascii="Arial" w:cs="Arial" w:eastAsia="Arial" w:hAnsi="Arial"/>
          <w:sz w:val="22"/>
          <w:szCs w:val="22"/>
          <w:color w:val="auto"/>
        </w:rPr>
        <w:t>” shall mean the individual serving in the role of Chief Executive Officer (or, if applicable, either of the individuals serving as co-Chief Executive Officer) of the Company or, if no one is serving in the role of Chief Executive Officer or co- Chief Executive Officer, the individual serving in the role of President (or, if applicable, either of the individuals serving as co-President) of the Company.</w:t>
      </w:r>
    </w:p>
    <w:p>
      <w:pPr>
        <w:spacing w:after="0" w:line="179" w:lineRule="exact"/>
        <w:rPr>
          <w:rFonts w:ascii="Arial" w:cs="Arial" w:eastAsia="Arial" w:hAnsi="Arial"/>
          <w:sz w:val="22"/>
          <w:szCs w:val="22"/>
          <w:color w:val="auto"/>
        </w:rPr>
      </w:pPr>
    </w:p>
    <w:p>
      <w:pPr>
        <w:ind w:left="2060" w:hanging="432"/>
        <w:spacing w:after="0"/>
        <w:tabs>
          <w:tab w:leader="none" w:pos="2060" w:val="left"/>
        </w:tabs>
        <w:numPr>
          <w:ilvl w:val="0"/>
          <w:numId w:val="3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0"/>
          <w:numId w:val="3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Robinhood Markets, Inc., a Delaware corporation.</w:t>
      </w:r>
    </w:p>
    <w:p>
      <w:pPr>
        <w:spacing w:after="0" w:line="219" w:lineRule="exact"/>
        <w:rPr>
          <w:rFonts w:ascii="Arial" w:cs="Arial" w:eastAsia="Arial" w:hAnsi="Arial"/>
          <w:sz w:val="22"/>
          <w:szCs w:val="22"/>
          <w:color w:val="auto"/>
        </w:rPr>
      </w:pPr>
    </w:p>
    <w:p>
      <w:pPr>
        <w:ind w:right="40" w:firstLine="1628"/>
        <w:spacing w:after="0" w:line="349" w:lineRule="auto"/>
        <w:tabs>
          <w:tab w:leader="none" w:pos="2088" w:val="left"/>
        </w:tabs>
        <w:numPr>
          <w:ilvl w:val="0"/>
          <w:numId w:val="3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Date of Grant</w:t>
      </w:r>
      <w:r>
        <w:rPr>
          <w:rFonts w:ascii="Arial" w:cs="Arial" w:eastAsia="Arial" w:hAnsi="Arial"/>
          <w:sz w:val="19"/>
          <w:szCs w:val="19"/>
          <w:color w:val="auto"/>
        </w:rPr>
        <w:t>” means the date specified in the Notice of Restricted Stock Unit Award, which date shall be the later of (i) the date on which the Board of Directors resolved to grant these RSUs or (ii) your first date of Service.</w:t>
      </w:r>
    </w:p>
    <w:p>
      <w:pPr>
        <w:spacing w:after="0" w:line="93" w:lineRule="exact"/>
        <w:rPr>
          <w:rFonts w:ascii="Arial" w:cs="Arial" w:eastAsia="Arial" w:hAnsi="Arial"/>
          <w:sz w:val="19"/>
          <w:szCs w:val="19"/>
          <w:color w:val="auto"/>
        </w:rPr>
      </w:pPr>
    </w:p>
    <w:p>
      <w:pPr>
        <w:ind w:left="2040" w:hanging="412"/>
        <w:spacing w:after="0"/>
        <w:tabs>
          <w:tab w:leader="none" w:pos="204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Expiration Date</w:t>
      </w:r>
      <w:r>
        <w:rPr>
          <w:rFonts w:ascii="Arial" w:cs="Arial" w:eastAsia="Arial" w:hAnsi="Arial"/>
          <w:sz w:val="19"/>
          <w:szCs w:val="19"/>
          <w:color w:val="auto"/>
        </w:rPr>
        <w:t>” means the expiration date of the RSUs as set forth in the Notice of Restricted Stock</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Unit Award.</w:t>
      </w:r>
    </w:p>
    <w:p>
      <w:pPr>
        <w:spacing w:after="0" w:line="195" w:lineRule="exact"/>
        <w:rPr>
          <w:rFonts w:ascii="Arial" w:cs="Arial" w:eastAsia="Arial" w:hAnsi="Arial"/>
          <w:sz w:val="19"/>
          <w:szCs w:val="19"/>
          <w:color w:val="auto"/>
        </w:rPr>
      </w:pPr>
    </w:p>
    <w:p>
      <w:pPr>
        <w:ind w:firstLine="1628"/>
        <w:spacing w:after="0" w:line="287" w:lineRule="auto"/>
        <w:tabs>
          <w:tab w:leader="none" w:pos="2040" w:val="left"/>
        </w:tabs>
        <w:numPr>
          <w:ilvl w:val="0"/>
          <w:numId w:val="380"/>
        </w:numPr>
        <w:rPr>
          <w:rFonts w:ascii="Arial" w:cs="Arial" w:eastAsia="Arial" w:hAnsi="Arial"/>
          <w:sz w:val="19"/>
          <w:szCs w:val="19"/>
          <w:color w:val="auto"/>
        </w:rPr>
      </w:pPr>
      <w:r>
        <w:rPr>
          <w:rFonts w:ascii="Arial" w:cs="Arial" w:eastAsia="Arial" w:hAnsi="Arial"/>
          <w:sz w:val="19"/>
          <w:szCs w:val="19"/>
          <w:b w:val="1"/>
          <w:bCs w:val="1"/>
          <w:color w:val="auto"/>
        </w:rPr>
        <w:t>“Good Reason</w:t>
      </w:r>
      <w:r>
        <w:rPr>
          <w:rFonts w:ascii="Arial" w:cs="Arial" w:eastAsia="Arial" w:hAnsi="Arial"/>
          <w:sz w:val="19"/>
          <w:szCs w:val="19"/>
          <w:color w:val="auto"/>
        </w:rPr>
        <w:t>” shall mean your resignation following the occurrence of one or more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your express written consent: (i) a material reduction of your duties, authority or responsibilities, including any circumstance during which you no longer report to the Chief Executive Officer of the Company; (ii) a material reduction in your base salary (for illustrative purposes, a reduction of less than ten percent (10%) of your base salary in any one year shall not alone constitute Good Reason); (iii) a material change in the geographic location of your primary work facility or location provided, that a relocation of less than thirty (30) miles from its then present location will not be considered a material change in geographic location; or (iv) the Company’s breach of any obligations under any written agreement or covenant with you. Notwithstanding the foregoing, you will not be entitled to resign for Good Reason without first providing the Company with written notice of the acts or omissions constituting the grounds for “Good Reason” within ninety (90) days of the initial existence of the grounds for “Good Reason” and the Company fails to reasonably cure such grounds within a reasonable cure period of not less than thirty (30) days following the date of such notice. In addition, your resignation will not qualify as a resignation for “Good Reason” unless: (A) the grounds for “Good Reason” are not reasonably cured within the cure period specified in the preceding sentence; and (B) you resign within thirty (30) days following the end of such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571" w:name="page572"/>
    <w:bookmarkEnd w:id="571"/>
    <w:p>
      <w:pPr>
        <w:ind w:right="340" w:firstLine="1628"/>
        <w:spacing w:after="0" w:line="256" w:lineRule="auto"/>
        <w:tabs>
          <w:tab w:leader="none" w:pos="20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Family</w:t>
      </w:r>
      <w:r>
        <w:rPr>
          <w:rFonts w:ascii="Arial" w:cs="Arial" w:eastAsia="Arial" w:hAnsi="Arial"/>
          <w:sz w:val="22"/>
          <w:szCs w:val="22"/>
          <w:color w:val="auto"/>
        </w:rPr>
        <w:t>” means any child, stepchild, grandchild, parent, stepparent, grandparent, spouse, sibling, mother-in-law, father-in-law, son-in-law, daughter-in- law, brother-in-law or sister-in-law and shall include adoptive relationships.</w:t>
      </w:r>
    </w:p>
    <w:p>
      <w:pPr>
        <w:spacing w:after="0" w:line="176" w:lineRule="exact"/>
        <w:rPr>
          <w:rFonts w:ascii="Arial" w:cs="Arial" w:eastAsia="Arial" w:hAnsi="Arial"/>
          <w:sz w:val="22"/>
          <w:szCs w:val="22"/>
          <w:color w:val="auto"/>
        </w:rPr>
      </w:pPr>
    </w:p>
    <w:p>
      <w:pPr>
        <w:ind w:right="240" w:firstLine="1628"/>
        <w:spacing w:after="0" w:line="269" w:lineRule="auto"/>
        <w:tabs>
          <w:tab w:leader="none" w:pos="204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w:t>
      </w:r>
      <w:r>
        <w:rPr>
          <w:rFonts w:ascii="Arial" w:cs="Arial" w:eastAsia="Arial" w:hAnsi="Arial"/>
          <w:sz w:val="22"/>
          <w:szCs w:val="22"/>
          <w:color w:val="auto"/>
        </w:rPr>
        <w:t>” shall mean your termination by the Company other than for Cause or your resignation for Good Reason.</w:t>
      </w:r>
    </w:p>
    <w:p>
      <w:pPr>
        <w:spacing w:after="0" w:line="161" w:lineRule="exact"/>
        <w:rPr>
          <w:rFonts w:ascii="Arial" w:cs="Arial" w:eastAsia="Arial" w:hAnsi="Arial"/>
          <w:sz w:val="22"/>
          <w:szCs w:val="22"/>
          <w:color w:val="auto"/>
        </w:rPr>
      </w:pPr>
    </w:p>
    <w:p>
      <w:pPr>
        <w:ind w:firstLine="1628"/>
        <w:spacing w:after="0" w:line="274" w:lineRule="auto"/>
        <w:tabs>
          <w:tab w:leader="none" w:pos="2148"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IPO</w:t>
      </w:r>
      <w:r>
        <w:rPr>
          <w:rFonts w:ascii="Arial" w:cs="Arial" w:eastAsia="Arial" w:hAnsi="Arial"/>
          <w:sz w:val="21"/>
          <w:szCs w:val="21"/>
          <w:color w:val="auto"/>
        </w:rPr>
        <w:t>” means the first firm commitment underwritten public offering pursuant to an effective registration statement under the Securities Act covering the offer and sale by the Company of its equity securities, as a result of or following which the Shares shall be publicly held, and “</w:t>
      </w:r>
      <w:r>
        <w:rPr>
          <w:rFonts w:ascii="Arial" w:cs="Arial" w:eastAsia="Arial" w:hAnsi="Arial"/>
          <w:sz w:val="21"/>
          <w:szCs w:val="21"/>
          <w:b w:val="1"/>
          <w:bCs w:val="1"/>
          <w:color w:val="auto"/>
        </w:rPr>
        <w:t>IPO Date</w:t>
      </w:r>
      <w:r>
        <w:rPr>
          <w:rFonts w:ascii="Arial" w:cs="Arial" w:eastAsia="Arial" w:hAnsi="Arial"/>
          <w:sz w:val="21"/>
          <w:szCs w:val="21"/>
          <w:color w:val="auto"/>
        </w:rPr>
        <w:t>” means the date on which the IPO occurs.</w:t>
      </w:r>
    </w:p>
    <w:p>
      <w:pPr>
        <w:spacing w:after="0" w:line="158" w:lineRule="exact"/>
        <w:rPr>
          <w:rFonts w:ascii="Arial" w:cs="Arial" w:eastAsia="Arial" w:hAnsi="Arial"/>
          <w:sz w:val="21"/>
          <w:szCs w:val="21"/>
          <w:color w:val="auto"/>
        </w:rPr>
      </w:pPr>
    </w:p>
    <w:p>
      <w:pPr>
        <w:ind w:right="460" w:firstLine="1628"/>
        <w:spacing w:after="0" w:line="269" w:lineRule="auto"/>
        <w:tabs>
          <w:tab w:leader="none" w:pos="20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Event Requirement</w:t>
      </w:r>
      <w:r>
        <w:rPr>
          <w:rFonts w:ascii="Arial" w:cs="Arial" w:eastAsia="Arial" w:hAnsi="Arial"/>
          <w:sz w:val="22"/>
          <w:szCs w:val="22"/>
          <w:color w:val="auto"/>
        </w:rPr>
        <w:t>” means the requirement that the Company complete an IPO or Sale Event as described in the Notice of Restricted Stock Unit Award.</w:t>
      </w:r>
    </w:p>
    <w:p>
      <w:pPr>
        <w:spacing w:after="0" w:line="161" w:lineRule="exact"/>
        <w:rPr>
          <w:rFonts w:ascii="Arial" w:cs="Arial" w:eastAsia="Arial" w:hAnsi="Arial"/>
          <w:sz w:val="22"/>
          <w:szCs w:val="22"/>
          <w:color w:val="auto"/>
        </w:rPr>
      </w:pPr>
    </w:p>
    <w:p>
      <w:pPr>
        <w:ind w:left="2100" w:hanging="472"/>
        <w:spacing w:after="0"/>
        <w:tabs>
          <w:tab w:leader="none" w:pos="2100" w:val="left"/>
        </w:tabs>
        <w:numPr>
          <w:ilvl w:val="0"/>
          <w:numId w:val="3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Robinhood Markets, Inc. Amended and Restated 2013 Stock Plan, as in effect on the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of Grant.</w:t>
      </w:r>
    </w:p>
    <w:p>
      <w:pPr>
        <w:spacing w:after="0" w:line="195" w:lineRule="exact"/>
        <w:rPr>
          <w:rFonts w:ascii="Arial" w:cs="Arial" w:eastAsia="Arial" w:hAnsi="Arial"/>
          <w:sz w:val="19"/>
          <w:szCs w:val="19"/>
          <w:color w:val="auto"/>
        </w:rPr>
      </w:pPr>
    </w:p>
    <w:p>
      <w:pPr>
        <w:ind w:left="2100" w:hanging="472"/>
        <w:spacing w:after="0"/>
        <w:tabs>
          <w:tab w:leader="none" w:pos="210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 of First Refusal</w:t>
      </w:r>
      <w:r>
        <w:rPr>
          <w:rFonts w:ascii="Arial" w:cs="Arial" w:eastAsia="Arial" w:hAnsi="Arial"/>
          <w:sz w:val="22"/>
          <w:szCs w:val="22"/>
          <w:color w:val="auto"/>
        </w:rPr>
        <w:t>” means the Company’s right of first refusal described in Section 6.</w:t>
      </w:r>
    </w:p>
    <w:p>
      <w:pPr>
        <w:spacing w:after="0" w:line="219" w:lineRule="exact"/>
        <w:rPr>
          <w:rFonts w:ascii="Arial" w:cs="Arial" w:eastAsia="Arial" w:hAnsi="Arial"/>
          <w:sz w:val="22"/>
          <w:szCs w:val="22"/>
          <w:color w:val="auto"/>
        </w:rPr>
      </w:pPr>
    </w:p>
    <w:p>
      <w:pPr>
        <w:ind w:right="320" w:firstLine="1628"/>
        <w:spacing w:after="0" w:line="269" w:lineRule="auto"/>
        <w:tabs>
          <w:tab w:leader="none" w:pos="20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RSUs</w:t>
      </w:r>
      <w:r>
        <w:rPr>
          <w:rFonts w:ascii="Arial" w:cs="Arial" w:eastAsia="Arial" w:hAnsi="Arial"/>
          <w:sz w:val="22"/>
          <w:szCs w:val="22"/>
          <w:color w:val="auto"/>
        </w:rPr>
        <w:t>” means the Restricted Stock Units granted to you by the Company as set forth in the Notice of Restricted Stock Unit Award.</w:t>
      </w:r>
    </w:p>
    <w:p>
      <w:pPr>
        <w:spacing w:after="0" w:line="161" w:lineRule="exact"/>
        <w:rPr>
          <w:rFonts w:ascii="Arial" w:cs="Arial" w:eastAsia="Arial" w:hAnsi="Arial"/>
          <w:sz w:val="22"/>
          <w:szCs w:val="22"/>
          <w:color w:val="auto"/>
        </w:rPr>
      </w:pPr>
    </w:p>
    <w:p>
      <w:pPr>
        <w:ind w:right="40" w:firstLine="1628"/>
        <w:spacing w:after="0" w:line="287" w:lineRule="auto"/>
        <w:tabs>
          <w:tab w:leader="none" w:pos="2052" w:val="left"/>
        </w:tabs>
        <w:numPr>
          <w:ilvl w:val="0"/>
          <w:numId w:val="3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Event</w:t>
      </w:r>
      <w:r>
        <w:rPr>
          <w:rFonts w:ascii="Arial" w:cs="Arial" w:eastAsia="Arial" w:hAnsi="Arial"/>
          <w:sz w:val="19"/>
          <w:szCs w:val="19"/>
          <w:color w:val="auto"/>
        </w:rPr>
        <w:t>” means the consummation of the following transactions in which holders of Shares receive cash and/or marketable securities tradable on an established national or foreign securities exchange: (i) a sale of all or substantially all of the assets of the Company determined on a consolidated basis to an unrelated person or entity; (ii)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of the outstanding voting power of such surviving or resulting entity; or (iii) the acquisition of all or a majority of the outstanding voting stock of the Company in a single transaction or series of related transactions by a person or group of persons. For the avoidance of doubt, an initial public offering, any subsequent public offering, another capital raising event, and a merger effected solely to change the Company’s domicile shall not constitute a “</w:t>
      </w:r>
      <w:r>
        <w:rPr>
          <w:rFonts w:ascii="Arial" w:cs="Arial" w:eastAsia="Arial" w:hAnsi="Arial"/>
          <w:sz w:val="19"/>
          <w:szCs w:val="19"/>
          <w:b w:val="1"/>
          <w:bCs w:val="1"/>
          <w:color w:val="auto"/>
        </w:rPr>
        <w:t>Sale Event.</w:t>
      </w:r>
      <w:r>
        <w:rPr>
          <w:rFonts w:ascii="Arial" w:cs="Arial" w:eastAsia="Arial" w:hAnsi="Arial"/>
          <w:sz w:val="19"/>
          <w:szCs w:val="19"/>
          <w:color w:val="auto"/>
        </w:rPr>
        <w:t>” In addition, a transaction shall not constitute a Sale Event unless such transaction also qualifies as an event under Treasury Regulation Section 1.409A-3(i)(5)(v) (change in the ownership of a corporation), Treasury Regulation Section 1.409A-3(i)(5)(vi) (change in the effective control of a corporation), or Treasury Regulation Section 1.409A-3(i)(5)(vii) (change in the ownership of a substantial portion of a corporation’s assets).</w:t>
      </w:r>
    </w:p>
    <w:p>
      <w:pPr>
        <w:spacing w:after="0" w:line="153" w:lineRule="exact"/>
        <w:rPr>
          <w:rFonts w:ascii="Arial" w:cs="Arial" w:eastAsia="Arial" w:hAnsi="Arial"/>
          <w:sz w:val="19"/>
          <w:szCs w:val="19"/>
          <w:color w:val="auto"/>
        </w:rPr>
      </w:pPr>
    </w:p>
    <w:p>
      <w:pPr>
        <w:ind w:right="420" w:firstLine="1628"/>
        <w:spacing w:after="0" w:line="269" w:lineRule="auto"/>
        <w:tabs>
          <w:tab w:leader="none" w:pos="2064" w:val="left"/>
        </w:tabs>
        <w:numPr>
          <w:ilvl w:val="0"/>
          <w:numId w:val="3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service as an Employee or Consultant. In the event of any dispute over whether and when Service has terminated, the Board of Directors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1" w:right="339" w:bottom="1440" w:gutter="0" w:footer="0" w:header="0"/>
        </w:sectPr>
      </w:pPr>
    </w:p>
    <w:bookmarkStart w:id="572" w:name="page573"/>
    <w:bookmarkEnd w:id="572"/>
    <w:p>
      <w:pPr>
        <w:spacing w:after="0"/>
        <w:rPr>
          <w:sz w:val="20"/>
          <w:szCs w:val="20"/>
          <w:color w:val="auto"/>
        </w:rPr>
      </w:pPr>
      <w:r>
        <w:rPr>
          <w:rFonts w:ascii="Arial" w:cs="Arial" w:eastAsia="Arial" w:hAnsi="Arial"/>
          <w:sz w:val="22"/>
          <w:szCs w:val="22"/>
          <w:color w:val="auto"/>
        </w:rPr>
        <w:t>sole discretion to determine whether such termination has occurred and the effective date of such termination.</w:t>
      </w:r>
    </w:p>
    <w:p>
      <w:pPr>
        <w:spacing w:after="0" w:line="214" w:lineRule="exact"/>
        <w:rPr>
          <w:sz w:val="20"/>
          <w:szCs w:val="20"/>
          <w:color w:val="auto"/>
        </w:rPr>
      </w:pPr>
    </w:p>
    <w:p>
      <w:pPr>
        <w:ind w:right="360" w:firstLine="1628"/>
        <w:spacing w:after="0" w:line="269" w:lineRule="auto"/>
        <w:tabs>
          <w:tab w:leader="none" w:pos="204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Service-Based Requirement</w:t>
      </w:r>
      <w:r>
        <w:rPr>
          <w:rFonts w:ascii="Arial" w:cs="Arial" w:eastAsia="Arial" w:hAnsi="Arial"/>
          <w:sz w:val="22"/>
          <w:szCs w:val="22"/>
          <w:color w:val="auto"/>
        </w:rPr>
        <w:t>” means the requirement to provide Service over the period of time set forth in the Notice of Restricted Stock Unit Award.</w:t>
      </w:r>
    </w:p>
    <w:p>
      <w:pPr>
        <w:spacing w:after="0" w:line="161" w:lineRule="exact"/>
        <w:rPr>
          <w:rFonts w:ascii="Arial" w:cs="Arial" w:eastAsia="Arial" w:hAnsi="Arial"/>
          <w:sz w:val="22"/>
          <w:szCs w:val="22"/>
          <w:color w:val="auto"/>
        </w:rPr>
      </w:pPr>
    </w:p>
    <w:p>
      <w:pPr>
        <w:ind w:right="280" w:firstLine="1628"/>
        <w:spacing w:after="0" w:line="315" w:lineRule="auto"/>
        <w:tabs>
          <w:tab w:leader="none" w:pos="2088" w:val="left"/>
        </w:tabs>
        <w:numPr>
          <w:ilvl w:val="0"/>
          <w:numId w:val="3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Short-Term Deferral End Date</w:t>
      </w:r>
      <w:r>
        <w:rPr>
          <w:rFonts w:ascii="Arial" w:cs="Arial" w:eastAsia="Arial" w:hAnsi="Arial"/>
          <w:sz w:val="19"/>
          <w:szCs w:val="19"/>
          <w:color w:val="auto"/>
        </w:rPr>
        <w:t>” means the date that is the later of (i) two and one-half months following the end of the calendar year in which the Vesting Date applicable to an RSU occurs or (ii) two and one-half months following the end of the Company’s fiscal year in which the Vesting Date applicable to an RSU occurs.</w:t>
      </w:r>
    </w:p>
    <w:p>
      <w:pPr>
        <w:spacing w:after="0" w:line="125" w:lineRule="exact"/>
        <w:rPr>
          <w:rFonts w:ascii="Arial" w:cs="Arial" w:eastAsia="Arial" w:hAnsi="Arial"/>
          <w:sz w:val="19"/>
          <w:szCs w:val="19"/>
          <w:color w:val="auto"/>
        </w:rPr>
      </w:pPr>
    </w:p>
    <w:p>
      <w:pPr>
        <w:ind w:left="2100" w:hanging="472"/>
        <w:spacing w:after="0"/>
        <w:tabs>
          <w:tab w:leader="none" w:pos="2100" w:val="left"/>
        </w:tabs>
        <w:numPr>
          <w:ilvl w:val="0"/>
          <w:numId w:val="3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Transferee</w:t>
      </w:r>
      <w:r>
        <w:rPr>
          <w:rFonts w:ascii="Arial" w:cs="Arial" w:eastAsia="Arial" w:hAnsi="Arial"/>
          <w:sz w:val="19"/>
          <w:szCs w:val="19"/>
          <w:color w:val="auto"/>
        </w:rPr>
        <w:t>” means any person to whom you have directly or indirectly transferred any Shares acquired</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95" w:lineRule="exact"/>
        <w:rPr>
          <w:rFonts w:ascii="Arial" w:cs="Arial" w:eastAsia="Arial" w:hAnsi="Arial"/>
          <w:sz w:val="19"/>
          <w:szCs w:val="19"/>
          <w:color w:val="auto"/>
        </w:rPr>
      </w:pPr>
    </w:p>
    <w:p>
      <w:pPr>
        <w:ind w:left="2140" w:hanging="512"/>
        <w:spacing w:after="0"/>
        <w:tabs>
          <w:tab w:leader="none" w:pos="214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means the notice of a proposed transfer of Shares described in Section 6.</w:t>
      </w:r>
    </w:p>
    <w:p>
      <w:pPr>
        <w:spacing w:after="0" w:line="219" w:lineRule="exact"/>
        <w:rPr>
          <w:rFonts w:ascii="Arial" w:cs="Arial" w:eastAsia="Arial" w:hAnsi="Arial"/>
          <w:sz w:val="22"/>
          <w:szCs w:val="22"/>
          <w:color w:val="auto"/>
        </w:rPr>
      </w:pPr>
    </w:p>
    <w:p>
      <w:pPr>
        <w:ind w:right="20" w:firstLine="1628"/>
        <w:spacing w:after="0" w:line="315" w:lineRule="auto"/>
        <w:tabs>
          <w:tab w:leader="none" w:pos="2088" w:val="left"/>
        </w:tabs>
        <w:numPr>
          <w:ilvl w:val="0"/>
          <w:numId w:val="3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40"/>
          </w:cols>
          <w:pgMar w:left="320" w:top="1427" w:right="439" w:bottom="1440" w:gutter="0" w:footer="0" w:header="0"/>
        </w:sectPr>
      </w:pPr>
    </w:p>
    <w:bookmarkStart w:id="573" w:name="page574"/>
    <w:bookmarkEnd w:id="573"/>
    <w:p>
      <w:pPr>
        <w:jc w:val="right"/>
        <w:spacing w:after="0"/>
        <w:rPr>
          <w:sz w:val="20"/>
          <w:szCs w:val="20"/>
          <w:color w:val="auto"/>
        </w:rPr>
      </w:pPr>
      <w:r>
        <w:rPr>
          <w:rFonts w:ascii="Arial" w:cs="Arial" w:eastAsia="Arial" w:hAnsi="Arial"/>
          <w:sz w:val="22"/>
          <w:szCs w:val="22"/>
          <w:color w:val="auto"/>
        </w:rPr>
        <w:t>Stock Option Award Agreement for G. Howard and J. Warnick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2013 STOCK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STOCK OPTION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(INSTALLMENT EXERCISE WITH ACCELERATION)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Optionee has been granted the following option to purchase shares of the Common Stock of Robinhood Markets, Inc.:</w:t>
      </w:r>
    </w:p>
    <w:p>
      <w:pPr>
        <w:sectPr>
          <w:pgSz w:w="11900" w:h="16838" w:orient="portrait"/>
          <w:cols w:equalWidth="0" w:num="1">
            <w:col w:w="11240"/>
          </w:cols>
          <w:pgMar w:left="320" w:top="131" w:right="339" w:bottom="1440" w:gutter="0" w:footer="0" w:header="0"/>
        </w:sectPr>
      </w:pPr>
    </w:p>
    <w:p>
      <w:pPr>
        <w:spacing w:after="0" w:line="30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[Gretchen Howard][Jason Warnick]</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Incentive Stock Option (ISO)/Nonstatutory Stock Option (NSO)</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$5.93</w:t>
      </w:r>
    </w:p>
    <w:p>
      <w:pPr>
        <w:spacing w:after="0" w:line="92"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Exercisable:</w:t>
      </w:r>
    </w:p>
    <w:p>
      <w:pPr>
        <w:spacing w:after="0" w:line="20" w:lineRule="exact"/>
        <w:rPr>
          <w:sz w:val="20"/>
          <w:szCs w:val="20"/>
          <w:color w:val="auto"/>
        </w:rPr>
      </w:pPr>
      <w:r>
        <w:rPr>
          <w:sz w:val="20"/>
          <w:szCs w:val="20"/>
          <w:color w:val="auto"/>
        </w:rPr>
        <w:br w:type="column"/>
      </w:r>
    </w:p>
    <w:p>
      <w:pPr>
        <w:jc w:val="both"/>
        <w:ind w:right="80"/>
        <w:spacing w:after="0" w:line="274" w:lineRule="auto"/>
        <w:rPr>
          <w:sz w:val="20"/>
          <w:szCs w:val="20"/>
          <w:color w:val="auto"/>
        </w:rPr>
      </w:pPr>
      <w:r>
        <w:rPr>
          <w:rFonts w:ascii="Arial" w:cs="Arial" w:eastAsia="Arial" w:hAnsi="Arial"/>
          <w:sz w:val="20"/>
          <w:szCs w:val="20"/>
          <w:color w:val="auto"/>
        </w:rPr>
        <w:t>This option may be exercised with respect to the first 25% of the Shares subject to this option when the Optionee completes 12 months of continuous Service beginning with the Vesting Commencement Date set forth below. This option may be exercised with respect to an additional 1/48</w:t>
      </w:r>
      <w:r>
        <w:rPr>
          <w:rFonts w:ascii="Arial" w:cs="Arial" w:eastAsia="Arial" w:hAnsi="Arial"/>
          <w:sz w:val="13"/>
          <w:szCs w:val="13"/>
          <w:color w:val="auto"/>
        </w:rPr>
        <w:t>th</w:t>
      </w:r>
      <w:r>
        <w:rPr>
          <w:rFonts w:ascii="Arial" w:cs="Arial" w:eastAsia="Arial" w:hAnsi="Arial"/>
          <w:sz w:val="20"/>
          <w:szCs w:val="20"/>
          <w:color w:val="auto"/>
        </w:rPr>
        <w:t xml:space="preserve"> of the Shares subject to this option when the Optionee completes each month of continuous Service thereafter. This option may become exercisable on an accelerated basis under Section 2(a) of the Stock Option Agreement.</w:t>
      </w:r>
    </w:p>
    <w:p>
      <w:pPr>
        <w:spacing w:after="0" w:line="6" w:lineRule="exact"/>
        <w:rPr>
          <w:sz w:val="20"/>
          <w:szCs w:val="20"/>
          <w:color w:val="auto"/>
        </w:rPr>
      </w:pPr>
    </w:p>
    <w:p>
      <w:pPr>
        <w:sectPr>
          <w:pgSz w:w="11900" w:h="16838" w:orient="portrait"/>
          <w:cols w:equalWidth="0" w:num="2">
            <w:col w:w="3900" w:space="720"/>
            <w:col w:w="662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3840" w:space="720"/>
            <w:col w:w="6680"/>
          </w:cols>
          <w:pgMar w:left="320" w:top="13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jc w:val="both"/>
        <w:ind w:right="20"/>
        <w:spacing w:after="0" w:line="250" w:lineRule="auto"/>
        <w:rPr>
          <w:sz w:val="20"/>
          <w:szCs w:val="20"/>
          <w:color w:val="auto"/>
        </w:rPr>
      </w:pPr>
      <w:r>
        <w:rPr>
          <w:rFonts w:ascii="Arial" w:cs="Arial" w:eastAsia="Arial" w:hAnsi="Arial"/>
          <w:sz w:val="22"/>
          <w:szCs w:val="22"/>
          <w:color w:val="auto"/>
        </w:rPr>
        <w:t>[●]. This option expires earlier if the Optionee’s Service terminates earlier, as provided in Section 6 of the Stock Option Agreement, or if the Company engages in certain corporate transactions, as provided in Section 9(b) of the Plan.</w:t>
      </w:r>
    </w:p>
    <w:p>
      <w:pPr>
        <w:sectPr>
          <w:pgSz w:w="11900" w:h="16838" w:orient="portrait"/>
          <w:cols w:equalWidth="0" w:num="2">
            <w:col w:w="3840" w:space="720"/>
            <w:col w:w="6680"/>
          </w:cols>
          <w:pgMar w:left="320" w:top="131" w:right="339" w:bottom="1440" w:gutter="0" w:footer="0" w:header="0"/>
          <w:type w:val="continuous"/>
        </w:sectPr>
      </w:pPr>
    </w:p>
    <w:bookmarkStart w:id="574" w:name="page575"/>
    <w:bookmarkEnd w:id="574"/>
    <w:p>
      <w:pPr>
        <w:spacing w:after="0" w:line="250" w:lineRule="auto"/>
        <w:rPr>
          <w:sz w:val="20"/>
          <w:szCs w:val="20"/>
          <w:color w:val="auto"/>
        </w:rPr>
      </w:pPr>
      <w:r>
        <w:rPr>
          <w:rFonts w:ascii="Arial" w:cs="Arial" w:eastAsia="Arial" w:hAnsi="Arial"/>
          <w:sz w:val="22"/>
          <w:szCs w:val="22"/>
          <w:color w:val="auto"/>
        </w:rPr>
        <w:t xml:space="preserve">By signing below, the Optionee and the Company agree that this option is granted under, and governed by the terms and conditions of, the 2013 Stock Plan and the Stock Option Agreement. Both of these documents are attached to, and made a part of, this Notice of Stock Option Grant. </w:t>
      </w:r>
      <w:r>
        <w:rPr>
          <w:rFonts w:ascii="Arial" w:cs="Arial" w:eastAsia="Arial" w:hAnsi="Arial"/>
          <w:sz w:val="22"/>
          <w:szCs w:val="22"/>
          <w:b w:val="1"/>
          <w:bCs w:val="1"/>
          <w:color w:val="auto"/>
        </w:rPr>
        <w:t>Section 13 of the Stock Option Agreement includes important acknowledgements of the</w:t>
      </w:r>
      <w:r>
        <w:rPr>
          <w:rFonts w:ascii="Arial" w:cs="Arial" w:eastAsia="Arial" w:hAnsi="Arial"/>
          <w:sz w:val="22"/>
          <w:szCs w:val="22"/>
          <w:color w:val="auto"/>
        </w:rPr>
        <w:t xml:space="preserve"> </w:t>
      </w:r>
      <w:r>
        <w:rPr>
          <w:rFonts w:ascii="Arial" w:cs="Arial" w:eastAsia="Arial" w:hAnsi="Arial"/>
          <w:sz w:val="22"/>
          <w:szCs w:val="22"/>
          <w:b w:val="1"/>
          <w:bCs w:val="1"/>
          <w:color w:val="auto"/>
        </w:rPr>
        <w:t>Optionee</w:t>
      </w:r>
      <w:r>
        <w:rPr>
          <w:rFonts w:ascii="Arial" w:cs="Arial" w:eastAsia="Arial" w:hAnsi="Arial"/>
          <w:sz w:val="22"/>
          <w:szCs w:val="22"/>
          <w:color w:val="auto"/>
        </w:rPr>
        <w:t>.</w:t>
      </w:r>
    </w:p>
    <w:p>
      <w:pPr>
        <w:spacing w:after="0" w:line="236" w:lineRule="exact"/>
        <w:rPr>
          <w:sz w:val="20"/>
          <w:szCs w:val="20"/>
          <w:color w:val="auto"/>
        </w:rPr>
      </w:pPr>
    </w:p>
    <w:p>
      <w:pPr>
        <w:ind w:left="80"/>
        <w:spacing w:after="0"/>
        <w:tabs>
          <w:tab w:leader="none" w:pos="5440" w:val="left"/>
        </w:tabs>
        <w:rPr>
          <w:sz w:val="20"/>
          <w:szCs w:val="20"/>
          <w:color w:val="auto"/>
        </w:rPr>
      </w:pPr>
      <w:r>
        <w:rPr>
          <w:rFonts w:ascii="Arial" w:cs="Arial" w:eastAsia="Arial" w:hAnsi="Arial"/>
          <w:sz w:val="22"/>
          <w:szCs w:val="22"/>
          <w:b w:val="1"/>
          <w:bCs w:val="1"/>
          <w:color w:val="auto"/>
        </w:rPr>
        <w:t>OPTIONEE:</w:t>
      </w:r>
      <w:r>
        <w:rPr>
          <w:sz w:val="20"/>
          <w:szCs w:val="20"/>
          <w:color w:val="auto"/>
        </w:rPr>
        <w:tab/>
      </w:r>
      <w:r>
        <w:rPr>
          <w:rFonts w:ascii="Arial" w:cs="Arial" w:eastAsia="Arial" w:hAnsi="Arial"/>
          <w:sz w:val="22"/>
          <w:szCs w:val="22"/>
          <w:b w:val="1"/>
          <w:bCs w:val="1"/>
          <w:color w:val="auto"/>
        </w:rPr>
        <w:t>ROBINHOOD MARKETS, INC.</w:t>
      </w:r>
    </w:p>
    <w:p>
      <w:pPr>
        <w:spacing w:after="0" w:line="6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7" w:right="359" w:bottom="1440" w:gutter="0" w:footer="0" w:header="0"/>
        </w:sectPr>
      </w:pPr>
    </w:p>
    <w:bookmarkStart w:id="575" w:name="page576"/>
    <w:bookmarkEnd w:id="575"/>
    <w:p>
      <w:pPr>
        <w:jc w:val="both"/>
        <w:spacing w:after="0" w:line="249" w:lineRule="auto"/>
        <w:rPr>
          <w:sz w:val="20"/>
          <w:szCs w:val="20"/>
          <w:color w:val="auto"/>
        </w:rPr>
      </w:pPr>
      <w:r>
        <w:rPr>
          <w:rFonts w:ascii="Arial" w:cs="Arial" w:eastAsia="Arial" w:hAnsi="Arial"/>
          <w:sz w:val="22"/>
          <w:szCs w:val="22"/>
          <w:b w:val="1"/>
          <w:bCs w:val="1"/>
          <w:color w:val="auto"/>
        </w:rPr>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AGREEMENT (INSTALLMENT EXERCISE WITH</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ACCELERATION)</w:t>
      </w:r>
    </w:p>
    <w:p>
      <w:pPr>
        <w:spacing w:after="0" w:line="19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color w:val="auto"/>
        </w:rPr>
        <w:t>GRANT OF OPTION.</w:t>
      </w:r>
    </w:p>
    <w:p>
      <w:pPr>
        <w:spacing w:after="0" w:line="220" w:lineRule="exact"/>
        <w:rPr>
          <w:sz w:val="20"/>
          <w:szCs w:val="20"/>
          <w:color w:val="auto"/>
        </w:rPr>
      </w:pPr>
    </w:p>
    <w:p>
      <w:pPr>
        <w:ind w:right="80" w:firstLine="1628"/>
        <w:spacing w:after="0" w:line="248" w:lineRule="auto"/>
        <w:tabs>
          <w:tab w:leader="none" w:pos="2076" w:val="left"/>
        </w:tabs>
        <w:numPr>
          <w:ilvl w:val="0"/>
          <w:numId w:val="383"/>
        </w:numPr>
        <w:rPr>
          <w:rFonts w:ascii="Arial" w:cs="Arial" w:eastAsia="Arial" w:hAnsi="Arial"/>
          <w:sz w:val="22"/>
          <w:szCs w:val="22"/>
          <w:color w:val="auto"/>
        </w:rPr>
      </w:pPr>
      <w:r>
        <w:rPr>
          <w:rFonts w:ascii="Arial" w:cs="Arial" w:eastAsia="Arial" w:hAnsi="Arial"/>
          <w:sz w:val="22"/>
          <w:szCs w:val="22"/>
          <w:b w:val="1"/>
          <w:bCs w:val="1"/>
          <w:color w:val="auto"/>
        </w:rPr>
        <w:t>Option</w:t>
      </w:r>
      <w:r>
        <w:rPr>
          <w:rFonts w:ascii="Arial" w:cs="Arial" w:eastAsia="Arial" w:hAnsi="Arial"/>
          <w:sz w:val="22"/>
          <w:szCs w:val="22"/>
          <w:color w:val="auto"/>
        </w:rPr>
        <w:t>. On the terms and conditions set forth in the Notice of Stock Option Grant and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grants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6" w:lineRule="exact"/>
        <w:rPr>
          <w:rFonts w:ascii="Arial" w:cs="Arial" w:eastAsia="Arial" w:hAnsi="Arial"/>
          <w:sz w:val="22"/>
          <w:szCs w:val="22"/>
          <w:color w:val="auto"/>
        </w:rPr>
      </w:pPr>
    </w:p>
    <w:p>
      <w:pPr>
        <w:ind w:right="140" w:firstLine="1628"/>
        <w:spacing w:after="0" w:line="256" w:lineRule="auto"/>
        <w:tabs>
          <w:tab w:leader="none" w:pos="2088" w:val="left"/>
        </w:tabs>
        <w:numPr>
          <w:ilvl w:val="0"/>
          <w:numId w:val="383"/>
        </w:numPr>
        <w:rPr>
          <w:rFonts w:ascii="Arial" w:cs="Arial" w:eastAsia="Arial" w:hAnsi="Arial"/>
          <w:sz w:val="22"/>
          <w:szCs w:val="22"/>
          <w:color w:val="auto"/>
        </w:rPr>
      </w:pPr>
      <w:r>
        <w:rPr>
          <w:rFonts w:ascii="Arial" w:cs="Arial" w:eastAsia="Arial" w:hAnsi="Arial"/>
          <w:sz w:val="22"/>
          <w:szCs w:val="22"/>
          <w:b w:val="1"/>
          <w:bCs w:val="1"/>
          <w:color w:val="auto"/>
        </w:rPr>
        <w:t>$100,000 Limitation</w:t>
      </w:r>
      <w:r>
        <w:rPr>
          <w:rFonts w:ascii="Arial" w:cs="Arial" w:eastAsia="Arial" w:hAnsi="Arial"/>
          <w:sz w:val="22"/>
          <w:szCs w:val="22"/>
          <w:color w:val="auto"/>
        </w:rPr>
        <w:t>. Even if this option is designated as an ISO in the Notice of Stock Option Grant, it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NSO to the extent (and only to the extent) required by the $100,000 annual limitation under Section 422(d) of the Code.</w:t>
      </w:r>
    </w:p>
    <w:p>
      <w:pPr>
        <w:spacing w:after="0" w:line="176" w:lineRule="exact"/>
        <w:rPr>
          <w:rFonts w:ascii="Arial" w:cs="Arial" w:eastAsia="Arial" w:hAnsi="Arial"/>
          <w:sz w:val="22"/>
          <w:szCs w:val="22"/>
          <w:color w:val="auto"/>
        </w:rPr>
      </w:pPr>
    </w:p>
    <w:p>
      <w:pPr>
        <w:ind w:right="180" w:firstLine="1628"/>
        <w:spacing w:after="0" w:line="252" w:lineRule="auto"/>
        <w:tabs>
          <w:tab w:leader="none" w:pos="2076" w:val="left"/>
        </w:tabs>
        <w:numPr>
          <w:ilvl w:val="0"/>
          <w:numId w:val="383"/>
        </w:numPr>
        <w:rPr>
          <w:rFonts w:ascii="Arial" w:cs="Arial" w:eastAsia="Arial" w:hAnsi="Arial"/>
          <w:sz w:val="22"/>
          <w:szCs w:val="22"/>
          <w:color w:val="auto"/>
        </w:rPr>
      </w:pPr>
      <w:r>
        <w:rPr>
          <w:rFonts w:ascii="Arial" w:cs="Arial" w:eastAsia="Arial" w:hAnsi="Arial"/>
          <w:sz w:val="22"/>
          <w:szCs w:val="22"/>
          <w:b w:val="1"/>
          <w:bCs w:val="1"/>
          <w:color w:val="auto"/>
        </w:rPr>
        <w:t>Stock Plan and Defined Terms</w:t>
      </w:r>
      <w:r>
        <w:rPr>
          <w:rFonts w:ascii="Arial" w:cs="Arial" w:eastAsia="Arial" w:hAnsi="Arial"/>
          <w:sz w:val="22"/>
          <w:szCs w:val="22"/>
          <w:color w:val="auto"/>
        </w:rPr>
        <w:t>. This option is granted pursuant to the Plan, a copy of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acknowledges having received. The provisions of the Plan are incorporated into this Agreement by this reference. Except as otherwise defined in this Agreement (including without limitation Section 14 hereof), capitalized terms shall have the meaning ascribed to such terms in the Plan.</w:t>
      </w:r>
    </w:p>
    <w:p>
      <w:pPr>
        <w:spacing w:after="0" w:line="18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RIGHT TO EXERCISE.</w:t>
      </w:r>
    </w:p>
    <w:p>
      <w:pPr>
        <w:spacing w:after="0" w:line="220" w:lineRule="exact"/>
        <w:rPr>
          <w:sz w:val="20"/>
          <w:szCs w:val="20"/>
          <w:color w:val="auto"/>
        </w:rPr>
      </w:pPr>
    </w:p>
    <w:p>
      <w:pPr>
        <w:ind w:right="120" w:firstLine="1628"/>
        <w:spacing w:after="0" w:line="291" w:lineRule="auto"/>
        <w:tabs>
          <w:tab w:leader="none" w:pos="2076" w:val="left"/>
        </w:tabs>
        <w:numPr>
          <w:ilvl w:val="0"/>
          <w:numId w:val="384"/>
        </w:numPr>
        <w:rPr>
          <w:rFonts w:ascii="Arial" w:cs="Arial" w:eastAsia="Arial" w:hAnsi="Arial"/>
          <w:sz w:val="19"/>
          <w:szCs w:val="19"/>
          <w:color w:val="auto"/>
        </w:rPr>
      </w:pPr>
      <w:r>
        <w:rPr>
          <w:rFonts w:ascii="Arial" w:cs="Arial" w:eastAsia="Arial" w:hAnsi="Arial"/>
          <w:sz w:val="19"/>
          <w:szCs w:val="19"/>
          <w:b w:val="1"/>
          <w:bCs w:val="1"/>
          <w:color w:val="auto"/>
        </w:rPr>
        <w:t>Exercisability</w:t>
      </w:r>
      <w:r>
        <w:rPr>
          <w:rFonts w:ascii="Arial" w:cs="Arial" w:eastAsia="Arial" w:hAnsi="Arial"/>
          <w:sz w:val="19"/>
          <w:szCs w:val="19"/>
          <w:color w:val="auto"/>
        </w:rPr>
        <w:t>. Subject to Subsection (b) below and the other conditions set forth in this Agreement, all</w:t>
      </w:r>
      <w:r>
        <w:rPr>
          <w:rFonts w:ascii="Arial" w:cs="Arial" w:eastAsia="Arial" w:hAnsi="Arial"/>
          <w:sz w:val="19"/>
          <w:szCs w:val="19"/>
          <w:b w:val="1"/>
          <w:bCs w:val="1"/>
          <w:color w:val="auto"/>
        </w:rPr>
        <w:t xml:space="preserve"> </w:t>
      </w:r>
      <w:r>
        <w:rPr>
          <w:rFonts w:ascii="Arial" w:cs="Arial" w:eastAsia="Arial" w:hAnsi="Arial"/>
          <w:sz w:val="19"/>
          <w:szCs w:val="19"/>
          <w:color w:val="auto"/>
        </w:rPr>
        <w:t>or part of this option may be exercised prior to its expiration at the time or times set forth in the Notice of Stock Option Grant. If the Company is subject to a corporate transaction (as described in Section 9(b) of the Plan) while the Optionee remains in continuous Service (or within 3 months following an Involuntary Termination) and this option is not assumed by the acquirer or its parent, continued by the surviving company or substituted for an equivalent award or cash payment, then 100% of the Shares subject to this option shall become vested and exercisable immediately prior to the closing of the corporate transaction. In addition, if the Optionee is subject to an Involuntary Termination during the period beginning 3 months prior to, and ending 18 months after, a Change in Control, then 100% of the Shares subject to this option shall become vested and exercisable.</w:t>
      </w:r>
    </w:p>
    <w:p>
      <w:pPr>
        <w:sectPr>
          <w:pgSz w:w="11900" w:h="16838" w:orient="portrait"/>
          <w:cols w:equalWidth="0" w:num="1">
            <w:col w:w="11240"/>
          </w:cols>
          <w:pgMar w:left="320" w:top="1421" w:right="339" w:bottom="1440" w:gutter="0" w:footer="0" w:header="0"/>
        </w:sectPr>
      </w:pPr>
    </w:p>
    <w:bookmarkStart w:id="576" w:name="page577"/>
    <w:bookmarkEnd w:id="576"/>
    <w:p>
      <w:pPr>
        <w:ind w:right="600" w:firstLine="1628"/>
        <w:spacing w:after="0" w:line="293" w:lineRule="auto"/>
        <w:tabs>
          <w:tab w:leader="none" w:pos="2088" w:val="left"/>
        </w:tabs>
        <w:numPr>
          <w:ilvl w:val="0"/>
          <w:numId w:val="385"/>
        </w:numPr>
        <w:rPr>
          <w:rFonts w:ascii="Arial" w:cs="Arial" w:eastAsia="Arial" w:hAnsi="Arial"/>
          <w:sz w:val="21"/>
          <w:szCs w:val="21"/>
          <w:color w:val="auto"/>
        </w:rPr>
      </w:pPr>
      <w:r>
        <w:rPr>
          <w:rFonts w:ascii="Arial" w:cs="Arial" w:eastAsia="Arial" w:hAnsi="Arial"/>
          <w:sz w:val="21"/>
          <w:szCs w:val="21"/>
          <w:b w:val="1"/>
          <w:bCs w:val="1"/>
          <w:color w:val="auto"/>
        </w:rPr>
        <w:t>Stockholder Approval</w:t>
      </w:r>
      <w:r>
        <w:rPr>
          <w:rFonts w:ascii="Arial" w:cs="Arial" w:eastAsia="Arial" w:hAnsi="Arial"/>
          <w:sz w:val="21"/>
          <w:szCs w:val="21"/>
          <w:color w:val="auto"/>
        </w:rPr>
        <w:t>. Any other provision of this Agreement notwithstanding, no portion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option shall be exercisable at any time prior to the approval of the Plan by the Company’s stockholders.</w:t>
      </w:r>
    </w:p>
    <w:p>
      <w:pPr>
        <w:spacing w:after="0" w:line="13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NO TRANSFER OR ASSIGNMENT OF OPTION.</w:t>
      </w:r>
    </w:p>
    <w:p>
      <w:pPr>
        <w:spacing w:after="0" w:line="226"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7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EXERCISE PROCEDURES.</w:t>
      </w:r>
    </w:p>
    <w:p>
      <w:pPr>
        <w:spacing w:after="0" w:line="220" w:lineRule="exact"/>
        <w:rPr>
          <w:sz w:val="20"/>
          <w:szCs w:val="20"/>
          <w:color w:val="auto"/>
        </w:rPr>
      </w:pPr>
    </w:p>
    <w:p>
      <w:pPr>
        <w:ind w:right="40" w:firstLine="1628"/>
        <w:spacing w:after="0" w:line="262" w:lineRule="auto"/>
        <w:tabs>
          <w:tab w:leader="none" w:pos="2076" w:val="left"/>
        </w:tabs>
        <w:numPr>
          <w:ilvl w:val="0"/>
          <w:numId w:val="386"/>
        </w:numPr>
        <w:rPr>
          <w:rFonts w:ascii="Arial" w:cs="Arial" w:eastAsia="Arial" w:hAnsi="Arial"/>
          <w:sz w:val="21"/>
          <w:szCs w:val="21"/>
          <w:color w:val="auto"/>
        </w:rPr>
      </w:pPr>
      <w:r>
        <w:rPr>
          <w:rFonts w:ascii="Arial" w:cs="Arial" w:eastAsia="Arial" w:hAnsi="Arial"/>
          <w:sz w:val="21"/>
          <w:szCs w:val="21"/>
          <w:b w:val="1"/>
          <w:bCs w:val="1"/>
          <w:color w:val="auto"/>
        </w:rPr>
        <w:t>Notice of Exercise</w:t>
      </w:r>
      <w:r>
        <w:rPr>
          <w:rFonts w:ascii="Arial" w:cs="Arial" w:eastAsia="Arial" w:hAnsi="Arial"/>
          <w:sz w:val="21"/>
          <w:szCs w:val="21"/>
          <w:color w:val="auto"/>
        </w:rPr>
        <w:t>. The Optionee or the Optionee’s representative may exercise this option by: (i)</w:t>
      </w:r>
      <w:r>
        <w:rPr>
          <w:rFonts w:ascii="Arial" w:cs="Arial" w:eastAsia="Arial" w:hAnsi="Arial"/>
          <w:sz w:val="21"/>
          <w:szCs w:val="21"/>
          <w:b w:val="1"/>
          <w:bCs w:val="1"/>
          <w:color w:val="auto"/>
        </w:rPr>
        <w:t xml:space="preserve"> </w:t>
      </w:r>
      <w:r>
        <w:rPr>
          <w:rFonts w:ascii="Arial" w:cs="Arial" w:eastAsia="Arial" w:hAnsi="Arial"/>
          <w:sz w:val="21"/>
          <w:szCs w:val="21"/>
          <w:color w:val="auto"/>
        </w:rPr>
        <w:t>signing and delivering written notice to the Company pursuant to Section 12(c) specifying the election to exercise this option, the number of Shares for which it is being exercised and the form of payment and (ii)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w:t>
      </w:r>
    </w:p>
    <w:p>
      <w:pPr>
        <w:spacing w:after="0" w:line="173" w:lineRule="exact"/>
        <w:rPr>
          <w:rFonts w:ascii="Arial" w:cs="Arial" w:eastAsia="Arial" w:hAnsi="Arial"/>
          <w:sz w:val="21"/>
          <w:szCs w:val="21"/>
          <w:color w:val="auto"/>
        </w:rPr>
      </w:pPr>
    </w:p>
    <w:p>
      <w:pPr>
        <w:ind w:right="40" w:firstLine="1628"/>
        <w:spacing w:after="0" w:line="293" w:lineRule="auto"/>
        <w:tabs>
          <w:tab w:leader="none" w:pos="2088" w:val="left"/>
        </w:tabs>
        <w:numPr>
          <w:ilvl w:val="0"/>
          <w:numId w:val="386"/>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In the event that the Company determines that it is required to withhold any tax</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any income tax, social insurance contributions, payroll tax, payment on account or other tax-related items arising in connection with the Optionee’s participation in the Plan and legally applicable to the Optionee (the “</w:t>
      </w:r>
      <w:r>
        <w:rPr>
          <w:rFonts w:ascii="Arial" w:cs="Arial" w:eastAsia="Arial" w:hAnsi="Arial"/>
          <w:sz w:val="19"/>
          <w:szCs w:val="19"/>
          <w:b w:val="1"/>
          <w:b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color w:val="auto"/>
        </w:rPr>
        <w:t>Items</w:t>
      </w:r>
      <w:r>
        <w:rPr>
          <w:rFonts w:ascii="Arial" w:cs="Arial" w:eastAsia="Arial" w:hAnsi="Arial"/>
          <w:sz w:val="19"/>
          <w:szCs w:val="19"/>
          <w:color w:val="auto"/>
        </w:rPr>
        <w:t>”)) as a result of the grant, vesting or exercise of this option, or as a result of the transfer of shares acquired upon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44" w:lineRule="exact"/>
        <w:rPr>
          <w:rFonts w:ascii="Arial" w:cs="Arial" w:eastAsia="Arial" w:hAnsi="Arial"/>
          <w:sz w:val="19"/>
          <w:szCs w:val="19"/>
          <w:color w:val="auto"/>
        </w:rPr>
      </w:pPr>
    </w:p>
    <w:p>
      <w:pPr>
        <w:ind w:right="20" w:firstLine="1628"/>
        <w:spacing w:after="0" w:line="293" w:lineRule="auto"/>
        <w:tabs>
          <w:tab w:leader="none" w:pos="2076" w:val="left"/>
        </w:tabs>
        <w:numPr>
          <w:ilvl w:val="0"/>
          <w:numId w:val="386"/>
        </w:numPr>
        <w:rPr>
          <w:rFonts w:ascii="Arial" w:cs="Arial" w:eastAsia="Arial" w:hAnsi="Arial"/>
          <w:sz w:val="19"/>
          <w:szCs w:val="19"/>
          <w:color w:val="auto"/>
        </w:rPr>
      </w:pPr>
      <w:r>
        <w:rPr>
          <w:rFonts w:ascii="Arial" w:cs="Arial" w:eastAsia="Arial" w:hAnsi="Arial"/>
          <w:sz w:val="19"/>
          <w:szCs w:val="19"/>
          <w:b w:val="1"/>
          <w:bCs w:val="1"/>
          <w:color w:val="auto"/>
        </w:rPr>
        <w:t>Issuance of Shares</w:t>
      </w:r>
      <w:r>
        <w:rPr>
          <w:rFonts w:ascii="Arial" w:cs="Arial" w:eastAsia="Arial" w:hAnsi="Arial"/>
          <w:sz w:val="19"/>
          <w:szCs w:val="19"/>
          <w:color w:val="auto"/>
        </w:rPr>
        <w:t>. After satisfying all requirements for exercise of this option, the Company shall cause</w:t>
      </w:r>
      <w:r>
        <w:rPr>
          <w:rFonts w:ascii="Arial" w:cs="Arial" w:eastAsia="Arial" w:hAnsi="Arial"/>
          <w:sz w:val="19"/>
          <w:szCs w:val="19"/>
          <w:b w:val="1"/>
          <w:bCs w:val="1"/>
          <w:color w:val="auto"/>
        </w:rPr>
        <w:t xml:space="preserve"> </w:t>
      </w:r>
      <w:r>
        <w:rPr>
          <w:rFonts w:ascii="Arial" w:cs="Arial" w:eastAsia="Arial" w:hAnsi="Arial"/>
          <w:sz w:val="19"/>
          <w:szCs w:val="19"/>
          <w:color w:val="auto"/>
        </w:rPr>
        <w:t>to be issued one or more certificates evidencing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such certificates to be delivered to or upon the order of the person exercising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577" w:name="page578"/>
    <w:bookmarkEnd w:id="577"/>
    <w:p>
      <w:pPr>
        <w:spacing w:after="0"/>
        <w:tabs>
          <w:tab w:leader="none" w:pos="14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PAYMENT FOR STOCK.</w:t>
      </w:r>
    </w:p>
    <w:p>
      <w:pPr>
        <w:spacing w:after="0" w:line="220" w:lineRule="exact"/>
        <w:rPr>
          <w:sz w:val="20"/>
          <w:szCs w:val="20"/>
          <w:color w:val="auto"/>
        </w:rPr>
      </w:pPr>
    </w:p>
    <w:p>
      <w:pPr>
        <w:ind w:left="2080" w:hanging="452"/>
        <w:spacing w:after="0"/>
        <w:tabs>
          <w:tab w:leader="none" w:pos="2080" w:val="left"/>
        </w:tabs>
        <w:numPr>
          <w:ilvl w:val="0"/>
          <w:numId w:val="387"/>
        </w:numPr>
        <w:rPr>
          <w:rFonts w:ascii="Arial" w:cs="Arial" w:eastAsia="Arial" w:hAnsi="Arial"/>
          <w:sz w:val="22"/>
          <w:szCs w:val="22"/>
          <w:color w:val="auto"/>
        </w:rPr>
      </w:pPr>
      <w:r>
        <w:rPr>
          <w:rFonts w:ascii="Arial" w:cs="Arial" w:eastAsia="Arial" w:hAnsi="Arial"/>
          <w:sz w:val="22"/>
          <w:szCs w:val="22"/>
          <w:b w:val="1"/>
          <w:bCs w:val="1"/>
          <w:color w:val="auto"/>
        </w:rPr>
        <w:t>Cash</w:t>
      </w:r>
      <w:r>
        <w:rPr>
          <w:rFonts w:ascii="Arial" w:cs="Arial" w:eastAsia="Arial" w:hAnsi="Arial"/>
          <w:sz w:val="22"/>
          <w:szCs w:val="22"/>
          <w:color w:val="auto"/>
        </w:rPr>
        <w:t>. All or part of the Purchase Price may be paid in cash or cash equivalents.</w:t>
      </w:r>
    </w:p>
    <w:p>
      <w:pPr>
        <w:spacing w:after="0" w:line="219" w:lineRule="exact"/>
        <w:rPr>
          <w:rFonts w:ascii="Arial" w:cs="Arial" w:eastAsia="Arial" w:hAnsi="Arial"/>
          <w:sz w:val="22"/>
          <w:szCs w:val="22"/>
          <w:color w:val="auto"/>
        </w:rPr>
      </w:pPr>
    </w:p>
    <w:p>
      <w:pPr>
        <w:ind w:right="200" w:firstLine="1628"/>
        <w:spacing w:after="0" w:line="252" w:lineRule="auto"/>
        <w:tabs>
          <w:tab w:leader="none" w:pos="2088" w:val="left"/>
        </w:tabs>
        <w:numPr>
          <w:ilvl w:val="0"/>
          <w:numId w:val="387"/>
        </w:numPr>
        <w:rPr>
          <w:rFonts w:ascii="Arial" w:cs="Arial" w:eastAsia="Arial" w:hAnsi="Arial"/>
          <w:sz w:val="22"/>
          <w:szCs w:val="22"/>
          <w:color w:val="auto"/>
        </w:rPr>
      </w:pPr>
      <w:r>
        <w:rPr>
          <w:rFonts w:ascii="Arial" w:cs="Arial" w:eastAsia="Arial" w:hAnsi="Arial"/>
          <w:sz w:val="22"/>
          <w:szCs w:val="22"/>
          <w:b w:val="1"/>
          <w:bCs w:val="1"/>
          <w:color w:val="auto"/>
        </w:rPr>
        <w:t>Surrender of Stock</w:t>
      </w:r>
      <w:r>
        <w:rPr>
          <w:rFonts w:ascii="Arial" w:cs="Arial" w:eastAsia="Arial" w:hAnsi="Arial"/>
          <w:sz w:val="22"/>
          <w:szCs w:val="22"/>
          <w:color w:val="auto"/>
        </w:rPr>
        <w:t>. At the discretion of the Board of Directors, all or any part of the Purchase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may be paid by 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9" w:lineRule="exact"/>
        <w:rPr>
          <w:rFonts w:ascii="Arial" w:cs="Arial" w:eastAsia="Arial" w:hAnsi="Arial"/>
          <w:sz w:val="22"/>
          <w:szCs w:val="22"/>
          <w:color w:val="auto"/>
        </w:rPr>
      </w:pPr>
    </w:p>
    <w:p>
      <w:pPr>
        <w:ind w:right="60" w:firstLine="1628"/>
        <w:spacing w:after="0" w:line="304" w:lineRule="auto"/>
        <w:tabs>
          <w:tab w:leader="none" w:pos="2076" w:val="left"/>
        </w:tabs>
        <w:numPr>
          <w:ilvl w:val="0"/>
          <w:numId w:val="387"/>
        </w:numPr>
        <w:rPr>
          <w:rFonts w:ascii="Arial" w:cs="Arial" w:eastAsia="Arial" w:hAnsi="Arial"/>
          <w:sz w:val="19"/>
          <w:szCs w:val="19"/>
          <w:color w:val="auto"/>
        </w:rPr>
      </w:pPr>
      <w:r>
        <w:rPr>
          <w:rFonts w:ascii="Arial" w:cs="Arial" w:eastAsia="Arial" w:hAnsi="Arial"/>
          <w:sz w:val="19"/>
          <w:szCs w:val="19"/>
          <w:b w:val="1"/>
          <w:bCs w:val="1"/>
          <w:color w:val="auto"/>
        </w:rPr>
        <w:t>Exercise/Sale</w:t>
      </w:r>
      <w:r>
        <w:rPr>
          <w:rFonts w:ascii="Arial" w:cs="Arial" w:eastAsia="Arial" w:hAnsi="Arial"/>
          <w:sz w:val="19"/>
          <w:szCs w:val="19"/>
          <w:color w:val="auto"/>
        </w:rPr>
        <w:t>. All or part of the Purchase Price and any withholding taxes may be paid by the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(on a form 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35"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6.</w:t>
        <w:tab/>
        <w:t>TERM AND EXPIRATION.</w:t>
      </w:r>
    </w:p>
    <w:p>
      <w:pPr>
        <w:spacing w:after="0" w:line="220" w:lineRule="exact"/>
        <w:rPr>
          <w:sz w:val="20"/>
          <w:szCs w:val="20"/>
          <w:color w:val="auto"/>
        </w:rPr>
      </w:pPr>
    </w:p>
    <w:p>
      <w:pPr>
        <w:jc w:val="both"/>
        <w:ind w:right="200" w:firstLine="1628"/>
        <w:spacing w:after="0" w:line="256" w:lineRule="auto"/>
        <w:tabs>
          <w:tab w:leader="none" w:pos="2076" w:val="left"/>
        </w:tabs>
        <w:numPr>
          <w:ilvl w:val="0"/>
          <w:numId w:val="388"/>
        </w:numPr>
        <w:rPr>
          <w:rFonts w:ascii="Arial" w:cs="Arial" w:eastAsia="Arial" w:hAnsi="Arial"/>
          <w:sz w:val="22"/>
          <w:szCs w:val="22"/>
          <w:color w:val="auto"/>
        </w:rPr>
      </w:pPr>
      <w:r>
        <w:rPr>
          <w:rFonts w:ascii="Arial" w:cs="Arial" w:eastAsia="Arial" w:hAnsi="Arial"/>
          <w:sz w:val="22"/>
          <w:szCs w:val="22"/>
          <w:b w:val="1"/>
          <w:bCs w:val="1"/>
          <w:color w:val="auto"/>
        </w:rPr>
        <w:t>Basic Term</w:t>
      </w:r>
      <w:r>
        <w:rPr>
          <w:rFonts w:ascii="Arial" w:cs="Arial" w:eastAsia="Arial" w:hAnsi="Arial"/>
          <w:sz w:val="22"/>
          <w:szCs w:val="22"/>
          <w:color w:val="auto"/>
        </w:rPr>
        <w:t>. This option shall in any event expire on the expiration date set forth in the Notice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Grant, which date is 10 years after the Date of Grant (five years after the Date of Grant if this option is designated as an ISO in the Notice of Stock Option Grant and Section 3(b) of the Plan applies).</w:t>
      </w:r>
    </w:p>
    <w:p>
      <w:pPr>
        <w:spacing w:after="0" w:line="176" w:lineRule="exact"/>
        <w:rPr>
          <w:rFonts w:ascii="Arial" w:cs="Arial" w:eastAsia="Arial" w:hAnsi="Arial"/>
          <w:sz w:val="22"/>
          <w:szCs w:val="22"/>
          <w:color w:val="auto"/>
        </w:rPr>
      </w:pPr>
    </w:p>
    <w:p>
      <w:pPr>
        <w:ind w:right="320" w:firstLine="1628"/>
        <w:spacing w:after="0" w:line="269" w:lineRule="auto"/>
        <w:tabs>
          <w:tab w:leader="none" w:pos="2088" w:val="left"/>
        </w:tabs>
        <w:numPr>
          <w:ilvl w:val="0"/>
          <w:numId w:val="388"/>
        </w:numPr>
        <w:rPr>
          <w:rFonts w:ascii="Arial" w:cs="Arial" w:eastAsia="Arial" w:hAnsi="Arial"/>
          <w:sz w:val="22"/>
          <w:szCs w:val="22"/>
          <w:color w:val="auto"/>
        </w:rPr>
      </w:pPr>
      <w:r>
        <w:rPr>
          <w:rFonts w:ascii="Arial" w:cs="Arial" w:eastAsia="Arial" w:hAnsi="Arial"/>
          <w:sz w:val="22"/>
          <w:szCs w:val="22"/>
          <w:b w:val="1"/>
          <w:bCs w:val="1"/>
          <w:color w:val="auto"/>
        </w:rPr>
        <w:t>Termination of Service (Except by Death)</w:t>
      </w:r>
      <w:r>
        <w:rPr>
          <w:rFonts w:ascii="Arial" w:cs="Arial" w:eastAsia="Arial" w:hAnsi="Arial"/>
          <w:sz w:val="22"/>
          <w:szCs w:val="22"/>
          <w:color w:val="auto"/>
        </w:rPr>
        <w:t>. If the Optionee’s Service terminates for any reason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death, then this option shall expire on the earliest of the following occasions:</w:t>
      </w:r>
    </w:p>
    <w:p>
      <w:pPr>
        <w:spacing w:after="0" w:line="167" w:lineRule="exact"/>
        <w:rPr>
          <w:rFonts w:ascii="Arial" w:cs="Arial" w:eastAsia="Arial" w:hAnsi="Arial"/>
          <w:sz w:val="22"/>
          <w:szCs w:val="22"/>
          <w:color w:val="auto"/>
        </w:rPr>
      </w:pPr>
    </w:p>
    <w:p>
      <w:pPr>
        <w:ind w:left="2620" w:hanging="409"/>
        <w:spacing w:after="0"/>
        <w:tabs>
          <w:tab w:leader="none" w:pos="262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The expiration date determined pursuant to Subsection (a) above;</w:t>
      </w:r>
    </w:p>
    <w:p>
      <w:pPr>
        <w:spacing w:after="0" w:line="219" w:lineRule="exact"/>
        <w:rPr>
          <w:rFonts w:ascii="Arial" w:cs="Arial" w:eastAsia="Arial" w:hAnsi="Arial"/>
          <w:sz w:val="22"/>
          <w:szCs w:val="22"/>
          <w:color w:val="auto"/>
        </w:rPr>
      </w:pPr>
    </w:p>
    <w:p>
      <w:pPr>
        <w:ind w:left="660" w:right="260" w:firstLine="1551"/>
        <w:spacing w:after="0" w:line="250" w:lineRule="auto"/>
        <w:tabs>
          <w:tab w:leader="none" w:pos="2691"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The date three months after the termination of the Optionee’s Service for any reason other than Disability (or, if the Optionee has provided at least three years of continuous Service to the Company as of the date that the Optionee’s Service is terminated for any reason other than Disability, the date that is seven years after such date of termination); or</w:t>
      </w:r>
    </w:p>
    <w:p>
      <w:pPr>
        <w:spacing w:after="0" w:line="187" w:lineRule="exact"/>
        <w:rPr>
          <w:rFonts w:ascii="Arial" w:cs="Arial" w:eastAsia="Arial" w:hAnsi="Arial"/>
          <w:sz w:val="22"/>
          <w:szCs w:val="22"/>
          <w:color w:val="auto"/>
        </w:rPr>
      </w:pPr>
    </w:p>
    <w:p>
      <w:pPr>
        <w:ind w:left="660" w:right="120" w:firstLine="1551"/>
        <w:spacing w:after="0" w:line="312" w:lineRule="auto"/>
        <w:tabs>
          <w:tab w:leader="none" w:pos="2751" w:val="left"/>
        </w:tabs>
        <w:numPr>
          <w:ilvl w:val="1"/>
          <w:numId w:val="388"/>
        </w:numPr>
        <w:rPr>
          <w:rFonts w:ascii="Arial" w:cs="Arial" w:eastAsia="Arial" w:hAnsi="Arial"/>
          <w:sz w:val="19"/>
          <w:szCs w:val="19"/>
          <w:color w:val="auto"/>
        </w:rPr>
      </w:pPr>
      <w:r>
        <w:rPr>
          <w:rFonts w:ascii="Arial" w:cs="Arial" w:eastAsia="Arial" w:hAnsi="Arial"/>
          <w:sz w:val="19"/>
          <w:szCs w:val="19"/>
          <w:color w:val="auto"/>
        </w:rPr>
        <w:t>The date six months after the termination of the Optionee’s Service by reason of Disability (or, if the Optionee has provided at least three years of continuous Service to the Company as of the date that the Optionee’s Service is terminated by reason of Disability, the date that is seven years after such date of termination).</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Optionee may exercise all or part of this option at any time before its expiration under the preceding sentence, but only to the extent that this option had become exercisable before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578" w:name="page579"/>
    <w:bookmarkEnd w:id="578"/>
    <w:p>
      <w:pPr>
        <w:jc w:val="both"/>
        <w:spacing w:after="0" w:line="292" w:lineRule="auto"/>
        <w:rPr>
          <w:sz w:val="20"/>
          <w:szCs w:val="20"/>
          <w:color w:val="auto"/>
        </w:rPr>
      </w:pPr>
      <w:r>
        <w:rPr>
          <w:rFonts w:ascii="Arial" w:cs="Arial" w:eastAsia="Arial" w:hAnsi="Arial"/>
          <w:sz w:val="19"/>
          <w:szCs w:val="19"/>
          <w:color w:val="auto"/>
        </w:rPr>
        <w:t>exercise. On the first day following the three month anniversary of the date on which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such exercise. Once this option (or portion thereof) has terminated, the Optionee shall have no further rights with respect to this option (or portion thereof) or to the underlying Shares.</w:t>
      </w:r>
    </w:p>
    <w:p>
      <w:pPr>
        <w:spacing w:after="0" w:line="145" w:lineRule="exact"/>
        <w:rPr>
          <w:sz w:val="20"/>
          <w:szCs w:val="20"/>
          <w:color w:val="auto"/>
        </w:rPr>
      </w:pPr>
    </w:p>
    <w:p>
      <w:pPr>
        <w:ind w:left="2080" w:hanging="452"/>
        <w:spacing w:after="0"/>
        <w:tabs>
          <w:tab w:leader="none" w:pos="2080" w:val="left"/>
        </w:tabs>
        <w:numPr>
          <w:ilvl w:val="0"/>
          <w:numId w:val="389"/>
        </w:numPr>
        <w:rPr>
          <w:rFonts w:ascii="Arial" w:cs="Arial" w:eastAsia="Arial" w:hAnsi="Arial"/>
          <w:sz w:val="19"/>
          <w:szCs w:val="19"/>
          <w:color w:val="auto"/>
        </w:rPr>
      </w:pPr>
      <w:r>
        <w:rPr>
          <w:rFonts w:ascii="Arial" w:cs="Arial" w:eastAsia="Arial" w:hAnsi="Arial"/>
          <w:sz w:val="19"/>
          <w:szCs w:val="19"/>
          <w:b w:val="1"/>
          <w:bCs w:val="1"/>
          <w:color w:val="auto"/>
        </w:rPr>
        <w:t>Death of the Optionee</w:t>
      </w:r>
      <w:r>
        <w:rPr>
          <w:rFonts w:ascii="Arial" w:cs="Arial" w:eastAsia="Arial" w:hAnsi="Arial"/>
          <w:sz w:val="19"/>
          <w:szCs w:val="19"/>
          <w:color w:val="auto"/>
        </w:rPr>
        <w:t>. If the Optionee dies while in Service, then this option shall expire on the earlier</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following dates:</w:t>
      </w:r>
    </w:p>
    <w:p>
      <w:pPr>
        <w:spacing w:after="0" w:line="201" w:lineRule="exact"/>
        <w:rPr>
          <w:rFonts w:ascii="Arial" w:cs="Arial" w:eastAsia="Arial" w:hAnsi="Arial"/>
          <w:sz w:val="19"/>
          <w:szCs w:val="19"/>
          <w:color w:val="auto"/>
        </w:rPr>
      </w:pPr>
    </w:p>
    <w:p>
      <w:pPr>
        <w:ind w:left="2620" w:hanging="409"/>
        <w:spacing w:after="0"/>
        <w:tabs>
          <w:tab w:leader="none" w:pos="2620"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expiration date determined pursuant to Subsection (a) above; or</w:t>
      </w:r>
    </w:p>
    <w:p>
      <w:pPr>
        <w:spacing w:after="0" w:line="219" w:lineRule="exact"/>
        <w:rPr>
          <w:rFonts w:ascii="Arial" w:cs="Arial" w:eastAsia="Arial" w:hAnsi="Arial"/>
          <w:sz w:val="22"/>
          <w:szCs w:val="22"/>
          <w:color w:val="auto"/>
        </w:rPr>
      </w:pPr>
    </w:p>
    <w:p>
      <w:pPr>
        <w:ind w:left="660" w:right="40" w:firstLine="1551"/>
        <w:spacing w:after="0" w:line="253" w:lineRule="auto"/>
        <w:tabs>
          <w:tab w:leader="none" w:pos="2691"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date 12 months after the Optionee’s death (or, if the Optionee has provided at least three years of continuous Service to the Company as of the date of the Optionee’s death, the date that is seven years after the Optionee’s death).</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 Once this option (or portion thereof) has terminated, the Optionee shall have no further rights with respect to the option (or portion thereof) or to the underlying Shares.</w:t>
      </w:r>
    </w:p>
    <w:p>
      <w:pPr>
        <w:spacing w:after="0" w:line="173" w:lineRule="exact"/>
        <w:rPr>
          <w:sz w:val="20"/>
          <w:szCs w:val="20"/>
          <w:color w:val="auto"/>
        </w:rPr>
      </w:pPr>
    </w:p>
    <w:p>
      <w:pPr>
        <w:ind w:right="20" w:firstLine="1628"/>
        <w:spacing w:after="0" w:line="291" w:lineRule="auto"/>
        <w:tabs>
          <w:tab w:leader="none" w:pos="2088" w:val="left"/>
        </w:tabs>
        <w:numPr>
          <w:ilvl w:val="0"/>
          <w:numId w:val="390"/>
        </w:numPr>
        <w:rPr>
          <w:rFonts w:ascii="Arial" w:cs="Arial" w:eastAsia="Arial" w:hAnsi="Arial"/>
          <w:sz w:val="19"/>
          <w:szCs w:val="19"/>
          <w:color w:val="auto"/>
        </w:rPr>
      </w:pPr>
      <w:r>
        <w:rPr>
          <w:rFonts w:ascii="Arial" w:cs="Arial" w:eastAsia="Arial" w:hAnsi="Arial"/>
          <w:sz w:val="19"/>
          <w:szCs w:val="19"/>
          <w:b w:val="1"/>
          <w:bCs w:val="1"/>
          <w:color w:val="auto"/>
        </w:rPr>
        <w:t>Extension of Post-Termination Exercise Periods</w:t>
      </w:r>
      <w:r>
        <w:rPr>
          <w:rFonts w:ascii="Arial" w:cs="Arial" w:eastAsia="Arial" w:hAnsi="Arial"/>
          <w:sz w:val="19"/>
          <w:szCs w:val="19"/>
          <w:color w:val="auto"/>
        </w:rPr>
        <w:t>. Following the date on which the Company’s Stock is</w:t>
      </w:r>
      <w:r>
        <w:rPr>
          <w:rFonts w:ascii="Arial" w:cs="Arial" w:eastAsia="Arial" w:hAnsi="Arial"/>
          <w:sz w:val="19"/>
          <w:szCs w:val="19"/>
          <w:b w:val="1"/>
          <w:bCs w:val="1"/>
          <w:color w:val="auto"/>
        </w:rPr>
        <w:t xml:space="preserve"> </w:t>
      </w:r>
      <w:r>
        <w:rPr>
          <w:rFonts w:ascii="Arial" w:cs="Arial" w:eastAsia="Arial" w:hAnsi="Arial"/>
          <w:sz w:val="19"/>
          <w:szCs w:val="19"/>
          <w:color w:val="auto"/>
        </w:rPr>
        <w:t>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48" w:lineRule="exact"/>
        <w:rPr>
          <w:rFonts w:ascii="Arial" w:cs="Arial" w:eastAsia="Arial" w:hAnsi="Arial"/>
          <w:sz w:val="19"/>
          <w:szCs w:val="19"/>
          <w:color w:val="auto"/>
        </w:rPr>
      </w:pPr>
    </w:p>
    <w:p>
      <w:pPr>
        <w:ind w:right="100" w:firstLine="1628"/>
        <w:spacing w:after="0" w:line="267" w:lineRule="auto"/>
        <w:tabs>
          <w:tab w:leader="none" w:pos="2076" w:val="left"/>
        </w:tabs>
        <w:numPr>
          <w:ilvl w:val="0"/>
          <w:numId w:val="390"/>
        </w:numPr>
        <w:rPr>
          <w:rFonts w:ascii="Arial" w:cs="Arial" w:eastAsia="Arial" w:hAnsi="Arial"/>
          <w:sz w:val="21"/>
          <w:szCs w:val="21"/>
          <w:color w:val="auto"/>
        </w:rPr>
      </w:pPr>
      <w:r>
        <w:rPr>
          <w:rFonts w:ascii="Arial" w:cs="Arial" w:eastAsia="Arial" w:hAnsi="Arial"/>
          <w:sz w:val="21"/>
          <w:szCs w:val="21"/>
          <w:b w:val="1"/>
          <w:bCs w:val="1"/>
          <w:color w:val="auto"/>
        </w:rPr>
        <w:t>Part-Time Employment and Leaves of Absence</w:t>
      </w:r>
      <w:r>
        <w:rPr>
          <w:rFonts w:ascii="Arial" w:cs="Arial" w:eastAsia="Arial" w:hAnsi="Arial"/>
          <w:sz w:val="21"/>
          <w:szCs w:val="21"/>
          <w:color w:val="auto"/>
        </w:rPr>
        <w:t>. If the Optionee commences working on a part-time</w:t>
      </w:r>
      <w:r>
        <w:rPr>
          <w:rFonts w:ascii="Arial" w:cs="Arial" w:eastAsia="Arial" w:hAnsi="Arial"/>
          <w:sz w:val="21"/>
          <w:szCs w:val="21"/>
          <w:b w:val="1"/>
          <w:bCs w:val="1"/>
          <w:color w:val="auto"/>
        </w:rPr>
        <w:t xml:space="preserve"> </w:t>
      </w:r>
      <w:r>
        <w:rPr>
          <w:rFonts w:ascii="Arial" w:cs="Arial" w:eastAsia="Arial" w:hAnsi="Arial"/>
          <w:sz w:val="21"/>
          <w:szCs w:val="21"/>
          <w:color w:val="auto"/>
        </w:rPr>
        <w:t>basis, then the 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579" w:name="page580"/>
    <w:bookmarkEnd w:id="579"/>
    <w:p>
      <w:pPr>
        <w:ind w:right="80"/>
        <w:spacing w:after="0" w:line="302" w:lineRule="auto"/>
        <w:rPr>
          <w:sz w:val="20"/>
          <w:szCs w:val="20"/>
          <w:color w:val="auto"/>
        </w:rPr>
      </w:pPr>
      <w:r>
        <w:rPr>
          <w:rFonts w:ascii="Arial" w:cs="Arial" w:eastAsia="Arial" w:hAnsi="Arial"/>
          <w:sz w:val="19"/>
          <w:szCs w:val="19"/>
          <w:color w:val="auto"/>
        </w:rPr>
        <w:t xml:space="preserve">provided in the preceding sentence, Service shall be deemed to continue for any purpose under this Agreement while the Optionee is on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36" w:lineRule="exact"/>
        <w:rPr>
          <w:sz w:val="20"/>
          <w:szCs w:val="20"/>
          <w:color w:val="auto"/>
        </w:rPr>
      </w:pPr>
    </w:p>
    <w:p>
      <w:pPr>
        <w:ind w:right="220" w:firstLine="1628"/>
        <w:spacing w:after="0" w:line="293" w:lineRule="auto"/>
        <w:tabs>
          <w:tab w:leader="none" w:pos="2052" w:val="left"/>
        </w:tabs>
        <w:numPr>
          <w:ilvl w:val="0"/>
          <w:numId w:val="391"/>
        </w:numPr>
        <w:rPr>
          <w:rFonts w:ascii="Arial" w:cs="Arial" w:eastAsia="Arial" w:hAnsi="Arial"/>
          <w:sz w:val="21"/>
          <w:szCs w:val="21"/>
          <w:color w:val="auto"/>
        </w:rPr>
      </w:pPr>
      <w:r>
        <w:rPr>
          <w:rFonts w:ascii="Arial" w:cs="Arial" w:eastAsia="Arial" w:hAnsi="Arial"/>
          <w:sz w:val="21"/>
          <w:szCs w:val="21"/>
          <w:b w:val="1"/>
          <w:bCs w:val="1"/>
          <w:color w:val="auto"/>
        </w:rPr>
        <w:t>Notice Concerning ISO Treatment</w:t>
      </w:r>
      <w:r>
        <w:rPr>
          <w:rFonts w:ascii="Arial" w:cs="Arial" w:eastAsia="Arial" w:hAnsi="Arial"/>
          <w:sz w:val="21"/>
          <w:szCs w:val="21"/>
          <w:color w:val="auto"/>
        </w:rPr>
        <w:t>. Even if this option is designated as an ISO in the Notice of Stock</w:t>
      </w:r>
      <w:r>
        <w:rPr>
          <w:rFonts w:ascii="Arial" w:cs="Arial" w:eastAsia="Arial" w:hAnsi="Arial"/>
          <w:sz w:val="21"/>
          <w:szCs w:val="21"/>
          <w:b w:val="1"/>
          <w:bCs w:val="1"/>
          <w:color w:val="auto"/>
        </w:rPr>
        <w:t xml:space="preserve"> </w:t>
      </w:r>
      <w:r>
        <w:rPr>
          <w:rFonts w:ascii="Arial" w:cs="Arial" w:eastAsia="Arial" w:hAnsi="Arial"/>
          <w:sz w:val="21"/>
          <w:szCs w:val="21"/>
          <w:color w:val="auto"/>
        </w:rPr>
        <w:t>Option Grant, it ceases to qualify for favorable tax treatment as an ISO to the extent that it is exercised:</w:t>
      </w:r>
    </w:p>
    <w:p>
      <w:pPr>
        <w:spacing w:after="0" w:line="145" w:lineRule="exact"/>
        <w:rPr>
          <w:rFonts w:ascii="Arial" w:cs="Arial" w:eastAsia="Arial" w:hAnsi="Arial"/>
          <w:sz w:val="21"/>
          <w:szCs w:val="21"/>
          <w:color w:val="auto"/>
        </w:rPr>
      </w:pPr>
    </w:p>
    <w:p>
      <w:pPr>
        <w:ind w:left="660" w:right="40" w:firstLine="1551"/>
        <w:spacing w:after="0" w:line="287" w:lineRule="auto"/>
        <w:tabs>
          <w:tab w:leader="none" w:pos="2635" w:val="left"/>
        </w:tabs>
        <w:numPr>
          <w:ilvl w:val="1"/>
          <w:numId w:val="391"/>
        </w:numPr>
        <w:rPr>
          <w:rFonts w:ascii="Arial" w:cs="Arial" w:eastAsia="Arial" w:hAnsi="Arial"/>
          <w:sz w:val="21"/>
          <w:szCs w:val="21"/>
          <w:color w:val="auto"/>
        </w:rPr>
      </w:pPr>
      <w:r>
        <w:rPr>
          <w:rFonts w:ascii="Arial" w:cs="Arial" w:eastAsia="Arial" w:hAnsi="Arial"/>
          <w:sz w:val="21"/>
          <w:szCs w:val="21"/>
          <w:color w:val="auto"/>
        </w:rPr>
        <w:t>More than three months after the date when the Optionee ceases to be an Employee for any reason other than death or permanent and total disability (as defined in Section 22(e)(3) of the Code);</w:t>
      </w:r>
    </w:p>
    <w:p>
      <w:pPr>
        <w:spacing w:after="0" w:line="151" w:lineRule="exact"/>
        <w:rPr>
          <w:rFonts w:ascii="Arial" w:cs="Arial" w:eastAsia="Arial" w:hAnsi="Arial"/>
          <w:sz w:val="21"/>
          <w:szCs w:val="21"/>
          <w:color w:val="auto"/>
        </w:rPr>
      </w:pPr>
    </w:p>
    <w:p>
      <w:pPr>
        <w:ind w:left="660" w:right="380" w:firstLine="1551"/>
        <w:spacing w:after="0" w:line="263" w:lineRule="auto"/>
        <w:tabs>
          <w:tab w:leader="none" w:pos="2695" w:val="left"/>
        </w:tabs>
        <w:numPr>
          <w:ilvl w:val="1"/>
          <w:numId w:val="391"/>
        </w:numPr>
        <w:rPr>
          <w:rFonts w:ascii="Arial" w:cs="Arial" w:eastAsia="Arial" w:hAnsi="Arial"/>
          <w:sz w:val="22"/>
          <w:szCs w:val="22"/>
          <w:color w:val="auto"/>
        </w:rPr>
      </w:pPr>
      <w:r>
        <w:rPr>
          <w:rFonts w:ascii="Arial" w:cs="Arial" w:eastAsia="Arial" w:hAnsi="Arial"/>
          <w:sz w:val="22"/>
          <w:szCs w:val="22"/>
          <w:color w:val="auto"/>
        </w:rPr>
        <w:t>More than 12 months after the date when the Optionee ceases to be an Employee by reason of permanent and total disability (as defined in Section 22(e)(3) of the Code); or</w:t>
      </w:r>
    </w:p>
    <w:p>
      <w:pPr>
        <w:spacing w:after="0" w:line="174" w:lineRule="exact"/>
        <w:rPr>
          <w:rFonts w:ascii="Arial" w:cs="Arial" w:eastAsia="Arial" w:hAnsi="Arial"/>
          <w:sz w:val="22"/>
          <w:szCs w:val="22"/>
          <w:color w:val="auto"/>
        </w:rPr>
      </w:pPr>
    </w:p>
    <w:p>
      <w:pPr>
        <w:ind w:left="660" w:firstLine="1551"/>
        <w:spacing w:after="0" w:line="343" w:lineRule="auto"/>
        <w:tabs>
          <w:tab w:leader="none" w:pos="2755" w:val="left"/>
        </w:tabs>
        <w:numPr>
          <w:ilvl w:val="1"/>
          <w:numId w:val="391"/>
        </w:numPr>
        <w:rPr>
          <w:rFonts w:ascii="Arial" w:cs="Arial" w:eastAsia="Arial" w:hAnsi="Arial"/>
          <w:sz w:val="19"/>
          <w:szCs w:val="19"/>
          <w:color w:val="auto"/>
        </w:rPr>
      </w:pPr>
      <w:r>
        <w:rPr>
          <w:rFonts w:ascii="Arial" w:cs="Arial" w:eastAsia="Arial" w:hAnsi="Arial"/>
          <w:sz w:val="19"/>
          <w:szCs w:val="19"/>
          <w:color w:val="auto"/>
        </w:rPr>
        <w:t>More than three months after the date when the Optionee has been on a leave of absence for three months, unless the Optionee’s reemployment rights following such leave were guaranteed by statute or by contract.</w:t>
      </w:r>
    </w:p>
    <w:p>
      <w:pPr>
        <w:spacing w:after="0" w:line="98"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RIGHT OF FIRST REFUSAL.</w:t>
      </w:r>
    </w:p>
    <w:p>
      <w:pPr>
        <w:spacing w:after="0" w:line="220" w:lineRule="exact"/>
        <w:rPr>
          <w:sz w:val="20"/>
          <w:szCs w:val="20"/>
          <w:color w:val="auto"/>
        </w:rPr>
      </w:pPr>
    </w:p>
    <w:p>
      <w:pPr>
        <w:ind w:right="40" w:firstLine="1628"/>
        <w:spacing w:after="0" w:line="288" w:lineRule="auto"/>
        <w:tabs>
          <w:tab w:leader="none" w:pos="2076" w:val="left"/>
        </w:tabs>
        <w:numPr>
          <w:ilvl w:val="0"/>
          <w:numId w:val="392"/>
        </w:numPr>
        <w:rPr>
          <w:rFonts w:ascii="Arial" w:cs="Arial" w:eastAsia="Arial" w:hAnsi="Arial"/>
          <w:sz w:val="19"/>
          <w:szCs w:val="19"/>
          <w:color w:val="auto"/>
        </w:rPr>
      </w:pPr>
      <w:r>
        <w:rPr>
          <w:rFonts w:ascii="Arial" w:cs="Arial" w:eastAsia="Arial" w:hAnsi="Arial"/>
          <w:sz w:val="19"/>
          <w:szCs w:val="19"/>
          <w:b w:val="1"/>
          <w:bCs w:val="1"/>
          <w:color w:val="auto"/>
        </w:rPr>
        <w:t>Right of First Refusal</w:t>
      </w:r>
      <w:r>
        <w:rPr>
          <w:rFonts w:ascii="Arial" w:cs="Arial" w:eastAsia="Arial" w:hAnsi="Arial"/>
          <w:sz w:val="19"/>
          <w:szCs w:val="19"/>
          <w:color w:val="auto"/>
        </w:rPr>
        <w:t>. In the event that the Optionee proposes to sell, pledge or otherwise transfer to a</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53" w:lineRule="exact"/>
        <w:rPr>
          <w:rFonts w:ascii="Arial" w:cs="Arial" w:eastAsia="Arial" w:hAnsi="Arial"/>
          <w:sz w:val="19"/>
          <w:szCs w:val="19"/>
          <w:color w:val="auto"/>
        </w:rPr>
      </w:pPr>
    </w:p>
    <w:p>
      <w:pPr>
        <w:jc w:val="both"/>
        <w:ind w:right="220" w:firstLine="1628"/>
        <w:spacing w:after="0" w:line="304" w:lineRule="auto"/>
        <w:tabs>
          <w:tab w:leader="none" w:pos="2088" w:val="left"/>
        </w:tabs>
        <w:numPr>
          <w:ilvl w:val="0"/>
          <w:numId w:val="392"/>
        </w:numPr>
        <w:rPr>
          <w:rFonts w:ascii="Arial" w:cs="Arial" w:eastAsia="Arial" w:hAnsi="Arial"/>
          <w:sz w:val="19"/>
          <w:szCs w:val="19"/>
          <w:color w:val="auto"/>
        </w:rPr>
      </w:pPr>
      <w:r>
        <w:rPr>
          <w:rFonts w:ascii="Arial" w:cs="Arial" w:eastAsia="Arial" w:hAnsi="Arial"/>
          <w:sz w:val="19"/>
          <w:szCs w:val="19"/>
          <w:b w:val="1"/>
          <w:bCs w:val="1"/>
          <w:color w:val="auto"/>
        </w:rPr>
        <w:t>Transfer of Shares</w:t>
      </w:r>
      <w:r>
        <w:rPr>
          <w:rFonts w:ascii="Arial" w:cs="Arial" w:eastAsia="Arial" w:hAnsi="Arial"/>
          <w:sz w:val="19"/>
          <w:szCs w:val="19"/>
          <w:color w:val="auto"/>
        </w:rPr>
        <w:t>. If the Company fails to exercise its Right of First Refusal within 30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when it 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7" w:right="399" w:bottom="1440" w:gutter="0" w:footer="0" w:header="0"/>
        </w:sectPr>
      </w:pPr>
    </w:p>
    <w:bookmarkStart w:id="580" w:name="page581"/>
    <w:bookmarkEnd w:id="580"/>
    <w:p>
      <w:pPr>
        <w:ind w:right="80"/>
        <w:spacing w:after="0" w:line="289" w:lineRule="auto"/>
        <w:rPr>
          <w:sz w:val="20"/>
          <w:szCs w:val="20"/>
          <w:color w:val="auto"/>
        </w:rPr>
      </w:pPr>
      <w:r>
        <w:rPr>
          <w:rFonts w:ascii="Arial" w:cs="Arial" w:eastAsia="Arial" w:hAnsi="Arial"/>
          <w:sz w:val="19"/>
          <w:szCs w:val="19"/>
          <w:color w:val="auto"/>
        </w:rPr>
        <w:t>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51" w:lineRule="exact"/>
        <w:rPr>
          <w:sz w:val="20"/>
          <w:szCs w:val="20"/>
          <w:color w:val="auto"/>
        </w:rPr>
      </w:pPr>
    </w:p>
    <w:p>
      <w:pPr>
        <w:ind w:right="100" w:firstLine="1628"/>
        <w:spacing w:after="0" w:line="260" w:lineRule="auto"/>
        <w:tabs>
          <w:tab w:leader="none" w:pos="2076" w:val="left"/>
        </w:tabs>
        <w:numPr>
          <w:ilvl w:val="0"/>
          <w:numId w:val="393"/>
        </w:numPr>
        <w:rPr>
          <w:rFonts w:ascii="Arial" w:cs="Arial" w:eastAsia="Arial" w:hAnsi="Arial"/>
          <w:sz w:val="21"/>
          <w:szCs w:val="21"/>
          <w:color w:val="auto"/>
        </w:rPr>
      </w:pPr>
      <w:r>
        <w:rPr>
          <w:rFonts w:ascii="Arial" w:cs="Arial" w:eastAsia="Arial" w:hAnsi="Arial"/>
          <w:sz w:val="21"/>
          <w:szCs w:val="21"/>
          <w:b w:val="1"/>
          <w:bCs w:val="1"/>
          <w:color w:val="auto"/>
        </w:rPr>
        <w:t>Additional or Exchanged Securities and Property</w:t>
      </w:r>
      <w:r>
        <w:rPr>
          <w:rFonts w:ascii="Arial" w:cs="Arial" w:eastAsia="Arial" w:hAnsi="Arial"/>
          <w:sz w:val="21"/>
          <w:szCs w:val="21"/>
          <w:color w:val="auto"/>
        </w:rPr>
        <w:t>. In the event of a merger or consolidation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75" w:lineRule="exact"/>
        <w:rPr>
          <w:rFonts w:ascii="Arial" w:cs="Arial" w:eastAsia="Arial" w:hAnsi="Arial"/>
          <w:sz w:val="21"/>
          <w:szCs w:val="21"/>
          <w:color w:val="auto"/>
        </w:rPr>
      </w:pPr>
    </w:p>
    <w:p>
      <w:pPr>
        <w:ind w:right="340" w:firstLine="1628"/>
        <w:spacing w:after="0" w:line="252" w:lineRule="auto"/>
        <w:tabs>
          <w:tab w:leader="none" w:pos="2088" w:val="left"/>
        </w:tabs>
        <w:numPr>
          <w:ilvl w:val="0"/>
          <w:numId w:val="393"/>
        </w:numPr>
        <w:rPr>
          <w:rFonts w:ascii="Arial" w:cs="Arial" w:eastAsia="Arial" w:hAnsi="Arial"/>
          <w:sz w:val="22"/>
          <w:szCs w:val="22"/>
          <w:color w:val="auto"/>
        </w:rPr>
      </w:pPr>
      <w:r>
        <w:rPr>
          <w:rFonts w:ascii="Arial" w:cs="Arial" w:eastAsia="Arial" w:hAnsi="Arial"/>
          <w:sz w:val="22"/>
          <w:szCs w:val="22"/>
          <w:b w:val="1"/>
          <w:bCs w:val="1"/>
          <w:color w:val="auto"/>
        </w:rPr>
        <w:t>Termination of Right of First Refusal</w:t>
      </w:r>
      <w:r>
        <w:rPr>
          <w:rFonts w:ascii="Arial" w:cs="Arial" w:eastAsia="Arial" w:hAnsi="Arial"/>
          <w:sz w:val="22"/>
          <w:szCs w:val="22"/>
          <w:color w:val="auto"/>
        </w:rPr>
        <w:t>. Any other provision of this Section 7 notwithstanding,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9" w:lineRule="exact"/>
        <w:rPr>
          <w:rFonts w:ascii="Arial" w:cs="Arial" w:eastAsia="Arial" w:hAnsi="Arial"/>
          <w:sz w:val="22"/>
          <w:szCs w:val="22"/>
          <w:color w:val="auto"/>
        </w:rPr>
      </w:pPr>
    </w:p>
    <w:p>
      <w:pPr>
        <w:ind w:right="100" w:firstLine="1628"/>
        <w:spacing w:after="0" w:line="247" w:lineRule="auto"/>
        <w:tabs>
          <w:tab w:leader="none" w:pos="2076" w:val="left"/>
        </w:tabs>
        <w:numPr>
          <w:ilvl w:val="0"/>
          <w:numId w:val="393"/>
        </w:numPr>
        <w:rPr>
          <w:rFonts w:ascii="Arial" w:cs="Arial" w:eastAsia="Arial" w:hAnsi="Arial"/>
          <w:sz w:val="22"/>
          <w:szCs w:val="22"/>
          <w:color w:val="auto"/>
        </w:rPr>
      </w:pPr>
      <w:r>
        <w:rPr>
          <w:rFonts w:ascii="Arial" w:cs="Arial" w:eastAsia="Arial" w:hAnsi="Arial"/>
          <w:sz w:val="22"/>
          <w:szCs w:val="22"/>
          <w:b w:val="1"/>
          <w:bCs w:val="1"/>
          <w:color w:val="auto"/>
        </w:rPr>
        <w:t>Permitted Transfers</w:t>
      </w:r>
      <w:r>
        <w:rPr>
          <w:rFonts w:ascii="Arial" w:cs="Arial" w:eastAsia="Arial" w:hAnsi="Arial"/>
          <w:sz w:val="22"/>
          <w:szCs w:val="22"/>
          <w:color w:val="auto"/>
        </w:rPr>
        <w:t>. This Section 7 shall not apply to (i) a transfer by beneficiary designation, will or</w:t>
      </w:r>
      <w:r>
        <w:rPr>
          <w:rFonts w:ascii="Arial" w:cs="Arial" w:eastAsia="Arial" w:hAnsi="Arial"/>
          <w:sz w:val="22"/>
          <w:szCs w:val="22"/>
          <w:b w:val="1"/>
          <w:bCs w:val="1"/>
          <w:color w:val="auto"/>
        </w:rPr>
        <w:t xml:space="preserve"> </w:t>
      </w:r>
      <w:r>
        <w:rPr>
          <w:rFonts w:ascii="Arial" w:cs="Arial" w:eastAsia="Arial" w:hAnsi="Arial"/>
          <w:sz w:val="22"/>
          <w:szCs w:val="22"/>
          <w:color w:val="auto"/>
        </w:rPr>
        <w:t>intestate succession 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89" w:lineRule="exact"/>
        <w:rPr>
          <w:rFonts w:ascii="Arial" w:cs="Arial" w:eastAsia="Arial" w:hAnsi="Arial"/>
          <w:sz w:val="22"/>
          <w:szCs w:val="22"/>
          <w:color w:val="auto"/>
        </w:rPr>
      </w:pPr>
    </w:p>
    <w:p>
      <w:pPr>
        <w:jc w:val="both"/>
        <w:ind w:firstLine="1628"/>
        <w:spacing w:after="0" w:line="267" w:lineRule="auto"/>
        <w:tabs>
          <w:tab w:leader="none" w:pos="2052" w:val="left"/>
        </w:tabs>
        <w:numPr>
          <w:ilvl w:val="0"/>
          <w:numId w:val="393"/>
        </w:numPr>
        <w:rPr>
          <w:rFonts w:ascii="Arial" w:cs="Arial" w:eastAsia="Arial" w:hAnsi="Arial"/>
          <w:sz w:val="21"/>
          <w:szCs w:val="21"/>
          <w:color w:val="auto"/>
        </w:rPr>
      </w:pPr>
      <w:r>
        <w:rPr>
          <w:rFonts w:ascii="Arial" w:cs="Arial" w:eastAsia="Arial" w:hAnsi="Arial"/>
          <w:sz w:val="21"/>
          <w:szCs w:val="21"/>
          <w:b w:val="1"/>
          <w:bCs w:val="1"/>
          <w:color w:val="auto"/>
        </w:rPr>
        <w:t>Termination of Rights as Stockholder</w:t>
      </w:r>
      <w:r>
        <w:rPr>
          <w:rFonts w:ascii="Arial" w:cs="Arial" w:eastAsia="Arial" w:hAnsi="Arial"/>
          <w:sz w:val="21"/>
          <w:szCs w:val="21"/>
          <w:color w:val="auto"/>
        </w:rPr>
        <w:t>. If the Company makes available, at the time and place and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7" w:right="359" w:bottom="1440" w:gutter="0" w:footer="0" w:header="0"/>
        </w:sectPr>
      </w:pPr>
    </w:p>
    <w:bookmarkStart w:id="581" w:name="page582"/>
    <w:bookmarkEnd w:id="581"/>
    <w:p>
      <w:pPr>
        <w:ind w:right="740"/>
        <w:spacing w:after="0" w:line="343" w:lineRule="auto"/>
        <w:rPr>
          <w:sz w:val="20"/>
          <w:szCs w:val="20"/>
          <w:color w:val="auto"/>
        </w:rPr>
      </w:pPr>
      <w:r>
        <w:rPr>
          <w:rFonts w:ascii="Arial" w:cs="Arial" w:eastAsia="Arial" w:hAnsi="Arial"/>
          <w:sz w:val="19"/>
          <w:szCs w:val="19"/>
          <w:color w:val="auto"/>
        </w:rPr>
        <w:t>accordance with this Agreement). Such Shares shall be deemed to have been purchased in accordance with the applicable provisions hereof, whether or not the certificate(s) therefor have been delivered as required by this Agreement.</w:t>
      </w:r>
    </w:p>
    <w:p>
      <w:pPr>
        <w:spacing w:after="0" w:line="98" w:lineRule="exact"/>
        <w:rPr>
          <w:sz w:val="20"/>
          <w:szCs w:val="20"/>
          <w:color w:val="auto"/>
        </w:rPr>
      </w:pPr>
    </w:p>
    <w:p>
      <w:pPr>
        <w:ind w:right="40" w:firstLine="1628"/>
        <w:spacing w:after="0" w:line="256" w:lineRule="auto"/>
        <w:tabs>
          <w:tab w:leader="none" w:pos="2088" w:val="left"/>
        </w:tabs>
        <w:numPr>
          <w:ilvl w:val="0"/>
          <w:numId w:val="394"/>
        </w:numPr>
        <w:rPr>
          <w:rFonts w:ascii="Arial" w:cs="Arial" w:eastAsia="Arial" w:hAnsi="Arial"/>
          <w:sz w:val="22"/>
          <w:szCs w:val="22"/>
          <w:color w:val="auto"/>
        </w:rPr>
      </w:pPr>
      <w:r>
        <w:rPr>
          <w:rFonts w:ascii="Arial" w:cs="Arial" w:eastAsia="Arial" w:hAnsi="Arial"/>
          <w:sz w:val="22"/>
          <w:szCs w:val="22"/>
          <w:b w:val="1"/>
          <w:bCs w:val="1"/>
          <w:color w:val="auto"/>
        </w:rPr>
        <w:t>Assignment of Right of First Refusal</w:t>
      </w:r>
      <w:r>
        <w:rPr>
          <w:rFonts w:ascii="Arial" w:cs="Arial" w:eastAsia="Arial" w:hAnsi="Arial"/>
          <w:sz w:val="22"/>
          <w:szCs w:val="22"/>
          <w:color w:val="auto"/>
        </w:rPr>
        <w:t>. The Board of Directors may freely assign the Company’s Right</w:t>
      </w:r>
      <w:r>
        <w:rPr>
          <w:rFonts w:ascii="Arial" w:cs="Arial" w:eastAsia="Arial" w:hAnsi="Arial"/>
          <w:sz w:val="22"/>
          <w:szCs w:val="22"/>
          <w:b w:val="1"/>
          <w:bCs w:val="1"/>
          <w:color w:val="auto"/>
        </w:rPr>
        <w:t xml:space="preserve"> </w:t>
      </w:r>
      <w:r>
        <w:rPr>
          <w:rFonts w:ascii="Arial" w:cs="Arial" w:eastAsia="Arial" w:hAnsi="Arial"/>
          <w:sz w:val="22"/>
          <w:szCs w:val="22"/>
          <w:color w:val="auto"/>
        </w:rPr>
        <w:t>of First Refusal, in whole or in part. Any person who accepts an assignment of the Right of First Refusal from the Company shall assume all of the Company’s rights and obligations under this Section 7.</w:t>
      </w:r>
    </w:p>
    <w:p>
      <w:pPr>
        <w:spacing w:after="0" w:line="17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8.</w:t>
        <w:tab/>
        <w:t>LEGALITY OF INITIAL ISSUANCE.</w:t>
      </w: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No Shares shall be issued upon the exercise of this option unless and until the Company has determined that:</w:t>
      </w:r>
    </w:p>
    <w:p>
      <w:pPr>
        <w:spacing w:after="0" w:line="254" w:lineRule="exact"/>
        <w:rPr>
          <w:sz w:val="20"/>
          <w:szCs w:val="20"/>
          <w:color w:val="auto"/>
        </w:rPr>
      </w:pPr>
    </w:p>
    <w:p>
      <w:pPr>
        <w:ind w:right="240" w:firstLine="1628"/>
        <w:spacing w:after="0" w:line="263" w:lineRule="auto"/>
        <w:tabs>
          <w:tab w:leader="none" w:pos="2076" w:val="left"/>
        </w:tabs>
        <w:numPr>
          <w:ilvl w:val="0"/>
          <w:numId w:val="395"/>
        </w:numPr>
        <w:rPr>
          <w:rFonts w:ascii="Arial" w:cs="Arial" w:eastAsia="Arial" w:hAnsi="Arial"/>
          <w:sz w:val="22"/>
          <w:szCs w:val="22"/>
          <w:color w:val="auto"/>
        </w:rPr>
      </w:pPr>
      <w:r>
        <w:rPr>
          <w:rFonts w:ascii="Arial" w:cs="Arial" w:eastAsia="Arial" w:hAnsi="Arial"/>
          <w:sz w:val="22"/>
          <w:szCs w:val="22"/>
          <w:color w:val="auto"/>
        </w:rPr>
        <w:t>It and the Optionee have taken any actions required to register the Shares under the Securities Act or to perfect an exemption from the registration requirements thereof;</w:t>
      </w:r>
    </w:p>
    <w:p>
      <w:pPr>
        <w:spacing w:after="0" w:line="174" w:lineRule="exact"/>
        <w:rPr>
          <w:rFonts w:ascii="Arial" w:cs="Arial" w:eastAsia="Arial" w:hAnsi="Arial"/>
          <w:sz w:val="22"/>
          <w:szCs w:val="22"/>
          <w:color w:val="auto"/>
        </w:rPr>
      </w:pPr>
    </w:p>
    <w:p>
      <w:pPr>
        <w:ind w:right="320" w:firstLine="1628"/>
        <w:spacing w:after="0" w:line="263" w:lineRule="auto"/>
        <w:tabs>
          <w:tab w:leader="none" w:pos="2076"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Any applicable listing requirement of any stock exchange or other securities market on which Stock is listed has been satisfied; and</w:t>
      </w:r>
    </w:p>
    <w:p>
      <w:pPr>
        <w:spacing w:after="0" w:line="174" w:lineRule="exact"/>
        <w:rPr>
          <w:rFonts w:ascii="Arial" w:cs="Arial" w:eastAsia="Arial" w:hAnsi="Arial"/>
          <w:sz w:val="22"/>
          <w:szCs w:val="22"/>
          <w:color w:val="auto"/>
        </w:rPr>
      </w:pPr>
    </w:p>
    <w:p>
      <w:pPr>
        <w:ind w:left="2080" w:hanging="452"/>
        <w:spacing w:after="0"/>
        <w:tabs>
          <w:tab w:leader="none" w:pos="2080"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Any other applicable provision of federal, State or foreign law has been satisfied.</w:t>
      </w:r>
    </w:p>
    <w:p>
      <w:pPr>
        <w:spacing w:after="0" w:line="214"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NO REGISTRATION RIGHTS.</w:t>
      </w:r>
    </w:p>
    <w:p>
      <w:pPr>
        <w:spacing w:after="0" w:line="226"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79"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RESTRICTIONS ON TRANSFER OF SHARES.</w:t>
      </w:r>
    </w:p>
    <w:p>
      <w:pPr>
        <w:spacing w:after="0" w:line="220" w:lineRule="exact"/>
        <w:rPr>
          <w:sz w:val="20"/>
          <w:szCs w:val="20"/>
          <w:color w:val="auto"/>
        </w:rPr>
      </w:pPr>
    </w:p>
    <w:p>
      <w:pPr>
        <w:ind w:right="100" w:firstLine="1628"/>
        <w:spacing w:after="0" w:line="291" w:lineRule="auto"/>
        <w:tabs>
          <w:tab w:leader="none" w:pos="2076" w:val="left"/>
        </w:tabs>
        <w:numPr>
          <w:ilvl w:val="0"/>
          <w:numId w:val="396"/>
        </w:numPr>
        <w:rPr>
          <w:rFonts w:ascii="Arial" w:cs="Arial" w:eastAsia="Arial" w:hAnsi="Arial"/>
          <w:sz w:val="19"/>
          <w:szCs w:val="19"/>
          <w:color w:val="auto"/>
        </w:rPr>
      </w:pPr>
      <w:r>
        <w:rPr>
          <w:rFonts w:ascii="Arial" w:cs="Arial" w:eastAsia="Arial" w:hAnsi="Arial"/>
          <w:sz w:val="19"/>
          <w:szCs w:val="19"/>
          <w:b w:val="1"/>
          <w:bCs w:val="1"/>
          <w:color w:val="auto"/>
        </w:rPr>
        <w:t>Securities Law Restrictions</w:t>
      </w:r>
      <w:r>
        <w:rPr>
          <w:rFonts w:ascii="Arial" w:cs="Arial" w:eastAsia="Arial" w:hAnsi="Arial"/>
          <w:sz w:val="19"/>
          <w:szCs w:val="19"/>
          <w:color w:val="auto"/>
        </w:rPr>
        <w:t>. Regardless of whether the offer and sale of Shares under the Plan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48" w:lineRule="exact"/>
        <w:rPr>
          <w:rFonts w:ascii="Arial" w:cs="Arial" w:eastAsia="Arial" w:hAnsi="Arial"/>
          <w:sz w:val="19"/>
          <w:szCs w:val="19"/>
          <w:color w:val="auto"/>
        </w:rPr>
      </w:pPr>
    </w:p>
    <w:p>
      <w:pPr>
        <w:ind w:right="320" w:firstLine="1628"/>
        <w:spacing w:after="0" w:line="269" w:lineRule="auto"/>
        <w:tabs>
          <w:tab w:leader="none" w:pos="2088" w:val="left"/>
        </w:tabs>
        <w:numPr>
          <w:ilvl w:val="0"/>
          <w:numId w:val="396"/>
        </w:numPr>
        <w:rPr>
          <w:rFonts w:ascii="Arial" w:cs="Arial" w:eastAsia="Arial" w:hAnsi="Arial"/>
          <w:sz w:val="22"/>
          <w:szCs w:val="22"/>
          <w:color w:val="auto"/>
        </w:rPr>
      </w:pPr>
      <w:r>
        <w:rPr>
          <w:rFonts w:ascii="Arial" w:cs="Arial" w:eastAsia="Arial" w:hAnsi="Arial"/>
          <w:sz w:val="22"/>
          <w:szCs w:val="22"/>
          <w:b w:val="1"/>
          <w:bCs w:val="1"/>
          <w:color w:val="auto"/>
        </w:rPr>
        <w:t>Market Stand-Off</w:t>
      </w:r>
      <w:r>
        <w:rPr>
          <w:rFonts w:ascii="Arial" w:cs="Arial" w:eastAsia="Arial" w:hAnsi="Arial"/>
          <w:sz w:val="22"/>
          <w:szCs w:val="22"/>
          <w:color w:val="auto"/>
        </w:rPr>
        <w:t>. In connection with any underwritten public offering by the Company of its equity</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pursuant to an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582" w:name="page583"/>
    <w:bookmarkEnd w:id="582"/>
    <w:p>
      <w:pPr>
        <w:spacing w:after="0" w:line="285" w:lineRule="auto"/>
        <w:rPr>
          <w:sz w:val="20"/>
          <w:szCs w:val="20"/>
          <w:color w:val="auto"/>
        </w:rPr>
      </w:pPr>
      <w:r>
        <w:rPr>
          <w:rFonts w:ascii="Arial" w:cs="Arial" w:eastAsia="Arial" w:hAnsi="Arial"/>
          <w:sz w:val="19"/>
          <w:szCs w:val="19"/>
          <w:color w:val="auto"/>
        </w:rPr>
        <w:t>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9"/>
          <w:szCs w:val="19"/>
          <w:b w:val="1"/>
          <w:bCs w:val="1"/>
          <w:color w:val="auto"/>
        </w:rPr>
        <w:t>Market Stand-Off</w:t>
      </w:r>
      <w:r>
        <w:rPr>
          <w:rFonts w:ascii="Arial" w:cs="Arial" w:eastAsia="Arial" w:hAnsi="Arial"/>
          <w:sz w:val="19"/>
          <w:szCs w:val="19"/>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200" w:lineRule="exact"/>
        <w:rPr>
          <w:sz w:val="20"/>
          <w:szCs w:val="20"/>
          <w:color w:val="auto"/>
        </w:rPr>
      </w:pPr>
    </w:p>
    <w:p>
      <w:pPr>
        <w:spacing w:after="0" w:line="213" w:lineRule="exact"/>
        <w:rPr>
          <w:sz w:val="20"/>
          <w:szCs w:val="20"/>
          <w:color w:val="auto"/>
        </w:rPr>
      </w:pPr>
    </w:p>
    <w:p>
      <w:pPr>
        <w:ind w:right="300" w:firstLine="1628"/>
        <w:spacing w:after="0" w:line="349" w:lineRule="auto"/>
        <w:tabs>
          <w:tab w:leader="none" w:pos="2076" w:val="left"/>
        </w:tabs>
        <w:numPr>
          <w:ilvl w:val="0"/>
          <w:numId w:val="397"/>
        </w:numPr>
        <w:rPr>
          <w:rFonts w:ascii="Arial" w:cs="Arial" w:eastAsia="Arial" w:hAnsi="Arial"/>
          <w:sz w:val="19"/>
          <w:szCs w:val="19"/>
          <w:color w:val="auto"/>
        </w:rPr>
      </w:pPr>
      <w:r>
        <w:rPr>
          <w:rFonts w:ascii="Arial" w:cs="Arial" w:eastAsia="Arial" w:hAnsi="Arial"/>
          <w:sz w:val="19"/>
          <w:szCs w:val="19"/>
          <w:b w:val="1"/>
          <w:bCs w:val="1"/>
          <w:color w:val="auto"/>
        </w:rPr>
        <w:t>Investment Intent at Grant</w:t>
      </w:r>
      <w:r>
        <w:rPr>
          <w:rFonts w:ascii="Arial" w:cs="Arial" w:eastAsia="Arial" w:hAnsi="Arial"/>
          <w:sz w:val="19"/>
          <w:szCs w:val="19"/>
          <w:color w:val="auto"/>
        </w:rPr>
        <w:t>. The Optionee represents and agrees that the Shares to be acquired upon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exercising this option will be acquired for investment, and not with a view to the sale or distribution thereof.</w:t>
      </w:r>
    </w:p>
    <w:p>
      <w:pPr>
        <w:spacing w:after="0" w:line="93" w:lineRule="exact"/>
        <w:rPr>
          <w:rFonts w:ascii="Arial" w:cs="Arial" w:eastAsia="Arial" w:hAnsi="Arial"/>
          <w:sz w:val="19"/>
          <w:szCs w:val="19"/>
          <w:color w:val="auto"/>
        </w:rPr>
      </w:pPr>
    </w:p>
    <w:p>
      <w:pPr>
        <w:ind w:firstLine="1628"/>
        <w:spacing w:after="0" w:line="293" w:lineRule="auto"/>
        <w:tabs>
          <w:tab w:leader="none" w:pos="2088" w:val="left"/>
        </w:tabs>
        <w:numPr>
          <w:ilvl w:val="0"/>
          <w:numId w:val="397"/>
        </w:numPr>
        <w:rPr>
          <w:rFonts w:ascii="Arial" w:cs="Arial" w:eastAsia="Arial" w:hAnsi="Arial"/>
          <w:sz w:val="19"/>
          <w:szCs w:val="19"/>
          <w:color w:val="auto"/>
        </w:rPr>
      </w:pPr>
      <w:r>
        <w:rPr>
          <w:rFonts w:ascii="Arial" w:cs="Arial" w:eastAsia="Arial" w:hAnsi="Arial"/>
          <w:sz w:val="19"/>
          <w:szCs w:val="19"/>
          <w:b w:val="1"/>
          <w:bCs w:val="1"/>
          <w:color w:val="auto"/>
        </w:rPr>
        <w:t>Investment Intent at Exercise</w:t>
      </w:r>
      <w:r>
        <w:rPr>
          <w:rFonts w:ascii="Arial" w:cs="Arial" w:eastAsia="Arial" w:hAnsi="Arial"/>
          <w:sz w:val="19"/>
          <w:szCs w:val="19"/>
          <w:color w:val="auto"/>
        </w:rPr>
        <w:t>. In the event that the sale of Shares under the Plan is not registered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44" w:lineRule="exact"/>
        <w:rPr>
          <w:rFonts w:ascii="Arial" w:cs="Arial" w:eastAsia="Arial" w:hAnsi="Arial"/>
          <w:sz w:val="19"/>
          <w:szCs w:val="19"/>
          <w:color w:val="auto"/>
        </w:rPr>
      </w:pPr>
    </w:p>
    <w:p>
      <w:pPr>
        <w:ind w:left="2080" w:hanging="452"/>
        <w:spacing w:after="0"/>
        <w:tabs>
          <w:tab w:leader="none" w:pos="2080" w:val="left"/>
        </w:tabs>
        <w:numPr>
          <w:ilvl w:val="0"/>
          <w:numId w:val="397"/>
        </w:numPr>
        <w:rPr>
          <w:rFonts w:ascii="Arial" w:cs="Arial" w:eastAsia="Arial" w:hAnsi="Arial"/>
          <w:sz w:val="19"/>
          <w:szCs w:val="19"/>
          <w:color w:val="auto"/>
        </w:rPr>
      </w:pPr>
      <w:r>
        <w:rPr>
          <w:rFonts w:ascii="Arial" w:cs="Arial" w:eastAsia="Arial" w:hAnsi="Arial"/>
          <w:sz w:val="19"/>
          <w:szCs w:val="19"/>
          <w:b w:val="1"/>
          <w:bCs w:val="1"/>
          <w:color w:val="auto"/>
        </w:rPr>
        <w:t>Legends</w:t>
      </w:r>
      <w:r>
        <w:rPr>
          <w:rFonts w:ascii="Arial" w:cs="Arial" w:eastAsia="Arial" w:hAnsi="Arial"/>
          <w:sz w:val="19"/>
          <w:szCs w:val="19"/>
          <w:color w:val="auto"/>
        </w:rPr>
        <w:t>. All certificates evidencing Shares purchased under this Agreement shall bear the following</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427" w:right="419" w:bottom="1440" w:gutter="0" w:footer="0" w:header="0"/>
        </w:sectPr>
      </w:pPr>
    </w:p>
    <w:bookmarkStart w:id="583" w:name="page584"/>
    <w:bookmarkEnd w:id="583"/>
    <w:p>
      <w:pPr>
        <w:jc w:val="both"/>
        <w:ind w:left="660" w:right="640"/>
        <w:spacing w:after="0" w:line="258" w:lineRule="auto"/>
        <w:rPr>
          <w:sz w:val="20"/>
          <w:szCs w:val="20"/>
          <w:color w:val="auto"/>
        </w:rPr>
      </w:pPr>
      <w:r>
        <w:rPr>
          <w:rFonts w:ascii="Arial" w:cs="Arial" w:eastAsia="Arial" w:hAnsi="Arial"/>
          <w:sz w:val="21"/>
          <w:szCs w:val="21"/>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04" w:lineRule="exact"/>
        <w:rPr>
          <w:sz w:val="20"/>
          <w:szCs w:val="20"/>
          <w:color w:val="auto"/>
        </w:rPr>
      </w:pPr>
    </w:p>
    <w:p>
      <w:pPr>
        <w:jc w:val="both"/>
        <w:ind w:left="660" w:right="640"/>
        <w:spacing w:after="0" w:line="245" w:lineRule="auto"/>
        <w:rPr>
          <w:sz w:val="20"/>
          <w:szCs w:val="20"/>
          <w:color w:val="auto"/>
        </w:rPr>
      </w:pPr>
      <w:r>
        <w:rPr>
          <w:rFonts w:ascii="Arial" w:cs="Arial" w:eastAsia="Arial" w:hAnsi="Arial"/>
          <w:sz w:val="22"/>
          <w:szCs w:val="22"/>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9" w:lineRule="exact"/>
        <w:rPr>
          <w:sz w:val="20"/>
          <w:szCs w:val="20"/>
          <w:color w:val="auto"/>
        </w:rPr>
      </w:pPr>
    </w:p>
    <w:p>
      <w:pPr>
        <w:ind w:right="200" w:firstLine="1628"/>
        <w:spacing w:after="0" w:line="315" w:lineRule="auto"/>
        <w:tabs>
          <w:tab w:leader="none" w:pos="2052" w:val="left"/>
        </w:tabs>
        <w:numPr>
          <w:ilvl w:val="0"/>
          <w:numId w:val="398"/>
        </w:numPr>
        <w:rPr>
          <w:rFonts w:ascii="Arial" w:cs="Arial" w:eastAsia="Arial" w:hAnsi="Arial"/>
          <w:sz w:val="19"/>
          <w:szCs w:val="19"/>
          <w:color w:val="auto"/>
        </w:rPr>
      </w:pPr>
      <w:r>
        <w:rPr>
          <w:rFonts w:ascii="Arial" w:cs="Arial" w:eastAsia="Arial" w:hAnsi="Arial"/>
          <w:sz w:val="19"/>
          <w:szCs w:val="19"/>
          <w:b w:val="1"/>
          <w:bCs w:val="1"/>
          <w:color w:val="auto"/>
        </w:rPr>
        <w:t>Removal of Legends</w:t>
      </w:r>
      <w:r>
        <w:rPr>
          <w:rFonts w:ascii="Arial" w:cs="Arial" w:eastAsia="Arial" w:hAnsi="Arial"/>
          <w:sz w:val="19"/>
          <w:szCs w:val="19"/>
          <w:color w:val="auto"/>
        </w:rPr>
        <w:t>. If, in the opinion of the Company and its counsel, any legend placed on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Shares sold under this Agreement is no longer required, the holder of such certificate shall be entitled to exchange such certificate for a certificate representing the same number of Shares but without such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584" w:name="page585"/>
    <w:bookmarkEnd w:id="584"/>
    <w:p>
      <w:pPr>
        <w:ind w:right="600" w:firstLine="1628"/>
        <w:spacing w:after="0" w:line="293" w:lineRule="auto"/>
        <w:tabs>
          <w:tab w:leader="none" w:pos="2088" w:val="left"/>
        </w:tabs>
        <w:numPr>
          <w:ilvl w:val="0"/>
          <w:numId w:val="399"/>
        </w:numPr>
        <w:rPr>
          <w:rFonts w:ascii="Arial" w:cs="Arial" w:eastAsia="Arial" w:hAnsi="Arial"/>
          <w:sz w:val="21"/>
          <w:szCs w:val="21"/>
          <w:color w:val="auto"/>
        </w:rPr>
      </w:pPr>
      <w:r>
        <w:rPr>
          <w:rFonts w:ascii="Arial" w:cs="Arial" w:eastAsia="Arial" w:hAnsi="Arial"/>
          <w:sz w:val="21"/>
          <w:szCs w:val="21"/>
          <w:b w:val="1"/>
          <w:bCs w:val="1"/>
          <w:color w:val="auto"/>
        </w:rPr>
        <w:t>Administration</w:t>
      </w:r>
      <w:r>
        <w:rPr>
          <w:rFonts w:ascii="Arial" w:cs="Arial" w:eastAsia="Arial" w:hAnsi="Arial"/>
          <w:sz w:val="21"/>
          <w:szCs w:val="21"/>
          <w:color w:val="auto"/>
        </w:rPr>
        <w:t>. Any determination by the Company and its counsel in connection with any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matters set forth in this Section 10 shall be conclusive and binding on the Optionee and all other persons.</w:t>
      </w:r>
    </w:p>
    <w:p>
      <w:pPr>
        <w:spacing w:after="0" w:line="139"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color w:val="auto"/>
        </w:rPr>
        <w:t>ADJUSTMENT OF SHARES.</w:t>
      </w:r>
    </w:p>
    <w:p>
      <w:pPr>
        <w:spacing w:after="0" w:line="226"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1"/>
          <w:szCs w:val="21"/>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69"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color w:val="auto"/>
        </w:rPr>
        <w:t>MISCELLANEOUS PROVISIONS.</w:t>
      </w:r>
    </w:p>
    <w:p>
      <w:pPr>
        <w:spacing w:after="0" w:line="220" w:lineRule="exact"/>
        <w:rPr>
          <w:sz w:val="20"/>
          <w:szCs w:val="20"/>
          <w:color w:val="auto"/>
        </w:rPr>
      </w:pPr>
    </w:p>
    <w:p>
      <w:pPr>
        <w:ind w:right="80" w:firstLine="1628"/>
        <w:spacing w:after="0" w:line="315" w:lineRule="auto"/>
        <w:tabs>
          <w:tab w:leader="none" w:pos="2076" w:val="left"/>
        </w:tabs>
        <w:numPr>
          <w:ilvl w:val="0"/>
          <w:numId w:val="400"/>
        </w:numPr>
        <w:rPr>
          <w:rFonts w:ascii="Arial" w:cs="Arial" w:eastAsia="Arial" w:hAnsi="Arial"/>
          <w:sz w:val="19"/>
          <w:szCs w:val="19"/>
          <w:color w:val="auto"/>
        </w:rPr>
      </w:pPr>
      <w:r>
        <w:rPr>
          <w:rFonts w:ascii="Arial" w:cs="Arial" w:eastAsia="Arial" w:hAnsi="Arial"/>
          <w:sz w:val="19"/>
          <w:szCs w:val="19"/>
          <w:b w:val="1"/>
          <w:bCs w:val="1"/>
          <w:color w:val="auto"/>
        </w:rPr>
        <w:t>Rights as a Stockholder</w:t>
      </w:r>
      <w:r>
        <w:rPr>
          <w:rFonts w:ascii="Arial" w:cs="Arial" w:eastAsia="Arial" w:hAnsi="Arial"/>
          <w:sz w:val="19"/>
          <w:szCs w:val="19"/>
          <w:color w:val="auto"/>
        </w:rPr>
        <w:t>. Neither the Optionee nor the Optionee’s representative shall have any rights as</w:t>
      </w:r>
      <w:r>
        <w:rPr>
          <w:rFonts w:ascii="Arial" w:cs="Arial" w:eastAsia="Arial" w:hAnsi="Arial"/>
          <w:sz w:val="19"/>
          <w:szCs w:val="19"/>
          <w:b w:val="1"/>
          <w:bCs w:val="1"/>
          <w:color w:val="auto"/>
        </w:rPr>
        <w:t xml:space="preserve"> </w:t>
      </w:r>
      <w:r>
        <w:rPr>
          <w:rFonts w:ascii="Arial" w:cs="Arial" w:eastAsia="Arial" w:hAnsi="Arial"/>
          <w:sz w:val="19"/>
          <w:szCs w:val="19"/>
          <w:color w:val="auto"/>
        </w:rPr>
        <w:t>a stockholder with respect to any Shares subject to this option until the Optionee or the Optionee’s representative becomes entitled to receive such Shares by filing a notice of exercise and paying the Purchase Price pursuant to Sections 4 and 5.</w:t>
      </w:r>
    </w:p>
    <w:p>
      <w:pPr>
        <w:spacing w:after="0" w:line="125" w:lineRule="exact"/>
        <w:rPr>
          <w:rFonts w:ascii="Arial" w:cs="Arial" w:eastAsia="Arial" w:hAnsi="Arial"/>
          <w:sz w:val="19"/>
          <w:szCs w:val="19"/>
          <w:color w:val="auto"/>
        </w:rPr>
      </w:pPr>
    </w:p>
    <w:p>
      <w:pPr>
        <w:ind w:firstLine="1628"/>
        <w:spacing w:after="0" w:line="267" w:lineRule="auto"/>
        <w:tabs>
          <w:tab w:leader="none" w:pos="2088" w:val="left"/>
        </w:tabs>
        <w:numPr>
          <w:ilvl w:val="0"/>
          <w:numId w:val="400"/>
        </w:numPr>
        <w:rPr>
          <w:rFonts w:ascii="Arial" w:cs="Arial" w:eastAsia="Arial" w:hAnsi="Arial"/>
          <w:sz w:val="21"/>
          <w:szCs w:val="21"/>
          <w:color w:val="auto"/>
        </w:rPr>
      </w:pPr>
      <w:r>
        <w:rPr>
          <w:rFonts w:ascii="Arial" w:cs="Arial" w:eastAsia="Arial" w:hAnsi="Arial"/>
          <w:sz w:val="21"/>
          <w:szCs w:val="21"/>
          <w:b w:val="1"/>
          <w:bCs w:val="1"/>
          <w:color w:val="auto"/>
        </w:rPr>
        <w:t>No Retention Rights</w:t>
      </w:r>
      <w:r>
        <w:rPr>
          <w:rFonts w:ascii="Arial" w:cs="Arial" w:eastAsia="Arial" w:hAnsi="Arial"/>
          <w:sz w:val="21"/>
          <w:szCs w:val="21"/>
          <w:color w:val="auto"/>
        </w:rPr>
        <w:t>. Nothing in this option or in the Plan shall confer upon the Optionee any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67" w:lineRule="exact"/>
        <w:rPr>
          <w:rFonts w:ascii="Arial" w:cs="Arial" w:eastAsia="Arial" w:hAnsi="Arial"/>
          <w:sz w:val="21"/>
          <w:szCs w:val="21"/>
          <w:color w:val="auto"/>
        </w:rPr>
      </w:pPr>
    </w:p>
    <w:p>
      <w:pPr>
        <w:ind w:right="20" w:firstLine="1628"/>
        <w:spacing w:after="0" w:line="298" w:lineRule="auto"/>
        <w:tabs>
          <w:tab w:leader="none" w:pos="2076" w:val="left"/>
        </w:tabs>
        <w:numPr>
          <w:ilvl w:val="0"/>
          <w:numId w:val="400"/>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Any notice required by the terms of this Agreement shall be given in writing. It shall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Notice shall be addressed to the Company at its principal executive office and to the Optionee at the address that he or she most recently provided to the Company in accordance with this Subsection (c).</w:t>
      </w:r>
    </w:p>
    <w:p>
      <w:pPr>
        <w:spacing w:after="0" w:line="142" w:lineRule="exact"/>
        <w:rPr>
          <w:rFonts w:ascii="Arial" w:cs="Arial" w:eastAsia="Arial" w:hAnsi="Arial"/>
          <w:sz w:val="19"/>
          <w:szCs w:val="19"/>
          <w:color w:val="auto"/>
        </w:rPr>
      </w:pPr>
    </w:p>
    <w:p>
      <w:pPr>
        <w:ind w:firstLine="1628"/>
        <w:spacing w:after="0" w:line="249" w:lineRule="auto"/>
        <w:tabs>
          <w:tab w:leader="none" w:pos="2088" w:val="left"/>
        </w:tabs>
        <w:numPr>
          <w:ilvl w:val="0"/>
          <w:numId w:val="400"/>
        </w:numPr>
        <w:rPr>
          <w:rFonts w:ascii="Arial" w:cs="Arial" w:eastAsia="Arial" w:hAnsi="Arial"/>
          <w:sz w:val="22"/>
          <w:szCs w:val="22"/>
          <w:color w:val="auto"/>
        </w:rPr>
      </w:pPr>
      <w:r>
        <w:rPr>
          <w:rFonts w:ascii="Arial" w:cs="Arial" w:eastAsia="Arial" w:hAnsi="Arial"/>
          <w:sz w:val="22"/>
          <w:szCs w:val="22"/>
          <w:b w:val="1"/>
          <w:bCs w:val="1"/>
          <w:color w:val="auto"/>
        </w:rPr>
        <w:t>Modifications and Waivers</w:t>
      </w:r>
      <w:r>
        <w:rPr>
          <w:rFonts w:ascii="Arial" w:cs="Arial" w:eastAsia="Arial" w:hAnsi="Arial"/>
          <w:sz w:val="22"/>
          <w:szCs w:val="22"/>
          <w:color w:val="auto"/>
        </w:rPr>
        <w:t>. No provision of this Agreement shall be modified, waived or discharged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22"/>
          <w:szCs w:val="22"/>
          <w:color w:val="auto"/>
        </w:rPr>
      </w:pPr>
    </w:p>
    <w:p>
      <w:pPr>
        <w:ind w:right="140" w:firstLine="1628"/>
        <w:spacing w:after="0" w:line="252" w:lineRule="auto"/>
        <w:tabs>
          <w:tab w:leader="none" w:pos="2076" w:val="left"/>
        </w:tabs>
        <w:numPr>
          <w:ilvl w:val="0"/>
          <w:numId w:val="400"/>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Notice of Stock Option Grant, this Agreement and the Plan constitute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1" w:right="339" w:bottom="1440" w:gutter="0" w:footer="0" w:header="0"/>
        </w:sectPr>
      </w:pPr>
    </w:p>
    <w:bookmarkStart w:id="585" w:name="page586"/>
    <w:bookmarkEnd w:id="585"/>
    <w:p>
      <w:pPr>
        <w:ind w:right="140" w:firstLine="1628"/>
        <w:spacing w:after="0" w:line="269" w:lineRule="auto"/>
        <w:tabs>
          <w:tab w:leader="none" w:pos="2052" w:val="left"/>
        </w:tabs>
        <w:numPr>
          <w:ilvl w:val="0"/>
          <w:numId w:val="401"/>
        </w:numPr>
        <w:rPr>
          <w:rFonts w:ascii="Arial" w:cs="Arial" w:eastAsia="Arial" w:hAnsi="Arial"/>
          <w:sz w:val="22"/>
          <w:szCs w:val="22"/>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such laws are applied to contracts entered into and performed in such State.</w:t>
      </w:r>
    </w:p>
    <w:p>
      <w:pPr>
        <w:spacing w:after="0" w:line="162"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color w:val="auto"/>
        </w:rPr>
        <w:t>ACKNOWLEDGEMENTS OF THE OPTIONEE.</w:t>
      </w:r>
    </w:p>
    <w:p>
      <w:pPr>
        <w:spacing w:after="0" w:line="226"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and 10 (Restrictions on Transfer of Shares, including without limitation the Market Stand-Off), as well as the following provisions:</w:t>
      </w:r>
    </w:p>
    <w:p>
      <w:pPr>
        <w:spacing w:after="0" w:line="182" w:lineRule="exact"/>
        <w:rPr>
          <w:sz w:val="20"/>
          <w:szCs w:val="20"/>
          <w:color w:val="auto"/>
        </w:rPr>
      </w:pPr>
    </w:p>
    <w:p>
      <w:pPr>
        <w:ind w:right="20" w:firstLine="1628"/>
        <w:spacing w:after="0" w:line="289" w:lineRule="auto"/>
        <w:tabs>
          <w:tab w:leader="none" w:pos="2076" w:val="left"/>
        </w:tabs>
        <w:numPr>
          <w:ilvl w:val="0"/>
          <w:numId w:val="402"/>
        </w:numPr>
        <w:rPr>
          <w:rFonts w:ascii="Arial" w:cs="Arial" w:eastAsia="Arial" w:hAnsi="Arial"/>
          <w:sz w:val="19"/>
          <w:szCs w:val="19"/>
          <w:color w:val="auto"/>
        </w:rPr>
      </w:pPr>
      <w:r>
        <w:rPr>
          <w:rFonts w:ascii="Arial" w:cs="Arial" w:eastAsia="Arial" w:hAnsi="Arial"/>
          <w:sz w:val="19"/>
          <w:szCs w:val="19"/>
          <w:b w:val="1"/>
          <w:bCs w:val="1"/>
          <w:color w:val="auto"/>
        </w:rPr>
        <w:t>Tax Consequences (No Liability for Discounted Options)</w:t>
      </w:r>
      <w:r>
        <w:rPr>
          <w:rFonts w:ascii="Arial" w:cs="Arial" w:eastAsia="Arial" w:hAnsi="Arial"/>
          <w:sz w:val="19"/>
          <w:szCs w:val="19"/>
          <w:color w:val="auto"/>
        </w:rPr>
        <w:t>. The Optionee agrees that the Company does</w:t>
      </w:r>
      <w:r>
        <w:rPr>
          <w:rFonts w:ascii="Arial" w:cs="Arial" w:eastAsia="Arial" w:hAnsi="Arial"/>
          <w:sz w:val="19"/>
          <w:szCs w:val="19"/>
          <w:b w:val="1"/>
          <w:bCs w:val="1"/>
          <w:color w:val="auto"/>
        </w:rPr>
        <w:t xml:space="preserve"> </w:t>
      </w:r>
      <w:r>
        <w:rPr>
          <w:rFonts w:ascii="Arial" w:cs="Arial" w:eastAsia="Arial" w:hAnsi="Arial"/>
          <w:sz w:val="19"/>
          <w:szCs w:val="19"/>
          <w:color w:val="auto"/>
        </w:rPr>
        <w:t>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50" w:lineRule="exact"/>
        <w:rPr>
          <w:rFonts w:ascii="Arial" w:cs="Arial" w:eastAsia="Arial" w:hAnsi="Arial"/>
          <w:sz w:val="19"/>
          <w:szCs w:val="19"/>
          <w:color w:val="auto"/>
        </w:rPr>
      </w:pPr>
    </w:p>
    <w:p>
      <w:pPr>
        <w:ind w:firstLine="1628"/>
        <w:spacing w:after="0" w:line="290" w:lineRule="auto"/>
        <w:tabs>
          <w:tab w:leader="none" w:pos="2088" w:val="left"/>
        </w:tabs>
        <w:numPr>
          <w:ilvl w:val="0"/>
          <w:numId w:val="402"/>
        </w:numPr>
        <w:rPr>
          <w:rFonts w:ascii="Arial" w:cs="Arial" w:eastAsia="Arial" w:hAnsi="Arial"/>
          <w:sz w:val="19"/>
          <w:szCs w:val="19"/>
          <w:color w:val="auto"/>
        </w:rPr>
      </w:pPr>
      <w:r>
        <w:rPr>
          <w:rFonts w:ascii="Arial" w:cs="Arial" w:eastAsia="Arial" w:hAnsi="Arial"/>
          <w:sz w:val="19"/>
          <w:szCs w:val="19"/>
          <w:b w:val="1"/>
          <w:bCs w:val="1"/>
          <w:color w:val="auto"/>
        </w:rPr>
        <w:t>Electronic Delivery of Documents</w:t>
      </w:r>
      <w:r>
        <w:rPr>
          <w:rFonts w:ascii="Arial" w:cs="Arial" w:eastAsia="Arial" w:hAnsi="Arial"/>
          <w:sz w:val="19"/>
          <w:szCs w:val="19"/>
          <w:color w:val="auto"/>
        </w:rPr>
        <w:t>. The Optionee agrees to accept by email all documents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the 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48" w:lineRule="exact"/>
        <w:rPr>
          <w:rFonts w:ascii="Arial" w:cs="Arial" w:eastAsia="Arial" w:hAnsi="Arial"/>
          <w:sz w:val="19"/>
          <w:szCs w:val="19"/>
          <w:color w:val="auto"/>
        </w:rPr>
      </w:pPr>
    </w:p>
    <w:p>
      <w:pPr>
        <w:ind w:right="280" w:firstLine="1628"/>
        <w:spacing w:after="0" w:line="264" w:lineRule="auto"/>
        <w:tabs>
          <w:tab w:leader="none" w:pos="2076" w:val="left"/>
        </w:tabs>
        <w:numPr>
          <w:ilvl w:val="0"/>
          <w:numId w:val="402"/>
        </w:numPr>
        <w:rPr>
          <w:rFonts w:ascii="Arial" w:cs="Arial" w:eastAsia="Arial" w:hAnsi="Arial"/>
          <w:sz w:val="21"/>
          <w:szCs w:val="21"/>
          <w:color w:val="auto"/>
        </w:rPr>
      </w:pPr>
      <w:r>
        <w:rPr>
          <w:rFonts w:ascii="Arial" w:cs="Arial" w:eastAsia="Arial" w:hAnsi="Arial"/>
          <w:sz w:val="21"/>
          <w:szCs w:val="21"/>
          <w:b w:val="1"/>
          <w:bCs w:val="1"/>
          <w:color w:val="auto"/>
        </w:rPr>
        <w:t>No Notice of Expiration Date</w:t>
      </w:r>
      <w:r>
        <w:rPr>
          <w:rFonts w:ascii="Arial" w:cs="Arial" w:eastAsia="Arial" w:hAnsi="Arial"/>
          <w:sz w:val="21"/>
          <w:szCs w:val="21"/>
          <w:color w:val="auto"/>
        </w:rPr>
        <w:t>. The Optionee agrees that the Company and its officers,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1" w:right="339" w:bottom="1440" w:gutter="0" w:footer="0" w:header="0"/>
        </w:sectPr>
      </w:pPr>
    </w:p>
    <w:bookmarkStart w:id="586" w:name="page587"/>
    <w:bookmarkEnd w:id="586"/>
    <w:p>
      <w:pPr>
        <w:spacing w:after="0" w:line="263" w:lineRule="auto"/>
        <w:rPr>
          <w:sz w:val="20"/>
          <w:szCs w:val="20"/>
          <w:color w:val="auto"/>
        </w:rPr>
      </w:pPr>
      <w:r>
        <w:rPr>
          <w:rFonts w:ascii="Arial" w:cs="Arial" w:eastAsia="Arial" w:hAnsi="Arial"/>
          <w:sz w:val="22"/>
          <w:szCs w:val="22"/>
          <w:color w:val="auto"/>
        </w:rPr>
        <w:t>This Subsection (c) shall supersede any contrary representation that may have been made, orally or in writing, by the Company or by an officer, employee, attorney or agent of the Company.</w:t>
      </w:r>
    </w:p>
    <w:p>
      <w:pPr>
        <w:spacing w:after="0" w:line="169" w:lineRule="exact"/>
        <w:rPr>
          <w:sz w:val="20"/>
          <w:szCs w:val="20"/>
          <w:color w:val="auto"/>
        </w:rPr>
      </w:pPr>
    </w:p>
    <w:p>
      <w:pPr>
        <w:ind w:right="20" w:firstLine="1628"/>
        <w:spacing w:after="0" w:line="293" w:lineRule="auto"/>
        <w:tabs>
          <w:tab w:leader="none" w:pos="2088" w:val="left"/>
        </w:tabs>
        <w:numPr>
          <w:ilvl w:val="0"/>
          <w:numId w:val="403"/>
        </w:numPr>
        <w:rPr>
          <w:rFonts w:ascii="Arial" w:cs="Arial" w:eastAsia="Arial" w:hAnsi="Arial"/>
          <w:sz w:val="19"/>
          <w:szCs w:val="19"/>
          <w:color w:val="auto"/>
        </w:rPr>
      </w:pPr>
      <w:r>
        <w:rPr>
          <w:rFonts w:ascii="Arial" w:cs="Arial" w:eastAsia="Arial" w:hAnsi="Arial"/>
          <w:sz w:val="19"/>
          <w:szCs w:val="19"/>
          <w:b w:val="1"/>
          <w:bCs w:val="1"/>
          <w:color w:val="auto"/>
        </w:rPr>
        <w:t>Waiver of Statutory Information Rights</w:t>
      </w:r>
      <w:r>
        <w:rPr>
          <w:rFonts w:ascii="Arial" w:cs="Arial" w:eastAsia="Arial" w:hAnsi="Arial"/>
          <w:sz w:val="19"/>
          <w:szCs w:val="19"/>
          <w:color w:val="auto"/>
        </w:rPr>
        <w:t>. The Optionee acknowledges and agrees that, upon exercise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and until the first sale of the Company’s Stock to the general public pursuant to a registration statement filed under the Securities Act, he or she will be deemed to have waived any rights the Optionee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Optionee’s capacity as a stockholder and does not affect any other inspection rights the Optionee may have under other law or pursuant to a written agreement with the Company.</w:t>
      </w:r>
    </w:p>
    <w:p>
      <w:pPr>
        <w:spacing w:after="0" w:line="144" w:lineRule="exact"/>
        <w:rPr>
          <w:rFonts w:ascii="Arial" w:cs="Arial" w:eastAsia="Arial" w:hAnsi="Arial"/>
          <w:sz w:val="19"/>
          <w:szCs w:val="19"/>
          <w:color w:val="auto"/>
        </w:rPr>
      </w:pPr>
    </w:p>
    <w:p>
      <w:pPr>
        <w:ind w:right="240" w:firstLine="1628"/>
        <w:spacing w:after="0" w:line="262" w:lineRule="auto"/>
        <w:tabs>
          <w:tab w:leader="none" w:pos="2076" w:val="left"/>
        </w:tabs>
        <w:numPr>
          <w:ilvl w:val="0"/>
          <w:numId w:val="403"/>
        </w:numPr>
        <w:rPr>
          <w:rFonts w:ascii="Arial" w:cs="Arial" w:eastAsia="Arial" w:hAnsi="Arial"/>
          <w:sz w:val="21"/>
          <w:szCs w:val="21"/>
          <w:color w:val="auto"/>
        </w:rPr>
      </w:pPr>
      <w:r>
        <w:rPr>
          <w:rFonts w:ascii="Arial" w:cs="Arial" w:eastAsia="Arial" w:hAnsi="Arial"/>
          <w:sz w:val="21"/>
          <w:szCs w:val="21"/>
          <w:b w:val="1"/>
          <w:bCs w:val="1"/>
          <w:color w:val="auto"/>
        </w:rPr>
        <w:t>Plan Discretionary</w:t>
      </w:r>
      <w:r>
        <w:rPr>
          <w:rFonts w:ascii="Arial" w:cs="Arial" w:eastAsia="Arial" w:hAnsi="Arial"/>
          <w:sz w:val="21"/>
          <w:szCs w:val="21"/>
          <w:color w:val="auto"/>
        </w:rPr>
        <w:t>. The Optionee understands and acknowledges that (i) the Plan is entirely</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73" w:lineRule="exact"/>
        <w:rPr>
          <w:rFonts w:ascii="Arial" w:cs="Arial" w:eastAsia="Arial" w:hAnsi="Arial"/>
          <w:sz w:val="21"/>
          <w:szCs w:val="21"/>
          <w:color w:val="auto"/>
        </w:rPr>
      </w:pPr>
    </w:p>
    <w:p>
      <w:pPr>
        <w:ind w:right="300" w:firstLine="1628"/>
        <w:spacing w:after="0" w:line="256" w:lineRule="auto"/>
        <w:tabs>
          <w:tab w:leader="none" w:pos="2052" w:val="left"/>
        </w:tabs>
        <w:numPr>
          <w:ilvl w:val="0"/>
          <w:numId w:val="403"/>
        </w:numPr>
        <w:rPr>
          <w:rFonts w:ascii="Arial" w:cs="Arial" w:eastAsia="Arial" w:hAnsi="Arial"/>
          <w:sz w:val="22"/>
          <w:szCs w:val="22"/>
          <w:color w:val="auto"/>
        </w:rPr>
      </w:pPr>
      <w:r>
        <w:rPr>
          <w:rFonts w:ascii="Arial" w:cs="Arial" w:eastAsia="Arial" w:hAnsi="Arial"/>
          <w:sz w:val="22"/>
          <w:szCs w:val="22"/>
          <w:b w:val="1"/>
          <w:bCs w:val="1"/>
          <w:color w:val="auto"/>
        </w:rPr>
        <w:t>Termination of Service</w:t>
      </w:r>
      <w:r>
        <w:rPr>
          <w:rFonts w:ascii="Arial" w:cs="Arial" w:eastAsia="Arial" w:hAnsi="Arial"/>
          <w:sz w:val="22"/>
          <w:szCs w:val="22"/>
          <w:color w:val="auto"/>
        </w:rPr>
        <w:t>. The Optionee understands and acknowledges that participation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ceases upon termination of his or her Service for any reason, except as may explicitly be provided otherwise in the Plan or this Agreement.</w:t>
      </w:r>
    </w:p>
    <w:p>
      <w:pPr>
        <w:spacing w:after="0" w:line="176" w:lineRule="exact"/>
        <w:rPr>
          <w:rFonts w:ascii="Arial" w:cs="Arial" w:eastAsia="Arial" w:hAnsi="Arial"/>
          <w:sz w:val="22"/>
          <w:szCs w:val="22"/>
          <w:color w:val="auto"/>
        </w:rPr>
      </w:pPr>
    </w:p>
    <w:p>
      <w:pPr>
        <w:ind w:right="120" w:firstLine="1628"/>
        <w:spacing w:after="0" w:line="252" w:lineRule="auto"/>
        <w:tabs>
          <w:tab w:leader="none" w:pos="2088" w:val="left"/>
        </w:tabs>
        <w:numPr>
          <w:ilvl w:val="0"/>
          <w:numId w:val="403"/>
        </w:numPr>
        <w:rPr>
          <w:rFonts w:ascii="Arial" w:cs="Arial" w:eastAsia="Arial" w:hAnsi="Arial"/>
          <w:sz w:val="22"/>
          <w:szCs w:val="22"/>
          <w:color w:val="auto"/>
        </w:rPr>
      </w:pPr>
      <w:r>
        <w:rPr>
          <w:rFonts w:ascii="Arial" w:cs="Arial" w:eastAsia="Arial" w:hAnsi="Arial"/>
          <w:sz w:val="22"/>
          <w:szCs w:val="22"/>
          <w:b w:val="1"/>
          <w:bCs w:val="1"/>
          <w:color w:val="auto"/>
        </w:rPr>
        <w:t>Extraordinary Compensation</w:t>
      </w:r>
      <w:r>
        <w:rPr>
          <w:rFonts w:ascii="Arial" w:cs="Arial" w:eastAsia="Arial" w:hAnsi="Arial"/>
          <w:sz w:val="22"/>
          <w:szCs w:val="22"/>
          <w:color w:val="auto"/>
        </w:rPr>
        <w:t>. The value of this option shall be an extraordinary item of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9" w:lineRule="exact"/>
        <w:rPr>
          <w:rFonts w:ascii="Arial" w:cs="Arial" w:eastAsia="Arial" w:hAnsi="Arial"/>
          <w:sz w:val="22"/>
          <w:szCs w:val="22"/>
          <w:color w:val="auto"/>
        </w:rPr>
      </w:pPr>
    </w:p>
    <w:p>
      <w:pPr>
        <w:ind w:right="180" w:firstLine="1628"/>
        <w:spacing w:after="0" w:line="267" w:lineRule="auto"/>
        <w:tabs>
          <w:tab w:leader="none" w:pos="2088" w:val="left"/>
        </w:tabs>
        <w:numPr>
          <w:ilvl w:val="0"/>
          <w:numId w:val="403"/>
        </w:numPr>
        <w:rPr>
          <w:rFonts w:ascii="Arial" w:cs="Arial" w:eastAsia="Arial" w:hAnsi="Arial"/>
          <w:sz w:val="21"/>
          <w:szCs w:val="21"/>
          <w:color w:val="auto"/>
        </w:rPr>
      </w:pPr>
      <w:r>
        <w:rPr>
          <w:rFonts w:ascii="Arial" w:cs="Arial" w:eastAsia="Arial" w:hAnsi="Arial"/>
          <w:sz w:val="21"/>
          <w:szCs w:val="21"/>
          <w:b w:val="1"/>
          <w:bCs w:val="1"/>
          <w:color w:val="auto"/>
        </w:rPr>
        <w:t>Authorization to Disclose</w:t>
      </w:r>
      <w:r>
        <w:rPr>
          <w:rFonts w:ascii="Arial" w:cs="Arial" w:eastAsia="Arial" w:hAnsi="Arial"/>
          <w:sz w:val="21"/>
          <w:szCs w:val="21"/>
          <w:color w:val="auto"/>
        </w:rPr>
        <w:t>. The Optionee hereby authorizes and directs the Optionee’s employer to</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67" w:lineRule="exact"/>
        <w:rPr>
          <w:rFonts w:ascii="Arial" w:cs="Arial" w:eastAsia="Arial" w:hAnsi="Arial"/>
          <w:sz w:val="21"/>
          <w:szCs w:val="21"/>
          <w:color w:val="auto"/>
        </w:rPr>
      </w:pPr>
    </w:p>
    <w:p>
      <w:pPr>
        <w:ind w:right="60" w:firstLine="1628"/>
        <w:spacing w:after="0" w:line="248" w:lineRule="auto"/>
        <w:tabs>
          <w:tab w:leader="none" w:pos="2040" w:val="left"/>
        </w:tabs>
        <w:numPr>
          <w:ilvl w:val="0"/>
          <w:numId w:val="403"/>
        </w:numPr>
        <w:rPr>
          <w:rFonts w:ascii="Arial" w:cs="Arial" w:eastAsia="Arial" w:hAnsi="Arial"/>
          <w:sz w:val="22"/>
          <w:szCs w:val="22"/>
          <w:color w:val="auto"/>
        </w:rPr>
      </w:pPr>
      <w:r>
        <w:rPr>
          <w:rFonts w:ascii="Arial" w:cs="Arial" w:eastAsia="Arial" w:hAnsi="Arial"/>
          <w:sz w:val="22"/>
          <w:szCs w:val="22"/>
          <w:b w:val="1"/>
          <w:bCs w:val="1"/>
          <w:color w:val="auto"/>
        </w:rPr>
        <w:t>Personal Data Authorization</w:t>
      </w:r>
      <w:r>
        <w:rPr>
          <w:rFonts w:ascii="Arial" w:cs="Arial" w:eastAsia="Arial" w:hAnsi="Arial"/>
          <w:sz w:val="22"/>
          <w:szCs w:val="22"/>
          <w:color w:val="auto"/>
        </w:rPr>
        <w:t>. The Optionee consents to the collection, use and transfer of personal data</w:t>
      </w:r>
      <w:r>
        <w:rPr>
          <w:rFonts w:ascii="Arial" w:cs="Arial" w:eastAsia="Arial" w:hAnsi="Arial"/>
          <w:sz w:val="22"/>
          <w:szCs w:val="22"/>
          <w:b w:val="1"/>
          <w:bCs w:val="1"/>
          <w:color w:val="auto"/>
        </w:rPr>
        <w:t xml:space="preserve"> </w:t>
      </w:r>
      <w:r>
        <w:rPr>
          <w:rFonts w:ascii="Arial" w:cs="Arial" w:eastAsia="Arial" w:hAnsi="Arial"/>
          <w:sz w:val="22"/>
          <w:szCs w:val="22"/>
          <w:color w:val="auto"/>
        </w:rPr>
        <w:t>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587" w:name="page588"/>
    <w:bookmarkEnd w:id="587"/>
    <w:p>
      <w:pPr>
        <w:spacing w:after="0" w:line="288" w:lineRule="auto"/>
        <w:rPr>
          <w:sz w:val="20"/>
          <w:szCs w:val="20"/>
          <w:color w:val="auto"/>
        </w:rPr>
      </w:pPr>
      <w:r>
        <w:rPr>
          <w:rFonts w:ascii="Arial" w:cs="Arial" w:eastAsia="Arial" w:hAnsi="Arial"/>
          <w:sz w:val="19"/>
          <w:szCs w:val="19"/>
          <w:color w:val="auto"/>
        </w:rPr>
        <w:t>entitlements to Shares awarded, canceled, exercised, vested, unvested or outstanding in the Optionee’s favor (the “</w:t>
      </w:r>
      <w:r>
        <w:rPr>
          <w:rFonts w:ascii="Arial" w:cs="Arial" w:eastAsia="Arial" w:hAnsi="Arial"/>
          <w:sz w:val="19"/>
          <w:szCs w:val="19"/>
          <w:b w:val="1"/>
          <w:bCs w:val="1"/>
          <w:color w:val="auto"/>
        </w:rPr>
        <w:t>Data</w:t>
      </w:r>
      <w:r>
        <w:rPr>
          <w:rFonts w:ascii="Arial" w:cs="Arial" w:eastAsia="Arial" w:hAnsi="Arial"/>
          <w:sz w:val="19"/>
          <w:szCs w:val="19"/>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153"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2"/>
          <w:szCs w:val="22"/>
          <w:b w:val="1"/>
          <w:bCs w:val="1"/>
          <w:color w:val="auto"/>
        </w:rPr>
        <w:t>DEFINITIONS.</w:t>
      </w:r>
    </w:p>
    <w:p>
      <w:pPr>
        <w:spacing w:after="0" w:line="220" w:lineRule="exact"/>
        <w:rPr>
          <w:sz w:val="20"/>
          <w:szCs w:val="20"/>
          <w:color w:val="auto"/>
        </w:rPr>
      </w:pPr>
    </w:p>
    <w:p>
      <w:pPr>
        <w:ind w:left="2080" w:hanging="452"/>
        <w:spacing w:after="0"/>
        <w:tabs>
          <w:tab w:leader="none" w:pos="208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mean this Stock Option Agreement.</w:t>
      </w:r>
    </w:p>
    <w:p>
      <w:pPr>
        <w:spacing w:after="0" w:line="219" w:lineRule="exact"/>
        <w:rPr>
          <w:rFonts w:ascii="Arial" w:cs="Arial" w:eastAsia="Arial" w:hAnsi="Arial"/>
          <w:sz w:val="22"/>
          <w:szCs w:val="22"/>
          <w:color w:val="auto"/>
        </w:rPr>
      </w:pPr>
    </w:p>
    <w:p>
      <w:pPr>
        <w:ind w:right="400" w:firstLine="1628"/>
        <w:spacing w:after="0" w:line="269" w:lineRule="auto"/>
        <w:tabs>
          <w:tab w:leader="none" w:pos="2088" w:val="left"/>
        </w:tabs>
        <w:numPr>
          <w:ilvl w:val="0"/>
          <w:numId w:val="4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shall mean the Board of Directors of the Company, as constituted from time to time or, if a Committee has been appointed, such Committee.</w:t>
      </w:r>
    </w:p>
    <w:p>
      <w:pPr>
        <w:spacing w:after="0" w:line="161" w:lineRule="exact"/>
        <w:rPr>
          <w:rFonts w:ascii="Arial" w:cs="Arial" w:eastAsia="Arial" w:hAnsi="Arial"/>
          <w:sz w:val="22"/>
          <w:szCs w:val="22"/>
          <w:color w:val="auto"/>
        </w:rPr>
      </w:pPr>
    </w:p>
    <w:p>
      <w:pPr>
        <w:ind w:right="20" w:firstLine="1628"/>
        <w:spacing w:after="0" w:line="258" w:lineRule="auto"/>
        <w:tabs>
          <w:tab w:leader="none" w:pos="2076" w:val="left"/>
        </w:tabs>
        <w:numPr>
          <w:ilvl w:val="0"/>
          <w:numId w:val="40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shall mean (i) an unauthorized use or disclosure by the Optionee of the Company’s confidential information or trade secrets, which use or disclosure causes material harm to the Company; (ii) a breach by the Optionee of any agreement between the Optionee and the Company, which breach causes material harm to the Company; (iii) failure by Optionee to comply with the Company’s written policies or rules, which failure causes material harm to the Company; (iv) the Optionee’s conviction of, or plea of “guilty” or “no contest” to, a felony under the laws of the United States or any state thereof; (v) the Optionee’s gross negligence or willful misconduct; (vi) a willful continuing failure by the Optionee to perform assigned duties after receiving written notification of such failure from the Board of Directors and failing to have reasonably cured such failure within 30 days of that notice; or (vii) a failure by the Optionee to cooperate in good faith with a governmental or internal investigation of the Company or its directors, officers or employees, if the Company has requested the Optionee’s cooperation; provided that, as to prongs (ii) and (iii), an event will only constitute Cause after the Optionee has been given notice of the breach or non-compliance from the Chief Executive Officer or the Board of Directors and has failed to reasonably remedy those conditions, including any material harm resulting to the Company from such breach or non-compliance, within 30 days of such notice.</w:t>
      </w:r>
    </w:p>
    <w:p>
      <w:pPr>
        <w:spacing w:after="0" w:line="175" w:lineRule="exact"/>
        <w:rPr>
          <w:rFonts w:ascii="Arial" w:cs="Arial" w:eastAsia="Arial" w:hAnsi="Arial"/>
          <w:sz w:val="21"/>
          <w:szCs w:val="21"/>
          <w:color w:val="auto"/>
        </w:rPr>
      </w:pPr>
    </w:p>
    <w:p>
      <w:pPr>
        <w:ind w:right="120" w:firstLine="1628"/>
        <w:spacing w:after="0" w:line="315" w:lineRule="auto"/>
        <w:tabs>
          <w:tab w:leader="none" w:pos="2088" w:val="left"/>
        </w:tabs>
        <w:numPr>
          <w:ilvl w:val="0"/>
          <w:numId w:val="4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mean (i) the consummation of a merger or consolidation of the Company with or into another entity, (ii) a sale of all or substantially all of the assets of the Company, or (iii) the dissolution, liquidation or winding up of the Company. The foregoing notwithstanding, neither (A) a merger or consolidation of the Company, nor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1" w:right="339" w:bottom="1440" w:gutter="0" w:footer="0" w:header="0"/>
        </w:sectPr>
      </w:pPr>
    </w:p>
    <w:bookmarkStart w:id="588" w:name="page589"/>
    <w:bookmarkEnd w:id="588"/>
    <w:p>
      <w:pPr>
        <w:ind w:right="120"/>
        <w:spacing w:after="0" w:line="247" w:lineRule="auto"/>
        <w:rPr>
          <w:sz w:val="20"/>
          <w:szCs w:val="20"/>
          <w:color w:val="auto"/>
        </w:rPr>
      </w:pPr>
      <w:r>
        <w:rPr>
          <w:rFonts w:ascii="Arial" w:cs="Arial" w:eastAsia="Arial" w:hAnsi="Arial"/>
          <w:sz w:val="22"/>
          <w:szCs w:val="22"/>
          <w:color w:val="auto"/>
        </w:rPr>
        <w:t>any rollup, consolidation or similar corporate transformation of any Company subsidiary or affiliate that may be the employer of the Purchaser, shall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w:t>
      </w:r>
    </w:p>
    <w:p>
      <w:pPr>
        <w:spacing w:after="0" w:line="187" w:lineRule="exact"/>
        <w:rPr>
          <w:sz w:val="20"/>
          <w:szCs w:val="20"/>
          <w:color w:val="auto"/>
        </w:rPr>
      </w:pPr>
    </w:p>
    <w:p>
      <w:pPr>
        <w:ind w:right="40" w:firstLine="1628"/>
        <w:spacing w:after="0" w:line="252" w:lineRule="auto"/>
        <w:tabs>
          <w:tab w:leader="none" w:pos="2076" w:val="left"/>
        </w:tabs>
        <w:numPr>
          <w:ilvl w:val="0"/>
          <w:numId w:val="4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Chief Executive Officer</w:t>
      </w:r>
      <w:r>
        <w:rPr>
          <w:rFonts w:ascii="Arial" w:cs="Arial" w:eastAsia="Arial" w:hAnsi="Arial"/>
          <w:sz w:val="22"/>
          <w:szCs w:val="22"/>
          <w:color w:val="auto"/>
        </w:rPr>
        <w:t>” shall mean the individual serving in the role of Chief Executive Officer (or, if applicable, either of the individuals serving as co-Chief Executive Officer) of the Company or, if no one is serving in the role of Chief Executive Officer or co-Chief Executive Officer, the individual serving in the role of President (or, if applicable, either of the individuals serving as co-President) of the Company.</w:t>
      </w:r>
    </w:p>
    <w:p>
      <w:pPr>
        <w:spacing w:after="0" w:line="179" w:lineRule="exact"/>
        <w:rPr>
          <w:rFonts w:ascii="Arial" w:cs="Arial" w:eastAsia="Arial" w:hAnsi="Arial"/>
          <w:sz w:val="22"/>
          <w:szCs w:val="22"/>
          <w:color w:val="auto"/>
        </w:rPr>
      </w:pPr>
    </w:p>
    <w:p>
      <w:pPr>
        <w:ind w:left="2060" w:hanging="432"/>
        <w:spacing w:after="0"/>
        <w:tabs>
          <w:tab w:leader="none" w:pos="206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mean Robinhood Markets, Inc., a Delaware corporation.</w:t>
      </w:r>
    </w:p>
    <w:p>
      <w:pPr>
        <w:spacing w:after="0" w:line="219" w:lineRule="exact"/>
        <w:rPr>
          <w:rFonts w:ascii="Arial" w:cs="Arial" w:eastAsia="Arial" w:hAnsi="Arial"/>
          <w:sz w:val="22"/>
          <w:szCs w:val="22"/>
          <w:color w:val="auto"/>
        </w:rPr>
      </w:pPr>
    </w:p>
    <w:p>
      <w:pPr>
        <w:ind w:firstLine="1628"/>
        <w:spacing w:after="0" w:line="287" w:lineRule="auto"/>
        <w:tabs>
          <w:tab w:leader="none" w:pos="2088" w:val="left"/>
        </w:tabs>
        <w:numPr>
          <w:ilvl w:val="0"/>
          <w:numId w:val="4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Optionee’s resignation following the occurrence of one or more of the following, without the Optionee’s express written consent: (i) a material reduction of the Optionee’s duties, authority or responsibilities, including any circumstance during which the Optionee no longer reports to the Chief Executive Officer of the Company; (ii) a material reduction in the Optionee’s base salary (for illustrative purposes, a reduction of less than ten percent (10%) of the Optionee’s base salary in any one year shall not alone constitute Good Reason); (iii) a material change in the geographic location of the Optionee’s primary work facility or location provided, that a relocation of less than thirty (30) miles from its then present location will not be considered a material change in geographic location; or (iv) the Company’s breach of any obligations under any written agreement or covenant with the Optionee. Notwithstanding the foregoing, the Optionee will not be entitled to resign for Good Reason without first providing the Company with written notice of the acts or omissions constituting the grounds for “Good Reason” within ninety (90) days of the initial existence of the grounds for “Good Reason” and the Company fails to reasonably cure such grounds within a reasonable cure period of not less than thirty (30) days following the date of such notice. In addition, the Optionee’s resignation will not qualify as a resignation for “Good Reason” unless: (A) the grounds for “Good Reason” are not reasonably cured within the period specified in the preceding sentence; and (B) the Optionee resigns within thirty (30) days following the end of such cure period.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right="660" w:firstLine="1628"/>
        <w:spacing w:after="0" w:line="256" w:lineRule="auto"/>
        <w:tabs>
          <w:tab w:leader="none" w:pos="2088" w:val="left"/>
        </w:tabs>
        <w:numPr>
          <w:ilvl w:val="0"/>
          <w:numId w:val="4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Family</w:t>
      </w:r>
      <w:r>
        <w:rPr>
          <w:rFonts w:ascii="Arial" w:cs="Arial" w:eastAsia="Arial" w:hAnsi="Arial"/>
          <w:sz w:val="22"/>
          <w:szCs w:val="22"/>
          <w:color w:val="auto"/>
        </w:rPr>
        <w:t>” shall mean any child, stepchild, grandchild, parent, stepparent, grandparent, spouse, sibling, mother-in-law, father-in-law, son-in-law, daughter-in-law, brother-in-law or sister-in-law and shall include adoptive relationships.</w:t>
      </w:r>
    </w:p>
    <w:p>
      <w:pPr>
        <w:spacing w:after="0" w:line="176" w:lineRule="exact"/>
        <w:rPr>
          <w:rFonts w:ascii="Arial" w:cs="Arial" w:eastAsia="Arial" w:hAnsi="Arial"/>
          <w:sz w:val="22"/>
          <w:szCs w:val="22"/>
          <w:color w:val="auto"/>
        </w:rPr>
      </w:pPr>
    </w:p>
    <w:p>
      <w:pPr>
        <w:ind w:right="400" w:firstLine="1628"/>
        <w:spacing w:after="0" w:line="269" w:lineRule="auto"/>
        <w:tabs>
          <w:tab w:leader="none" w:pos="204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w:t>
      </w:r>
      <w:r>
        <w:rPr>
          <w:rFonts w:ascii="Arial" w:cs="Arial" w:eastAsia="Arial" w:hAnsi="Arial"/>
          <w:sz w:val="22"/>
          <w:szCs w:val="22"/>
          <w:color w:val="auto"/>
        </w:rPr>
        <w:t>” shall mean a termination of the Optionee by the Company other than for Cause or the Optionee’s resignation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589" w:name="page590"/>
    <w:bookmarkEnd w:id="589"/>
    <w:p>
      <w:pPr>
        <w:ind w:left="2040" w:hanging="412"/>
        <w:spacing w:after="0"/>
        <w:tabs>
          <w:tab w:leader="none" w:pos="2040" w:val="left"/>
        </w:tabs>
        <w:numPr>
          <w:ilvl w:val="0"/>
          <w:numId w:val="4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Optionee</w:t>
      </w:r>
      <w:r>
        <w:rPr>
          <w:rFonts w:ascii="Arial" w:cs="Arial" w:eastAsia="Arial" w:hAnsi="Arial"/>
          <w:sz w:val="22"/>
          <w:szCs w:val="22"/>
          <w:color w:val="auto"/>
        </w:rPr>
        <w:t>” shall mean the person named in the Notice of Stock Option Grant.</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shall mean the Robinhood Markets, Inc. Amended and Restated 2013 Stock Plan, as in effect 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the Date of Grant.</w:t>
      </w:r>
    </w:p>
    <w:p>
      <w:pPr>
        <w:spacing w:after="0" w:line="196" w:lineRule="exact"/>
        <w:rPr>
          <w:sz w:val="20"/>
          <w:szCs w:val="20"/>
          <w:color w:val="auto"/>
        </w:rPr>
      </w:pPr>
    </w:p>
    <w:p>
      <w:pPr>
        <w:ind w:firstLine="1628"/>
        <w:spacing w:after="0" w:line="269" w:lineRule="auto"/>
        <w:tabs>
          <w:tab w:leader="none" w:pos="204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shall mean the Exercise Price multiplied by the number of Shares with respect to which this option is being exercised.</w:t>
      </w:r>
    </w:p>
    <w:p>
      <w:pPr>
        <w:spacing w:after="0" w:line="161" w:lineRule="exact"/>
        <w:rPr>
          <w:rFonts w:ascii="Arial" w:cs="Arial" w:eastAsia="Arial" w:hAnsi="Arial"/>
          <w:sz w:val="22"/>
          <w:szCs w:val="22"/>
          <w:color w:val="auto"/>
        </w:rPr>
      </w:pPr>
    </w:p>
    <w:p>
      <w:pPr>
        <w:ind w:left="2160" w:hanging="532"/>
        <w:spacing w:after="0"/>
        <w:tabs>
          <w:tab w:leader="none" w:pos="2160" w:val="left"/>
        </w:tabs>
        <w:numPr>
          <w:ilvl w:val="0"/>
          <w:numId w:val="40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Right of First Refusal</w:t>
      </w:r>
      <w:r>
        <w:rPr>
          <w:rFonts w:ascii="Arial" w:cs="Arial" w:eastAsia="Arial" w:hAnsi="Arial"/>
          <w:sz w:val="21"/>
          <w:szCs w:val="21"/>
          <w:color w:val="auto"/>
        </w:rPr>
        <w:t>” shall mean the Company’s right of first refusal described in Section 7.</w:t>
      </w:r>
    </w:p>
    <w:p>
      <w:pPr>
        <w:spacing w:after="0" w:line="231" w:lineRule="exact"/>
        <w:rPr>
          <w:rFonts w:ascii="Arial" w:cs="Arial" w:eastAsia="Arial" w:hAnsi="Arial"/>
          <w:sz w:val="21"/>
          <w:szCs w:val="21"/>
          <w:color w:val="auto"/>
        </w:rPr>
      </w:pPr>
    </w:p>
    <w:p>
      <w:pPr>
        <w:ind w:left="2100" w:hanging="472"/>
        <w:spacing w:after="0"/>
        <w:tabs>
          <w:tab w:leader="none" w:pos="210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service as an Employee, Outside Director or Consultant.</w:t>
      </w:r>
    </w:p>
    <w:p>
      <w:pPr>
        <w:spacing w:after="0" w:line="219" w:lineRule="exact"/>
        <w:rPr>
          <w:rFonts w:ascii="Arial" w:cs="Arial" w:eastAsia="Arial" w:hAnsi="Arial"/>
          <w:sz w:val="22"/>
          <w:szCs w:val="22"/>
          <w:color w:val="auto"/>
        </w:rPr>
      </w:pPr>
    </w:p>
    <w:p>
      <w:pPr>
        <w:ind w:right="480" w:firstLine="1628"/>
        <w:spacing w:after="0" w:line="269" w:lineRule="auto"/>
        <w:tabs>
          <w:tab w:leader="none" w:pos="2088" w:val="left"/>
        </w:tabs>
        <w:numPr>
          <w:ilvl w:val="0"/>
          <w:numId w:val="4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Transferee</w:t>
      </w:r>
      <w:r>
        <w:rPr>
          <w:rFonts w:ascii="Arial" w:cs="Arial" w:eastAsia="Arial" w:hAnsi="Arial"/>
          <w:sz w:val="22"/>
          <w:szCs w:val="22"/>
          <w:color w:val="auto"/>
        </w:rPr>
        <w:t>” shall mean any person to whom the Optionee has directly or indirectly transferred any Share acquired under this Agreement.</w:t>
      </w:r>
    </w:p>
    <w:p>
      <w:pPr>
        <w:spacing w:after="0" w:line="161" w:lineRule="exact"/>
        <w:rPr>
          <w:rFonts w:ascii="Arial" w:cs="Arial" w:eastAsia="Arial" w:hAnsi="Arial"/>
          <w:sz w:val="22"/>
          <w:szCs w:val="22"/>
          <w:color w:val="auto"/>
        </w:rPr>
      </w:pPr>
    </w:p>
    <w:p>
      <w:pPr>
        <w:ind w:left="2100" w:hanging="472"/>
        <w:spacing w:after="0"/>
        <w:tabs>
          <w:tab w:leader="none" w:pos="2100" w:val="left"/>
        </w:tabs>
        <w:numPr>
          <w:ilvl w:val="0"/>
          <w:numId w:val="40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Notice</w:t>
      </w:r>
      <w:r>
        <w:rPr>
          <w:rFonts w:ascii="Arial" w:cs="Arial" w:eastAsia="Arial" w:hAnsi="Arial"/>
          <w:sz w:val="21"/>
          <w:szCs w:val="21"/>
          <w:color w:val="auto"/>
        </w:rPr>
        <w:t>” shall mean the notice of a proposed transfer of Shares described in Section 7.</w:t>
      </w:r>
    </w:p>
    <w:p>
      <w:pPr>
        <w:spacing w:after="0" w:line="231" w:lineRule="exact"/>
        <w:rPr>
          <w:rFonts w:ascii="Arial" w:cs="Arial" w:eastAsia="Arial" w:hAnsi="Arial"/>
          <w:sz w:val="21"/>
          <w:szCs w:val="21"/>
          <w:color w:val="auto"/>
        </w:rPr>
      </w:pPr>
    </w:p>
    <w:p>
      <w:pPr>
        <w:ind w:right="20" w:firstLine="1628"/>
        <w:spacing w:after="0" w:line="315" w:lineRule="auto"/>
        <w:tabs>
          <w:tab w:leader="none" w:pos="2088" w:val="left"/>
        </w:tabs>
        <w:numPr>
          <w:ilvl w:val="0"/>
          <w:numId w:val="4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1" w:right="3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88" w:lineRule="exact"/>
        <w:rPr>
          <w:sz w:val="20"/>
          <w:szCs w:val="20"/>
          <w:color w:val="auto"/>
        </w:rPr>
      </w:pPr>
    </w:p>
    <w:p>
      <w:pPr>
        <w:ind w:right="44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Robinhood Markets, Inc., a Delaware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currently maintains and sponsors the</w:t>
      </w:r>
      <w:r>
        <w:rPr>
          <w:rFonts w:ascii="Arial" w:cs="Arial" w:eastAsia="Arial" w:hAnsi="Arial"/>
          <w:sz w:val="22"/>
          <w:szCs w:val="22"/>
          <w:b w:val="1"/>
          <w:bCs w:val="1"/>
          <w:color w:val="auto"/>
        </w:rPr>
        <w:t xml:space="preserve"> </w:t>
      </w:r>
      <w:r>
        <w:rPr>
          <w:rFonts w:ascii="Arial" w:cs="Arial" w:eastAsia="Arial" w:hAnsi="Arial"/>
          <w:sz w:val="22"/>
          <w:szCs w:val="22"/>
          <w:color w:val="auto"/>
        </w:rPr>
        <w:t>Robinhood Markets, Inc. 2020 Equity Incentive Plan,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54"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Section 13.3 of the Plan provides that the Board of the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may amend</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from time to time, except that stockholder approval shall be required for any amendment that would increase the maximum number of shares of common stock, par value $0.0001 per share, of the Company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for which awards may be granted under the Plan;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determined it to be in its best interests to amend the Plan as set forth herein; and</w:t>
      </w:r>
    </w:p>
    <w:p>
      <w:pPr>
        <w:spacing w:after="0" w:line="112" w:lineRule="exact"/>
        <w:rPr>
          <w:sz w:val="20"/>
          <w:szCs w:val="20"/>
          <w:color w:val="auto"/>
        </w:rPr>
      </w:pPr>
    </w:p>
    <w:p>
      <w:pPr>
        <w:jc w:val="both"/>
        <w:ind w:right="180" w:firstLine="648"/>
        <w:spacing w:after="0" w:line="31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effective upon approval by the stockholders of the Company, including the holders of a majority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then outstanding shares of preferred stock, par value $0.0001 per share, of the Company (voting together as a single class and not as separate series, and on as-converted basis), the Plan shall be amended as follows:</w:t>
      </w:r>
    </w:p>
    <w:p>
      <w:pPr>
        <w:spacing w:after="0" w:line="23" w:lineRule="exact"/>
        <w:rPr>
          <w:sz w:val="20"/>
          <w:szCs w:val="20"/>
          <w:color w:val="auto"/>
        </w:rPr>
      </w:pPr>
    </w:p>
    <w:p>
      <w:pPr>
        <w:ind w:left="340" w:right="120" w:hanging="332"/>
        <w:spacing w:after="0" w:line="250" w:lineRule="auto"/>
        <w:tabs>
          <w:tab w:leader="none" w:pos="340" w:val="left"/>
        </w:tabs>
        <w:numPr>
          <w:ilvl w:val="0"/>
          <w:numId w:val="408"/>
        </w:numPr>
        <w:rPr>
          <w:rFonts w:ascii="Arial" w:cs="Arial" w:eastAsia="Arial" w:hAnsi="Arial"/>
          <w:sz w:val="22"/>
          <w:szCs w:val="22"/>
          <w:color w:val="auto"/>
        </w:rPr>
      </w:pPr>
      <w:r>
        <w:rPr>
          <w:rFonts w:ascii="Arial" w:cs="Arial" w:eastAsia="Arial" w:hAnsi="Arial"/>
          <w:sz w:val="22"/>
          <w:szCs w:val="22"/>
          <w:color w:val="auto"/>
        </w:rPr>
        <w:t>Section 2.1 of the Plan shall be, and hereby is, amended to increase the aggregate number of shares of Common Stock for which awards may be granted under the Plan by 20,000,000 and increase the number of shares of Common Stock for which incentive stock options may be granted under the Plan by 40,000,000. Therefore, Section 2.1 is hereby amended and restated in its entirety as follows:</w:t>
      </w:r>
    </w:p>
    <w:p>
      <w:pPr>
        <w:spacing w:after="0" w:line="74" w:lineRule="exact"/>
        <w:rPr>
          <w:sz w:val="20"/>
          <w:szCs w:val="20"/>
          <w:color w:val="auto"/>
        </w:rPr>
      </w:pPr>
    </w:p>
    <w:p>
      <w:pPr>
        <w:ind w:left="660" w:right="60"/>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Number of Shares Available</w:t>
      </w:r>
      <w:r>
        <w:rPr>
          <w:rFonts w:ascii="Arial" w:cs="Arial" w:eastAsia="Arial" w:hAnsi="Arial"/>
          <w:sz w:val="19"/>
          <w:szCs w:val="19"/>
          <w:color w:val="auto"/>
        </w:rPr>
        <w:t>. Subject to Sections 2.2 and 11 hereof, the total number of Shares reserved and available for grant and issuance pursuant to this Plan will be 44,020,008 Shares, plus the sum of (a) any authorized shares not issued or subject to outstanding grants under the Company’s Amended and Restated 2013 Stock Plan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on the Effective Date (as defined in Section 13.1 hereof); (b) shares that are subject to issuance under the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w:t>
      </w:r>
    </w:p>
    <w:p>
      <w:pPr>
        <w:sectPr>
          <w:pgSz w:w="11900" w:h="16838" w:orient="portrait"/>
          <w:cols w:equalWidth="0" w:num="1">
            <w:col w:w="11240"/>
          </w:cols>
          <w:pgMar w:left="320" w:top="121" w:right="339" w:bottom="1440" w:gutter="0" w:footer="0" w:header="0"/>
        </w:sectPr>
      </w:pPr>
    </w:p>
    <w:bookmarkStart w:id="591" w:name="page592"/>
    <w:bookmarkEnd w:id="591"/>
    <w:p>
      <w:pPr>
        <w:ind w:left="660"/>
        <w:spacing w:after="0" w:line="246" w:lineRule="auto"/>
        <w:rPr>
          <w:sz w:val="20"/>
          <w:szCs w:val="20"/>
          <w:color w:val="auto"/>
        </w:rPr>
      </w:pPr>
      <w:r>
        <w:rPr>
          <w:rFonts w:ascii="Arial" w:cs="Arial" w:eastAsia="Arial" w:hAnsi="Arial"/>
          <w:sz w:val="22"/>
          <w:szCs w:val="22"/>
          <w:color w:val="auto"/>
        </w:rPr>
        <w:t>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348,578,328 Shares (adjusted in proportion to any adjustments under Section 2.2 hereof) over the term of the Plan.”.</w:t>
      </w:r>
    </w:p>
    <w:p>
      <w:pPr>
        <w:spacing w:after="0" w:line="88" w:lineRule="exact"/>
        <w:rPr>
          <w:sz w:val="20"/>
          <w:szCs w:val="20"/>
          <w:color w:val="auto"/>
        </w:rPr>
      </w:pPr>
    </w:p>
    <w:p>
      <w:pPr>
        <w:ind w:left="340" w:right="240" w:hanging="332"/>
        <w:spacing w:after="0" w:line="263" w:lineRule="auto"/>
        <w:tabs>
          <w:tab w:leader="none" w:pos="340" w:val="left"/>
        </w:tabs>
        <w:numPr>
          <w:ilvl w:val="0"/>
          <w:numId w:val="409"/>
        </w:numPr>
        <w:rPr>
          <w:rFonts w:ascii="Arial" w:cs="Arial" w:eastAsia="Arial" w:hAnsi="Arial"/>
          <w:sz w:val="22"/>
          <w:szCs w:val="22"/>
          <w:color w:val="auto"/>
        </w:rPr>
      </w:pPr>
      <w:r>
        <w:rPr>
          <w:rFonts w:ascii="Arial" w:cs="Arial" w:eastAsia="Arial" w:hAnsi="Arial"/>
          <w:sz w:val="22"/>
          <w:szCs w:val="22"/>
          <w:color w:val="auto"/>
        </w:rPr>
        <w:t>Except as modified by this Amendment, all of the terms and conditions of the Plan shall remain valid and in full force and effect.</w:t>
      </w:r>
    </w:p>
    <w:p>
      <w:pPr>
        <w:spacing w:after="0" w:line="61"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executed this Second Amendment to Robinhood Markets, Inc. 2020</w:t>
      </w:r>
      <w:r>
        <w:rPr>
          <w:rFonts w:ascii="Arial" w:cs="Arial" w:eastAsia="Arial" w:hAnsi="Arial"/>
          <w:sz w:val="22"/>
          <w:szCs w:val="22"/>
          <w:b w:val="1"/>
          <w:bCs w:val="1"/>
          <w:color w:val="auto"/>
        </w:rPr>
        <w:t xml:space="preserve"> </w:t>
      </w:r>
      <w:r>
        <w:rPr>
          <w:rFonts w:ascii="Arial" w:cs="Arial" w:eastAsia="Arial" w:hAnsi="Arial"/>
          <w:sz w:val="22"/>
          <w:szCs w:val="22"/>
          <w:color w:val="auto"/>
        </w:rPr>
        <w:t>Equity Incentive Plan as of March 10, 2021.</w:t>
      </w:r>
    </w:p>
    <w:p>
      <w:pPr>
        <w:spacing w:after="0" w:line="222"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By: /s/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24130</wp:posOffset>
            </wp:positionV>
            <wp:extent cx="24942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1"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Name: Jason Warnick</w:t>
      </w:r>
    </w:p>
    <w:p>
      <w:pPr>
        <w:spacing w:after="0" w:line="58"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120"/>
          </w:cols>
          <w:pgMar w:left="320" w:top="1427" w:right="45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88" w:lineRule="exact"/>
        <w:rPr>
          <w:sz w:val="20"/>
          <w:szCs w:val="20"/>
          <w:color w:val="auto"/>
        </w:rPr>
      </w:pPr>
    </w:p>
    <w:p>
      <w:pPr>
        <w:ind w:right="44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Robinhood Markets, Inc., a Delaware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currently maintains and sponsors the</w:t>
      </w:r>
      <w:r>
        <w:rPr>
          <w:rFonts w:ascii="Arial" w:cs="Arial" w:eastAsia="Arial" w:hAnsi="Arial"/>
          <w:sz w:val="22"/>
          <w:szCs w:val="22"/>
          <w:b w:val="1"/>
          <w:bCs w:val="1"/>
          <w:color w:val="auto"/>
        </w:rPr>
        <w:t xml:space="preserve"> </w:t>
      </w:r>
      <w:r>
        <w:rPr>
          <w:rFonts w:ascii="Arial" w:cs="Arial" w:eastAsia="Arial" w:hAnsi="Arial"/>
          <w:sz w:val="22"/>
          <w:szCs w:val="22"/>
          <w:color w:val="auto"/>
        </w:rPr>
        <w:t>Robinhood Markets, Inc. 2020 Equity Incentive Plan, as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54"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Section 13.3 of the Plan provides that the Board of the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may amend</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from time to time, except that stockholder approval shall be required for any amendment that would increase the maximum number of shares of common stock, par value $0.0001 per share, of the Company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for which awards may be granted under the Plan;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determined it to be in its best interests to amend the Plan as set forth herein; and</w:t>
      </w:r>
    </w:p>
    <w:p>
      <w:pPr>
        <w:spacing w:after="0" w:line="112" w:lineRule="exact"/>
        <w:rPr>
          <w:sz w:val="20"/>
          <w:szCs w:val="20"/>
          <w:color w:val="auto"/>
        </w:rPr>
      </w:pPr>
    </w:p>
    <w:p>
      <w:pPr>
        <w:jc w:val="both"/>
        <w:ind w:right="180" w:firstLine="648"/>
        <w:spacing w:after="0" w:line="31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effective upon approval by the stockholders of the Company, including the holders of a majority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then outstanding shares of preferred stock, par value $0.0001 per share, of the Company (voting together as a single class and not as separate series, and on as-converted basis), the Plan shall be amended as follows:</w:t>
      </w:r>
    </w:p>
    <w:p>
      <w:pPr>
        <w:spacing w:after="0" w:line="23" w:lineRule="exact"/>
        <w:rPr>
          <w:sz w:val="20"/>
          <w:szCs w:val="20"/>
          <w:color w:val="auto"/>
        </w:rPr>
      </w:pPr>
    </w:p>
    <w:p>
      <w:pPr>
        <w:ind w:left="340" w:right="120" w:hanging="332"/>
        <w:spacing w:after="0" w:line="250" w:lineRule="auto"/>
        <w:tabs>
          <w:tab w:leader="none" w:pos="340" w:val="left"/>
        </w:tabs>
        <w:numPr>
          <w:ilvl w:val="0"/>
          <w:numId w:val="410"/>
        </w:numPr>
        <w:rPr>
          <w:rFonts w:ascii="Arial" w:cs="Arial" w:eastAsia="Arial" w:hAnsi="Arial"/>
          <w:sz w:val="22"/>
          <w:szCs w:val="22"/>
          <w:color w:val="auto"/>
        </w:rPr>
      </w:pPr>
      <w:r>
        <w:rPr>
          <w:rFonts w:ascii="Arial" w:cs="Arial" w:eastAsia="Arial" w:hAnsi="Arial"/>
          <w:sz w:val="22"/>
          <w:szCs w:val="22"/>
          <w:color w:val="auto"/>
        </w:rPr>
        <w:t>Section 2.1 of the Plan shall be, and hereby is, amended to increase the aggregate number of shares of Common Stock for which awards may be granted under the Plan by 35,520,000 and increase the number of shares of Common Stock for which incentive stock options may be granted under the Plan by 71,040,000. Therefore, Section 2.1 is hereby amended and restated in its entirety as follows:</w:t>
      </w:r>
    </w:p>
    <w:p>
      <w:pPr>
        <w:spacing w:after="0" w:line="74" w:lineRule="exact"/>
        <w:rPr>
          <w:sz w:val="20"/>
          <w:szCs w:val="20"/>
          <w:color w:val="auto"/>
        </w:rPr>
      </w:pPr>
    </w:p>
    <w:p>
      <w:pPr>
        <w:ind w:left="660" w:right="60"/>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Number of Shares Available</w:t>
      </w:r>
      <w:r>
        <w:rPr>
          <w:rFonts w:ascii="Arial" w:cs="Arial" w:eastAsia="Arial" w:hAnsi="Arial"/>
          <w:sz w:val="19"/>
          <w:szCs w:val="19"/>
          <w:color w:val="auto"/>
        </w:rPr>
        <w:t>. Subject to Sections 2.2 and 11 hereof, the total number of Shares reserved and available for grant and issuance pursuant to this Plan will be 79,540,008 Shares, plus the sum of (a) any authorized shares not issued or subject to outstanding grants under the Company’s Amended and Restated 2013 Stock Plan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on the Effective Date (as defined in Section 13.1 hereof); (b) shares that are subject to issuance under the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w:t>
      </w:r>
    </w:p>
    <w:p>
      <w:pPr>
        <w:sectPr>
          <w:pgSz w:w="11900" w:h="16838" w:orient="portrait"/>
          <w:cols w:equalWidth="0" w:num="1">
            <w:col w:w="11240"/>
          </w:cols>
          <w:pgMar w:left="320" w:top="121" w:right="339" w:bottom="1440" w:gutter="0" w:footer="0" w:header="0"/>
        </w:sectPr>
      </w:pPr>
    </w:p>
    <w:bookmarkStart w:id="593" w:name="page594"/>
    <w:bookmarkEnd w:id="593"/>
    <w:p>
      <w:pPr>
        <w:ind w:left="660"/>
        <w:spacing w:after="0" w:line="246" w:lineRule="auto"/>
        <w:rPr>
          <w:sz w:val="20"/>
          <w:szCs w:val="20"/>
          <w:color w:val="auto"/>
        </w:rPr>
      </w:pPr>
      <w:r>
        <w:rPr>
          <w:rFonts w:ascii="Arial" w:cs="Arial" w:eastAsia="Arial" w:hAnsi="Arial"/>
          <w:sz w:val="22"/>
          <w:szCs w:val="22"/>
          <w:color w:val="auto"/>
        </w:rPr>
        <w:t>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419,618,328 Shares (adjusted in proportion to any adjustments under Section 2.2 hereof) over the term of the Plan.”.</w:t>
      </w:r>
    </w:p>
    <w:p>
      <w:pPr>
        <w:spacing w:after="0" w:line="88" w:lineRule="exact"/>
        <w:rPr>
          <w:sz w:val="20"/>
          <w:szCs w:val="20"/>
          <w:color w:val="auto"/>
        </w:rPr>
      </w:pPr>
    </w:p>
    <w:p>
      <w:pPr>
        <w:ind w:left="340" w:right="240" w:hanging="332"/>
        <w:spacing w:after="0" w:line="263" w:lineRule="auto"/>
        <w:tabs>
          <w:tab w:leader="none" w:pos="34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Except as modified by this Amendment, all of the terms and conditions of the Plan shall remain valid and in full force and effect.</w:t>
      </w:r>
    </w:p>
    <w:p>
      <w:pPr>
        <w:spacing w:after="0" w:line="6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executed this Third Amendment to Robinhood Markets, Inc. 2020 Equity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as of May 26, 2021.</w:t>
      </w:r>
    </w:p>
    <w:p>
      <w:pPr>
        <w:spacing w:after="0" w:line="222"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By: /s/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24130</wp:posOffset>
            </wp:positionV>
            <wp:extent cx="24942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1"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Name: Jason Warnick</w:t>
      </w:r>
    </w:p>
    <w:p>
      <w:pPr>
        <w:spacing w:after="0" w:line="58"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120"/>
          </w:cols>
          <w:pgMar w:left="320" w:top="1427" w:right="459" w:bottom="1440" w:gutter="0" w:footer="0" w:header="0"/>
        </w:sectPr>
      </w:pPr>
    </w:p>
    <w:bookmarkStart w:id="594" w:name="page595"/>
    <w:bookmarkEnd w:id="594"/>
    <w:p>
      <w:pPr>
        <w:ind w:left="10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1751330</wp:posOffset>
            </wp:positionH>
            <wp:positionV relativeFrom="page">
              <wp:posOffset>106045</wp:posOffset>
            </wp:positionV>
            <wp:extent cx="3008630" cy="582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3008630" cy="582930"/>
                    </a:xfrm>
                    <a:prstGeom prst="rect">
                      <a:avLst/>
                    </a:prstGeom>
                    <a:noFill/>
                  </pic:spPr>
                </pic:pic>
              </a:graphicData>
            </a:graphic>
          </wp:anchor>
        </w:drawing>
        <w:t>Exhibit 10.6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November 8,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85D089"/>
        </w:rPr>
        <w:t>JOB OFFER LETTER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Jason: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Robinhood Markets, Inc. (the “</w:t>
      </w:r>
      <w:r>
        <w:rPr>
          <w:rFonts w:ascii="Arial" w:cs="Arial" w:eastAsia="Arial" w:hAnsi="Arial"/>
          <w:sz w:val="22"/>
          <w:szCs w:val="22"/>
          <w:u w:val="single" w:color="auto"/>
          <w:color w:val="auto"/>
        </w:rPr>
        <w:t>Company</w:t>
      </w:r>
      <w:r>
        <w:rPr>
          <w:rFonts w:ascii="Arial" w:cs="Arial" w:eastAsia="Arial" w:hAnsi="Arial"/>
          <w:sz w:val="22"/>
          <w:szCs w:val="22"/>
          <w:color w:val="auto"/>
        </w:rPr>
        <w:t>”) is pleased to offer you employment on the following terms:</w:t>
      </w:r>
    </w:p>
    <w:p>
      <w:pPr>
        <w:spacing w:after="0" w:line="220"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Position Your initial title will be Chief Financial Officer, and you will initially report to Vladimir Tenev.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Compensation</w:t>
      </w:r>
    </w:p>
    <w:p>
      <w:pPr>
        <w:spacing w:after="0" w:line="246"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Cash Compensation. The Company will pay you a starting salary at the rate of $300,000 per year, payable in accordance with the Company’s standard payroll schedule. This salary will be subject to adjustment pursuant to the Company’s employee compensation policies in effect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In appreciation for your decision to join us, the Company will pay you a $300,000 payable in three equal installments.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first installment will be paid during your first month of employment.</w:t>
      </w:r>
    </w:p>
    <w:p>
      <w:pPr>
        <w:spacing w:after="0" w:line="220"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You will earn this first bonus installment payment by remaining employed with the Company for one-full year. Upon your termination or resignation for any reason prior to your one-year anniversary date with the Company, you will be required to repay the first bonus installment payment, prorated based on the number of full calendar months you were employed by the Company as of the date of your termination or resignation.</w:t>
      </w:r>
    </w:p>
    <w:p>
      <w:pPr>
        <w:spacing w:after="0" w:line="209"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If you are employed with the Company on the one-year anniversary of your first date of employment, the company will pay the second bonus installment in the first paycheck after your one-year anniversary. Bonus installments will be payable in accordance with the Company’s standard payroll practice and subject to applicable withholding taxes. If your employment with the Company is terminated for any reason during your first year of employment, you will not be eligible for the second installment.</w:t>
      </w: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If you are employed with the Company on the two-year anniversary of your first date of employment, the company will pay the third bonus installment in the first paycheck after your two-year anniversary. These bonus installments will be payable in accordance with the Company’s standard payroll practice and subject to applicable withholding taxes. If</w:t>
      </w:r>
    </w:p>
    <w:p>
      <w:pPr>
        <w:sectPr>
          <w:pgSz w:w="11900" w:h="16838" w:orient="portrait"/>
          <w:cols w:equalWidth="0" w:num="1">
            <w:col w:w="11240"/>
          </w:cols>
          <w:pgMar w:left="320" w:top="539" w:right="339" w:bottom="1440" w:gutter="0" w:footer="0" w:header="0"/>
        </w:sectPr>
      </w:pPr>
    </w:p>
    <w:bookmarkStart w:id="595" w:name="page596"/>
    <w:bookmarkEnd w:id="595"/>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88900</wp:posOffset>
            </wp:positionV>
            <wp:extent cx="3154680" cy="608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3154680" cy="608330"/>
                    </a:xfrm>
                    <a:prstGeom prst="rect">
                      <a:avLst/>
                    </a:prstGeom>
                    <a:noFill/>
                  </pic:spPr>
                </pic:pic>
              </a:graphicData>
            </a:graphic>
          </wp:anchor>
        </w:drawing>
      </w:r>
    </w:p>
    <w:p>
      <w:pPr>
        <w:ind w:right="200"/>
        <w:spacing w:after="0" w:line="249" w:lineRule="auto"/>
        <w:rPr>
          <w:sz w:val="20"/>
          <w:szCs w:val="20"/>
          <w:color w:val="auto"/>
        </w:rPr>
      </w:pPr>
      <w:r>
        <w:rPr>
          <w:rFonts w:ascii="Arial" w:cs="Arial" w:eastAsia="Arial" w:hAnsi="Arial"/>
          <w:sz w:val="22"/>
          <w:szCs w:val="22"/>
          <w:color w:val="auto"/>
        </w:rPr>
        <w:t>your employment with the Company is terminated for any reason during your first two years of employment, you will not be eligible for the third installment.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246" w:lineRule="exact"/>
        <w:rPr>
          <w:sz w:val="20"/>
          <w:szCs w:val="20"/>
          <w:color w:val="auto"/>
        </w:rPr>
      </w:pPr>
    </w:p>
    <w:p>
      <w:pPr>
        <w:ind w:right="500"/>
        <w:spacing w:after="0" w:line="246" w:lineRule="auto"/>
        <w:rPr>
          <w:sz w:val="20"/>
          <w:szCs w:val="20"/>
          <w:color w:val="auto"/>
        </w:rPr>
      </w:pPr>
      <w:r>
        <w:rPr>
          <w:rFonts w:ascii="Arial" w:cs="Arial" w:eastAsia="Arial" w:hAnsi="Arial"/>
          <w:sz w:val="22"/>
          <w:szCs w:val="22"/>
          <w:color w:val="auto"/>
        </w:rPr>
        <w:t>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4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Subject to the approval of the Company’s Board of Directors or its Compensation Committee, you will be granted an option to purchase 700,000 shares of the Company’s Common Stock (the “Option”). The exercise price per share of the Option will be determined by the Board of Directors or the Compensation Committee when the Option is granted. The Option will be subject to the terms and conditions applicable to options granted under the Company’s 2013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The Option will be subject to accelerated vesting upon a change of control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Subject to the approval of the Company’s Board of Directors or its Compensation Committee, you will be granted 700,000 restricted stock units of the Company’s Common Stock (the “RSU”). The RSUs will be subject to the terms and conditions applicable to equity compensation granted under the Company’s applicable equity compensation plan. You will vest in 25% of the RSU shares after 12 months of continuous service, and the balance will vest in equal monthly installments over the next 36 months of continuous service, as described in the applicable agreements. Equity compensation will be subject to accelerated vesting upon a change of control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Proprietary Information And Invention Agreements</w:t>
      </w:r>
    </w:p>
    <w:p>
      <w:pPr>
        <w:spacing w:after="0" w:line="246"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Like all Company employees, you will be required, as a condition of your employment with the Company, to sign the Company’s standard Proprietary Information and Inventions Agreement.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Relationship</w:t>
      </w:r>
    </w:p>
    <w:p>
      <w:pPr>
        <w:spacing w:after="0" w:line="246"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Employment with the Company is for no specific period of time. Your employment with the Company will be “at will,” meaning that either you or the Company may terminate your employment at any time and for any reason, with or without cause. Any contrary</w:t>
      </w:r>
    </w:p>
    <w:p>
      <w:pPr>
        <w:sectPr>
          <w:pgSz w:w="11900" w:h="16838" w:orient="portrait"/>
          <w:cols w:equalWidth="0" w:num="1">
            <w:col w:w="11220"/>
          </w:cols>
          <w:pgMar w:left="320" w:top="1440" w:right="359" w:bottom="1440" w:gutter="0" w:footer="0" w:header="0"/>
        </w:sectPr>
      </w:pPr>
    </w:p>
    <w:bookmarkStart w:id="596" w:name="page597"/>
    <w:bookmarkEnd w:id="596"/>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88900</wp:posOffset>
            </wp:positionV>
            <wp:extent cx="3154680" cy="6083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3154680" cy="608330"/>
                    </a:xfrm>
                    <a:prstGeom prst="rect">
                      <a:avLst/>
                    </a:prstGeom>
                    <a:noFill/>
                  </pic:spPr>
                </pic:pic>
              </a:graphicData>
            </a:graphic>
          </wp:anchor>
        </w:drawing>
      </w:r>
    </w:p>
    <w:p>
      <w:pPr>
        <w:ind w:right="180"/>
        <w:spacing w:after="0" w:line="244" w:lineRule="auto"/>
        <w:rPr>
          <w:sz w:val="20"/>
          <w:szCs w:val="20"/>
          <w:color w:val="auto"/>
        </w:rPr>
      </w:pPr>
      <w:r>
        <w:rPr>
          <w:rFonts w:ascii="Arial" w:cs="Arial" w:eastAsia="Arial" w:hAnsi="Arial"/>
          <w:sz w:val="22"/>
          <w:szCs w:val="22"/>
          <w:color w:val="auto"/>
        </w:rPr>
        <w:t>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Matters</w:t>
      </w:r>
    </w:p>
    <w:p>
      <w:pPr>
        <w:spacing w:after="0" w:line="246" w:lineRule="exact"/>
        <w:rPr>
          <w:sz w:val="20"/>
          <w:szCs w:val="20"/>
          <w:color w:val="auto"/>
        </w:rPr>
      </w:pPr>
    </w:p>
    <w:p>
      <w:pPr>
        <w:ind w:left="1300" w:right="280" w:hanging="644"/>
        <w:spacing w:after="0" w:line="243" w:lineRule="auto"/>
        <w:tabs>
          <w:tab w:leader="none" w:pos="1295" w:val="left"/>
        </w:tabs>
        <w:numPr>
          <w:ilvl w:val="0"/>
          <w:numId w:val="412"/>
        </w:numPr>
        <w:rPr>
          <w:rFonts w:ascii="Arial" w:cs="Arial" w:eastAsia="Arial" w:hAnsi="Arial"/>
          <w:sz w:val="22"/>
          <w:szCs w:val="22"/>
          <w:color w:val="auto"/>
        </w:rPr>
      </w:pPr>
      <w:r>
        <w:rPr>
          <w:rFonts w:ascii="Arial" w:cs="Arial" w:eastAsia="Arial" w:hAnsi="Arial"/>
          <w:sz w:val="22"/>
          <w:szCs w:val="22"/>
          <w:color w:val="auto"/>
        </w:rPr>
        <w:t>Withholding. All forms of compensation referred to in this letter agreement are subject to reduction to reflect applicable withholding and payroll taxes and other deductions required by law</w:t>
      </w:r>
    </w:p>
    <w:p>
      <w:pPr>
        <w:jc w:val="both"/>
        <w:ind w:left="1300" w:right="200" w:hanging="644"/>
        <w:spacing w:after="0" w:line="245" w:lineRule="auto"/>
        <w:tabs>
          <w:tab w:leader="none" w:pos="1295"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Tax Advice.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 Amendments and Enforcement</w:t>
      </w:r>
    </w:p>
    <w:p>
      <w:pPr>
        <w:spacing w:after="0" w:line="246"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This letter agreement and Proprietary Information and Inventions Agreement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sectPr>
          <w:pgSz w:w="11900" w:h="16838" w:orient="portrait"/>
          <w:cols w:equalWidth="0" w:num="1">
            <w:col w:w="11180"/>
          </w:cols>
          <w:pgMar w:left="320" w:top="1440" w:right="399" w:bottom="1440" w:gutter="0" w:footer="0" w:header="0"/>
        </w:sectPr>
      </w:pPr>
    </w:p>
    <w:bookmarkStart w:id="597" w:name="page598"/>
    <w:bookmarkEnd w:id="59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88900</wp:posOffset>
            </wp:positionV>
            <wp:extent cx="3154680" cy="6083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3154680" cy="608330"/>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November 9, 2018. As required by law, your employment with the Company is contingent upon your providing legal proof of your identity and authorization to work in the United States. Your employment is also contingent upon your starting work with the Company on or before November 4, 2018.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Baiju Prafulkumar Bhatt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8658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Baiju Prafulkumar Bhatt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Co-President</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I have read and accept this employment offer:</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8658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 of Employee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11/8/2018</w:t>
      </w:r>
    </w:p>
    <w:p>
      <w:pPr>
        <w:sectPr>
          <w:pgSz w:w="11900" w:h="16838" w:orient="portrait"/>
          <w:cols w:equalWidth="0" w:num="1">
            <w:col w:w="11100"/>
          </w:cols>
          <w:pgMar w:left="320" w:top="1440" w:right="47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December 15, 2020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Mr. Dan Gallagher</w:t>
      </w:r>
    </w:p>
    <w:p>
      <w:pPr>
        <w:spacing w:after="0" w:line="238" w:lineRule="auto"/>
        <w:rPr>
          <w:sz w:val="20"/>
          <w:szCs w:val="20"/>
          <w:color w:val="auto"/>
        </w:rPr>
      </w:pPr>
      <w:r>
        <w:rPr>
          <w:rFonts w:ascii="Arial" w:cs="Arial" w:eastAsia="Arial" w:hAnsi="Arial"/>
          <w:sz w:val="22"/>
          <w:szCs w:val="22"/>
          <w:color w:val="auto"/>
        </w:rPr>
        <w:t>________________</w:t>
      </w:r>
    </w:p>
    <w:p>
      <w:pPr>
        <w:spacing w:after="0"/>
        <w:rPr>
          <w:sz w:val="20"/>
          <w:szCs w:val="20"/>
          <w:color w:val="auto"/>
        </w:rPr>
      </w:pPr>
      <w:r>
        <w:rPr>
          <w:rFonts w:ascii="Arial" w:cs="Arial" w:eastAsia="Arial" w:hAnsi="Arial"/>
          <w:sz w:val="22"/>
          <w:szCs w:val="22"/>
          <w:color w:val="auto"/>
        </w:rPr>
        <w:t>________________</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Dear Dan:</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You and Robinhood Markets, Inc. (“Robinhood” or the “Company”) entered in a letter agreement regarding your employment on April 28, 2020 (the “Prior Agreement”) pursuant to which you joined us as Robinhood’s Chief Legal Officer on May 12, 2020 (your “Start Date”). On August 19, 2020, you and the Company entered into an amendment letter agreement (the “Amendment Letter”), which amended and replaced the Prior Agreement in its entirety and pursuant to which you continue serving as Robinhood’s Chief Legal Officer. This second amendment letter agreement (this “Second Amendment Letter”) now amends and replaces the Amendment Letter in its entirety.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EMPLOYMENT BY THE COMPANY</w:t>
      </w:r>
    </w:p>
    <w:p>
      <w:pPr>
        <w:spacing w:after="0" w:line="152" w:lineRule="exact"/>
        <w:rPr>
          <w:sz w:val="20"/>
          <w:szCs w:val="20"/>
          <w:color w:val="auto"/>
        </w:rPr>
      </w:pPr>
    </w:p>
    <w:p>
      <w:pPr>
        <w:jc w:val="both"/>
        <w:ind w:firstLine="656"/>
        <w:spacing w:after="0" w:line="260" w:lineRule="auto"/>
        <w:tabs>
          <w:tab w:leader="none" w:pos="1296" w:val="left"/>
        </w:tabs>
        <w:numPr>
          <w:ilvl w:val="0"/>
          <w:numId w:val="4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Position and Duties. </w:t>
      </w:r>
      <w:r>
        <w:rPr>
          <w:rFonts w:ascii="Arial" w:cs="Arial" w:eastAsia="Arial" w:hAnsi="Arial"/>
          <w:sz w:val="21"/>
          <w:szCs w:val="21"/>
          <w:color w:val="auto"/>
        </w:rPr>
        <w:t>You will continue to serve as Robinhood’s Chief Legal Officer, reporting to the CEO.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role, you will serve as the head of Robinhood’s legal department, be responsible for managing the legal affairs of the Company and have such additional duties and responsibilities as may reasonably be assigned to you by the CEO.</w:t>
      </w:r>
    </w:p>
    <w:p>
      <w:pPr>
        <w:spacing w:after="0" w:line="106"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4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You will continue to work from Company’s office in the DC Metro Area. You understand and agree that</w:t>
      </w:r>
      <w:r>
        <w:rPr>
          <w:rFonts w:ascii="Arial" w:cs="Arial" w:eastAsia="Arial" w:hAnsi="Arial"/>
          <w:sz w:val="22"/>
          <w:szCs w:val="22"/>
          <w:b w:val="1"/>
          <w:bCs w:val="1"/>
          <w:color w:val="auto"/>
        </w:rPr>
        <w:t xml:space="preserve"> </w:t>
      </w:r>
      <w:r>
        <w:rPr>
          <w:rFonts w:ascii="Arial" w:cs="Arial" w:eastAsia="Arial" w:hAnsi="Arial"/>
          <w:sz w:val="22"/>
          <w:szCs w:val="22"/>
          <w:color w:val="auto"/>
        </w:rPr>
        <w:t>you may be required to travel to the Company’s headquarters in Menlo Park, California, or other locations outside of the DC Metro Area in connection with the performance of your duties. You will be expected to travel to the Company’s headquarters on average one week per calendar month.</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AND BENEFITS</w:t>
      </w:r>
    </w:p>
    <w:p>
      <w:pPr>
        <w:spacing w:after="0" w:line="152" w:lineRule="exact"/>
        <w:rPr>
          <w:sz w:val="20"/>
          <w:szCs w:val="20"/>
          <w:color w:val="auto"/>
        </w:rPr>
      </w:pPr>
    </w:p>
    <w:p>
      <w:pPr>
        <w:ind w:firstLine="656"/>
        <w:spacing w:after="0" w:line="256" w:lineRule="auto"/>
        <w:tabs>
          <w:tab w:leader="none" w:pos="1296" w:val="left"/>
        </w:tabs>
        <w:numPr>
          <w:ilvl w:val="0"/>
          <w:numId w:val="414"/>
        </w:numPr>
        <w:rPr>
          <w:rFonts w:ascii="Arial" w:cs="Arial" w:eastAsia="Arial" w:hAnsi="Arial"/>
          <w:sz w:val="22"/>
          <w:szCs w:val="22"/>
          <w:b w:val="1"/>
          <w:bCs w:val="1"/>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Your starting annual salary is $400,000, paid semi-monthly on Robinhood’s regularly scheduled pay</w:t>
      </w:r>
      <w:r>
        <w:rPr>
          <w:rFonts w:ascii="Arial" w:cs="Arial" w:eastAsia="Arial" w:hAnsi="Arial"/>
          <w:sz w:val="22"/>
          <w:szCs w:val="22"/>
          <w:b w:val="1"/>
          <w:bCs w:val="1"/>
          <w:color w:val="auto"/>
        </w:rPr>
        <w:t xml:space="preserve"> </w:t>
      </w:r>
      <w:r>
        <w:rPr>
          <w:rFonts w:ascii="Arial" w:cs="Arial" w:eastAsia="Arial" w:hAnsi="Arial"/>
          <w:sz w:val="22"/>
          <w:szCs w:val="22"/>
          <w:color w:val="auto"/>
        </w:rPr>
        <w:t>dates (your “Base Salary”).</w:t>
      </w:r>
    </w:p>
    <w:p>
      <w:pPr>
        <w:spacing w:after="0" w:line="108" w:lineRule="exact"/>
        <w:rPr>
          <w:rFonts w:ascii="Arial" w:cs="Arial" w:eastAsia="Arial" w:hAnsi="Arial"/>
          <w:sz w:val="22"/>
          <w:szCs w:val="22"/>
          <w:b w:val="1"/>
          <w:bCs w:val="1"/>
          <w:color w:val="auto"/>
        </w:rPr>
      </w:pPr>
    </w:p>
    <w:p>
      <w:pPr>
        <w:jc w:val="both"/>
        <w:ind w:firstLine="656"/>
        <w:spacing w:after="0" w:line="251" w:lineRule="auto"/>
        <w:tabs>
          <w:tab w:leader="none" w:pos="1296" w:val="left"/>
        </w:tabs>
        <w:numPr>
          <w:ilvl w:val="0"/>
          <w:numId w:val="414"/>
        </w:numPr>
        <w:rPr>
          <w:rFonts w:ascii="Arial" w:cs="Arial" w:eastAsia="Arial" w:hAnsi="Arial"/>
          <w:sz w:val="19"/>
          <w:szCs w:val="19"/>
          <w:b w:val="1"/>
          <w:bCs w:val="1"/>
          <w:color w:val="auto"/>
        </w:rPr>
      </w:pPr>
      <w:r>
        <w:rPr>
          <w:rFonts w:ascii="Arial" w:cs="Arial" w:eastAsia="Arial" w:hAnsi="Arial"/>
          <w:sz w:val="19"/>
          <w:szCs w:val="19"/>
          <w:b w:val="1"/>
          <w:bCs w:val="1"/>
          <w:color w:val="auto"/>
        </w:rPr>
        <w:t>Retention Bonus</w:t>
      </w:r>
      <w:r>
        <w:rPr>
          <w:rFonts w:ascii="Arial" w:cs="Arial" w:eastAsia="Arial" w:hAnsi="Arial"/>
          <w:sz w:val="19"/>
          <w:szCs w:val="19"/>
          <w:color w:val="auto"/>
        </w:rPr>
        <w:t>. You were already granted a cash retention bonus in the amount of $2,100,000, less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taxes and deductions (the “First Retention Bonus”), which will be earned and vested with respect to 1/12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total amount on each monthly anniversary of your Start Date. You will receive a second cash retention bonus in the amount of an additional $2,100,000, less applicable taxes and deductions, in December 2020 (the “Second Retention Bonus” and together with the First Retention Bonus, the “Retention Bonus”). The Second Retention Bonus will be earned and vested with respect to 1/12</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total amount on each monthly anniversary of your Start Date beginning on the 13th monthly anniversary of your Start Date and concluding on the 24th monthly anniversary of continued employment following your Start Date. Except as provided in</w:t>
      </w:r>
    </w:p>
    <w:p>
      <w:pPr>
        <w:sectPr>
          <w:pgSz w:w="11900" w:h="16838" w:orient="portrait"/>
          <w:cols w:equalWidth="0" w:num="1">
            <w:col w:w="11240"/>
          </w:cols>
          <w:pgMar w:left="320" w:top="121" w:right="339" w:bottom="1440" w:gutter="0" w:footer="0" w:header="0"/>
        </w:sectPr>
      </w:pPr>
    </w:p>
    <w:bookmarkStart w:id="599" w:name="page600"/>
    <w:bookmarkEnd w:id="599"/>
    <w:p>
      <w:pPr>
        <w:jc w:val="both"/>
        <w:spacing w:after="0" w:line="252" w:lineRule="auto"/>
        <w:rPr>
          <w:sz w:val="20"/>
          <w:szCs w:val="20"/>
          <w:color w:val="auto"/>
        </w:rPr>
      </w:pP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of this Second Amendment Letter, in the event that your employment terminates for any reason prior to May 12, 2022, you will be required to repay to the Company an amount equal to the Retention Bonus you received (net of any withholding by the Company) </w:t>
      </w:r>
      <w:r>
        <w:rPr>
          <w:rFonts w:ascii="Arial" w:cs="Arial" w:eastAsia="Arial" w:hAnsi="Arial"/>
          <w:sz w:val="21"/>
          <w:szCs w:val="21"/>
          <w:i w:val="1"/>
          <w:iCs w:val="1"/>
          <w:color w:val="auto"/>
        </w:rPr>
        <w:t>less</w:t>
      </w:r>
      <w:r>
        <w:rPr>
          <w:rFonts w:ascii="Arial" w:cs="Arial" w:eastAsia="Arial" w:hAnsi="Arial"/>
          <w:sz w:val="21"/>
          <w:szCs w:val="21"/>
          <w:color w:val="auto"/>
        </w:rPr>
        <w:t xml:space="preserve"> any vested portion thereof on or before your last day of employment. No other retention bonuses will be owed or paid under the terms of this Second Amendment Letter.</w:t>
      </w:r>
    </w:p>
    <w:p>
      <w:pPr>
        <w:spacing w:after="0" w:line="114" w:lineRule="exact"/>
        <w:rPr>
          <w:sz w:val="20"/>
          <w:szCs w:val="20"/>
          <w:color w:val="auto"/>
        </w:rPr>
      </w:pPr>
    </w:p>
    <w:p>
      <w:pPr>
        <w:jc w:val="both"/>
        <w:ind w:firstLine="656"/>
        <w:spacing w:after="0" w:line="274" w:lineRule="auto"/>
        <w:tabs>
          <w:tab w:leader="none" w:pos="1296" w:val="left"/>
        </w:tabs>
        <w:numPr>
          <w:ilvl w:val="0"/>
          <w:numId w:val="4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Equity Incentive Awards. </w:t>
      </w:r>
      <w:r>
        <w:rPr>
          <w:rFonts w:ascii="Arial" w:cs="Arial" w:eastAsia="Arial" w:hAnsi="Arial"/>
          <w:sz w:val="19"/>
          <w:szCs w:val="19"/>
          <w:color w:val="auto"/>
        </w:rPr>
        <w:t>You have already been granted restricted stock units (“RSUs”) to acquire 308,419</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and 1,332,014 shares of Robinhood’s Common Stock (the “Initial RSUs”) and stock options to purchase 264,360 shares of Robinhood’s Common Stock (the “Initial Option”, and together with the Initial RSUs, the “Initial Grants”). As soon as practicable following the date of this Second Amendment Letter, subject to approval by the Board of Directors (the “Board”), you will be granted additional RSUs to acquire 270,968 shares of Robinhood’s Common Stock (the “Supplemental RSUs”). The Supplemental RSUs will be subject to the terms and conditions applicable to equity compensation granted under Robinhood’s 2020 Equity Incentive Plan or such other equity incentive plan as may be in effect from time to time (the “Plan”) and a notice of award and award agreement (the “Award Agreement”), as will be delivered to you following such grant, but subject to the provisions of this Second Amendment Letter. In the event of any conflict between the provisions of the Plan and this Second Amendment Letter, the terms of this Second Amendment Letter will prevail.</w:t>
      </w:r>
    </w:p>
    <w:p>
      <w:pPr>
        <w:spacing w:after="0" w:line="98" w:lineRule="exact"/>
        <w:rPr>
          <w:sz w:val="20"/>
          <w:szCs w:val="20"/>
          <w:color w:val="auto"/>
        </w:rPr>
      </w:pPr>
    </w:p>
    <w:p>
      <w:pPr>
        <w:jc w:val="both"/>
        <w:ind w:firstLine="656"/>
        <w:spacing w:after="0" w:line="246" w:lineRule="auto"/>
        <w:tabs>
          <w:tab w:leader="none" w:pos="1291" w:val="left"/>
        </w:tabs>
        <w:numPr>
          <w:ilvl w:val="0"/>
          <w:numId w:val="4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RSUs. </w:t>
      </w:r>
      <w:r>
        <w:rPr>
          <w:rFonts w:ascii="Arial" w:cs="Arial" w:eastAsia="Arial" w:hAnsi="Arial"/>
          <w:sz w:val="20"/>
          <w:szCs w:val="20"/>
          <w:color w:val="auto"/>
        </w:rPr>
        <w:t>The Initial RSUs already granted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w:t>
      </w:r>
      <w:r>
        <w:rPr>
          <w:rFonts w:ascii="Arial" w:cs="Arial" w:eastAsia="Arial" w:hAnsi="Arial"/>
          <w:sz w:val="20"/>
          <w:szCs w:val="20"/>
          <w:b w:val="1"/>
          <w:bCs w:val="1"/>
          <w:color w:val="auto"/>
        </w:rPr>
        <w:t xml:space="preserve"> </w:t>
      </w:r>
      <w:r>
        <w:rPr>
          <w:rFonts w:ascii="Arial" w:cs="Arial" w:eastAsia="Arial" w:hAnsi="Arial"/>
          <w:sz w:val="20"/>
          <w:szCs w:val="20"/>
          <w:color w:val="auto"/>
        </w:rPr>
        <w:t>above will vest and settle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applicable notice of award and award agreement evidencing such grants, which have been provided to you. The Supplemental RSUs will be subject to vesting based on the satisfaction of two requirements: (i) a time-based service requirement, and (ii) a liquidity event requirement. The time-based service requirement will be satisfied with respect to 1/12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shares underlying the Supplemental RSUs on January 1, 2021, and with respect to the balance of the shares underlying the Supplemental RSUs in equal quarterly installments beginning on the first day of Robinhood’s second fiscal quarter in 2021 and then on each quarterly anniversary thereafter, such that the time-based service requirement will be satisfied with respect to 100% of the shares underlying the Supplemental RSUs on October 1, 2023, in each case subject to your continued employment. The liquidity event requirement will be satisfied on the earliest to occur of (x) six months following the effective date of the Company’s initial public offering (an “IPO”), or if earlier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following the Company’s IPO; and (y) the date of an Acquisition (as such terms are detailed in the Award Agreement), provided in each case that such event occurs within seven years of the grant of the Supplemental RSUs. Notwithstanding the foregoing, the Board may, in its discretion, elect to grant the Supplemental RSUs described in this Section (a) subject only to service-based vesting or in such other manner as it deems necessary or advisable to maintain an exemption from, or otherwise comply with Section 409A of the Internal Revenue Code of 1986, as amended (the “Code”).</w:t>
      </w:r>
    </w:p>
    <w:p>
      <w:pPr>
        <w:spacing w:after="0" w:line="129" w:lineRule="exact"/>
        <w:rPr>
          <w:rFonts w:ascii="Arial" w:cs="Arial" w:eastAsia="Arial" w:hAnsi="Arial"/>
          <w:sz w:val="20"/>
          <w:szCs w:val="20"/>
          <w:b w:val="1"/>
          <w:bCs w:val="1"/>
          <w:color w:val="auto"/>
        </w:rPr>
      </w:pPr>
    </w:p>
    <w:p>
      <w:pPr>
        <w:jc w:val="both"/>
        <w:ind w:firstLine="656"/>
        <w:spacing w:after="0" w:line="243" w:lineRule="auto"/>
        <w:tabs>
          <w:tab w:leader="none" w:pos="1290" w:val="left"/>
        </w:tabs>
        <w:numPr>
          <w:ilvl w:val="0"/>
          <w:numId w:val="4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Options. </w:t>
      </w:r>
      <w:r>
        <w:rPr>
          <w:rFonts w:ascii="Arial" w:cs="Arial" w:eastAsia="Arial" w:hAnsi="Arial"/>
          <w:sz w:val="22"/>
          <w:szCs w:val="22"/>
          <w:color w:val="auto"/>
        </w:rPr>
        <w:t>The Initial Option already granted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above was granted with an exercise price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the fair market value of the Company’s Common Stock on the date of the grant, as determined by the Board after consideration of an</w:t>
      </w:r>
    </w:p>
    <w:p>
      <w:pPr>
        <w:sectPr>
          <w:pgSz w:w="11900" w:h="16838" w:orient="portrait"/>
          <w:cols w:equalWidth="0" w:num="1">
            <w:col w:w="11240"/>
          </w:cols>
          <w:pgMar w:left="320" w:top="1414" w:right="339" w:bottom="1440" w:gutter="0" w:footer="0" w:header="0"/>
        </w:sectPr>
      </w:pPr>
    </w:p>
    <w:bookmarkStart w:id="600" w:name="page601"/>
    <w:bookmarkEnd w:id="600"/>
    <w:p>
      <w:pPr>
        <w:jc w:val="both"/>
        <w:spacing w:after="0" w:line="282" w:lineRule="auto"/>
        <w:rPr>
          <w:sz w:val="20"/>
          <w:szCs w:val="20"/>
          <w:color w:val="auto"/>
        </w:rPr>
      </w:pPr>
      <w:r>
        <w:rPr>
          <w:rFonts w:ascii="Arial" w:cs="Arial" w:eastAsia="Arial" w:hAnsi="Arial"/>
          <w:sz w:val="19"/>
          <w:szCs w:val="19"/>
          <w:color w:val="auto"/>
        </w:rPr>
        <w:t>appraisal for purposes of Section 409A. Each Initial Option will become vested and exercisable with respect to 1/4th of the total number of shares underlying the Initial Option on the 12-month anniversary of your Start Date, and as to the balance of shares underlying the Initial Option in equal quarterly installments on each of the 12 quarterly anniversaries thereafter, such that the Initial Option will be fully vested and exercisable on the four-year anniversary of your Start Date, subject to your continued employment, as set forth in the notice of award and award agreement evidencing such grant, which has been provided to you.</w:t>
      </w:r>
    </w:p>
    <w:p>
      <w:pPr>
        <w:spacing w:after="0" w:line="87" w:lineRule="exact"/>
        <w:rPr>
          <w:sz w:val="20"/>
          <w:szCs w:val="20"/>
          <w:color w:val="auto"/>
        </w:rPr>
      </w:pPr>
    </w:p>
    <w:p>
      <w:pPr>
        <w:jc w:val="both"/>
        <w:ind w:firstLine="656"/>
        <w:spacing w:after="0" w:line="280" w:lineRule="auto"/>
        <w:tabs>
          <w:tab w:leader="none" w:pos="1296" w:val="left"/>
        </w:tabs>
        <w:numPr>
          <w:ilvl w:val="0"/>
          <w:numId w:val="417"/>
        </w:numPr>
        <w:rPr>
          <w:rFonts w:ascii="Arial" w:cs="Arial" w:eastAsia="Arial" w:hAnsi="Arial"/>
          <w:sz w:val="19"/>
          <w:szCs w:val="19"/>
          <w:b w:val="1"/>
          <w:bCs w:val="1"/>
          <w:color w:val="auto"/>
        </w:rPr>
      </w:pPr>
      <w:r>
        <w:rPr>
          <w:rFonts w:ascii="Arial" w:cs="Arial" w:eastAsia="Arial" w:hAnsi="Arial"/>
          <w:sz w:val="19"/>
          <w:szCs w:val="19"/>
          <w:b w:val="1"/>
          <w:bCs w:val="1"/>
          <w:color w:val="auto"/>
        </w:rPr>
        <w:t>Benefits; Business Expenses.</w:t>
      </w:r>
      <w:r>
        <w:rPr>
          <w:rFonts w:ascii="Arial" w:cs="Arial" w:eastAsia="Arial" w:hAnsi="Arial"/>
          <w:sz w:val="19"/>
          <w:szCs w:val="19"/>
          <w:color w:val="auto"/>
        </w:rPr>
        <w:t>You’ll continue to have access to Robinhood benefits offerings. Summary details of</w:t>
      </w:r>
      <w:r>
        <w:rPr>
          <w:rFonts w:ascii="Arial" w:cs="Arial" w:eastAsia="Arial" w:hAnsi="Arial"/>
          <w:sz w:val="19"/>
          <w:szCs w:val="19"/>
          <w:b w:val="1"/>
          <w:bCs w:val="1"/>
          <w:color w:val="auto"/>
        </w:rPr>
        <w:t xml:space="preserve"> </w:t>
      </w:r>
      <w:r>
        <w:rPr>
          <w:rFonts w:ascii="Arial" w:cs="Arial" w:eastAsia="Arial" w:hAnsi="Arial"/>
          <w:sz w:val="19"/>
          <w:szCs w:val="19"/>
          <w:color w:val="auto"/>
        </w:rPr>
        <w:t>these plans have been sent separately. Robinhood may modify your benefits from time to time as it deems necessary. In addition, Robinhood will reimburse you for all reasonable and documented travel and other costs or expenses incurred or paid by you in connection with the performance of your duties, including any travel expenses incurred by you in connection with your travel to the Company’s headquarters, in accordance with the general reimbursement policy of the Company as may be in effect from time to time, provided, however, that you will be entitled to business/first (i.e., non-economy) class travel while on Company business.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TERMINATION OF EMPLOYMENT</w:t>
      </w:r>
    </w:p>
    <w:p>
      <w:pPr>
        <w:spacing w:after="0" w:line="152" w:lineRule="exact"/>
        <w:rPr>
          <w:sz w:val="20"/>
          <w:szCs w:val="20"/>
          <w:color w:val="auto"/>
        </w:rPr>
      </w:pPr>
    </w:p>
    <w:p>
      <w:pPr>
        <w:jc w:val="both"/>
        <w:ind w:firstLine="656"/>
        <w:spacing w:after="0" w:line="239" w:lineRule="auto"/>
        <w:tabs>
          <w:tab w:leader="none" w:pos="1296" w:val="left"/>
        </w:tabs>
        <w:numPr>
          <w:ilvl w:val="0"/>
          <w:numId w:val="4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In the event of your cessation of employment, you will be entitled to receive your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Accrued Benefits. In addition, if your employment ends due to Involuntary Termination in the period ending on the 12-month anniversary of your Start Date, then subject to the requirements of </w:t>
      </w:r>
      <w:r>
        <w:rPr>
          <w:rFonts w:ascii="Arial" w:cs="Arial" w:eastAsia="Arial" w:hAnsi="Arial"/>
          <w:sz w:val="22"/>
          <w:szCs w:val="22"/>
          <w:u w:val="single" w:color="auto"/>
          <w:color w:val="auto"/>
        </w:rPr>
        <w:t>Section 7(e)</w:t>
      </w:r>
      <w:r>
        <w:rPr>
          <w:rFonts w:ascii="Arial" w:cs="Arial" w:eastAsia="Arial" w:hAnsi="Arial"/>
          <w:sz w:val="22"/>
          <w:szCs w:val="22"/>
          <w:color w:val="auto"/>
        </w:rPr>
        <w:t xml:space="preserve"> below, you will be entitled to the following additional payments and benefits:</w:t>
      </w:r>
    </w:p>
    <w:p>
      <w:pPr>
        <w:spacing w:after="0" w:line="132" w:lineRule="exact"/>
        <w:rPr>
          <w:sz w:val="20"/>
          <w:szCs w:val="20"/>
          <w:color w:val="auto"/>
        </w:rPr>
      </w:pPr>
    </w:p>
    <w:p>
      <w:pPr>
        <w:jc w:val="both"/>
        <w:ind w:left="1140" w:hanging="484"/>
        <w:spacing w:after="0" w:line="252" w:lineRule="auto"/>
        <w:tabs>
          <w:tab w:leader="none" w:pos="1137" w:val="left"/>
        </w:tabs>
        <w:numPr>
          <w:ilvl w:val="0"/>
          <w:numId w:val="419"/>
        </w:numPr>
        <w:rPr>
          <w:rFonts w:ascii="Arial" w:cs="Arial" w:eastAsia="Arial" w:hAnsi="Arial"/>
          <w:sz w:val="21"/>
          <w:szCs w:val="21"/>
          <w:color w:val="auto"/>
        </w:rPr>
      </w:pPr>
      <w:r>
        <w:rPr>
          <w:rFonts w:ascii="Arial" w:cs="Arial" w:eastAsia="Arial" w:hAnsi="Arial"/>
          <w:sz w:val="21"/>
          <w:szCs w:val="21"/>
          <w:b w:val="1"/>
          <w:bCs w:val="1"/>
          <w:i w:val="1"/>
          <w:iCs w:val="1"/>
          <w:color w:val="auto"/>
        </w:rPr>
        <w:t>Severance</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 amount equal to your annual Base Salary, payable in a cash lump-sum, less applicable withholdings,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 soon as administratively practicable following the date the Release (defined below) becomes effective and in any event, within 60 days following the date of your Involuntary Termination (the “Severance Amount”). You will no longer have an obligation to repay the Retention Bonus you received.</w:t>
      </w:r>
    </w:p>
    <w:p>
      <w:pPr>
        <w:spacing w:after="0" w:line="119" w:lineRule="exact"/>
        <w:rPr>
          <w:rFonts w:ascii="Arial" w:cs="Arial" w:eastAsia="Arial" w:hAnsi="Arial"/>
          <w:sz w:val="21"/>
          <w:szCs w:val="21"/>
          <w:color w:val="auto"/>
        </w:rPr>
      </w:pPr>
    </w:p>
    <w:p>
      <w:pPr>
        <w:jc w:val="both"/>
        <w:ind w:left="1140" w:hanging="484"/>
        <w:spacing w:after="0" w:line="275" w:lineRule="auto"/>
        <w:tabs>
          <w:tab w:leader="none" w:pos="1135" w:val="left"/>
        </w:tabs>
        <w:numPr>
          <w:ilvl w:val="0"/>
          <w:numId w:val="419"/>
        </w:numPr>
        <w:rPr>
          <w:rFonts w:ascii="Arial" w:cs="Arial" w:eastAsia="Arial" w:hAnsi="Arial"/>
          <w:sz w:val="19"/>
          <w:szCs w:val="19"/>
          <w:color w:val="auto"/>
        </w:rPr>
      </w:pPr>
      <w:r>
        <w:rPr>
          <w:rFonts w:ascii="Arial" w:cs="Arial" w:eastAsia="Arial" w:hAnsi="Arial"/>
          <w:sz w:val="19"/>
          <w:szCs w:val="19"/>
          <w:b w:val="1"/>
          <w:bCs w:val="1"/>
          <w:i w:val="1"/>
          <w:iCs w:val="1"/>
          <w:color w:val="auto"/>
        </w:rPr>
        <w:t>COBRA</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you elect to receive continued healthcare coverage pursuant to the provisions of COBRA,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 directly pay, or reimburse you for, the premium for you and your covered dependents through the earlier of (i) 12 months following your Involuntary Termination and (ii) the date that you and your covered dependents become eligible for coverage under another employer’s plans; provided that as soon as administratively practicable following the date the Release (defined below) becomes effective, the Company will pay you a cash lump-sum payment equal to the monthly premiums that would have been paid on your behalf had such payments commenced on the date of the Involuntary Termination. Notwithstanding the foregoing, the Company may elect at any time that, in lieu of paying or reimbursing the premiums, the Company will instead provide you with a</w:t>
      </w:r>
    </w:p>
    <w:p>
      <w:pPr>
        <w:sectPr>
          <w:pgSz w:w="11900" w:h="16838" w:orient="portrait"/>
          <w:cols w:equalWidth="0" w:num="1">
            <w:col w:w="11240"/>
          </w:cols>
          <w:pgMar w:left="320" w:top="1413" w:right="339" w:bottom="1440" w:gutter="0" w:footer="0" w:header="0"/>
        </w:sectPr>
      </w:pPr>
    </w:p>
    <w:bookmarkStart w:id="601" w:name="page602"/>
    <w:bookmarkEnd w:id="601"/>
    <w:p>
      <w:pPr>
        <w:spacing w:after="0" w:line="250" w:lineRule="auto"/>
        <w:rPr>
          <w:sz w:val="20"/>
          <w:szCs w:val="20"/>
          <w:color w:val="auto"/>
        </w:rPr>
      </w:pPr>
      <w:r>
        <w:rPr>
          <w:rFonts w:ascii="Arial" w:cs="Arial" w:eastAsia="Arial" w:hAnsi="Arial"/>
          <w:sz w:val="22"/>
          <w:szCs w:val="22"/>
          <w:color w:val="auto"/>
        </w:rPr>
        <w:t xml:space="preserve">monthly cash payment equal to the amount the Company would have otherwise paid pursuant to this </w:t>
      </w:r>
      <w:r>
        <w:rPr>
          <w:rFonts w:ascii="Arial" w:cs="Arial" w:eastAsia="Arial" w:hAnsi="Arial"/>
          <w:sz w:val="22"/>
          <w:szCs w:val="22"/>
          <w:u w:val="single" w:color="auto"/>
          <w:color w:val="auto"/>
        </w:rPr>
        <w:t>Section 7(b)</w:t>
      </w:r>
      <w:r>
        <w:rPr>
          <w:rFonts w:ascii="Arial" w:cs="Arial" w:eastAsia="Arial" w:hAnsi="Arial"/>
          <w:sz w:val="22"/>
          <w:szCs w:val="22"/>
          <w:color w:val="auto"/>
        </w:rPr>
        <w:t>, less applicable tax withholdings.</w:t>
      </w:r>
    </w:p>
    <w:p>
      <w:pPr>
        <w:spacing w:after="0" w:line="121" w:lineRule="exact"/>
        <w:rPr>
          <w:sz w:val="20"/>
          <w:szCs w:val="20"/>
          <w:color w:val="auto"/>
        </w:rPr>
      </w:pPr>
    </w:p>
    <w:p>
      <w:pPr>
        <w:jc w:val="both"/>
        <w:ind w:left="640" w:hanging="484"/>
        <w:spacing w:after="0" w:line="297" w:lineRule="auto"/>
        <w:tabs>
          <w:tab w:leader="none" w:pos="637" w:val="left"/>
        </w:tabs>
        <w:numPr>
          <w:ilvl w:val="0"/>
          <w:numId w:val="420"/>
        </w:numPr>
        <w:rPr>
          <w:rFonts w:ascii="Arial" w:cs="Arial" w:eastAsia="Arial" w:hAnsi="Arial"/>
          <w:sz w:val="19"/>
          <w:szCs w:val="19"/>
          <w:color w:val="auto"/>
        </w:rPr>
      </w:pPr>
      <w:r>
        <w:rPr>
          <w:rFonts w:ascii="Arial" w:cs="Arial" w:eastAsia="Arial" w:hAnsi="Arial"/>
          <w:sz w:val="19"/>
          <w:szCs w:val="19"/>
          <w:b w:val="1"/>
          <w:bCs w:val="1"/>
          <w:i w:val="1"/>
          <w:iCs w:val="1"/>
          <w:color w:val="auto"/>
        </w:rPr>
        <w:t>Equity</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of your outstanding and unvested Initial Grants will automatically become vested, and if applicable,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exercisable and any forfeiture restrictions or rights of repurchase thereon will lapse with respect to the number of shares as would have been vested if you had remained in service through the first anniversary of your Start Date.</w:t>
      </w:r>
    </w:p>
    <w:p>
      <w:pPr>
        <w:spacing w:after="0" w:line="79" w:lineRule="exact"/>
        <w:rPr>
          <w:rFonts w:ascii="Arial" w:cs="Arial" w:eastAsia="Arial" w:hAnsi="Arial"/>
          <w:sz w:val="19"/>
          <w:szCs w:val="19"/>
          <w:color w:val="auto"/>
        </w:rPr>
      </w:pPr>
    </w:p>
    <w:p>
      <w:pPr>
        <w:jc w:val="both"/>
        <w:ind w:left="640" w:hanging="484"/>
        <w:spacing w:after="0" w:line="275" w:lineRule="auto"/>
        <w:tabs>
          <w:tab w:leader="none" w:pos="635"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the event that your employment ends due to an Involuntary Termination during the Change in Control Period, then (i) you will be entitled to the Severance Amount and you will no longer have an obligation to repay the Retention Bonus you received and (ii) each of your outstanding and unvested Initial Grants and Supplemental RSUs will automatically become vested, and if applicable, exercisable and any forfeiture restrictions or rights of repurchase thereon will lapse, in each case with respect to 100% of the shares underlying such award as of the date of your Involuntary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any performance-based vesting criteria (including the achievement of any liquidity conditions) will be treated in accordance with the applicable award agreement or the Plan governing the terms of such equity award.</w:t>
      </w:r>
    </w:p>
    <w:p>
      <w:pPr>
        <w:spacing w:after="0" w:line="103" w:lineRule="exact"/>
        <w:rPr>
          <w:rFonts w:ascii="Arial" w:cs="Arial" w:eastAsia="Arial" w:hAnsi="Arial"/>
          <w:sz w:val="19"/>
          <w:szCs w:val="19"/>
          <w:color w:val="auto"/>
        </w:rPr>
      </w:pPr>
    </w:p>
    <w:p>
      <w:pPr>
        <w:jc w:val="both"/>
        <w:ind w:left="640" w:hanging="484"/>
        <w:spacing w:after="0" w:line="224" w:lineRule="auto"/>
        <w:tabs>
          <w:tab w:leader="none" w:pos="637" w:val="left"/>
        </w:tabs>
        <w:numPr>
          <w:ilvl w:val="0"/>
          <w:numId w:val="420"/>
        </w:numPr>
        <w:rPr>
          <w:rFonts w:ascii="Arial" w:cs="Arial" w:eastAsia="Arial" w:hAnsi="Arial"/>
          <w:sz w:val="22"/>
          <w:szCs w:val="22"/>
          <w:color w:val="auto"/>
        </w:rPr>
      </w:pPr>
      <w:r>
        <w:rPr>
          <w:rFonts w:ascii="Arial" w:cs="Arial" w:eastAsia="Arial" w:hAnsi="Arial"/>
          <w:sz w:val="22"/>
          <w:szCs w:val="22"/>
          <w:b w:val="1"/>
          <w:bCs w:val="1"/>
          <w:i w:val="1"/>
          <w:iCs w:val="1"/>
          <w:color w:val="auto"/>
        </w:rPr>
        <w:t>Release</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You will not be eligible for the severance payment and benefits described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than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Accrued Benefits) unless you have first executed a general release of all claims that you may have against the Company or entities or persons affiliated with the Company, in the form prescribed and to be provided to you by the Company (the “Release”), and such Release becomes effective, on or before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the Involuntary Termination.</w:t>
      </w:r>
    </w:p>
    <w:p>
      <w:pPr>
        <w:spacing w:after="0" w:line="126" w:lineRule="exact"/>
        <w:rPr>
          <w:sz w:val="20"/>
          <w:szCs w:val="20"/>
          <w:color w:val="auto"/>
        </w:rPr>
      </w:pPr>
    </w:p>
    <w:p>
      <w:pPr>
        <w:jc w:val="both"/>
        <w:ind w:left="-500" w:firstLine="656"/>
        <w:spacing w:after="0" w:line="273" w:lineRule="auto"/>
        <w:tabs>
          <w:tab w:leader="none" w:pos="796" w:val="left"/>
        </w:tabs>
        <w:numPr>
          <w:ilvl w:val="0"/>
          <w:numId w:val="421"/>
        </w:numPr>
        <w:rPr>
          <w:rFonts w:ascii="Arial" w:cs="Arial" w:eastAsia="Arial" w:hAnsi="Arial"/>
          <w:sz w:val="19"/>
          <w:szCs w:val="19"/>
          <w:b w:val="1"/>
          <w:bCs w:val="1"/>
          <w:color w:val="auto"/>
        </w:rPr>
      </w:pPr>
      <w:r>
        <w:rPr>
          <w:rFonts w:ascii="Arial" w:cs="Arial" w:eastAsia="Arial" w:hAnsi="Arial"/>
          <w:sz w:val="19"/>
          <w:szCs w:val="19"/>
          <w:b w:val="1"/>
          <w:bCs w:val="1"/>
          <w:color w:val="auto"/>
        </w:rPr>
        <w:t>Equity Repurchase</w:t>
      </w:r>
      <w:r>
        <w:rPr>
          <w:rFonts w:ascii="Arial" w:cs="Arial" w:eastAsia="Arial" w:hAnsi="Arial"/>
          <w:sz w:val="19"/>
          <w:szCs w:val="19"/>
          <w:color w:val="auto"/>
        </w:rPr>
        <w:t>. In the event you resign from your employment with the Company, other than a resignation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the Company has grounds to terminate your employment for Cause, for the purpose of commencing employment with any governmental entity (a “Government Employer”) and you are required to divest all or a portion of your Company equity awards in accordance with the conflict of interest policies of the Government Employer prior to the Company’s IPO, (A) you will no longer have an obligation to repay any unvested portion of your Retention Bonus and (B) you may elect to sell to the Company, and require the Company to purchase, all of the shares under your then vested Initial Option granted under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above (the “Repurchase”) at a purchase price equal to the product of (i) the number of underlying shares subject to such vested awards; multiplied by (ii) the fair market value of a share of the Company’s common stock, as determined by the Board in accordance with the terms of the Plan to which each such award is subject, less the exercise price (the “Election Right”). The Election Right may be exercised at any time during the period commencing on the date that you are first notified by the Government Employer of the applicable divestiture requirement and ending 30 days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 remain in service with the Government Employer on the date of exercise.</w:t>
      </w:r>
    </w:p>
    <w:p>
      <w:pPr>
        <w:sectPr>
          <w:pgSz w:w="11900" w:h="16838" w:orient="portrait"/>
          <w:cols w:equalWidth="0" w:num="1">
            <w:col w:w="10740"/>
          </w:cols>
          <w:pgMar w:left="820" w:top="1414" w:right="339" w:bottom="1440" w:gutter="0" w:footer="0" w:header="0"/>
        </w:sectPr>
      </w:pPr>
    </w:p>
    <w:bookmarkStart w:id="602" w:name="page603"/>
    <w:bookmarkEnd w:id="602"/>
    <w:p>
      <w:pPr>
        <w:spacing w:after="0"/>
        <w:rPr>
          <w:sz w:val="20"/>
          <w:szCs w:val="20"/>
          <w:color w:val="auto"/>
        </w:rPr>
      </w:pPr>
      <w:r>
        <w:rPr>
          <w:rFonts w:ascii="Arial" w:cs="Arial" w:eastAsia="Arial" w:hAnsi="Arial"/>
          <w:sz w:val="22"/>
          <w:szCs w:val="22"/>
          <w:b w:val="1"/>
          <w:bCs w:val="1"/>
          <w:u w:val="single" w:color="auto"/>
          <w:color w:val="auto"/>
        </w:rPr>
        <w:t>COVENANTS</w:t>
      </w:r>
    </w:p>
    <w:p>
      <w:pPr>
        <w:spacing w:after="0" w:line="152" w:lineRule="exact"/>
        <w:rPr>
          <w:sz w:val="20"/>
          <w:szCs w:val="20"/>
          <w:color w:val="auto"/>
        </w:rPr>
      </w:pPr>
    </w:p>
    <w:p>
      <w:pPr>
        <w:jc w:val="both"/>
        <w:ind w:firstLine="656"/>
        <w:spacing w:after="0" w:line="236" w:lineRule="auto"/>
        <w:tabs>
          <w:tab w:leader="none" w:pos="1296" w:val="left"/>
        </w:tabs>
        <w:numPr>
          <w:ilvl w:val="0"/>
          <w:numId w:val="4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Outside Activities; Policies and Procedures. </w:t>
      </w:r>
      <w:r>
        <w:rPr>
          <w:rFonts w:ascii="Arial" w:cs="Arial" w:eastAsia="Arial" w:hAnsi="Arial"/>
          <w:sz w:val="22"/>
          <w:szCs w:val="22"/>
          <w:color w:val="auto"/>
        </w:rPr>
        <w:t>During the term of your employment with Robinhood, you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devote your best efforts and substantially all of your business time and attention to the business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you may continue to serve as a member of the boards of directors of the entities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so long as such service does not interfere in any material respect with your duties and responsibilities hereunder. Moreover, you acknowledge and agree that as an employee of Robinhood, you will be required to comply with the policies in our employee handbook and other policies applicable to your employment.</w:t>
      </w:r>
    </w:p>
    <w:p>
      <w:pPr>
        <w:spacing w:after="0" w:line="127" w:lineRule="exact"/>
        <w:rPr>
          <w:rFonts w:ascii="Arial" w:cs="Arial" w:eastAsia="Arial" w:hAnsi="Arial"/>
          <w:sz w:val="22"/>
          <w:szCs w:val="22"/>
          <w:b w:val="1"/>
          <w:bCs w:val="1"/>
          <w:color w:val="auto"/>
        </w:rPr>
      </w:pPr>
    </w:p>
    <w:p>
      <w:pPr>
        <w:jc w:val="both"/>
        <w:ind w:firstLine="656"/>
        <w:spacing w:after="0" w:line="237" w:lineRule="auto"/>
        <w:tabs>
          <w:tab w:leader="none" w:pos="1296" w:val="left"/>
        </w:tabs>
        <w:numPr>
          <w:ilvl w:val="0"/>
          <w:numId w:val="4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onfidentiality; Arbitration Agreement. </w:t>
      </w:r>
      <w:r>
        <w:rPr>
          <w:rFonts w:ascii="Arial" w:cs="Arial" w:eastAsia="Arial" w:hAnsi="Arial"/>
          <w:sz w:val="22"/>
          <w:szCs w:val="22"/>
          <w:color w:val="auto"/>
        </w:rPr>
        <w:t>You will continue to abide by the Proprietary Information and Invention</w:t>
      </w:r>
      <w:r>
        <w:rPr>
          <w:rFonts w:ascii="Arial" w:cs="Arial" w:eastAsia="Arial" w:hAnsi="Arial"/>
          <w:sz w:val="22"/>
          <w:szCs w:val="22"/>
          <w:b w:val="1"/>
          <w:bCs w:val="1"/>
          <w:color w:val="auto"/>
        </w:rPr>
        <w:t xml:space="preserve"> </w:t>
      </w:r>
      <w:r>
        <w:rPr>
          <w:rFonts w:ascii="Arial" w:cs="Arial" w:eastAsia="Arial" w:hAnsi="Arial"/>
          <w:sz w:val="22"/>
          <w:szCs w:val="22"/>
          <w:color w:val="auto"/>
        </w:rPr>
        <w:t>Assignment Agreement that you executed on or around your Start Date, which, among other things, prohibits unauthorized use or disclosure of Robinhood’s confidential information or any third party proprietary and confidential information. You also acknowledge that the Mutual Agreement to Arbitrate that you executed on or around your Start Date continues in full force and effect.</w:t>
      </w:r>
    </w:p>
    <w:p>
      <w:pPr>
        <w:spacing w:after="0" w:line="127" w:lineRule="exact"/>
        <w:rPr>
          <w:rFonts w:ascii="Arial" w:cs="Arial" w:eastAsia="Arial" w:hAnsi="Arial"/>
          <w:sz w:val="22"/>
          <w:szCs w:val="22"/>
          <w:b w:val="1"/>
          <w:bCs w:val="1"/>
          <w:color w:val="auto"/>
        </w:rPr>
      </w:pPr>
    </w:p>
    <w:p>
      <w:pPr>
        <w:jc w:val="both"/>
        <w:ind w:firstLine="656"/>
        <w:spacing w:after="0" w:line="289" w:lineRule="auto"/>
        <w:tabs>
          <w:tab w:leader="none" w:pos="1284" w:val="left"/>
        </w:tabs>
        <w:numPr>
          <w:ilvl w:val="0"/>
          <w:numId w:val="4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Breach of Obligations to Prior Employers. </w:t>
      </w:r>
      <w:r>
        <w:rPr>
          <w:rFonts w:ascii="Arial" w:cs="Arial" w:eastAsia="Arial" w:hAnsi="Arial"/>
          <w:sz w:val="19"/>
          <w:szCs w:val="19"/>
          <w:color w:val="auto"/>
        </w:rPr>
        <w:t>We do not want you to violate any obligations you may have to</w:t>
      </w:r>
      <w:r>
        <w:rPr>
          <w:rFonts w:ascii="Arial" w:cs="Arial" w:eastAsia="Arial" w:hAnsi="Arial"/>
          <w:sz w:val="19"/>
          <w:szCs w:val="19"/>
          <w:b w:val="1"/>
          <w:bCs w:val="1"/>
          <w:color w:val="auto"/>
        </w:rPr>
        <w:t xml:space="preserve"> </w:t>
      </w:r>
      <w:r>
        <w:rPr>
          <w:rFonts w:ascii="Arial" w:cs="Arial" w:eastAsia="Arial" w:hAnsi="Arial"/>
          <w:sz w:val="19"/>
          <w:szCs w:val="19"/>
          <w:color w:val="auto"/>
        </w:rPr>
        <w:t>your current or former employers. This includes making sure that you do not disclose any confidential or proprietary information of any former employer or use it in your work for Robinhood. By signing this Second Amendment Letter, you re-affirm that your employment with Robinhood does not violate any agreement between you and your current or past employers.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TAX MATTERS</w:t>
      </w:r>
    </w:p>
    <w:p>
      <w:pPr>
        <w:spacing w:after="0" w:line="152" w:lineRule="exact"/>
        <w:rPr>
          <w:sz w:val="20"/>
          <w:szCs w:val="20"/>
          <w:color w:val="auto"/>
        </w:rPr>
      </w:pPr>
    </w:p>
    <w:p>
      <w:pPr>
        <w:ind w:left="1300" w:hanging="644"/>
        <w:spacing w:after="0"/>
        <w:tabs>
          <w:tab w:leader="none" w:pos="1300" w:val="left"/>
        </w:tabs>
        <w:numPr>
          <w:ilvl w:val="0"/>
          <w:numId w:val="423"/>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158" w:lineRule="exact"/>
        <w:rPr>
          <w:sz w:val="20"/>
          <w:szCs w:val="20"/>
          <w:color w:val="auto"/>
        </w:rPr>
      </w:pPr>
    </w:p>
    <w:p>
      <w:pPr>
        <w:jc w:val="both"/>
        <w:ind w:left="1140" w:hanging="484"/>
        <w:spacing w:after="0" w:line="248" w:lineRule="auto"/>
        <w:tabs>
          <w:tab w:leader="none" w:pos="1137" w:val="left"/>
        </w:tabs>
        <w:numPr>
          <w:ilvl w:val="0"/>
          <w:numId w:val="424"/>
        </w:numPr>
        <w:rPr>
          <w:rFonts w:ascii="Arial" w:cs="Arial" w:eastAsia="Arial" w:hAnsi="Arial"/>
          <w:sz w:val="21"/>
          <w:szCs w:val="21"/>
          <w:color w:val="auto"/>
        </w:rPr>
      </w:pPr>
      <w:r>
        <w:rPr>
          <w:rFonts w:ascii="Arial" w:cs="Arial" w:eastAsia="Arial" w:hAnsi="Arial"/>
          <w:sz w:val="21"/>
          <w:szCs w:val="21"/>
          <w:b w:val="1"/>
          <w:bCs w:val="1"/>
          <w:i w:val="1"/>
          <w:iCs w:val="1"/>
          <w:color w:val="auto"/>
        </w:rPr>
        <w:t>Separation from Service</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purposes of this Second Amendment Letter, no payment will be made to you upon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termination of your employment unless such termination constitutes a “separation from service” within the meaning of Section 409A of the Code. To the extent any payment is determined to be subject to (and not exempt from) Section 409A, then to the extent necessary to comply with Section 409A, if the designated payment period for any payment under this Second Amendment Letter begins in one taxable year and ends in the next taxable year, the payment will commence or otherwise be made in the later taxable year.</w:t>
      </w:r>
    </w:p>
    <w:p>
      <w:pPr>
        <w:spacing w:after="0" w:line="122" w:lineRule="exact"/>
        <w:rPr>
          <w:rFonts w:ascii="Arial" w:cs="Arial" w:eastAsia="Arial" w:hAnsi="Arial"/>
          <w:sz w:val="21"/>
          <w:szCs w:val="21"/>
          <w:color w:val="auto"/>
        </w:rPr>
      </w:pPr>
    </w:p>
    <w:p>
      <w:pPr>
        <w:jc w:val="both"/>
        <w:ind w:left="1140" w:hanging="484"/>
        <w:spacing w:after="0" w:line="235" w:lineRule="auto"/>
        <w:tabs>
          <w:tab w:leader="none" w:pos="1135" w:val="left"/>
        </w:tabs>
        <w:numPr>
          <w:ilvl w:val="0"/>
          <w:numId w:val="424"/>
        </w:numPr>
        <w:rPr>
          <w:rFonts w:ascii="Arial" w:cs="Arial" w:eastAsia="Arial" w:hAnsi="Arial"/>
          <w:sz w:val="22"/>
          <w:szCs w:val="22"/>
          <w:color w:val="auto"/>
        </w:rPr>
      </w:pPr>
      <w:r>
        <w:rPr>
          <w:rFonts w:ascii="Arial" w:cs="Arial" w:eastAsia="Arial" w:hAnsi="Arial"/>
          <w:sz w:val="22"/>
          <w:szCs w:val="22"/>
          <w:b w:val="1"/>
          <w:bCs w:val="1"/>
          <w:i w:val="1"/>
          <w:iCs w:val="1"/>
          <w:color w:val="auto"/>
        </w:rPr>
        <w:t>Expense Reimbursement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Except as otherwise expressly provided herein, to the extent any expense reimbursement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the provision of any in-kind benefit under this Second Amendment Letter (or otherwise referenced herein) is determined to be subject to (and not exempt from) Section 409A, then to the extent necessary to comply with Section 409A (a) the amount of any such expenses eligible for reimbursement, or the provision of any in-kind benefit, in one calendar year will not affect the expenses eligible for reimbursement or in-kind benefits to be provided in any other calendar year, (b) in no event</w:t>
      </w:r>
    </w:p>
    <w:p>
      <w:pPr>
        <w:sectPr>
          <w:pgSz w:w="11900" w:h="16838" w:orient="portrait"/>
          <w:cols w:equalWidth="0" w:num="1">
            <w:col w:w="11240"/>
          </w:cols>
          <w:pgMar w:left="320" w:top="1407" w:right="339" w:bottom="1440" w:gutter="0" w:footer="0" w:header="0"/>
        </w:sectPr>
      </w:pPr>
    </w:p>
    <w:bookmarkStart w:id="603" w:name="page604"/>
    <w:bookmarkEnd w:id="603"/>
    <w:p>
      <w:pPr>
        <w:jc w:val="both"/>
        <w:ind w:left="1140"/>
        <w:spacing w:after="0"/>
        <w:rPr>
          <w:sz w:val="20"/>
          <w:szCs w:val="20"/>
          <w:color w:val="auto"/>
        </w:rPr>
      </w:pPr>
      <w:r>
        <w:rPr>
          <w:rFonts w:ascii="Arial" w:cs="Arial" w:eastAsia="Arial" w:hAnsi="Arial"/>
          <w:sz w:val="22"/>
          <w:szCs w:val="22"/>
          <w:color w:val="auto"/>
        </w:rPr>
        <w:t>will any expenses be reimbursed after the last day of the calendar year following the calendar year in which you incurred such expenses, and (c) in no event will any right to reimbursement or the provision of any in-kind benefit be subject to liquidation or exchange for another benefit.</w:t>
      </w:r>
    </w:p>
    <w:p>
      <w:pPr>
        <w:spacing w:after="0" w:line="132" w:lineRule="exact"/>
        <w:rPr>
          <w:sz w:val="20"/>
          <w:szCs w:val="20"/>
          <w:color w:val="auto"/>
        </w:rPr>
      </w:pPr>
    </w:p>
    <w:p>
      <w:pPr>
        <w:jc w:val="both"/>
        <w:ind w:left="1140" w:hanging="484"/>
        <w:spacing w:after="0" w:line="271" w:lineRule="auto"/>
        <w:tabs>
          <w:tab w:leader="none" w:pos="1137" w:val="left"/>
        </w:tabs>
        <w:numPr>
          <w:ilvl w:val="0"/>
          <w:numId w:val="425"/>
        </w:numPr>
        <w:rPr>
          <w:rFonts w:ascii="Arial" w:cs="Arial" w:eastAsia="Arial" w:hAnsi="Arial"/>
          <w:sz w:val="19"/>
          <w:szCs w:val="19"/>
          <w:color w:val="auto"/>
        </w:rPr>
      </w:pPr>
      <w:r>
        <w:rPr>
          <w:rFonts w:ascii="Arial" w:cs="Arial" w:eastAsia="Arial" w:hAnsi="Arial"/>
          <w:sz w:val="19"/>
          <w:szCs w:val="19"/>
          <w:b w:val="1"/>
          <w:bCs w:val="1"/>
          <w:i w:val="1"/>
          <w:iCs w:val="1"/>
          <w:color w:val="auto"/>
        </w:rPr>
        <w:t>Specified Employee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purposes of Section 409A of the Code, if the Company determines that you are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“specified employee” under Section 409A(a)(2)(B)(i) of the Code at the time of your separation from service, then to the extent delayed commencement of any portion of the payments or benefits to which you are entitled pursuant to this Second Amendment Letter is required in order to avoid a prohibited distribution under Section 409A(a)(2)(B)</w:t>
      </w:r>
    </w:p>
    <w:p>
      <w:pPr>
        <w:spacing w:after="0" w:line="3" w:lineRule="exact"/>
        <w:rPr>
          <w:rFonts w:ascii="Arial" w:cs="Arial" w:eastAsia="Arial" w:hAnsi="Arial"/>
          <w:sz w:val="19"/>
          <w:szCs w:val="19"/>
          <w:color w:val="auto"/>
        </w:rPr>
      </w:pPr>
    </w:p>
    <w:p>
      <w:pPr>
        <w:jc w:val="both"/>
        <w:ind w:left="1140"/>
        <w:spacing w:after="0" w:line="245" w:lineRule="auto"/>
        <w:rPr>
          <w:rFonts w:ascii="Arial" w:cs="Arial" w:eastAsia="Arial" w:hAnsi="Arial"/>
          <w:sz w:val="19"/>
          <w:szCs w:val="19"/>
          <w:color w:val="auto"/>
        </w:rPr>
      </w:pPr>
      <w:r>
        <w:rPr>
          <w:rFonts w:ascii="Arial" w:cs="Arial" w:eastAsia="Arial" w:hAnsi="Arial"/>
          <w:sz w:val="21"/>
          <w:szCs w:val="21"/>
          <w:color w:val="auto"/>
        </w:rPr>
        <w:t>(i) of the Code, such portion will not be provided to you until the earlier (i) the expiration of the six-month period measured from your separation from service or (ii) the date of your death. As soon as administratively practicable following the expiration of the applicable Section 409A(2)(B)(i) period, all payments deferred pursuant to the preceding sentence will paid in a lump-sum to you and any remaining payments due pursuant to this Second Amendment Letter will be paid as otherwise provided herein.</w:t>
      </w:r>
    </w:p>
    <w:p>
      <w:pPr>
        <w:spacing w:after="0" w:line="120" w:lineRule="exact"/>
        <w:rPr>
          <w:sz w:val="20"/>
          <w:szCs w:val="20"/>
          <w:color w:val="auto"/>
        </w:rPr>
      </w:pPr>
    </w:p>
    <w:p>
      <w:pPr>
        <w:jc w:val="both"/>
        <w:ind w:firstLine="656"/>
        <w:spacing w:after="0" w:line="273" w:lineRule="auto"/>
        <w:tabs>
          <w:tab w:leader="none" w:pos="1296" w:val="left"/>
        </w:tabs>
        <w:numPr>
          <w:ilvl w:val="0"/>
          <w:numId w:val="4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280G; Limitation on Payments. </w:t>
      </w:r>
      <w:r>
        <w:rPr>
          <w:rFonts w:ascii="Arial" w:cs="Arial" w:eastAsia="Arial" w:hAnsi="Arial"/>
          <w:sz w:val="19"/>
          <w:szCs w:val="19"/>
          <w:color w:val="auto"/>
        </w:rPr>
        <w:t>Notwithstanding anything in this Second Amendment Letter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if any payment or distribution to you pursuant to this Second Amendment Letter or otherwise (“Payment”) would (i) constitute a “parachute payment” within the meaning of Section 280G of the Code and (ii) but for this sentence, be subject to the excise tax imposed by Section 4999 of the Code (the “Excise Tax”), then such Payment will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your receipt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will perform the foregoing calculations. Any good faith determinations of the accounting firm made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will be final, binding, and conclusive upon all parties.</w:t>
      </w:r>
    </w:p>
    <w:p>
      <w:pPr>
        <w:spacing w:after="0" w:line="101" w:lineRule="exact"/>
        <w:rPr>
          <w:rFonts w:ascii="Arial" w:cs="Arial" w:eastAsia="Arial" w:hAnsi="Arial"/>
          <w:sz w:val="19"/>
          <w:szCs w:val="19"/>
          <w:b w:val="1"/>
          <w:bCs w:val="1"/>
          <w:color w:val="auto"/>
        </w:rPr>
      </w:pPr>
    </w:p>
    <w:p>
      <w:pPr>
        <w:jc w:val="both"/>
        <w:ind w:firstLine="656"/>
        <w:spacing w:after="0" w:line="243" w:lineRule="auto"/>
        <w:tabs>
          <w:tab w:leader="none" w:pos="1296" w:val="left"/>
        </w:tabs>
        <w:numPr>
          <w:ilvl w:val="0"/>
          <w:numId w:val="4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All payments made pursuant to this Second Amendment Letter will be subject to reduction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reflect such federal, state, local or other taxes or charges as are required to be withheld pursuant to any applicable law or regulation.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ADDITIONAL PROVISIONS</w:t>
      </w:r>
    </w:p>
    <w:p>
      <w:pPr>
        <w:spacing w:after="0" w:line="152" w:lineRule="exact"/>
        <w:rPr>
          <w:sz w:val="20"/>
          <w:szCs w:val="20"/>
          <w:color w:val="auto"/>
        </w:rPr>
      </w:pPr>
    </w:p>
    <w:p>
      <w:pPr>
        <w:jc w:val="both"/>
        <w:ind w:firstLine="656"/>
        <w:spacing w:after="0" w:line="243" w:lineRule="auto"/>
        <w:tabs>
          <w:tab w:leader="none" w:pos="1296" w:val="left"/>
        </w:tabs>
        <w:numPr>
          <w:ilvl w:val="0"/>
          <w:numId w:val="4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At-Will Employment. </w:t>
      </w:r>
      <w:r>
        <w:rPr>
          <w:rFonts w:ascii="Arial" w:cs="Arial" w:eastAsia="Arial" w:hAnsi="Arial"/>
          <w:sz w:val="22"/>
          <w:szCs w:val="22"/>
          <w:color w:val="auto"/>
        </w:rPr>
        <w:t>Your employment with Robinhood continues to be “at-will.” This means that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Robinhood may terminate the employment relationship at any time, with or without notice, and with or without cause. This at-will relationship cannot be changed, either orally or in writing, or by any policy or conduct,</w:t>
      </w:r>
    </w:p>
    <w:p>
      <w:pPr>
        <w:sectPr>
          <w:pgSz w:w="11900" w:h="16838" w:orient="portrait"/>
          <w:cols w:equalWidth="0" w:num="1">
            <w:col w:w="11240"/>
          </w:cols>
          <w:pgMar w:left="320" w:top="1414" w:right="339" w:bottom="1440" w:gutter="0" w:footer="0" w:header="0"/>
        </w:sectPr>
      </w:pPr>
    </w:p>
    <w:bookmarkStart w:id="604" w:name="page605"/>
    <w:bookmarkEnd w:id="604"/>
    <w:p>
      <w:pPr>
        <w:spacing w:after="0" w:line="250" w:lineRule="auto"/>
        <w:rPr>
          <w:sz w:val="20"/>
          <w:szCs w:val="20"/>
          <w:color w:val="auto"/>
        </w:rPr>
      </w:pPr>
      <w:r>
        <w:rPr>
          <w:rFonts w:ascii="Arial" w:cs="Arial" w:eastAsia="Arial" w:hAnsi="Arial"/>
          <w:sz w:val="22"/>
          <w:szCs w:val="22"/>
          <w:color w:val="auto"/>
        </w:rPr>
        <w:t>unless you receive a document expressly stating that your employment is no longer at-will, signed both by you and a duly authorized officer of Robinhood (other than you).</w:t>
      </w:r>
    </w:p>
    <w:p>
      <w:pPr>
        <w:spacing w:after="0" w:line="115" w:lineRule="exact"/>
        <w:rPr>
          <w:sz w:val="20"/>
          <w:szCs w:val="20"/>
          <w:color w:val="auto"/>
        </w:rPr>
      </w:pPr>
    </w:p>
    <w:p>
      <w:pPr>
        <w:jc w:val="both"/>
        <w:ind w:firstLine="656"/>
        <w:spacing w:after="0" w:line="260" w:lineRule="auto"/>
        <w:tabs>
          <w:tab w:leader="none" w:pos="1296" w:val="left"/>
        </w:tabs>
        <w:numPr>
          <w:ilvl w:val="0"/>
          <w:numId w:val="428"/>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Second Amendment Letter and the referenced agreements and policies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between you and Robinhood and supersede any prior understandings or agreements, whether oral or written, between you and Robinhood, including the Prior Agreement and the Amendment Letter.</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To accept this Second Amendment Letter, please sign this letter and return it to Marcelo Modica no later than December 18, 2020.</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Robinhood Markets Inc.</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Vlad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3000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Vlad Tenev,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Dan Gallagher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 Dan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24130</wp:posOffset>
            </wp:positionV>
            <wp:extent cx="3300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Signature</w:t>
      </w:r>
    </w:p>
    <w:p>
      <w:pPr>
        <w:spacing w:after="0" w:line="32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12/16/20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24130</wp:posOffset>
            </wp:positionV>
            <wp:extent cx="33000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240"/>
          </w:cols>
          <w:pgMar w:left="320" w:top="1413" w:right="339" w:bottom="1440" w:gutter="0" w:footer="0" w:header="0"/>
        </w:sectPr>
      </w:pPr>
    </w:p>
    <w:bookmarkStart w:id="605" w:name="page606"/>
    <w:bookmarkEnd w:id="605"/>
    <w:p>
      <w:pPr>
        <w:ind w:left="5060"/>
        <w:spacing w:after="0"/>
        <w:rPr>
          <w:sz w:val="20"/>
          <w:szCs w:val="20"/>
          <w:color w:val="auto"/>
        </w:rPr>
      </w:pPr>
      <w:r>
        <w:rPr>
          <w:rFonts w:ascii="Arial" w:cs="Arial" w:eastAsia="Arial" w:hAnsi="Arial"/>
          <w:sz w:val="22"/>
          <w:szCs w:val="22"/>
          <w:b w:val="1"/>
          <w:bCs w:val="1"/>
          <w:u w:val="single" w:color="auto"/>
          <w:color w:val="auto"/>
        </w:rPr>
        <w:t>APPENDIX</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not otherwise defined in the Second Amendment Letter will have the meanings set forth below:</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Benefits</w:t>
      </w:r>
      <w:r>
        <w:rPr>
          <w:rFonts w:ascii="Arial" w:cs="Arial" w:eastAsia="Arial" w:hAnsi="Arial"/>
          <w:sz w:val="22"/>
          <w:szCs w:val="22"/>
          <w:color w:val="auto"/>
        </w:rPr>
        <w:t>” shall mean your accrued but unpaid Base Salary or wages, accrued vacation pay, unreimbursed business expenses for which proper documentation is provided, and other vested amounts and benefits earned by (but not yet paid to) or owed to you under any applicable employee benefit plan of the Company through and including the date of the Involuntary Termination.</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(i) an unauthorized use or disclosure by you of Robinhood’s confidential information or trade secrets, which use or disclosure causes material harm to Robinhood; (ii) a breach by you of any agreement between you and Robinhood, which breach causes material harm to Robinhood; (iii) failure by you to comply with Robinhood’s written policies or rules, which failure causes material harm to Robinhood; (iv) your conviction of, or plea of “guilty” or “no contest” to, a felony under the laws of the United States or any state thereof; (v) your gross negligence or willful misconduct; (vi) a willful continuing failure by you to perform assigned duties after having received written notification of such failure from the Chief Executive Officer and failing to have reasonably cured such failure within 30 days of that notice; or (vii) a failure by you to cooperate in good faith with a governmental or internal investigation of Robinhood or its directors, officers or employees, if Robinhood has requested your cooperation, provided that, as to prongs (ii) and (iii), an event will only constitute Cause after you have been given written notice of the breach or non-compliance from the Chief Executive Officer and you have failed to reasonably cure those conditions, including any material harm resulting to Robinhood from such breach or noncompliance, within 30 days of such notice.</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mean (i) the consummation of a merger or consolidation of Robinhood with or into another entity, (ii) a sale of all or substantially all of the assets of Robinhood, or (iii) the dissolution, liquidation or winding up of Robinhood. The foregoing notwithstanding, neither (A) a merger or consolidation of Robinhood, nor (B) any rollup, consolidation or similar corporate transformation of any subsidiary or affiliate of Robinhood that may be your employer, will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Robinhood’s stockholders immediately prior to such merger or consolidation in substantially the same proportions as their ownership of the voting power of Robinhood’s capital stock immediately prior to such merger or consolidation.</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shall mean the period commencing three months prior to a Change in Control and ending 18 months following a Change in Control.</w:t>
      </w:r>
    </w:p>
    <w:p>
      <w:pPr>
        <w:sectPr>
          <w:pgSz w:w="11900" w:h="16838" w:orient="portrait"/>
          <w:cols w:equalWidth="0" w:num="1">
            <w:col w:w="11240"/>
          </w:cols>
          <w:pgMar w:left="320" w:top="1421" w:right="339" w:bottom="1440" w:gutter="0" w:footer="0" w:header="0"/>
        </w:sectPr>
      </w:pPr>
    </w:p>
    <w:bookmarkStart w:id="606" w:name="page607"/>
    <w:bookmarkEnd w:id="606"/>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Chief Executive Officer</w:t>
      </w:r>
      <w:r>
        <w:rPr>
          <w:rFonts w:ascii="Arial" w:cs="Arial" w:eastAsia="Arial" w:hAnsi="Arial"/>
          <w:sz w:val="22"/>
          <w:szCs w:val="22"/>
          <w:color w:val="auto"/>
        </w:rPr>
        <w:t>” shall mean the individual serving in the role of Chief Executive Officer (or, if applicable, either of the individuals serving as co-Chief Executive Officer) of Robinhood or, if no one is serving in the role of Chief Executive Officer or co-Chief Executive Officer, the individual serving in the role of President (or, if applicable, either of the individuals serving as co-President) of Robinhood.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Involuntary Termination</w:t>
      </w:r>
      <w:r>
        <w:rPr>
          <w:rFonts w:ascii="Arial" w:cs="Arial" w:eastAsia="Arial" w:hAnsi="Arial"/>
          <w:sz w:val="19"/>
          <w:szCs w:val="19"/>
          <w:color w:val="auto"/>
        </w:rPr>
        <w:t>” shall mean either: (i) the termination of your employment by Robinhood other than for Cause; or</w:t>
      </w:r>
    </w:p>
    <w:p>
      <w:pPr>
        <w:spacing w:after="0" w:line="62" w:lineRule="exact"/>
        <w:rPr>
          <w:sz w:val="20"/>
          <w:szCs w:val="20"/>
          <w:color w:val="auto"/>
        </w:rPr>
      </w:pPr>
    </w:p>
    <w:p>
      <w:pPr>
        <w:jc w:val="both"/>
        <w:ind w:firstLine="8"/>
        <w:spacing w:after="0" w:line="245" w:lineRule="auto"/>
        <w:tabs>
          <w:tab w:leader="none" w:pos="322" w:val="left"/>
        </w:tabs>
        <w:numPr>
          <w:ilvl w:val="0"/>
          <w:numId w:val="429"/>
        </w:numPr>
        <w:rPr>
          <w:rFonts w:ascii="Arial" w:cs="Arial" w:eastAsia="Arial" w:hAnsi="Arial"/>
          <w:sz w:val="22"/>
          <w:szCs w:val="22"/>
          <w:color w:val="auto"/>
        </w:rPr>
      </w:pPr>
      <w:r>
        <w:rPr>
          <w:rFonts w:ascii="Arial" w:cs="Arial" w:eastAsia="Arial" w:hAnsi="Arial"/>
          <w:sz w:val="22"/>
          <w:szCs w:val="22"/>
          <w:color w:val="auto"/>
        </w:rPr>
        <w:t>your resignation for Good Reason. An Involuntary Termination will not include a termination of your employment by reason of your death or disability, termination of your employment for Cause or your resignation from your employment without Good Reason.</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your resignation following the occurrence of one or more of the following, without your express written consent: (i) a material reduction of your duties, authority or responsibilities; (ii) a material reduction in your Base Salary (for illustrative purposes, a reduction of less than 10% of your Base Salary in any one year will not alone constitute Good Reason); (iii) a material change in the geographic location of your primary work facility or location provided, that a relocation of less than 30 miles from its then present location will not be considered a material change in geographic location; or (iv) Robinhood’s material breach of any obligations under any written agreement or covenant with you. Notwithstanding the foregoing, you will be not entitled to resign for Good Reason without first providing Robinhood with written notice of the acts or omissions constituting the grounds for “Good Reason” within 90 days of the initial existence of the grounds for “Good Reason” and Robinhood’s failure to reasonably cure such grounds within a reasonable cure period of not less than 30 days following the date of such notice. In addition, your resignation will not qualify as a resignation for “Good Reason” unless: (A) the grounds for “Good Reason” are not reasonably cured within the cure period specified in the preceding sentence; and (B) you resign within 30 days following the end of such cure period.</w:t>
      </w:r>
    </w:p>
    <w:p>
      <w:pPr>
        <w:sectPr>
          <w:pgSz w:w="11900" w:h="16838" w:orient="portrait"/>
          <w:cols w:equalWidth="0" w:num="1">
            <w:col w:w="11240"/>
          </w:cols>
          <w:pgMar w:left="320" w:top="1421" w:right="3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Paula Loop</w:t>
      </w:r>
    </w:p>
    <w:p>
      <w:pPr>
        <w:spacing w:after="0" w:line="238" w:lineRule="auto"/>
        <w:rPr>
          <w:sz w:val="20"/>
          <w:szCs w:val="20"/>
          <w:color w:val="auto"/>
        </w:rPr>
      </w:pPr>
      <w:r>
        <w:rPr>
          <w:rFonts w:ascii="Arial" w:cs="Arial" w:eastAsia="Arial" w:hAnsi="Arial"/>
          <w:sz w:val="22"/>
          <w:szCs w:val="22"/>
          <w:color w:val="auto"/>
        </w:rPr>
        <w:t>________________</w:t>
      </w:r>
    </w:p>
    <w:p>
      <w:pPr>
        <w:spacing w:after="0"/>
        <w:rPr>
          <w:sz w:val="20"/>
          <w:szCs w:val="20"/>
          <w:color w:val="auto"/>
        </w:rPr>
      </w:pPr>
      <w:r>
        <w:rPr>
          <w:rFonts w:ascii="Arial" w:cs="Arial" w:eastAsia="Arial" w:hAnsi="Arial"/>
          <w:sz w:val="22"/>
          <w:szCs w:val="22"/>
          <w:color w:val="auto"/>
        </w:rPr>
        <w:t>________________</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Paula:</w:t>
      </w:r>
    </w:p>
    <w:p>
      <w:pPr>
        <w:spacing w:after="0" w:line="220"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On behalf of Robinhood Markets, Inc. (“Robinhood” or the “Company”), I am pleased to invite you to become a member of the Company’s Board of Directors (the “Board”), effective on June 17 or a later date to be mutually agreed between you and the Company. We anticipate that you will initially serve as Chair of the Audit Committee and that you may also be appointed as a member of other Board committees, when the Board committees are established.</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As a member of the Board prior to the initial public offering of the Company (our “IPO”), we will recommend to the Board that you be granted an award of restricted stock units for Robinhood’s Common Stock (“RSUs”) with a target value of $1,500,000 (which converts to 36,223 RSUs based on the Company’s most recent 409A valuation of $41.41 per share). Vesting of the RSUs requires satisfaction of two vesting conditions: a time-based vesting condition and a liquidity-based condition. You will vest in the RSUs over four years, with 6.25% of the RSUs vesting on the 1st quarterly anniversary of the first of the month following your Start Date, and then 6.25% of the RSUs vesting on the 1st of the month of each quarterly anniversary thereafter, until the grant is fully vested, subject to you continuing as a member of the Board through each respective vesting date. Earned RSUs vest and become stock owned by you only after the Company shares are generally liquid, meaning after the Company has been acquired or in connection with an initial public offering. The RSUs will be subject to the terms and conditions of the Equity Incentive Plan then in effect and an RSU award agreement between you and the Company, which shall provide for full acceleration of vesting of the RSUs in the event of a change in control of the Company. The grant of such RSUs is subject to the Board’s approval and this promise to recommend such approval is not a promise of compensation and is not intended to create any obligation on the part of Robinhood. Further details on any specific RSU grant to you will be provided upon approval of such grant by the Board.</w:t>
      </w:r>
    </w:p>
    <w:p>
      <w:pPr>
        <w:spacing w:after="0" w:line="187"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color w:val="auto"/>
        </w:rPr>
        <w:t>As a member of the Board after our IPO, you will receive compensation in accordance with the attached compensation program, subject to modifications approved by the Board or Compensation Committee from time to time.</w:t>
      </w:r>
    </w:p>
    <w:p>
      <w:pPr>
        <w:spacing w:after="0" w:line="151"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Our expectation is that the Board will meet at least quarterly. The various Committees of the Board to which you may be appointed will meet also regularly on schedules to be determined. It is our expectation that you will participate in those meetings in person to the extent possible (subject, of course, to the safety of doing so in light of the current COVID-19 pandemic). We also ask that you make yourself available to participate in various telephonic meetings from time to time as needed.</w:t>
      </w:r>
    </w:p>
    <w:p>
      <w:pPr>
        <w:sectPr>
          <w:pgSz w:w="11900" w:h="16838" w:orient="portrait"/>
          <w:cols w:equalWidth="0" w:num="1">
            <w:col w:w="11240"/>
          </w:cols>
          <w:pgMar w:left="320" w:top="121" w:right="339" w:bottom="1440" w:gutter="0" w:footer="0" w:header="0"/>
        </w:sectPr>
      </w:pPr>
    </w:p>
    <w:bookmarkStart w:id="608" w:name="page609"/>
    <w:bookmarkEnd w:id="608"/>
    <w:p>
      <w:pPr>
        <w:ind w:right="120"/>
        <w:spacing w:after="0" w:line="248" w:lineRule="auto"/>
        <w:rPr>
          <w:sz w:val="20"/>
          <w:szCs w:val="20"/>
          <w:color w:val="auto"/>
        </w:rPr>
      </w:pPr>
      <w:r>
        <w:rPr>
          <w:rFonts w:ascii="Arial" w:cs="Arial" w:eastAsia="Arial" w:hAnsi="Arial"/>
          <w:sz w:val="22"/>
          <w:szCs w:val="22"/>
          <w:color w:val="auto"/>
        </w:rPr>
        <w:t>You will be promptly reimbursed for all reasonable out-of-pocket expenses incurred in connection with your service to the Company, in accordance with the Company’s expense reimbursement policy. In addition, you will be covered by the Company’s D&amp;O insurance to the same extent provided to the Company’s other non-employee directors generally and the indemnification and exculpation provisions of the Company’s Certificate of Incorporation and Bylaws. The Company will also enter into a customary indemnification agreement with you.</w:t>
      </w:r>
    </w:p>
    <w:p>
      <w:pPr>
        <w:spacing w:after="0" w:line="192"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Your service on the Board will be in accordance with, and subject to, the Company’s Certificate of Incorporation, Bylaws, and other policies applicable to non-employee directors, as the same may be amended from time to time. In accepting this offer, you are representing to us that you do not know of any conflict that would restrict you from becoming a director of the Company. As you will no doubt appreciate, matters relating to our IPO are of a very sensitive nature. We therefore ask that you keep confidential all information regarding the Company (including, for now, your membership on the Board). In connection with our IPO, you are also being asked to consent below to being named as a director in the Company’s Registration Statement on Form S-1 and will be expected to sign that registration statement as a director.</w:t>
      </w:r>
    </w:p>
    <w:p>
      <w:pPr>
        <w:spacing w:after="0" w:line="151"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In addition, we ask that you notify us prior to taking on any new role at another company so that we may evaluate any actual or potential conflict.</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To accept this offer, please sign below and return the fully executed letter to us. You should keep one copy of this letter for your records. This letter sets forth the terms of your service with the Company and supersedes any prior representations or agreements, whether written or oral. This letter may not be modified or amended except by a written agreement, signed by a duly authorized representative of the Company and by you.</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We are very excited about the future for Robinhood and greatly appreciate your joining us on this adventure. I know I speak for everyone at Robinhood when I say that we look forward to working with you.</w:t>
      </w:r>
    </w:p>
    <w:p>
      <w:pPr>
        <w:spacing w:after="0" w:line="229"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 Vladimir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24130</wp:posOffset>
            </wp:positionV>
            <wp:extent cx="26314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1"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Vladimir Tenev</w:t>
      </w:r>
    </w:p>
    <w:p>
      <w:pPr>
        <w:spacing w:after="0" w:line="58" w:lineRule="exact"/>
        <w:rPr>
          <w:sz w:val="20"/>
          <w:szCs w:val="20"/>
          <w:color w:val="auto"/>
        </w:rPr>
      </w:pPr>
    </w:p>
    <w:p>
      <w:pPr>
        <w:ind w:left="7120"/>
        <w:spacing w:after="0"/>
        <w:rPr>
          <w:sz w:val="20"/>
          <w:szCs w:val="20"/>
          <w:color w:val="auto"/>
        </w:rPr>
      </w:pPr>
      <w:r>
        <w:rPr>
          <w:rFonts w:ascii="Arial" w:cs="Arial" w:eastAsia="Arial" w:hAnsi="Arial"/>
          <w:sz w:val="21"/>
          <w:szCs w:val="21"/>
          <w:color w:val="auto"/>
        </w:rPr>
        <w:t>Chief Executive Officer and Chairman of the</w:t>
      </w:r>
    </w:p>
    <w:p>
      <w:pPr>
        <w:spacing w:after="0" w:line="33"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Board</w:t>
      </w:r>
    </w:p>
    <w:p>
      <w:pPr>
        <w:sectPr>
          <w:pgSz w:w="11900" w:h="16838" w:orient="portrait"/>
          <w:cols w:equalWidth="0" w:num="1">
            <w:col w:w="11220"/>
          </w:cols>
          <w:pgMar w:left="320" w:top="1428" w:right="359" w:bottom="1440" w:gutter="0" w:footer="0" w:header="0"/>
        </w:sectPr>
      </w:pPr>
    </w:p>
    <w:bookmarkStart w:id="609" w:name="page610"/>
    <w:bookmarkEnd w:id="609"/>
    <w:p>
      <w:pPr>
        <w:spacing w:after="0"/>
        <w:rPr>
          <w:sz w:val="20"/>
          <w:szCs w:val="20"/>
          <w:color w:val="auto"/>
        </w:rPr>
      </w:pPr>
      <w:r>
        <w:rPr>
          <w:rFonts w:ascii="Arial" w:cs="Arial" w:eastAsia="Arial" w:hAnsi="Arial"/>
          <w:sz w:val="22"/>
          <w:szCs w:val="22"/>
          <w:color w:val="auto"/>
        </w:rPr>
        <w:t>ACCEPTED AND AGREED:</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 hereby accept and consent to be designated as a director of Robinhood Markets, Inc., including in the Company’s upcoming Registration Statement on Form S-1 for its initial public offering, and agree to serve in such capacity.</w:t>
      </w:r>
    </w:p>
    <w:p>
      <w:pPr>
        <w:sectPr>
          <w:pgSz w:w="11900" w:h="16838" w:orient="portrait"/>
          <w:cols w:equalWidth="0" w:num="1">
            <w:col w:w="10840"/>
          </w:cols>
          <w:pgMar w:left="320" w:top="1428" w:right="7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0086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/s/ Paula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30861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Paula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30861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ectPr>
          <w:pgSz w:w="11900" w:h="16838" w:orient="portrait"/>
          <w:cols w:equalWidth="0" w:num="2">
            <w:col w:w="5120" w:space="720"/>
            <w:col w:w="5000"/>
          </w:cols>
          <w:pgMar w:left="320" w:top="1428" w:right="739" w:bottom="1440" w:gutter="0" w:footer="0" w:header="0"/>
          <w:type w:val="continuous"/>
        </w:sectPr>
      </w:pPr>
    </w:p>
    <w:bookmarkStart w:id="610" w:name="page611"/>
    <w:bookmarkEnd w:id="610"/>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May 14,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Jonathan J. Rubinstein</w:t>
      </w:r>
    </w:p>
    <w:p>
      <w:pPr>
        <w:spacing w:after="0" w:line="238" w:lineRule="auto"/>
        <w:rPr>
          <w:sz w:val="20"/>
          <w:szCs w:val="20"/>
          <w:color w:val="auto"/>
        </w:rPr>
      </w:pPr>
      <w:r>
        <w:rPr>
          <w:rFonts w:ascii="Arial" w:cs="Arial" w:eastAsia="Arial" w:hAnsi="Arial"/>
          <w:sz w:val="22"/>
          <w:szCs w:val="22"/>
          <w:color w:val="auto"/>
        </w:rPr>
        <w:t>___________________</w:t>
      </w:r>
    </w:p>
    <w:p>
      <w:pPr>
        <w:spacing w:after="0"/>
        <w:rPr>
          <w:sz w:val="20"/>
          <w:szCs w:val="20"/>
          <w:color w:val="auto"/>
        </w:rPr>
      </w:pPr>
      <w:r>
        <w:rPr>
          <w:rFonts w:ascii="Arial" w:cs="Arial" w:eastAsia="Arial" w:hAnsi="Arial"/>
          <w:sz w:val="22"/>
          <w:szCs w:val="22"/>
          <w:color w:val="auto"/>
        </w:rPr>
        <w:t>___________________</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Jon:</w:t>
      </w:r>
    </w:p>
    <w:p>
      <w:pPr>
        <w:spacing w:after="0" w:line="220"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On behalf of Robinhood Markets, Inc. (“Robinhood” or the “Company”), I am pleased to invite you to become a member of the Company’s Board of Directors (the “Board”), effective on a date to be mutually agreed between you and the Company. We anticipate that you will initially serve as Lead Independent Director and that you may also initially be appointed as a member of one or more Board committees, or as the Chair of a Board committee, when the Board committees are established. We currently expect that I will continue to serve as Chairman of the Board, and there will be no non-executive Chair appointed.</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As a member of the Board prior to the initial public offering of the Company (our “IPO”), we will recommend to the Board that you be granted an award of restricted stock units for Robinhood’s Common Stock (“RSUs”) with a target value of $3,000,000 (which converts to 72,446 RSUs based on the Company’s most recent 409A valuation of $41.41 per share). Vesting of the RSUs requires satisfaction of two vesting conditions: a time-based vesting condition and a liquidity-based condition. You will vest in the RSUs over four years, with 6.25% of the RSUs vesting on the 1st quarterly anniversary of the first of the month following your Start Date, and then 6.25% of the RSUs vesting on the 1st of the month of each quarterly anniversary thereafter, until the grant is fully vested, subject to you continuing as a member of the Board through each respective vesting date. Earned RSUs vest and become stock owned by you only after the Company shares are generally liquid, meaning after the Company has been acquired or in connection with an initial public offering. The RSUs will be subject to the terms and conditions of the Equity Incentive Plan then in effect and an RSU award agreement between you and the Company, which shall provide for full acceleration of vesting of the RSUs in the event of a change in control of the Company. The grant of such RSUs is subject to the Board’s approval and this promise to recommend such approval is not a promise of compensation and is not intended to create any obligation on the part of Robinhood. Further details on any specific RSU grant to you will be provided upon approval of such grant by the Board.</w:t>
      </w:r>
    </w:p>
    <w:p>
      <w:pPr>
        <w:spacing w:after="0" w:line="187"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color w:val="auto"/>
        </w:rPr>
        <w:t>As a member of the Board after our IPO, you will receive compensation in accordance with the attached compensation program, subject to modifications approved by the Board or Compensation Committee from time to time.</w:t>
      </w:r>
    </w:p>
    <w:p>
      <w:pPr>
        <w:spacing w:after="0" w:line="151"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In addition, you will have the right, in your discretion, to participate in the Company’s next equity financing round in an amount of up to $2,000,000 on the same terms, conditions and pricing afforded to others participating in any such financing.</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Our expectation is that the Board will meet at least quarterly. The various Committees of the Board to which you may be appointed will meet also regularly on schedules to be determined. It is our expectation that you will participate in those meetings in person to the extent possible</w:t>
      </w:r>
    </w:p>
    <w:p>
      <w:pPr>
        <w:sectPr>
          <w:pgSz w:w="11900" w:h="16838" w:orient="portrait"/>
          <w:cols w:equalWidth="0" w:num="1">
            <w:col w:w="11240"/>
          </w:cols>
          <w:pgMar w:left="320" w:top="122" w:right="339" w:bottom="1440" w:gutter="0" w:footer="0" w:header="0"/>
        </w:sectPr>
      </w:pPr>
    </w:p>
    <w:bookmarkStart w:id="611" w:name="page612"/>
    <w:bookmarkEnd w:id="611"/>
    <w:p>
      <w:pPr>
        <w:ind w:right="380"/>
        <w:spacing w:after="0" w:line="263" w:lineRule="auto"/>
        <w:rPr>
          <w:sz w:val="20"/>
          <w:szCs w:val="20"/>
          <w:color w:val="auto"/>
        </w:rPr>
      </w:pPr>
      <w:r>
        <w:rPr>
          <w:rFonts w:ascii="Arial" w:cs="Arial" w:eastAsia="Arial" w:hAnsi="Arial"/>
          <w:sz w:val="22"/>
          <w:szCs w:val="22"/>
          <w:color w:val="auto"/>
        </w:rPr>
        <w:t>(subject, of course, to the safety of doing so in light of the current COVID-19 pandemic). We also ask that you make yourself available to participate in various telephonic meetings from time to time as needed.</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You will be promptly reimbursed for all reasonable out-of-pocket expenses incurred in connection with your service to the Company, in accordance with the Company’s expense reimbursement policy. In addition, you will be covered by the Company’s D&amp;O insurance to the same extent provided to the Company’s other non-employee directors generally and the indemnification and exculpation provisions of the Company’s Certificate of Incorporation and Bylaws.</w:t>
      </w:r>
    </w:p>
    <w:p>
      <w:pPr>
        <w:spacing w:after="0" w:line="175"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Your service on the Board will be in accordance with, and subject to, the Company’s Certificate of Incorporation, Bylaws, and other policies applicable to non-employee directors, as the same may be amended from time to time. In accepting this offer, you are representing to us that you do not know of any conflict that would restrict you from becoming a director of the Company. As you will no doubt appreciate, matters relating to our IPO are of a very sensitive nature. We therefore ask that you keep confidential all information regarding the Company (including, for now, your membership on the Board). In connection with our IPO, you are also being asked to consent below to being named as a director in the Company’s Registration Statement on Form S-1 and will be expected to sign that registration statement as a director.</w:t>
      </w:r>
    </w:p>
    <w:p>
      <w:pPr>
        <w:spacing w:after="0" w:line="151"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In addition, we ask that you notify us prior to taking on any new role at another company so that we may evaluate any actual or potential conflict.</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To accept this offer, please sign below and return the fully executed letter to us. You should keep one copy of this letter for your records. This letter sets forth the terms of your service with the Company and supersedes any prior representations or agreements, whether written or oral. This letter may not be modified or amended except by a written agreement, signed by a duly authorized representative of the Company and by you.</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We are very excited about the future for Robinhood and greatly appreciate your joining us on this adventure. I know I speak for everyone at Robinhood when I say that we look forward to working with you.</w:t>
      </w:r>
    </w:p>
    <w:p>
      <w:pPr>
        <w:spacing w:after="0" w:line="229"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 Vladimir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24130</wp:posOffset>
            </wp:positionV>
            <wp:extent cx="26314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1"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Vladimir Tenev</w:t>
      </w:r>
    </w:p>
    <w:p>
      <w:pPr>
        <w:spacing w:after="0" w:line="58" w:lineRule="exact"/>
        <w:rPr>
          <w:sz w:val="20"/>
          <w:szCs w:val="20"/>
          <w:color w:val="auto"/>
        </w:rPr>
      </w:pPr>
    </w:p>
    <w:p>
      <w:pPr>
        <w:ind w:left="7120"/>
        <w:spacing w:after="0"/>
        <w:rPr>
          <w:sz w:val="20"/>
          <w:szCs w:val="20"/>
          <w:color w:val="auto"/>
        </w:rPr>
      </w:pPr>
      <w:r>
        <w:rPr>
          <w:rFonts w:ascii="Arial" w:cs="Arial" w:eastAsia="Arial" w:hAnsi="Arial"/>
          <w:sz w:val="21"/>
          <w:szCs w:val="21"/>
          <w:color w:val="auto"/>
        </w:rPr>
        <w:t>Chief Executive Officer and Chairman of the</w:t>
      </w:r>
    </w:p>
    <w:p>
      <w:pPr>
        <w:spacing w:after="0" w:line="33"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Board</w:t>
      </w:r>
    </w:p>
    <w:p>
      <w:pPr>
        <w:sectPr>
          <w:pgSz w:w="11900" w:h="16838" w:orient="portrait"/>
          <w:cols w:equalWidth="0" w:num="1">
            <w:col w:w="11220"/>
          </w:cols>
          <w:pgMar w:left="320" w:top="1428" w:right="359" w:bottom="1440" w:gutter="0" w:footer="0" w:header="0"/>
        </w:sectPr>
      </w:pPr>
    </w:p>
    <w:bookmarkStart w:id="612" w:name="page613"/>
    <w:bookmarkEnd w:id="612"/>
    <w:p>
      <w:pPr>
        <w:spacing w:after="0"/>
        <w:rPr>
          <w:sz w:val="20"/>
          <w:szCs w:val="20"/>
          <w:color w:val="auto"/>
        </w:rPr>
      </w:pPr>
      <w:r>
        <w:rPr>
          <w:rFonts w:ascii="Arial" w:cs="Arial" w:eastAsia="Arial" w:hAnsi="Arial"/>
          <w:sz w:val="22"/>
          <w:szCs w:val="22"/>
          <w:color w:val="auto"/>
        </w:rPr>
        <w:t>ACCEPTED AND AGREED:</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 hereby accept and consent to be designated as a director of Robinhood Markets, Inc., including in the Company’s upcoming Registration Statement on Form S-1 for its initial public offering, and agree to serve in such capacity.</w:t>
      </w:r>
    </w:p>
    <w:p>
      <w:pPr>
        <w:sectPr>
          <w:pgSz w:w="11900" w:h="16838" w:orient="portrait"/>
          <w:cols w:equalWidth="0" w:num="1">
            <w:col w:w="10840"/>
          </w:cols>
          <w:pgMar w:left="320" w:top="1428" w:right="7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0086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/s/ Jon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30861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Jon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30861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ectPr>
          <w:pgSz w:w="11900" w:h="16838" w:orient="portrait"/>
          <w:cols w:equalWidth="0" w:num="2">
            <w:col w:w="5120" w:space="720"/>
            <w:col w:w="5000"/>
          </w:cols>
          <w:pgMar w:left="320" w:top="1428" w:right="739" w:bottom="1440" w:gutter="0" w:footer="0" w:header="0"/>
          <w:type w:val="continuous"/>
        </w:sectPr>
      </w:pPr>
    </w:p>
    <w:bookmarkStart w:id="613" w:name="page614"/>
    <w:bookmarkEnd w:id="613"/>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Robert Zoellick</w:t>
      </w:r>
    </w:p>
    <w:p>
      <w:pPr>
        <w:spacing w:after="0" w:line="238" w:lineRule="auto"/>
        <w:rPr>
          <w:sz w:val="20"/>
          <w:szCs w:val="20"/>
          <w:color w:val="auto"/>
        </w:rPr>
      </w:pPr>
      <w:r>
        <w:rPr>
          <w:rFonts w:ascii="Arial" w:cs="Arial" w:eastAsia="Arial" w:hAnsi="Arial"/>
          <w:sz w:val="22"/>
          <w:szCs w:val="22"/>
          <w:color w:val="auto"/>
        </w:rPr>
        <w:t>________________</w:t>
      </w:r>
    </w:p>
    <w:p>
      <w:pPr>
        <w:spacing w:after="0"/>
        <w:rPr>
          <w:sz w:val="20"/>
          <w:szCs w:val="20"/>
          <w:color w:val="auto"/>
        </w:rPr>
      </w:pPr>
      <w:r>
        <w:rPr>
          <w:rFonts w:ascii="Arial" w:cs="Arial" w:eastAsia="Arial" w:hAnsi="Arial"/>
          <w:sz w:val="22"/>
          <w:szCs w:val="22"/>
          <w:color w:val="auto"/>
        </w:rPr>
        <w:t>________________</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Bob:</w:t>
      </w:r>
    </w:p>
    <w:p>
      <w:pPr>
        <w:spacing w:after="0" w:line="22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On behalf of Robinhood Markets, Inc. (“Robinhood” or the “Company”), I am pleased to invite you to become a member of the Company’s Board of Directors (the “Board”), effective on a date to be mutually agreed between you and the Company. We anticipate that you will initially serve on the Audit Committee and that you may be appointed as a member of other Board committees, when the Board committees are established.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As a member of the Board prior to the initial public offering of the Company (our “IPO”), we will recommend to the Board that you be granted an award of restricted stock units for Robinhood’s Common Stock (“RSUs”) with a target value of $1,500,000 (which converts to 36,223 RSUs based on the Company’s most recent 409A valuation of $41.41 per share). Vesting of the RSUs requires satisfaction of two vesting conditions: a time-based vesting condition and a liquidity-based condition. You will vest in the RSUs over four years, with 6.25% of the RSUs vesting on the 1st quarterly anniversary of the first of the month following your Start Date, and then 6.25% of the RSUs vesting on the 1st of the month of each quarterly anniversary thereafter, until the grant is fully vested, subject to you continuing as a member of the Board through each respective vesting date. Earned RSUs vest and become stock owned by you only after the Company shares are generally liquid, meaning after the Company has been acquired or in connection with an initial public offering. The RSUs will be subject to the terms and conditions of the Equity Incentive Plan then in effect and an RSU award agreement between you and the Company, which shall provide for full acceleration of vesting of the RSUs in the event of a change in control of the Company. The grant of such RSUs is subject to the Board’s approval and this promise to recommend such approval is not a promise of compensation and is not intended to create any obligation on the part of Robinhood. Further details on any specific RSU grant to you will be provided upon approval of such grant by the Board.</w:t>
      </w:r>
    </w:p>
    <w:p>
      <w:pPr>
        <w:spacing w:after="0" w:line="187"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color w:val="auto"/>
        </w:rPr>
        <w:t>As a member of the Board after our IPO, you will receive compensation in accordance with the attached compensation program, subject to modifications approved by the Board or Compensation Committee from time to time.</w:t>
      </w:r>
    </w:p>
    <w:p>
      <w:pPr>
        <w:spacing w:after="0" w:line="151"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Our expectation is that the Board will meet at least quarterly. The various Committees of the Board to which you may be appointed will meet also regularly on schedules to be determined. It is our expectation that you will participate in those meetings in person to the extent possible (subject, of course, to the safety of doing so in light of the current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We also ask that you make yourself available to participate in various telephonic meetings from time to time as needed.</w:t>
      </w:r>
    </w:p>
    <w:p>
      <w:pPr>
        <w:sectPr>
          <w:pgSz w:w="11900" w:h="16838" w:orient="portrait"/>
          <w:cols w:equalWidth="0" w:num="1">
            <w:col w:w="11240"/>
          </w:cols>
          <w:pgMar w:left="320" w:top="122" w:right="339" w:bottom="1440" w:gutter="0" w:footer="0" w:header="0"/>
        </w:sectPr>
      </w:pPr>
    </w:p>
    <w:bookmarkStart w:id="614" w:name="page615"/>
    <w:bookmarkEnd w:id="614"/>
    <w:p>
      <w:pPr>
        <w:ind w:right="120"/>
        <w:spacing w:after="0" w:line="248" w:lineRule="auto"/>
        <w:rPr>
          <w:sz w:val="20"/>
          <w:szCs w:val="20"/>
          <w:color w:val="auto"/>
        </w:rPr>
      </w:pPr>
      <w:r>
        <w:rPr>
          <w:rFonts w:ascii="Arial" w:cs="Arial" w:eastAsia="Arial" w:hAnsi="Arial"/>
          <w:sz w:val="22"/>
          <w:szCs w:val="22"/>
          <w:color w:val="auto"/>
        </w:rPr>
        <w:t>You will be promptly reimbursed for all reasonable out-of-pocket expenses incurred in connection with your service to the Company, in accordance with the Company’s expense reimbursement policy. In addition, you will be covered by the Company’s D&amp;O insurance to the same extent provided to the Company’s other non-employee directors generally and the indemnification and exculpation provisions of the Company’s Certificate of Incorporation and Bylaws. The Company will also enter into a customary indemnification agreement with you.</w:t>
      </w:r>
    </w:p>
    <w:p>
      <w:pPr>
        <w:spacing w:after="0" w:line="192"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Your service on the Board will be in accordance with, and subject to, the Company’s Certificate of Incorporation, Bylaws, and other policies applicable to non-employee directors, as the same may be amended from time to time. In accepting this offer, you are representing to us that you do not know of any conflict that would restrict you from becoming a director of the Company. As you will no doubt appreciate, matters relating to our IPO are of a very sensitive nature. We therefore ask that you keep confidential all information regarding the Company (including, for now, your membership on the Board). In connection with our IPO, you are also being asked to consent below to being named as a director in the Company’s Registration Statement on Form S-1 and will be expected to sign that registration statement as a director.</w:t>
      </w:r>
    </w:p>
    <w:p>
      <w:pPr>
        <w:spacing w:after="0" w:line="151"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In addition, we ask that you notify us prior to taking on any new role at another company so that we may evaluate any actual or potential conflict.</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To accept this offer, please sign below and return the fully executed letter to us. You should keep one copy of this letter for your records. This letter sets forth the terms of your service with the Company and supersedes any prior representations or agreements, whether written or oral. This letter may not be modified or amended except by a written agreement, signed by a duly authorized representative of the Company and by you.</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We are very excited about the future for Robinhood and greatly appreciate your joining us on this adventure. I know I speak for everyone at Robinhood when I say that we look forward to working with you.</w:t>
      </w:r>
    </w:p>
    <w:p>
      <w:pPr>
        <w:spacing w:after="0" w:line="229"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Robinhood Markets, Inc.</w:t>
      </w:r>
    </w:p>
    <w:p>
      <w:pPr>
        <w:spacing w:after="0" w:line="328"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/s/ Vladimir Tenev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24130</wp:posOffset>
            </wp:positionV>
            <wp:extent cx="1568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1"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Vladimir Tenev</w:t>
      </w:r>
    </w:p>
    <w:p>
      <w:pPr>
        <w:spacing w:after="0" w:line="58" w:lineRule="exact"/>
        <w:rPr>
          <w:sz w:val="20"/>
          <w:szCs w:val="20"/>
          <w:color w:val="auto"/>
        </w:rPr>
      </w:pPr>
    </w:p>
    <w:p>
      <w:pPr>
        <w:ind w:left="8780"/>
        <w:spacing w:after="0"/>
        <w:rPr>
          <w:sz w:val="20"/>
          <w:szCs w:val="20"/>
          <w:color w:val="auto"/>
        </w:rPr>
      </w:pPr>
      <w:r>
        <w:rPr>
          <w:rFonts w:ascii="Arial" w:cs="Arial" w:eastAsia="Arial" w:hAnsi="Arial"/>
          <w:sz w:val="22"/>
          <w:szCs w:val="22"/>
          <w:color w:val="auto"/>
        </w:rPr>
        <w:t>Chief Executive Officer</w:t>
      </w:r>
    </w:p>
    <w:p>
      <w:pPr>
        <w:spacing w:after="0" w:line="21" w:lineRule="exact"/>
        <w:rPr>
          <w:sz w:val="20"/>
          <w:szCs w:val="20"/>
          <w:color w:val="auto"/>
        </w:rPr>
      </w:pPr>
    </w:p>
    <w:p>
      <w:pPr>
        <w:ind w:left="8780"/>
        <w:spacing w:after="0"/>
        <w:rPr>
          <w:sz w:val="20"/>
          <w:szCs w:val="20"/>
          <w:color w:val="auto"/>
        </w:rPr>
      </w:pPr>
      <w:r>
        <w:rPr>
          <w:rFonts w:ascii="Arial" w:cs="Arial" w:eastAsia="Arial" w:hAnsi="Arial"/>
          <w:sz w:val="19"/>
          <w:szCs w:val="19"/>
          <w:color w:val="auto"/>
        </w:rPr>
        <w:t>and Chairman of the Board</w:t>
      </w:r>
    </w:p>
    <w:p>
      <w:pPr>
        <w:sectPr>
          <w:pgSz w:w="11900" w:h="16838" w:orient="portrait"/>
          <w:cols w:equalWidth="0" w:num="1">
            <w:col w:w="11220"/>
          </w:cols>
          <w:pgMar w:left="320" w:top="1428" w:right="359" w:bottom="1440" w:gutter="0" w:footer="0" w:header="0"/>
        </w:sectPr>
      </w:pPr>
    </w:p>
    <w:bookmarkStart w:id="615" w:name="page616"/>
    <w:bookmarkEnd w:id="615"/>
    <w:p>
      <w:pPr>
        <w:spacing w:after="0"/>
        <w:rPr>
          <w:sz w:val="20"/>
          <w:szCs w:val="20"/>
          <w:color w:val="auto"/>
        </w:rPr>
      </w:pPr>
      <w:r>
        <w:rPr>
          <w:rFonts w:ascii="Arial" w:cs="Arial" w:eastAsia="Arial" w:hAnsi="Arial"/>
          <w:sz w:val="22"/>
          <w:szCs w:val="22"/>
          <w:color w:val="auto"/>
        </w:rPr>
        <w:t>ACCEPTED AND AGREED:</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 hereby accept and consent to be designated as a director of Robinhood Markets, Inc., including in the Company’s upcoming Registration Statement on Form S-1 for its initial public offering, and agree to serve in such capacity.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May 15, 2021</w:t>
            </w:r>
          </w:p>
        </w:tc>
        <w:tc>
          <w:tcPr>
            <w:tcW w:w="108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Zoellick</w:t>
            </w:r>
          </w:p>
        </w:tc>
      </w:tr>
      <w:tr>
        <w:trPr>
          <w:trHeight w:val="294"/>
        </w:trPr>
        <w:tc>
          <w:tcPr>
            <w:tcW w:w="5820" w:type="dxa"/>
            <w:vAlign w:val="bottom"/>
            <w:gridSpan w:val="2"/>
          </w:tcPr>
          <w:p>
            <w:pPr>
              <w:ind w:left="20"/>
              <w:spacing w:after="0"/>
              <w:rPr>
                <w:sz w:val="20"/>
                <w:szCs w:val="20"/>
                <w:color w:val="auto"/>
              </w:rPr>
            </w:pPr>
            <w:r>
              <w:rPr>
                <w:rFonts w:ascii="Arial" w:cs="Arial" w:eastAsia="Arial" w:hAnsi="Arial"/>
                <w:sz w:val="22"/>
                <w:szCs w:val="22"/>
                <w:color w:val="auto"/>
              </w:rPr>
              <w:t>Date</w:t>
            </w:r>
          </w:p>
        </w:tc>
        <w:tc>
          <w:tcPr>
            <w:tcW w:w="4860" w:type="dxa"/>
            <w:vAlign w:val="bottom"/>
          </w:tcPr>
          <w:p>
            <w:pPr>
              <w:ind w:left="20"/>
              <w:spacing w:after="0"/>
              <w:rPr>
                <w:sz w:val="20"/>
                <w:szCs w:val="20"/>
                <w:color w:val="auto"/>
              </w:rPr>
            </w:pPr>
            <w:r>
              <w:rPr>
                <w:rFonts w:ascii="Arial" w:cs="Arial" w:eastAsia="Arial" w:hAnsi="Arial"/>
                <w:sz w:val="22"/>
                <w:szCs w:val="22"/>
                <w:color w:val="auto"/>
              </w:rPr>
              <w:t>Signature</w:t>
            </w:r>
          </w:p>
        </w:tc>
      </w:tr>
    </w:tbl>
    <w:p>
      <w:pPr>
        <w:spacing w:after="0" w:line="200" w:lineRule="exact"/>
        <w:rPr>
          <w:sz w:val="20"/>
          <w:szCs w:val="20"/>
          <w:color w:val="auto"/>
        </w:r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Robert Zoellick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0861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Print Name</w:t>
      </w:r>
    </w:p>
    <w:p>
      <w:pPr>
        <w:sectPr>
          <w:pgSz w:w="11900" w:h="16838" w:orient="portrait"/>
          <w:cols w:equalWidth="0" w:num="1">
            <w:col w:w="10840"/>
          </w:cols>
          <w:pgMar w:left="320" w:top="1428" w:right="7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b w:val="1"/>
          <w:bCs w:val="1"/>
          <w:color w:val="auto"/>
        </w:rPr>
        <w:t>Exhibit 10.14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1557655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1583055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CREDIT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4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April 16, 2021</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ROBINHOOD SECURITIES, LLC,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The Lenders Party Hereto,</w:t>
      </w: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BMO HARRIS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Syndication Agent,</w:t>
      </w:r>
    </w:p>
    <w:p>
      <w:pPr>
        <w:spacing w:after="0" w:line="200" w:lineRule="exact"/>
        <w:rPr>
          <w:sz w:val="20"/>
          <w:szCs w:val="20"/>
          <w:color w:val="auto"/>
        </w:rPr>
      </w:pP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14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___________________________</w:t>
      </w:r>
    </w:p>
    <w:p>
      <w:pPr>
        <w:spacing w:after="0" w:line="36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JPMORGAN CHASE BANK, N.A. and BMO CAPITAL MARKETS CORP.,</w:t>
      </w:r>
    </w:p>
    <w:p>
      <w:pPr>
        <w:spacing w:after="0" w:line="5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313055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339090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617" w:name="page618"/>
    <w:bookmarkEnd w:id="617"/>
    <w:p>
      <w:pPr>
        <w:ind w:left="3760"/>
        <w:spacing w:after="0"/>
        <w:rPr>
          <w:sz w:val="20"/>
          <w:szCs w:val="20"/>
          <w:color w:val="auto"/>
        </w:rPr>
      </w:pPr>
      <w:r>
        <w:rPr>
          <w:rFonts w:ascii="Arial" w:cs="Arial" w:eastAsia="Arial" w:hAnsi="Arial"/>
          <w:sz w:val="22"/>
          <w:szCs w:val="22"/>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4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55"/>
        </w:trPr>
        <w:tc>
          <w:tcPr>
            <w:tcW w:w="1540" w:type="dxa"/>
            <w:vAlign w:val="bottom"/>
          </w:tcPr>
          <w:p>
            <w:pPr>
              <w:spacing w:after="0"/>
              <w:rPr>
                <w:sz w:val="24"/>
                <w:szCs w:val="24"/>
                <w:color w:val="auto"/>
              </w:rPr>
            </w:pPr>
          </w:p>
        </w:tc>
        <w:tc>
          <w:tcPr>
            <w:tcW w:w="7100" w:type="dxa"/>
            <w:vAlign w:val="bottom"/>
          </w:tcPr>
          <w:p>
            <w:pPr>
              <w:jc w:val="center"/>
              <w:ind w:right="1012"/>
              <w:spacing w:after="0"/>
              <w:rPr>
                <w:sz w:val="20"/>
                <w:szCs w:val="20"/>
                <w:color w:val="auto"/>
              </w:rPr>
            </w:pPr>
            <w:r>
              <w:rPr>
                <w:rFonts w:ascii="Arial" w:cs="Arial" w:eastAsia="Arial" w:hAnsi="Arial"/>
                <w:sz w:val="22"/>
                <w:szCs w:val="22"/>
                <w:color w:val="auto"/>
                <w:w w:val="96"/>
              </w:rPr>
              <w:t>ARTICLE I</w:t>
            </w:r>
          </w:p>
        </w:tc>
        <w:tc>
          <w:tcPr>
            <w:tcW w:w="148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7100" w:type="dxa"/>
            <w:vAlign w:val="bottom"/>
          </w:tcPr>
          <w:p>
            <w:pPr>
              <w:jc w:val="center"/>
              <w:ind w:right="1012"/>
              <w:spacing w:after="0"/>
              <w:rPr>
                <w:sz w:val="20"/>
                <w:szCs w:val="20"/>
                <w:color w:val="auto"/>
              </w:rPr>
            </w:pPr>
            <w:r>
              <w:rPr>
                <w:rFonts w:ascii="Arial" w:cs="Arial" w:eastAsia="Arial" w:hAnsi="Arial"/>
                <w:sz w:val="22"/>
                <w:szCs w:val="22"/>
                <w:color w:val="auto"/>
                <w:w w:val="95"/>
              </w:rPr>
              <w:t>Definitions</w:t>
            </w:r>
          </w:p>
        </w:tc>
        <w:tc>
          <w:tcPr>
            <w:tcW w:w="148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1.01.</w:t>
            </w:r>
          </w:p>
        </w:tc>
        <w:tc>
          <w:tcPr>
            <w:tcW w:w="7100" w:type="dxa"/>
            <w:vAlign w:val="bottom"/>
          </w:tcPr>
          <w:p>
            <w:pPr>
              <w:ind w:left="160"/>
              <w:spacing w:after="0"/>
              <w:rPr>
                <w:sz w:val="20"/>
                <w:szCs w:val="20"/>
                <w:color w:val="auto"/>
              </w:rPr>
            </w:pPr>
            <w:r>
              <w:rPr>
                <w:rFonts w:ascii="Arial" w:cs="Arial" w:eastAsia="Arial" w:hAnsi="Arial"/>
                <w:sz w:val="22"/>
                <w:szCs w:val="22"/>
                <w:color w:val="auto"/>
              </w:rPr>
              <w:t>Defined Terms</w:t>
            </w:r>
          </w:p>
        </w:tc>
        <w:tc>
          <w:tcPr>
            <w:tcW w:w="14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8640" w:type="dxa"/>
            <w:vAlign w:val="bottom"/>
            <w:gridSpan w:val="2"/>
          </w:tcPr>
          <w:p>
            <w:pPr>
              <w:spacing w:after="0"/>
              <w:rPr>
                <w:sz w:val="20"/>
                <w:szCs w:val="20"/>
                <w:color w:val="auto"/>
              </w:rPr>
            </w:pPr>
            <w:r>
              <w:rPr>
                <w:rFonts w:ascii="Arial" w:cs="Arial" w:eastAsia="Arial" w:hAnsi="Arial"/>
                <w:sz w:val="22"/>
                <w:szCs w:val="22"/>
                <w:color w:val="auto"/>
              </w:rPr>
              <w:t>SECTION 1.02.   Classification of Loans and Borrowings</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1.03.</w:t>
            </w:r>
          </w:p>
        </w:tc>
        <w:tc>
          <w:tcPr>
            <w:tcW w:w="7100" w:type="dxa"/>
            <w:vAlign w:val="bottom"/>
          </w:tcPr>
          <w:p>
            <w:pPr>
              <w:ind w:left="160"/>
              <w:spacing w:after="0"/>
              <w:rPr>
                <w:sz w:val="20"/>
                <w:szCs w:val="20"/>
                <w:color w:val="auto"/>
              </w:rPr>
            </w:pPr>
            <w:r>
              <w:rPr>
                <w:rFonts w:ascii="Arial" w:cs="Arial" w:eastAsia="Arial" w:hAnsi="Arial"/>
                <w:sz w:val="22"/>
                <w:szCs w:val="22"/>
                <w:color w:val="auto"/>
              </w:rPr>
              <w:t>Terms Generally</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8640" w:type="dxa"/>
            <w:vAlign w:val="bottom"/>
            <w:gridSpan w:val="2"/>
          </w:tcPr>
          <w:p>
            <w:pPr>
              <w:spacing w:after="0"/>
              <w:rPr>
                <w:sz w:val="20"/>
                <w:szCs w:val="20"/>
                <w:color w:val="auto"/>
              </w:rPr>
            </w:pPr>
            <w:r>
              <w:rPr>
                <w:rFonts w:ascii="Arial" w:cs="Arial" w:eastAsia="Arial" w:hAnsi="Arial"/>
                <w:sz w:val="22"/>
                <w:szCs w:val="22"/>
                <w:color w:val="auto"/>
              </w:rPr>
              <w:t>SECTION 1.04.   Accounting Terms; GAAP</w:t>
            </w:r>
          </w:p>
        </w:tc>
        <w:tc>
          <w:tcPr>
            <w:tcW w:w="14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1.05.</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1.06.   Statement or Certificate by any Officer</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1.07.</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1.08.</w:t>
            </w:r>
          </w:p>
        </w:tc>
        <w:tc>
          <w:tcPr>
            <w:tcW w:w="7100" w:type="dxa"/>
            <w:vAlign w:val="bottom"/>
          </w:tcPr>
          <w:p>
            <w:pPr>
              <w:ind w:left="160"/>
              <w:spacing w:after="0"/>
              <w:rPr>
                <w:sz w:val="20"/>
                <w:szCs w:val="20"/>
                <w:color w:val="auto"/>
              </w:rPr>
            </w:pPr>
            <w:r>
              <w:rPr>
                <w:rFonts w:ascii="Arial" w:cs="Arial" w:eastAsia="Arial" w:hAnsi="Arial"/>
                <w:sz w:val="22"/>
                <w:szCs w:val="22"/>
                <w:color w:val="auto"/>
              </w:rPr>
              <w:t>Divisions</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1.09.</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1.10.</w:t>
            </w:r>
          </w:p>
        </w:tc>
        <w:tc>
          <w:tcPr>
            <w:tcW w:w="7100" w:type="dxa"/>
            <w:vAlign w:val="bottom"/>
          </w:tcPr>
          <w:p>
            <w:pPr>
              <w:ind w:left="160"/>
              <w:spacing w:after="0"/>
              <w:rPr>
                <w:sz w:val="20"/>
                <w:szCs w:val="20"/>
                <w:color w:val="auto"/>
              </w:rPr>
            </w:pPr>
            <w:r>
              <w:rPr>
                <w:rFonts w:ascii="Arial" w:cs="Arial" w:eastAsia="Arial" w:hAnsi="Arial"/>
                <w:sz w:val="22"/>
                <w:szCs w:val="22"/>
                <w:color w:val="auto"/>
              </w:rPr>
              <w:t>Calculations</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540" w:type="dxa"/>
            <w:vAlign w:val="bottom"/>
          </w:tcPr>
          <w:p>
            <w:pPr>
              <w:ind w:left="20"/>
              <w:spacing w:after="0"/>
              <w:rPr>
                <w:sz w:val="20"/>
                <w:szCs w:val="20"/>
                <w:color w:val="auto"/>
              </w:rPr>
            </w:pPr>
            <w:r>
              <w:rPr>
                <w:rFonts w:ascii="Arial" w:cs="Arial" w:eastAsia="Arial" w:hAnsi="Arial"/>
                <w:sz w:val="22"/>
                <w:szCs w:val="22"/>
                <w:color w:val="auto"/>
                <w:w w:val="98"/>
              </w:rPr>
              <w:t>SECTION 1.11.</w:t>
            </w:r>
          </w:p>
        </w:tc>
        <w:tc>
          <w:tcPr>
            <w:tcW w:w="7100" w:type="dxa"/>
            <w:vAlign w:val="bottom"/>
          </w:tcPr>
          <w:p>
            <w:pPr>
              <w:ind w:left="160"/>
              <w:spacing w:after="0"/>
              <w:rPr>
                <w:sz w:val="20"/>
                <w:szCs w:val="20"/>
                <w:color w:val="auto"/>
              </w:rPr>
            </w:pPr>
            <w:r>
              <w:rPr>
                <w:rFonts w:ascii="Arial" w:cs="Arial" w:eastAsia="Arial" w:hAnsi="Arial"/>
                <w:sz w:val="22"/>
                <w:szCs w:val="22"/>
                <w:color w:val="auto"/>
              </w:rPr>
              <w:t>Discontinued Operations</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1.12.</w:t>
            </w:r>
          </w:p>
        </w:tc>
        <w:tc>
          <w:tcPr>
            <w:tcW w:w="7100" w:type="dxa"/>
            <w:vAlign w:val="bottom"/>
          </w:tcPr>
          <w:p>
            <w:pPr>
              <w:ind w:left="160"/>
              <w:spacing w:after="0"/>
              <w:rPr>
                <w:sz w:val="20"/>
                <w:szCs w:val="20"/>
                <w:color w:val="auto"/>
              </w:rPr>
            </w:pPr>
            <w:r>
              <w:rPr>
                <w:rFonts w:ascii="Arial" w:cs="Arial" w:eastAsia="Arial" w:hAnsi="Arial"/>
                <w:sz w:val="22"/>
                <w:szCs w:val="22"/>
                <w:color w:val="auto"/>
              </w:rPr>
              <w:t>Bridge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1.13.   Interest Rates; LIBOR Notification</w:t>
            </w:r>
          </w:p>
        </w:tc>
        <w:tc>
          <w:tcPr>
            <w:tcW w:w="14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41"/>
        </w:trPr>
        <w:tc>
          <w:tcPr>
            <w:tcW w:w="1540" w:type="dxa"/>
            <w:vAlign w:val="bottom"/>
          </w:tcPr>
          <w:p>
            <w:pPr>
              <w:spacing w:after="0"/>
              <w:rPr>
                <w:sz w:val="24"/>
                <w:szCs w:val="24"/>
                <w:color w:val="auto"/>
              </w:rPr>
            </w:pPr>
          </w:p>
        </w:tc>
        <w:tc>
          <w:tcPr>
            <w:tcW w:w="7100" w:type="dxa"/>
            <w:vAlign w:val="bottom"/>
          </w:tcPr>
          <w:p>
            <w:pPr>
              <w:jc w:val="center"/>
              <w:ind w:right="1012"/>
              <w:spacing w:after="0"/>
              <w:rPr>
                <w:sz w:val="20"/>
                <w:szCs w:val="20"/>
                <w:color w:val="auto"/>
              </w:rPr>
            </w:pPr>
            <w:r>
              <w:rPr>
                <w:rFonts w:ascii="Arial" w:cs="Arial" w:eastAsia="Arial" w:hAnsi="Arial"/>
                <w:sz w:val="22"/>
                <w:szCs w:val="22"/>
                <w:color w:val="auto"/>
                <w:w w:val="98"/>
              </w:rPr>
              <w:t>ARTICLE II</w:t>
            </w:r>
          </w:p>
        </w:tc>
        <w:tc>
          <w:tcPr>
            <w:tcW w:w="148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7100" w:type="dxa"/>
            <w:vAlign w:val="bottom"/>
          </w:tcPr>
          <w:p>
            <w:pPr>
              <w:jc w:val="center"/>
              <w:ind w:right="1012"/>
              <w:spacing w:after="0"/>
              <w:rPr>
                <w:sz w:val="20"/>
                <w:szCs w:val="20"/>
                <w:color w:val="auto"/>
              </w:rPr>
            </w:pPr>
            <w:r>
              <w:rPr>
                <w:rFonts w:ascii="Arial" w:cs="Arial" w:eastAsia="Arial" w:hAnsi="Arial"/>
                <w:sz w:val="22"/>
                <w:szCs w:val="22"/>
                <w:color w:val="auto"/>
                <w:w w:val="89"/>
              </w:rPr>
              <w:t>The Credits</w:t>
            </w:r>
          </w:p>
        </w:tc>
        <w:tc>
          <w:tcPr>
            <w:tcW w:w="148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2.01.</w:t>
            </w:r>
          </w:p>
        </w:tc>
        <w:tc>
          <w:tcPr>
            <w:tcW w:w="7100" w:type="dxa"/>
            <w:vAlign w:val="bottom"/>
          </w:tcPr>
          <w:p>
            <w:pPr>
              <w:ind w:left="160"/>
              <w:spacing w:after="0"/>
              <w:rPr>
                <w:sz w:val="20"/>
                <w:szCs w:val="20"/>
                <w:color w:val="auto"/>
              </w:rPr>
            </w:pPr>
            <w:r>
              <w:rPr>
                <w:rFonts w:ascii="Arial" w:cs="Arial" w:eastAsia="Arial" w:hAnsi="Arial"/>
                <w:sz w:val="22"/>
                <w:szCs w:val="22"/>
                <w:color w:val="auto"/>
              </w:rPr>
              <w:t>Commitments</w:t>
            </w:r>
          </w:p>
        </w:tc>
        <w:tc>
          <w:tcPr>
            <w:tcW w:w="14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2.02.   Loans and Borrowings</w:t>
            </w:r>
          </w:p>
        </w:tc>
        <w:tc>
          <w:tcPr>
            <w:tcW w:w="14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2.03.   Requests for Borrowings</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2.04.</w:t>
            </w:r>
          </w:p>
        </w:tc>
        <w:tc>
          <w:tcPr>
            <w:tcW w:w="7100" w:type="dxa"/>
            <w:vAlign w:val="bottom"/>
          </w:tcPr>
          <w:p>
            <w:pPr>
              <w:ind w:left="160"/>
              <w:spacing w:after="0"/>
              <w:rPr>
                <w:sz w:val="20"/>
                <w:szCs w:val="20"/>
                <w:color w:val="auto"/>
              </w:rPr>
            </w:pPr>
            <w:r>
              <w:rPr>
                <w:rFonts w:ascii="Arial" w:cs="Arial" w:eastAsia="Arial" w:hAnsi="Arial"/>
                <w:sz w:val="22"/>
                <w:szCs w:val="22"/>
                <w:color w:val="auto"/>
              </w:rPr>
              <w:t>Swingline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2.05.   Procedure for Swingline Borrowing; Refunding of Swingline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2.06.</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2.07.</w:t>
            </w:r>
          </w:p>
        </w:tc>
        <w:tc>
          <w:tcPr>
            <w:tcW w:w="7100" w:type="dxa"/>
            <w:vAlign w:val="bottom"/>
          </w:tcPr>
          <w:p>
            <w:pPr>
              <w:ind w:left="160"/>
              <w:spacing w:after="0"/>
              <w:rPr>
                <w:sz w:val="20"/>
                <w:szCs w:val="20"/>
                <w:color w:val="auto"/>
              </w:rPr>
            </w:pPr>
            <w:r>
              <w:rPr>
                <w:rFonts w:ascii="Arial" w:cs="Arial" w:eastAsia="Arial" w:hAnsi="Arial"/>
                <w:sz w:val="22"/>
                <w:szCs w:val="22"/>
                <w:color w:val="auto"/>
              </w:rPr>
              <w:t>Funding</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2.08.</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2.09.   Termination and Reduction of Commitments</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2.10.   Repayment of Loans; Evidence of Debt</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8640" w:type="dxa"/>
            <w:vAlign w:val="bottom"/>
            <w:gridSpan w:val="2"/>
          </w:tcPr>
          <w:p>
            <w:pPr>
              <w:ind w:left="20"/>
              <w:spacing w:after="0"/>
              <w:rPr>
                <w:sz w:val="20"/>
                <w:szCs w:val="20"/>
                <w:color w:val="auto"/>
              </w:rPr>
            </w:pPr>
            <w:r>
              <w:rPr>
                <w:rFonts w:ascii="Arial" w:cs="Arial" w:eastAsia="Arial" w:hAnsi="Arial"/>
                <w:sz w:val="22"/>
                <w:szCs w:val="22"/>
                <w:color w:val="auto"/>
              </w:rPr>
              <w:t>SECTION 2.11.   Voluntary Prepayment of Loans</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2.12.   Calculation of Loan Value; Mandatory Prepayments; Releases</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2.13.</w:t>
            </w:r>
          </w:p>
        </w:tc>
        <w:tc>
          <w:tcPr>
            <w:tcW w:w="7100" w:type="dxa"/>
            <w:vAlign w:val="bottom"/>
          </w:tcPr>
          <w:p>
            <w:pPr>
              <w:ind w:left="160"/>
              <w:spacing w:after="0"/>
              <w:rPr>
                <w:sz w:val="20"/>
                <w:szCs w:val="20"/>
                <w:color w:val="auto"/>
              </w:rPr>
            </w:pPr>
            <w:r>
              <w:rPr>
                <w:rFonts w:ascii="Arial" w:cs="Arial" w:eastAsia="Arial" w:hAnsi="Arial"/>
                <w:sz w:val="22"/>
                <w:szCs w:val="22"/>
                <w:color w:val="auto"/>
              </w:rPr>
              <w:t>Fees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2.14.</w:t>
            </w:r>
          </w:p>
        </w:tc>
        <w:tc>
          <w:tcPr>
            <w:tcW w:w="7100" w:type="dxa"/>
            <w:vAlign w:val="bottom"/>
          </w:tcPr>
          <w:p>
            <w:pPr>
              <w:ind w:left="160"/>
              <w:spacing w:after="0"/>
              <w:rPr>
                <w:sz w:val="20"/>
                <w:szCs w:val="20"/>
                <w:color w:val="auto"/>
              </w:rPr>
            </w:pPr>
            <w:r>
              <w:rPr>
                <w:rFonts w:ascii="Arial" w:cs="Arial" w:eastAsia="Arial" w:hAnsi="Arial"/>
                <w:sz w:val="22"/>
                <w:szCs w:val="22"/>
                <w:color w:val="auto"/>
              </w:rPr>
              <w:t>Interest</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2.15.   Alternate Rate of Interest</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2.16.</w:t>
            </w:r>
          </w:p>
        </w:tc>
        <w:tc>
          <w:tcPr>
            <w:tcW w:w="7100" w:type="dxa"/>
            <w:vAlign w:val="bottom"/>
          </w:tcPr>
          <w:p>
            <w:pPr>
              <w:ind w:left="160"/>
              <w:spacing w:after="0"/>
              <w:rPr>
                <w:sz w:val="20"/>
                <w:szCs w:val="20"/>
                <w:color w:val="auto"/>
              </w:rPr>
            </w:pPr>
            <w:r>
              <w:rPr>
                <w:rFonts w:ascii="Arial" w:cs="Arial" w:eastAsia="Arial" w:hAnsi="Arial"/>
                <w:sz w:val="22"/>
                <w:szCs w:val="22"/>
                <w:color w:val="auto"/>
              </w:rPr>
              <w:t>Increased Costs</w:t>
            </w:r>
          </w:p>
        </w:tc>
        <w:tc>
          <w:tcPr>
            <w:tcW w:w="14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2.17.</w:t>
            </w:r>
          </w:p>
        </w:tc>
        <w:tc>
          <w:tcPr>
            <w:tcW w:w="710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4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2.18.</w:t>
            </w:r>
          </w:p>
        </w:tc>
        <w:tc>
          <w:tcPr>
            <w:tcW w:w="7100" w:type="dxa"/>
            <w:vAlign w:val="bottom"/>
          </w:tcPr>
          <w:p>
            <w:pPr>
              <w:ind w:left="160"/>
              <w:spacing w:after="0"/>
              <w:rPr>
                <w:sz w:val="20"/>
                <w:szCs w:val="20"/>
                <w:color w:val="auto"/>
              </w:rPr>
            </w:pPr>
            <w:r>
              <w:rPr>
                <w:rFonts w:ascii="Arial" w:cs="Arial" w:eastAsia="Arial" w:hAnsi="Arial"/>
                <w:sz w:val="22"/>
                <w:szCs w:val="22"/>
                <w:color w:val="auto"/>
              </w:rPr>
              <w:t>Taxes</w:t>
            </w:r>
          </w:p>
        </w:tc>
        <w:tc>
          <w:tcPr>
            <w:tcW w:w="14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1"/>
        </w:trPr>
        <w:tc>
          <w:tcPr>
            <w:tcW w:w="8640" w:type="dxa"/>
            <w:vAlign w:val="bottom"/>
            <w:gridSpan w:val="2"/>
          </w:tcPr>
          <w:p>
            <w:pPr>
              <w:spacing w:after="0"/>
              <w:rPr>
                <w:sz w:val="20"/>
                <w:szCs w:val="20"/>
                <w:color w:val="auto"/>
              </w:rPr>
            </w:pPr>
            <w:r>
              <w:rPr>
                <w:rFonts w:ascii="Arial" w:cs="Arial" w:eastAsia="Arial" w:hAnsi="Arial"/>
                <w:sz w:val="22"/>
                <w:szCs w:val="22"/>
                <w:color w:val="auto"/>
              </w:rPr>
              <w:t>SECTION 2.19.   Payments Generally; Pro Rata Treatment; Sharing of Set-offs</w:t>
            </w:r>
          </w:p>
        </w:tc>
        <w:tc>
          <w:tcPr>
            <w:tcW w:w="14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0"/>
        </w:trPr>
        <w:tc>
          <w:tcPr>
            <w:tcW w:w="8640" w:type="dxa"/>
            <w:vAlign w:val="bottom"/>
            <w:gridSpan w:val="2"/>
          </w:tcPr>
          <w:p>
            <w:pPr>
              <w:spacing w:after="0"/>
              <w:rPr>
                <w:sz w:val="20"/>
                <w:szCs w:val="20"/>
                <w:color w:val="auto"/>
              </w:rPr>
            </w:pPr>
            <w:r>
              <w:rPr>
                <w:rFonts w:ascii="Arial" w:cs="Arial" w:eastAsia="Arial" w:hAnsi="Arial"/>
                <w:sz w:val="22"/>
                <w:szCs w:val="22"/>
                <w:color w:val="auto"/>
              </w:rPr>
              <w:t>SECTION 2.20.   Mitigation Obligations; Replacement of Lenders</w:t>
            </w:r>
          </w:p>
        </w:tc>
        <w:tc>
          <w:tcPr>
            <w:tcW w:w="14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2.21.</w:t>
            </w:r>
          </w:p>
        </w:tc>
        <w:tc>
          <w:tcPr>
            <w:tcW w:w="7100" w:type="dxa"/>
            <w:vAlign w:val="bottom"/>
          </w:tcPr>
          <w:p>
            <w:pPr>
              <w:ind w:left="160"/>
              <w:spacing w:after="0"/>
              <w:rPr>
                <w:sz w:val="20"/>
                <w:szCs w:val="20"/>
                <w:color w:val="auto"/>
              </w:rPr>
            </w:pPr>
            <w:r>
              <w:rPr>
                <w:rFonts w:ascii="Arial" w:cs="Arial" w:eastAsia="Arial" w:hAnsi="Arial"/>
                <w:sz w:val="22"/>
                <w:szCs w:val="22"/>
                <w:color w:val="auto"/>
              </w:rPr>
              <w:t>Defaulting Lenders</w:t>
            </w:r>
          </w:p>
        </w:tc>
        <w:tc>
          <w:tcPr>
            <w:tcW w:w="14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2.22.</w:t>
            </w:r>
          </w:p>
        </w:tc>
        <w:tc>
          <w:tcPr>
            <w:tcW w:w="7100" w:type="dxa"/>
            <w:vAlign w:val="bottom"/>
          </w:tcPr>
          <w:p>
            <w:pPr>
              <w:ind w:left="160"/>
              <w:spacing w:after="0"/>
              <w:rPr>
                <w:sz w:val="20"/>
                <w:szCs w:val="20"/>
                <w:color w:val="auto"/>
              </w:rPr>
            </w:pPr>
            <w:r>
              <w:rPr>
                <w:rFonts w:ascii="Arial" w:cs="Arial" w:eastAsia="Arial" w:hAnsi="Arial"/>
                <w:sz w:val="22"/>
                <w:szCs w:val="22"/>
                <w:color w:val="auto"/>
              </w:rPr>
              <w:t>Incremental Commitments</w:t>
            </w:r>
          </w:p>
        </w:tc>
        <w:tc>
          <w:tcPr>
            <w:tcW w:w="1480" w:type="dxa"/>
            <w:vAlign w:val="bottom"/>
          </w:tcPr>
          <w:p>
            <w:pPr>
              <w:jc w:val="right"/>
              <w:spacing w:after="0"/>
              <w:rPr>
                <w:sz w:val="20"/>
                <w:szCs w:val="20"/>
                <w:color w:val="auto"/>
              </w:rPr>
            </w:pPr>
            <w:r>
              <w:rPr>
                <w:rFonts w:ascii="Arial" w:cs="Arial" w:eastAsia="Arial" w:hAnsi="Arial"/>
                <w:sz w:val="22"/>
                <w:szCs w:val="22"/>
                <w:color w:val="auto"/>
              </w:rPr>
              <w:t>56</w:t>
            </w:r>
          </w:p>
        </w:tc>
      </w:tr>
    </w:tbl>
    <w:p>
      <w:pPr>
        <w:spacing w:after="0" w:line="200" w:lineRule="exact"/>
        <w:rPr>
          <w:sz w:val="20"/>
          <w:szCs w:val="20"/>
          <w:color w:val="auto"/>
        </w:rPr>
      </w:pPr>
    </w:p>
    <w:p>
      <w:pPr>
        <w:sectPr>
          <w:pgSz w:w="11900" w:h="16838" w:orient="portrait"/>
          <w:cols w:equalWidth="0" w:num="1">
            <w:col w:w="10120"/>
          </w:cols>
          <w:pgMar w:left="1420" w:top="942" w:right="359" w:bottom="10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20"/>
          </w:cols>
          <w:pgMar w:left="1420" w:top="942" w:right="359" w:bottom="1079" w:gutter="0" w:footer="0" w:header="0"/>
          <w:type w:val="continuous"/>
        </w:sectPr>
      </w:pPr>
    </w:p>
    <w:bookmarkStart w:id="618" w:name="page619"/>
    <w:bookmarkEnd w:id="618"/>
    <w:p>
      <w:pPr>
        <w:jc w:val="center"/>
        <w:ind w:right="1080"/>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Representations and Warranties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500" w:type="dxa"/>
            <w:vAlign w:val="bottom"/>
            <w:gridSpan w:val="2"/>
          </w:tcPr>
          <w:p>
            <w:pPr>
              <w:spacing w:after="0"/>
              <w:rPr>
                <w:sz w:val="20"/>
                <w:szCs w:val="20"/>
                <w:color w:val="auto"/>
              </w:rPr>
            </w:pPr>
            <w:r>
              <w:rPr>
                <w:rFonts w:ascii="Arial" w:cs="Arial" w:eastAsia="Arial" w:hAnsi="Arial"/>
                <w:sz w:val="22"/>
                <w:szCs w:val="22"/>
                <w:color w:val="auto"/>
              </w:rPr>
              <w:t>SECTION 3.01.   Representations and Warranties of the Borrower</w:t>
            </w:r>
          </w:p>
        </w:tc>
        <w:tc>
          <w:tcPr>
            <w:tcW w:w="16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41"/>
        </w:trPr>
        <w:tc>
          <w:tcPr>
            <w:tcW w:w="1540" w:type="dxa"/>
            <w:vAlign w:val="bottom"/>
          </w:tcPr>
          <w:p>
            <w:pPr>
              <w:spacing w:after="0"/>
              <w:rPr>
                <w:sz w:val="24"/>
                <w:szCs w:val="24"/>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98"/>
              </w:rPr>
              <w:t>ARTICLE IV</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92"/>
              <w:spacing w:after="0"/>
              <w:rPr>
                <w:sz w:val="20"/>
                <w:szCs w:val="20"/>
                <w:color w:val="auto"/>
              </w:rPr>
            </w:pPr>
            <w:r>
              <w:rPr>
                <w:rFonts w:ascii="Arial" w:cs="Arial" w:eastAsia="Arial" w:hAnsi="Arial"/>
                <w:sz w:val="22"/>
                <w:szCs w:val="22"/>
                <w:color w:val="auto"/>
                <w:w w:val="92"/>
              </w:rPr>
              <w:t>Conditions</w:t>
            </w:r>
          </w:p>
        </w:tc>
        <w:tc>
          <w:tcPr>
            <w:tcW w:w="162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4.01.</w:t>
            </w:r>
          </w:p>
        </w:tc>
        <w:tc>
          <w:tcPr>
            <w:tcW w:w="6960" w:type="dxa"/>
            <w:vAlign w:val="bottom"/>
          </w:tcPr>
          <w:p>
            <w:pPr>
              <w:ind w:left="160"/>
              <w:spacing w:after="0"/>
              <w:rPr>
                <w:sz w:val="20"/>
                <w:szCs w:val="20"/>
                <w:color w:val="auto"/>
              </w:rPr>
            </w:pPr>
            <w:r>
              <w:rPr>
                <w:rFonts w:ascii="Arial" w:cs="Arial" w:eastAsia="Arial" w:hAnsi="Arial"/>
                <w:sz w:val="22"/>
                <w:szCs w:val="22"/>
                <w:color w:val="auto"/>
              </w:rPr>
              <w:t>Effective Date</w:t>
            </w:r>
          </w:p>
        </w:tc>
        <w:tc>
          <w:tcPr>
            <w:tcW w:w="16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4.02.</w:t>
            </w:r>
          </w:p>
        </w:tc>
        <w:tc>
          <w:tcPr>
            <w:tcW w:w="6960" w:type="dxa"/>
            <w:vAlign w:val="bottom"/>
          </w:tcPr>
          <w:p>
            <w:pPr>
              <w:ind w:left="160"/>
              <w:spacing w:after="0"/>
              <w:rPr>
                <w:sz w:val="20"/>
                <w:szCs w:val="20"/>
                <w:color w:val="auto"/>
              </w:rPr>
            </w:pPr>
            <w:r>
              <w:rPr>
                <w:rFonts w:ascii="Arial" w:cs="Arial" w:eastAsia="Arial" w:hAnsi="Arial"/>
                <w:sz w:val="22"/>
                <w:szCs w:val="22"/>
                <w:color w:val="auto"/>
              </w:rPr>
              <w:t>Each Credit Event</w:t>
            </w:r>
          </w:p>
        </w:tc>
        <w:tc>
          <w:tcPr>
            <w:tcW w:w="16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3"/>
        </w:trPr>
        <w:tc>
          <w:tcPr>
            <w:tcW w:w="1540" w:type="dxa"/>
            <w:vAlign w:val="bottom"/>
          </w:tcPr>
          <w:p>
            <w:pPr>
              <w:spacing w:after="0"/>
              <w:rPr>
                <w:sz w:val="24"/>
                <w:szCs w:val="24"/>
                <w:color w:val="auto"/>
              </w:rPr>
            </w:pPr>
          </w:p>
        </w:tc>
        <w:tc>
          <w:tcPr>
            <w:tcW w:w="6960" w:type="dxa"/>
            <w:vAlign w:val="bottom"/>
          </w:tcPr>
          <w:p>
            <w:pPr>
              <w:jc w:val="center"/>
              <w:ind w:right="892"/>
              <w:spacing w:after="0"/>
              <w:rPr>
                <w:sz w:val="20"/>
                <w:szCs w:val="20"/>
                <w:color w:val="auto"/>
              </w:rPr>
            </w:pPr>
            <w:r>
              <w:rPr>
                <w:rFonts w:ascii="Arial" w:cs="Arial" w:eastAsia="Arial" w:hAnsi="Arial"/>
                <w:sz w:val="22"/>
                <w:szCs w:val="22"/>
                <w:color w:val="auto"/>
                <w:w w:val="98"/>
              </w:rPr>
              <w:t>ARTICLE V</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89"/>
              </w:rPr>
              <w:t>Covenants of the Borrower</w:t>
            </w:r>
          </w:p>
        </w:tc>
        <w:tc>
          <w:tcPr>
            <w:tcW w:w="162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5.01.</w:t>
            </w:r>
          </w:p>
        </w:tc>
        <w:tc>
          <w:tcPr>
            <w:tcW w:w="6960" w:type="dxa"/>
            <w:vAlign w:val="bottom"/>
          </w:tcPr>
          <w:p>
            <w:pPr>
              <w:ind w:left="160"/>
              <w:spacing w:after="0"/>
              <w:rPr>
                <w:sz w:val="20"/>
                <w:szCs w:val="20"/>
                <w:color w:val="auto"/>
              </w:rPr>
            </w:pPr>
            <w:r>
              <w:rPr>
                <w:rFonts w:ascii="Arial" w:cs="Arial" w:eastAsia="Arial" w:hAnsi="Arial"/>
                <w:sz w:val="22"/>
                <w:szCs w:val="22"/>
                <w:color w:val="auto"/>
              </w:rPr>
              <w:t>Affirmative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5.02.</w:t>
            </w:r>
          </w:p>
        </w:tc>
        <w:tc>
          <w:tcPr>
            <w:tcW w:w="6960" w:type="dxa"/>
            <w:vAlign w:val="bottom"/>
          </w:tcPr>
          <w:p>
            <w:pPr>
              <w:ind w:left="160"/>
              <w:spacing w:after="0"/>
              <w:rPr>
                <w:sz w:val="20"/>
                <w:szCs w:val="20"/>
                <w:color w:val="auto"/>
              </w:rPr>
            </w:pPr>
            <w:r>
              <w:rPr>
                <w:rFonts w:ascii="Arial" w:cs="Arial" w:eastAsia="Arial" w:hAnsi="Arial"/>
                <w:sz w:val="22"/>
                <w:szCs w:val="22"/>
                <w:color w:val="auto"/>
              </w:rPr>
              <w:t>[Reserved]</w:t>
            </w:r>
          </w:p>
        </w:tc>
        <w:tc>
          <w:tcPr>
            <w:tcW w:w="1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5.03.</w:t>
            </w:r>
          </w:p>
        </w:tc>
        <w:tc>
          <w:tcPr>
            <w:tcW w:w="6960" w:type="dxa"/>
            <w:vAlign w:val="bottom"/>
          </w:tcPr>
          <w:p>
            <w:pPr>
              <w:ind w:left="160"/>
              <w:spacing w:after="0"/>
              <w:rPr>
                <w:sz w:val="20"/>
                <w:szCs w:val="20"/>
                <w:color w:val="auto"/>
              </w:rPr>
            </w:pPr>
            <w:r>
              <w:rPr>
                <w:rFonts w:ascii="Arial" w:cs="Arial" w:eastAsia="Arial" w:hAnsi="Arial"/>
                <w:sz w:val="22"/>
                <w:szCs w:val="22"/>
                <w:color w:val="auto"/>
              </w:rPr>
              <w:t>Negative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5.04.</w:t>
            </w:r>
          </w:p>
        </w:tc>
        <w:tc>
          <w:tcPr>
            <w:tcW w:w="6960" w:type="dxa"/>
            <w:vAlign w:val="bottom"/>
          </w:tcPr>
          <w:p>
            <w:pPr>
              <w:ind w:left="160"/>
              <w:spacing w:after="0"/>
              <w:rPr>
                <w:sz w:val="20"/>
                <w:szCs w:val="20"/>
                <w:color w:val="auto"/>
              </w:rPr>
            </w:pPr>
            <w:r>
              <w:rPr>
                <w:rFonts w:ascii="Arial" w:cs="Arial" w:eastAsia="Arial" w:hAnsi="Arial"/>
                <w:sz w:val="22"/>
                <w:szCs w:val="22"/>
                <w:color w:val="auto"/>
              </w:rPr>
              <w:t>Financial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41"/>
        </w:trPr>
        <w:tc>
          <w:tcPr>
            <w:tcW w:w="1540" w:type="dxa"/>
            <w:vAlign w:val="bottom"/>
          </w:tcPr>
          <w:p>
            <w:pPr>
              <w:spacing w:after="0"/>
              <w:rPr>
                <w:sz w:val="24"/>
                <w:szCs w:val="24"/>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98"/>
              </w:rPr>
              <w:t>ARTICLE VI</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92"/>
              <w:spacing w:after="0"/>
              <w:rPr>
                <w:sz w:val="20"/>
                <w:szCs w:val="20"/>
                <w:color w:val="auto"/>
              </w:rPr>
            </w:pPr>
            <w:r>
              <w:rPr>
                <w:rFonts w:ascii="Arial" w:cs="Arial" w:eastAsia="Arial" w:hAnsi="Arial"/>
                <w:sz w:val="22"/>
                <w:szCs w:val="22"/>
                <w:color w:val="auto"/>
                <w:w w:val="90"/>
              </w:rPr>
              <w:t>Events of Default</w:t>
            </w:r>
          </w:p>
        </w:tc>
        <w:tc>
          <w:tcPr>
            <w:tcW w:w="162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6.01.</w:t>
            </w:r>
          </w:p>
        </w:tc>
        <w:tc>
          <w:tcPr>
            <w:tcW w:w="6960" w:type="dxa"/>
            <w:vAlign w:val="bottom"/>
          </w:tcPr>
          <w:p>
            <w:pPr>
              <w:ind w:left="160"/>
              <w:spacing w:after="0"/>
              <w:rPr>
                <w:sz w:val="20"/>
                <w:szCs w:val="20"/>
                <w:color w:val="auto"/>
              </w:rPr>
            </w:pPr>
            <w:r>
              <w:rPr>
                <w:rFonts w:ascii="Arial" w:cs="Arial" w:eastAsia="Arial" w:hAnsi="Arial"/>
                <w:sz w:val="22"/>
                <w:szCs w:val="22"/>
                <w:color w:val="auto"/>
              </w:rPr>
              <w:t>Events of Default</w:t>
            </w:r>
          </w:p>
        </w:tc>
        <w:tc>
          <w:tcPr>
            <w:tcW w:w="16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6.02.   Application of Payments</w:t>
            </w:r>
          </w:p>
        </w:tc>
        <w:tc>
          <w:tcPr>
            <w:tcW w:w="16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441"/>
        </w:trPr>
        <w:tc>
          <w:tcPr>
            <w:tcW w:w="1540" w:type="dxa"/>
            <w:vAlign w:val="bottom"/>
          </w:tcPr>
          <w:p>
            <w:pPr>
              <w:spacing w:after="0"/>
              <w:rPr>
                <w:sz w:val="24"/>
                <w:szCs w:val="24"/>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rPr>
              <w:t>ARTICLE VII</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88"/>
              </w:rPr>
              <w:t>[Reserved]</w:t>
            </w:r>
          </w:p>
        </w:tc>
        <w:tc>
          <w:tcPr>
            <w:tcW w:w="1620" w:type="dxa"/>
            <w:vAlign w:val="bottom"/>
          </w:tcPr>
          <w:p>
            <w:pPr>
              <w:spacing w:after="0"/>
              <w:rPr>
                <w:sz w:val="23"/>
                <w:szCs w:val="23"/>
                <w:color w:val="auto"/>
              </w:rPr>
            </w:pPr>
          </w:p>
        </w:tc>
      </w:tr>
      <w:tr>
        <w:trPr>
          <w:trHeight w:val="441"/>
        </w:trPr>
        <w:tc>
          <w:tcPr>
            <w:tcW w:w="1540" w:type="dxa"/>
            <w:vAlign w:val="bottom"/>
          </w:tcPr>
          <w:p>
            <w:pPr>
              <w:spacing w:after="0"/>
              <w:rPr>
                <w:sz w:val="24"/>
                <w:szCs w:val="24"/>
                <w:color w:val="auto"/>
              </w:rPr>
            </w:pPr>
          </w:p>
        </w:tc>
        <w:tc>
          <w:tcPr>
            <w:tcW w:w="6960" w:type="dxa"/>
            <w:vAlign w:val="bottom"/>
          </w:tcPr>
          <w:p>
            <w:pPr>
              <w:jc w:val="center"/>
              <w:ind w:right="892"/>
              <w:spacing w:after="0"/>
              <w:rPr>
                <w:sz w:val="20"/>
                <w:szCs w:val="20"/>
                <w:color w:val="auto"/>
              </w:rPr>
            </w:pPr>
            <w:r>
              <w:rPr>
                <w:rFonts w:ascii="Arial" w:cs="Arial" w:eastAsia="Arial" w:hAnsi="Arial"/>
                <w:sz w:val="22"/>
                <w:szCs w:val="22"/>
                <w:color w:val="auto"/>
                <w:w w:val="99"/>
              </w:rPr>
              <w:t>ARTICLE VIII</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90"/>
              </w:rPr>
              <w:t>The Administrative Agent and the Syndication Agent</w:t>
            </w:r>
          </w:p>
        </w:tc>
        <w:tc>
          <w:tcPr>
            <w:tcW w:w="1620" w:type="dxa"/>
            <w:vAlign w:val="bottom"/>
          </w:tcPr>
          <w:p>
            <w:pPr>
              <w:spacing w:after="0"/>
              <w:rPr>
                <w:sz w:val="23"/>
                <w:szCs w:val="23"/>
                <w:color w:val="auto"/>
              </w:rPr>
            </w:pPr>
          </w:p>
        </w:tc>
      </w:tr>
      <w:tr>
        <w:trPr>
          <w:trHeight w:val="459"/>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8.01.   Authorization and Action</w:t>
            </w:r>
          </w:p>
        </w:tc>
        <w:tc>
          <w:tcPr>
            <w:tcW w:w="16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8.02.   Administrative Agent’s Reliance, Indemnification, Etc</w:t>
            </w:r>
          </w:p>
        </w:tc>
        <w:tc>
          <w:tcPr>
            <w:tcW w:w="16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8.03.   Posting of Communications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1"/>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8.04.   The Administrative Agent Individually</w:t>
            </w:r>
          </w:p>
        </w:tc>
        <w:tc>
          <w:tcPr>
            <w:tcW w:w="1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8.05.   Successor Administrative Agent</w:t>
            </w:r>
          </w:p>
        </w:tc>
        <w:tc>
          <w:tcPr>
            <w:tcW w:w="1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8.06.   Acknowledgements of Lenders</w:t>
            </w:r>
          </w:p>
        </w:tc>
        <w:tc>
          <w:tcPr>
            <w:tcW w:w="16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8.07.</w:t>
            </w:r>
          </w:p>
        </w:tc>
        <w:tc>
          <w:tcPr>
            <w:tcW w:w="6960" w:type="dxa"/>
            <w:vAlign w:val="bottom"/>
          </w:tcPr>
          <w:p>
            <w:pPr>
              <w:ind w:left="160"/>
              <w:spacing w:after="0"/>
              <w:rPr>
                <w:sz w:val="20"/>
                <w:szCs w:val="20"/>
                <w:color w:val="auto"/>
              </w:rPr>
            </w:pPr>
            <w:r>
              <w:rPr>
                <w:rFonts w:ascii="Arial" w:cs="Arial" w:eastAsia="Arial" w:hAnsi="Arial"/>
                <w:sz w:val="22"/>
                <w:szCs w:val="22"/>
                <w:color w:val="auto"/>
              </w:rPr>
              <w:t>Collateral Matters</w:t>
            </w:r>
          </w:p>
        </w:tc>
        <w:tc>
          <w:tcPr>
            <w:tcW w:w="162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8.08.   Certain ERISA Matters</w:t>
            </w:r>
          </w:p>
        </w:tc>
        <w:tc>
          <w:tcPr>
            <w:tcW w:w="162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8.09.</w:t>
            </w:r>
          </w:p>
        </w:tc>
        <w:tc>
          <w:tcPr>
            <w:tcW w:w="6960" w:type="dxa"/>
            <w:vAlign w:val="bottom"/>
          </w:tcPr>
          <w:p>
            <w:pPr>
              <w:ind w:left="160"/>
              <w:spacing w:after="0"/>
              <w:rPr>
                <w:sz w:val="20"/>
                <w:szCs w:val="20"/>
                <w:color w:val="auto"/>
              </w:rPr>
            </w:pPr>
            <w:r>
              <w:rPr>
                <w:rFonts w:ascii="Arial" w:cs="Arial" w:eastAsia="Arial" w:hAnsi="Arial"/>
                <w:sz w:val="22"/>
                <w:szCs w:val="22"/>
                <w:color w:val="auto"/>
              </w:rPr>
              <w:t>Credit Bidding</w:t>
            </w:r>
          </w:p>
        </w:tc>
        <w:tc>
          <w:tcPr>
            <w:tcW w:w="1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441"/>
        </w:trPr>
        <w:tc>
          <w:tcPr>
            <w:tcW w:w="1540" w:type="dxa"/>
            <w:vAlign w:val="bottom"/>
          </w:tcPr>
          <w:p>
            <w:pPr>
              <w:spacing w:after="0"/>
              <w:rPr>
                <w:sz w:val="24"/>
                <w:szCs w:val="24"/>
                <w:color w:val="auto"/>
              </w:rPr>
            </w:pPr>
          </w:p>
        </w:tc>
        <w:tc>
          <w:tcPr>
            <w:tcW w:w="6960" w:type="dxa"/>
            <w:vAlign w:val="bottom"/>
          </w:tcPr>
          <w:p>
            <w:pPr>
              <w:jc w:val="center"/>
              <w:ind w:right="872"/>
              <w:spacing w:after="0"/>
              <w:rPr>
                <w:sz w:val="20"/>
                <w:szCs w:val="20"/>
                <w:color w:val="auto"/>
              </w:rPr>
            </w:pPr>
            <w:r>
              <w:rPr>
                <w:rFonts w:ascii="Arial" w:cs="Arial" w:eastAsia="Arial" w:hAnsi="Arial"/>
                <w:sz w:val="22"/>
                <w:szCs w:val="22"/>
                <w:color w:val="auto"/>
                <w:w w:val="98"/>
              </w:rPr>
              <w:t>ARTICLE IX</w:t>
            </w:r>
          </w:p>
        </w:tc>
        <w:tc>
          <w:tcPr>
            <w:tcW w:w="1620" w:type="dxa"/>
            <w:vAlign w:val="bottom"/>
          </w:tcPr>
          <w:p>
            <w:pPr>
              <w:spacing w:after="0"/>
              <w:rPr>
                <w:sz w:val="24"/>
                <w:szCs w:val="24"/>
                <w:color w:val="auto"/>
              </w:rPr>
            </w:pPr>
          </w:p>
        </w:tc>
      </w:tr>
      <w:tr>
        <w:trPr>
          <w:trHeight w:val="274"/>
        </w:trPr>
        <w:tc>
          <w:tcPr>
            <w:tcW w:w="1540" w:type="dxa"/>
            <w:vAlign w:val="bottom"/>
          </w:tcPr>
          <w:p>
            <w:pPr>
              <w:spacing w:after="0"/>
              <w:rPr>
                <w:sz w:val="23"/>
                <w:szCs w:val="23"/>
                <w:color w:val="auto"/>
              </w:rPr>
            </w:pPr>
          </w:p>
        </w:tc>
        <w:tc>
          <w:tcPr>
            <w:tcW w:w="6960" w:type="dxa"/>
            <w:vAlign w:val="bottom"/>
          </w:tcPr>
          <w:p>
            <w:pPr>
              <w:jc w:val="center"/>
              <w:ind w:right="892"/>
              <w:spacing w:after="0"/>
              <w:rPr>
                <w:sz w:val="20"/>
                <w:szCs w:val="20"/>
                <w:color w:val="auto"/>
              </w:rPr>
            </w:pPr>
            <w:r>
              <w:rPr>
                <w:rFonts w:ascii="Arial" w:cs="Arial" w:eastAsia="Arial" w:hAnsi="Arial"/>
                <w:sz w:val="22"/>
                <w:szCs w:val="22"/>
                <w:color w:val="auto"/>
                <w:w w:val="88"/>
              </w:rPr>
              <w:t>Miscellaneous</w:t>
            </w:r>
          </w:p>
        </w:tc>
        <w:tc>
          <w:tcPr>
            <w:tcW w:w="1620" w:type="dxa"/>
            <w:vAlign w:val="bottom"/>
          </w:tcPr>
          <w:p>
            <w:pPr>
              <w:spacing w:after="0"/>
              <w:rPr>
                <w:sz w:val="23"/>
                <w:szCs w:val="23"/>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w w:val="99"/>
              </w:rPr>
              <w:t>SECTION 9.01.</w:t>
            </w:r>
          </w:p>
        </w:tc>
        <w:tc>
          <w:tcPr>
            <w:tcW w:w="6960" w:type="dxa"/>
            <w:vAlign w:val="bottom"/>
          </w:tcPr>
          <w:p>
            <w:pPr>
              <w:ind w:left="160"/>
              <w:spacing w:after="0"/>
              <w:rPr>
                <w:sz w:val="20"/>
                <w:szCs w:val="20"/>
                <w:color w:val="auto"/>
              </w:rPr>
            </w:pPr>
            <w:r>
              <w:rPr>
                <w:rFonts w:ascii="Arial" w:cs="Arial" w:eastAsia="Arial" w:hAnsi="Arial"/>
                <w:sz w:val="22"/>
                <w:szCs w:val="22"/>
                <w:color w:val="auto"/>
              </w:rPr>
              <w:t>Notices</w:t>
            </w:r>
          </w:p>
        </w:tc>
        <w:tc>
          <w:tcPr>
            <w:tcW w:w="16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9.02.</w:t>
            </w:r>
          </w:p>
        </w:tc>
        <w:tc>
          <w:tcPr>
            <w:tcW w:w="6960" w:type="dxa"/>
            <w:vAlign w:val="bottom"/>
          </w:tcPr>
          <w:p>
            <w:pPr>
              <w:ind w:left="160"/>
              <w:spacing w:after="0"/>
              <w:rPr>
                <w:sz w:val="20"/>
                <w:szCs w:val="20"/>
                <w:color w:val="auto"/>
              </w:rPr>
            </w:pPr>
            <w:r>
              <w:rPr>
                <w:rFonts w:ascii="Arial" w:cs="Arial" w:eastAsia="Arial" w:hAnsi="Arial"/>
                <w:sz w:val="22"/>
                <w:szCs w:val="22"/>
                <w:color w:val="auto"/>
              </w:rPr>
              <w:t>Waivers; Amendments</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9.03.   Expenses; Limitation of Liability; Indemnity; Damage Waiver</w:t>
            </w:r>
          </w:p>
        </w:tc>
        <w:tc>
          <w:tcPr>
            <w:tcW w:w="16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10"/>
        </w:trPr>
        <w:tc>
          <w:tcPr>
            <w:tcW w:w="8500" w:type="dxa"/>
            <w:vAlign w:val="bottom"/>
            <w:gridSpan w:val="2"/>
          </w:tcPr>
          <w:p>
            <w:pPr>
              <w:spacing w:after="0"/>
              <w:rPr>
                <w:sz w:val="20"/>
                <w:szCs w:val="20"/>
                <w:color w:val="auto"/>
              </w:rPr>
            </w:pPr>
            <w:r>
              <w:rPr>
                <w:rFonts w:ascii="Arial" w:cs="Arial" w:eastAsia="Arial" w:hAnsi="Arial"/>
                <w:sz w:val="22"/>
                <w:szCs w:val="22"/>
                <w:color w:val="auto"/>
              </w:rPr>
              <w:t>SECTION 9.04.   Successors and Assigns</w:t>
            </w:r>
          </w:p>
        </w:tc>
        <w:tc>
          <w:tcPr>
            <w:tcW w:w="1620" w:type="dxa"/>
            <w:vAlign w:val="bottom"/>
          </w:tcPr>
          <w:p>
            <w:pPr>
              <w:jc w:val="right"/>
              <w:spacing w:after="0"/>
              <w:rPr>
                <w:sz w:val="20"/>
                <w:szCs w:val="20"/>
                <w:color w:val="auto"/>
              </w:rPr>
            </w:pPr>
            <w:r>
              <w:rPr>
                <w:rFonts w:ascii="Arial" w:cs="Arial" w:eastAsia="Arial" w:hAnsi="Arial"/>
                <w:sz w:val="22"/>
                <w:szCs w:val="22"/>
                <w:color w:val="auto"/>
              </w:rPr>
              <w:t>98</w:t>
            </w:r>
          </w:p>
        </w:tc>
      </w:tr>
    </w:tbl>
    <w:p>
      <w:pPr>
        <w:sectPr>
          <w:pgSz w:w="11900" w:h="16838" w:orient="portrait"/>
          <w:cols w:equalWidth="0" w:num="1">
            <w:col w:w="10120"/>
          </w:cols>
          <w:pgMar w:left="1420" w:top="996" w:right="359" w:bottom="1440" w:gutter="0" w:footer="0" w:header="0"/>
        </w:sectPr>
      </w:pPr>
    </w:p>
    <w:bookmarkStart w:id="619" w:name="page620"/>
    <w:bookmarkEnd w:id="619"/>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w w:val="99"/>
              </w:rPr>
              <w:t>SECTION 9.05.</w:t>
            </w:r>
          </w:p>
        </w:tc>
        <w:tc>
          <w:tcPr>
            <w:tcW w:w="7500" w:type="dxa"/>
            <w:vAlign w:val="bottom"/>
          </w:tcPr>
          <w:p>
            <w:pPr>
              <w:ind w:left="160"/>
              <w:spacing w:after="0"/>
              <w:rPr>
                <w:sz w:val="20"/>
                <w:szCs w:val="20"/>
                <w:color w:val="auto"/>
              </w:rPr>
            </w:pPr>
            <w:r>
              <w:rPr>
                <w:rFonts w:ascii="Arial" w:cs="Arial" w:eastAsia="Arial" w:hAnsi="Arial"/>
                <w:sz w:val="22"/>
                <w:szCs w:val="22"/>
                <w:color w:val="auto"/>
              </w:rPr>
              <w:t>Survival</w:t>
            </w:r>
          </w:p>
        </w:tc>
        <w:tc>
          <w:tcPr>
            <w:tcW w:w="10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11"/>
        </w:trPr>
        <w:tc>
          <w:tcPr>
            <w:tcW w:w="9040" w:type="dxa"/>
            <w:vAlign w:val="bottom"/>
            <w:gridSpan w:val="2"/>
          </w:tcPr>
          <w:p>
            <w:pPr>
              <w:spacing w:after="0"/>
              <w:rPr>
                <w:sz w:val="20"/>
                <w:szCs w:val="20"/>
                <w:color w:val="auto"/>
              </w:rPr>
            </w:pPr>
            <w:r>
              <w:rPr>
                <w:rFonts w:ascii="Arial" w:cs="Arial" w:eastAsia="Arial" w:hAnsi="Arial"/>
                <w:sz w:val="22"/>
                <w:szCs w:val="22"/>
                <w:color w:val="auto"/>
              </w:rPr>
              <w:t>SECTION 9.06.   Counterparts; Integration; Effectiveness; Electronic Execution</w:t>
            </w:r>
          </w:p>
        </w:tc>
        <w:tc>
          <w:tcPr>
            <w:tcW w:w="10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9.07.</w:t>
            </w:r>
          </w:p>
        </w:tc>
        <w:tc>
          <w:tcPr>
            <w:tcW w:w="7500" w:type="dxa"/>
            <w:vAlign w:val="bottom"/>
          </w:tcPr>
          <w:p>
            <w:pPr>
              <w:ind w:left="160"/>
              <w:spacing w:after="0"/>
              <w:rPr>
                <w:sz w:val="20"/>
                <w:szCs w:val="20"/>
                <w:color w:val="auto"/>
              </w:rPr>
            </w:pPr>
            <w:r>
              <w:rPr>
                <w:rFonts w:ascii="Arial" w:cs="Arial" w:eastAsia="Arial" w:hAnsi="Arial"/>
                <w:sz w:val="22"/>
                <w:szCs w:val="22"/>
                <w:color w:val="auto"/>
              </w:rPr>
              <w:t>Severability</w:t>
            </w:r>
          </w:p>
        </w:tc>
        <w:tc>
          <w:tcPr>
            <w:tcW w:w="10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9.08.</w:t>
            </w:r>
          </w:p>
        </w:tc>
        <w:tc>
          <w:tcPr>
            <w:tcW w:w="7500" w:type="dxa"/>
            <w:vAlign w:val="bottom"/>
          </w:tcPr>
          <w:p>
            <w:pPr>
              <w:ind w:left="160"/>
              <w:spacing w:after="0"/>
              <w:rPr>
                <w:sz w:val="20"/>
                <w:szCs w:val="20"/>
                <w:color w:val="auto"/>
              </w:rPr>
            </w:pPr>
            <w:r>
              <w:rPr>
                <w:rFonts w:ascii="Arial" w:cs="Arial" w:eastAsia="Arial" w:hAnsi="Arial"/>
                <w:sz w:val="22"/>
                <w:szCs w:val="22"/>
                <w:color w:val="auto"/>
              </w:rPr>
              <w:t>Right of Set off</w:t>
            </w:r>
          </w:p>
        </w:tc>
        <w:tc>
          <w:tcPr>
            <w:tcW w:w="10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10"/>
        </w:trPr>
        <w:tc>
          <w:tcPr>
            <w:tcW w:w="9040" w:type="dxa"/>
            <w:vAlign w:val="bottom"/>
            <w:gridSpan w:val="2"/>
          </w:tcPr>
          <w:p>
            <w:pPr>
              <w:spacing w:after="0"/>
              <w:rPr>
                <w:sz w:val="20"/>
                <w:szCs w:val="20"/>
                <w:color w:val="auto"/>
              </w:rPr>
            </w:pPr>
            <w:r>
              <w:rPr>
                <w:rFonts w:ascii="Arial" w:cs="Arial" w:eastAsia="Arial" w:hAnsi="Arial"/>
                <w:sz w:val="22"/>
                <w:szCs w:val="22"/>
                <w:color w:val="auto"/>
              </w:rPr>
              <w:t>SECTION 9.09.   Governing Law; Jurisdiction; Consent to Service of Process</w:t>
            </w:r>
          </w:p>
        </w:tc>
        <w:tc>
          <w:tcPr>
            <w:tcW w:w="10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11"/>
        </w:trPr>
        <w:tc>
          <w:tcPr>
            <w:tcW w:w="9040" w:type="dxa"/>
            <w:vAlign w:val="bottom"/>
            <w:gridSpan w:val="2"/>
          </w:tcPr>
          <w:p>
            <w:pPr>
              <w:spacing w:after="0"/>
              <w:rPr>
                <w:sz w:val="20"/>
                <w:szCs w:val="20"/>
                <w:color w:val="auto"/>
              </w:rPr>
            </w:pPr>
            <w:r>
              <w:rPr>
                <w:rFonts w:ascii="Arial" w:cs="Arial" w:eastAsia="Arial" w:hAnsi="Arial"/>
                <w:sz w:val="22"/>
                <w:szCs w:val="22"/>
                <w:color w:val="auto"/>
              </w:rPr>
              <w:t>SECTION 9.10.   WAIVER OF JURY TRIAL</w:t>
            </w:r>
          </w:p>
        </w:tc>
        <w:tc>
          <w:tcPr>
            <w:tcW w:w="10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310"/>
        </w:trPr>
        <w:tc>
          <w:tcPr>
            <w:tcW w:w="1540" w:type="dxa"/>
            <w:vAlign w:val="bottom"/>
          </w:tcPr>
          <w:p>
            <w:pPr>
              <w:ind w:left="20"/>
              <w:spacing w:after="0"/>
              <w:rPr>
                <w:sz w:val="20"/>
                <w:szCs w:val="20"/>
                <w:color w:val="auto"/>
              </w:rPr>
            </w:pPr>
            <w:r>
              <w:rPr>
                <w:rFonts w:ascii="Arial" w:cs="Arial" w:eastAsia="Arial" w:hAnsi="Arial"/>
                <w:sz w:val="22"/>
                <w:szCs w:val="22"/>
                <w:color w:val="auto"/>
                <w:w w:val="98"/>
              </w:rPr>
              <w:t>SECTION 9.11.</w:t>
            </w:r>
          </w:p>
        </w:tc>
        <w:tc>
          <w:tcPr>
            <w:tcW w:w="7500" w:type="dxa"/>
            <w:vAlign w:val="bottom"/>
          </w:tcPr>
          <w:p>
            <w:pPr>
              <w:ind w:left="160"/>
              <w:spacing w:after="0"/>
              <w:rPr>
                <w:sz w:val="20"/>
                <w:szCs w:val="20"/>
                <w:color w:val="auto"/>
              </w:rPr>
            </w:pPr>
            <w:r>
              <w:rPr>
                <w:rFonts w:ascii="Arial" w:cs="Arial" w:eastAsia="Arial" w:hAnsi="Arial"/>
                <w:sz w:val="22"/>
                <w:szCs w:val="22"/>
                <w:color w:val="auto"/>
              </w:rPr>
              <w:t>Headings</w:t>
            </w:r>
          </w:p>
        </w:tc>
        <w:tc>
          <w:tcPr>
            <w:tcW w:w="10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9.12.</w:t>
            </w:r>
          </w:p>
        </w:tc>
        <w:tc>
          <w:tcPr>
            <w:tcW w:w="7500" w:type="dxa"/>
            <w:vAlign w:val="bottom"/>
          </w:tcPr>
          <w:p>
            <w:pPr>
              <w:ind w:left="160"/>
              <w:spacing w:after="0"/>
              <w:rPr>
                <w:sz w:val="20"/>
                <w:szCs w:val="20"/>
                <w:color w:val="auto"/>
              </w:rPr>
            </w:pPr>
            <w:r>
              <w:rPr>
                <w:rFonts w:ascii="Arial" w:cs="Arial" w:eastAsia="Arial" w:hAnsi="Arial"/>
                <w:sz w:val="22"/>
                <w:szCs w:val="22"/>
                <w:color w:val="auto"/>
              </w:rPr>
              <w:t>Confidentiality</w:t>
            </w:r>
          </w:p>
        </w:tc>
        <w:tc>
          <w:tcPr>
            <w:tcW w:w="10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311"/>
        </w:trPr>
        <w:tc>
          <w:tcPr>
            <w:tcW w:w="9040" w:type="dxa"/>
            <w:vAlign w:val="bottom"/>
            <w:gridSpan w:val="2"/>
          </w:tcPr>
          <w:p>
            <w:pPr>
              <w:spacing w:after="0"/>
              <w:rPr>
                <w:sz w:val="20"/>
                <w:szCs w:val="20"/>
                <w:color w:val="auto"/>
              </w:rPr>
            </w:pPr>
            <w:r>
              <w:rPr>
                <w:rFonts w:ascii="Arial" w:cs="Arial" w:eastAsia="Arial" w:hAnsi="Arial"/>
                <w:sz w:val="22"/>
                <w:szCs w:val="22"/>
                <w:color w:val="auto"/>
              </w:rPr>
              <w:t>SECTION 9.13.   Interest Rate Limitation</w:t>
            </w:r>
          </w:p>
        </w:tc>
        <w:tc>
          <w:tcPr>
            <w:tcW w:w="108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10"/>
        </w:trPr>
        <w:tc>
          <w:tcPr>
            <w:tcW w:w="9040" w:type="dxa"/>
            <w:vAlign w:val="bottom"/>
            <w:gridSpan w:val="2"/>
          </w:tcPr>
          <w:p>
            <w:pPr>
              <w:spacing w:after="0"/>
              <w:rPr>
                <w:sz w:val="20"/>
                <w:szCs w:val="20"/>
                <w:color w:val="auto"/>
              </w:rPr>
            </w:pPr>
            <w:r>
              <w:rPr>
                <w:rFonts w:ascii="Arial" w:cs="Arial" w:eastAsia="Arial" w:hAnsi="Arial"/>
                <w:sz w:val="22"/>
                <w:szCs w:val="22"/>
                <w:color w:val="auto"/>
              </w:rPr>
              <w:t>SECTION 9.14.   USA PATRIOT ACT</w:t>
            </w:r>
          </w:p>
        </w:tc>
        <w:tc>
          <w:tcPr>
            <w:tcW w:w="108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11"/>
        </w:trPr>
        <w:tc>
          <w:tcPr>
            <w:tcW w:w="1540" w:type="dxa"/>
            <w:vAlign w:val="bottom"/>
          </w:tcPr>
          <w:p>
            <w:pPr>
              <w:spacing w:after="0"/>
              <w:rPr>
                <w:sz w:val="20"/>
                <w:szCs w:val="20"/>
                <w:color w:val="auto"/>
              </w:rPr>
            </w:pPr>
            <w:r>
              <w:rPr>
                <w:rFonts w:ascii="Arial" w:cs="Arial" w:eastAsia="Arial" w:hAnsi="Arial"/>
                <w:sz w:val="22"/>
                <w:szCs w:val="22"/>
                <w:color w:val="auto"/>
                <w:w w:val="99"/>
              </w:rPr>
              <w:t>SECTION 9.15.</w:t>
            </w:r>
          </w:p>
        </w:tc>
        <w:tc>
          <w:tcPr>
            <w:tcW w:w="7500" w:type="dxa"/>
            <w:vAlign w:val="bottom"/>
          </w:tcPr>
          <w:p>
            <w:pPr>
              <w:ind w:left="160"/>
              <w:spacing w:after="0"/>
              <w:rPr>
                <w:sz w:val="20"/>
                <w:szCs w:val="20"/>
                <w:color w:val="auto"/>
              </w:rPr>
            </w:pPr>
            <w:r>
              <w:rPr>
                <w:rFonts w:ascii="Arial" w:cs="Arial" w:eastAsia="Arial" w:hAnsi="Arial"/>
                <w:sz w:val="22"/>
                <w:szCs w:val="22"/>
                <w:color w:val="auto"/>
              </w:rPr>
              <w:t>No Fiduciary Duty</w:t>
            </w:r>
          </w:p>
        </w:tc>
        <w:tc>
          <w:tcPr>
            <w:tcW w:w="108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10"/>
        </w:trPr>
        <w:tc>
          <w:tcPr>
            <w:tcW w:w="9040" w:type="dxa"/>
            <w:vAlign w:val="bottom"/>
            <w:gridSpan w:val="2"/>
          </w:tcPr>
          <w:p>
            <w:pPr>
              <w:spacing w:after="0"/>
              <w:rPr>
                <w:sz w:val="20"/>
                <w:szCs w:val="20"/>
                <w:color w:val="auto"/>
              </w:rPr>
            </w:pPr>
            <w:r>
              <w:rPr>
                <w:rFonts w:ascii="Arial" w:cs="Arial" w:eastAsia="Arial" w:hAnsi="Arial"/>
                <w:sz w:val="22"/>
                <w:szCs w:val="22"/>
                <w:color w:val="auto"/>
              </w:rPr>
              <w:t>SECTION 9.16.   Acknowledgement and Consent to Bail-In of Affected Financial Institutions</w:t>
            </w:r>
          </w:p>
        </w:tc>
        <w:tc>
          <w:tcPr>
            <w:tcW w:w="108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11"/>
        </w:trPr>
        <w:tc>
          <w:tcPr>
            <w:tcW w:w="9040" w:type="dxa"/>
            <w:vAlign w:val="bottom"/>
            <w:gridSpan w:val="2"/>
          </w:tcPr>
          <w:p>
            <w:pPr>
              <w:spacing w:after="0"/>
              <w:rPr>
                <w:sz w:val="20"/>
                <w:szCs w:val="20"/>
                <w:color w:val="auto"/>
              </w:rPr>
            </w:pPr>
            <w:r>
              <w:rPr>
                <w:rFonts w:ascii="Arial" w:cs="Arial" w:eastAsia="Arial" w:hAnsi="Arial"/>
                <w:sz w:val="22"/>
                <w:szCs w:val="22"/>
                <w:color w:val="auto"/>
              </w:rPr>
              <w:t>SECTION 9.17.   Acknowledgement Regarding Any Supported QFCs</w:t>
            </w:r>
          </w:p>
        </w:tc>
        <w:tc>
          <w:tcPr>
            <w:tcW w:w="108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10"/>
        </w:trPr>
        <w:tc>
          <w:tcPr>
            <w:tcW w:w="1540" w:type="dxa"/>
            <w:vAlign w:val="bottom"/>
          </w:tcPr>
          <w:p>
            <w:pPr>
              <w:spacing w:after="0"/>
              <w:rPr>
                <w:sz w:val="20"/>
                <w:szCs w:val="20"/>
                <w:color w:val="auto"/>
              </w:rPr>
            </w:pPr>
            <w:r>
              <w:rPr>
                <w:rFonts w:ascii="Arial" w:cs="Arial" w:eastAsia="Arial" w:hAnsi="Arial"/>
                <w:sz w:val="22"/>
                <w:szCs w:val="22"/>
                <w:color w:val="auto"/>
                <w:w w:val="99"/>
              </w:rPr>
              <w:t>SECTION 9.18.</w:t>
            </w:r>
          </w:p>
        </w:tc>
        <w:tc>
          <w:tcPr>
            <w:tcW w:w="7500" w:type="dxa"/>
            <w:vAlign w:val="bottom"/>
          </w:tcPr>
          <w:p>
            <w:pPr>
              <w:ind w:left="160"/>
              <w:spacing w:after="0"/>
              <w:rPr>
                <w:sz w:val="20"/>
                <w:szCs w:val="20"/>
                <w:color w:val="auto"/>
              </w:rPr>
            </w:pPr>
            <w:r>
              <w:rPr>
                <w:rFonts w:ascii="Arial" w:cs="Arial" w:eastAsia="Arial" w:hAnsi="Arial"/>
                <w:sz w:val="22"/>
                <w:szCs w:val="22"/>
                <w:color w:val="auto"/>
              </w:rPr>
              <w:t>Release of Liens</w:t>
            </w:r>
          </w:p>
        </w:tc>
        <w:tc>
          <w:tcPr>
            <w:tcW w:w="1080" w:type="dxa"/>
            <w:vAlign w:val="bottom"/>
          </w:tcPr>
          <w:p>
            <w:pPr>
              <w:jc w:val="right"/>
              <w:spacing w:after="0"/>
              <w:rPr>
                <w:sz w:val="20"/>
                <w:szCs w:val="20"/>
                <w:color w:val="auto"/>
              </w:rPr>
            </w:pPr>
            <w:r>
              <w:rPr>
                <w:rFonts w:ascii="Arial" w:cs="Arial" w:eastAsia="Arial" w:hAnsi="Arial"/>
                <w:sz w:val="22"/>
                <w:szCs w:val="22"/>
                <w:color w:val="auto"/>
              </w:rPr>
              <w:t>110</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Schedule 1.1A – Commitments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1.1B - Broker-Dealer Licenses and Memberships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3.01(s) - Filings Schedule 5.03(a) - Liens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5.03(b) - Debt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5.03(g) - 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5.03(i) - Transactions with Affiliates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Schedule 5.03(m) - Restrictive Agreements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Assignment and Assumption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B - Financial Covenant Computations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C - Form of U.S. Tax Certificate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D - Form of Borrowing Request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E - Form of Note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F - Form of Security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G - Form of Tranche B Limit Notice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H - Form of Tranche C Limit Notice</w:t>
      </w:r>
    </w:p>
    <w:p>
      <w:pPr>
        <w:sectPr>
          <w:pgSz w:w="11900" w:h="16838" w:orient="portrait"/>
          <w:cols w:equalWidth="0" w:num="1">
            <w:col w:w="11220"/>
          </w:cols>
          <w:pgMar w:left="320" w:top="996" w:right="359" w:bottom="1440" w:gutter="0" w:footer="0" w:header="0"/>
        </w:sectPr>
      </w:pPr>
    </w:p>
    <w:bookmarkStart w:id="620" w:name="page621"/>
    <w:bookmarkEnd w:id="620"/>
    <w:p>
      <w:pPr>
        <w:jc w:val="both"/>
        <w:ind w:firstLine="1296"/>
        <w:spacing w:after="0" w:line="271" w:lineRule="auto"/>
        <w:rPr>
          <w:sz w:val="20"/>
          <w:szCs w:val="20"/>
          <w:color w:val="auto"/>
        </w:rPr>
      </w:pPr>
      <w:r>
        <w:rPr>
          <w:rFonts w:ascii="Arial" w:cs="Arial" w:eastAsia="Arial" w:hAnsi="Arial"/>
          <w:sz w:val="21"/>
          <w:szCs w:val="21"/>
          <w:color w:val="auto"/>
        </w:rPr>
        <w:t>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April 16, 2021, among ROBINHOOD SECURITIES, LLC,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the several banks and other financial institutions or entities from time to time parties to this Agreement, and JPMORGAN CHASE BANK, N.A., as Administrative Agent.</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parties hereto agree as follows:</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166"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JPMorgan Chase Bank, N.A. in its capacity as administrative agent for the Lenders hereunder and under the other Credit Documents, together with any of its successors and assigns.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Agent-Related Person</w:t>
      </w:r>
      <w:r>
        <w:rPr>
          <w:rFonts w:ascii="Arial" w:cs="Arial" w:eastAsia="Arial" w:hAnsi="Arial"/>
          <w:sz w:val="22"/>
          <w:szCs w:val="22"/>
          <w:color w:val="auto"/>
        </w:rPr>
        <w:t>” has the meaning assigned to such term in Section 9.03(d).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preamble to this Agreement.</w:t>
      </w:r>
    </w:p>
    <w:p>
      <w:pPr>
        <w:spacing w:after="0" w:line="16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Value</w:t>
      </w:r>
      <w:r>
        <w:rPr>
          <w:rFonts w:ascii="Arial" w:cs="Arial" w:eastAsia="Arial" w:hAnsi="Arial"/>
          <w:sz w:val="19"/>
          <w:szCs w:val="19"/>
          <w:color w:val="auto"/>
        </w:rPr>
        <w:t xml:space="preserve">” means, for each Hedge Agreement, on any date of determination, an amount equal to the amount, if any, that would be payable (giving effect to any netting agreements) by the Borrower or any of its Subsidiaries to its counterparty to such Hedge Agreement in accordance with its terms as if such Hedge Agreement was being terminated early on such date of determination, as determined based upon one or more mid-market or other readily available quotations provided by any recognized dealer in such Hedge Agreements (which may not include a Lender or an Affiliate of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any date on or after the date such Hedge Agreement has been closed out, and a termination value has been determined in accordance therewith, the “Agreement Value” shall be such termination value.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has the meaning assigned to such term in Section 9.06(b).</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Anti-Corruption/Anti-Money Laundering Laws</w:t>
      </w:r>
      <w:r>
        <w:rPr>
          <w:rFonts w:ascii="Arial" w:cs="Arial" w:eastAsia="Arial" w:hAnsi="Arial"/>
          <w:sz w:val="22"/>
          <w:szCs w:val="22"/>
          <w:color w:val="auto"/>
        </w:rPr>
        <w:t>” means all laws, rules and regulations of any jurisdiction applicable to the Borrower or any of its Subsidiaries from time to time concerning or relating to bribery, corruption or anti-money laundering.</w:t>
      </w:r>
    </w:p>
    <w:p>
      <w:pPr>
        <w:sectPr>
          <w:pgSz w:w="11900" w:h="16838" w:orient="portrait"/>
          <w:cols w:equalWidth="0" w:num="1">
            <w:col w:w="11240"/>
          </w:cols>
          <w:pgMar w:left="320" w:top="942" w:right="339" w:bottom="1440" w:gutter="0" w:footer="0" w:header="0"/>
        </w:sectPr>
      </w:pPr>
    </w:p>
    <w:bookmarkStart w:id="621" w:name="page622"/>
    <w:bookmarkEnd w:id="62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Parties</w:t>
      </w:r>
      <w:r>
        <w:rPr>
          <w:rFonts w:ascii="Arial" w:cs="Arial" w:eastAsia="Arial" w:hAnsi="Arial"/>
          <w:sz w:val="22"/>
          <w:szCs w:val="22"/>
          <w:color w:val="auto"/>
        </w:rPr>
        <w:t>” has the meaning assigned to it in Section 8.03(c).</w:t>
      </w:r>
    </w:p>
    <w:p>
      <w:pPr>
        <w:spacing w:after="0" w:line="1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means, with respect to any Lender, the percentage of the total Commitments represented by such Lender’s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Section 2.21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3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Rate</w:t>
      </w:r>
      <w:r>
        <w:rPr>
          <w:rFonts w:ascii="Arial" w:cs="Arial" w:eastAsia="Arial" w:hAnsi="Arial"/>
          <w:sz w:val="21"/>
          <w:szCs w:val="21"/>
          <w:color w:val="auto"/>
        </w:rPr>
        <w:t>” means, subject to Section 2.15(g), for any day, (a) in the case of any Tranche A Loan (including any Swingline Loan that is a Tranche A Loan), a rate per annum equal to 1.25%, (b) in the case of any Tranche B Loan (including any Swingline Loan that is a Tranche B Loan), a rate per annum equal to 2.50% and (c) in the case of any Tranche C Loan (including any Swingline Loan that is a Tranche C Loan), a rate per annum equal to 2.50%.</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 has the meaning assigned to it in Section 8.03(a).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meaning assigned to such term in Section 9.04(b).</w:t>
      </w:r>
    </w:p>
    <w:p>
      <w:pPr>
        <w:spacing w:after="0" w:line="16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means an assignment and assumption entered into by a Lender and an assignee (with the consent of any party whose consent is required by Section 9.04), and accepted by the Administrative Agent, substantially in the form of Exhibit A or any other form approved by the Administrative Agent and the Borrower.</w:t>
      </w:r>
    </w:p>
    <w:p>
      <w:pPr>
        <w:spacing w:after="0" w:line="11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Debt</w:t>
      </w:r>
      <w:r>
        <w:rPr>
          <w:rFonts w:ascii="Arial" w:cs="Arial" w:eastAsia="Arial" w:hAnsi="Arial"/>
          <w:sz w:val="22"/>
          <w:szCs w:val="22"/>
          <w:color w:val="auto"/>
        </w:rPr>
        <w:t>” means, on any date of determination, (a) in respect of any Capital Lease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w:t>
      </w:r>
    </w:p>
    <w:p>
      <w:pPr>
        <w:spacing w:after="0" w:line="1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shall mean the managing partner, any general partner, any principal, any treasury manager, the president, the chief executive officer or any other similar executive officer, the chief financial officer, the chief operating officer, the principal accounting officer, the treasurer or the controller (or any other officer, partner or other authorized signatory so designated by any of the foregoing) of the Borrower that has delivered a customary incumbency certificate to the Administrative Agent.</w:t>
      </w:r>
    </w:p>
    <w:p>
      <w:pPr>
        <w:spacing w:after="0" w:line="1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the Commitments.</w:t>
      </w:r>
    </w:p>
    <w:p>
      <w:pPr>
        <w:spacing w:after="0" w:line="121"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Commitment</w:t>
      </w:r>
      <w:r>
        <w:rPr>
          <w:rFonts w:ascii="Arial" w:cs="Arial" w:eastAsia="Arial" w:hAnsi="Arial"/>
          <w:sz w:val="21"/>
          <w:szCs w:val="21"/>
          <w:color w:val="auto"/>
        </w:rPr>
        <w:t xml:space="preserve">” means, as to any Lender at any time, an amount equal to the excess, if any, of (a) such Lender’s Commitment then in effect </w:t>
      </w:r>
      <w:r>
        <w:rPr>
          <w:rFonts w:ascii="Arial" w:cs="Arial" w:eastAsia="Arial" w:hAnsi="Arial"/>
          <w:sz w:val="21"/>
          <w:szCs w:val="21"/>
          <w:u w:val="single" w:color="auto"/>
          <w:color w:val="auto"/>
        </w:rPr>
        <w:t>over</w:t>
      </w:r>
      <w:r>
        <w:rPr>
          <w:rFonts w:ascii="Arial" w:cs="Arial" w:eastAsia="Arial" w:hAnsi="Arial"/>
          <w:sz w:val="21"/>
          <w:szCs w:val="21"/>
          <w:color w:val="auto"/>
        </w:rPr>
        <w:t xml:space="preserve"> (b) such Lender’s Revolving Credit Exposure; </w:t>
      </w:r>
      <w:r>
        <w:rPr>
          <w:rFonts w:ascii="Arial" w:cs="Arial" w:eastAsia="Arial" w:hAnsi="Arial"/>
          <w:sz w:val="21"/>
          <w:szCs w:val="21"/>
          <w:u w:val="single" w:color="auto"/>
          <w:color w:val="auto"/>
        </w:rPr>
        <w:t>provided</w:t>
      </w:r>
      <w:r>
        <w:rPr>
          <w:rFonts w:ascii="Arial" w:cs="Arial" w:eastAsia="Arial" w:hAnsi="Arial"/>
          <w:sz w:val="21"/>
          <w:szCs w:val="21"/>
          <w:color w:val="auto"/>
        </w:rPr>
        <w:t>, that in calculating any Lender’s Revolving Credit Exposure for the purpose of determining such Lender’s Available Commitment pursuant to Section 2.04(a), the aggregate principal amount of Swingline Loans then outstanding shall be deemed to be zero.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42" w:right="339" w:bottom="1440" w:gutter="0" w:footer="0" w:header="0"/>
        </w:sectPr>
      </w:pPr>
    </w:p>
    <w:bookmarkStart w:id="622" w:name="page623"/>
    <w:bookmarkEnd w:id="622"/>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2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Title 11 of the United States Code (11 U.S.C. §101 et seq.), as now and hereafter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14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means the Bankruptcy Code and any other federal, state or foreign bankruptcy, insolvency, receivership or similar law affecting creditors’ rights.</w:t>
      </w:r>
    </w:p>
    <w:p>
      <w:pPr>
        <w:spacing w:after="0" w:line="12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Eurodollar Base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or an Early Opt-in Election, as applicable, and its related Benchmark Replacement Date have occurred with respect to Eurodollar Base Rate or the then-current Benchmark, then “Benchmark” means the applicable Benchmark Replacement to the extent that such Benchmark Replacement has replaced such prior benchmark rate pursuant to clause (b) or clause (c) of Section 2.15.</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the first alternative set forth in the order below that can be determined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for the applicable Benchmark Replacement Date:</w:t>
      </w:r>
    </w:p>
    <w:p>
      <w:pPr>
        <w:spacing w:after="0" w:line="148" w:lineRule="exact"/>
        <w:rPr>
          <w:sz w:val="20"/>
          <w:szCs w:val="20"/>
          <w:color w:val="auto"/>
        </w:rPr>
      </w:pPr>
    </w:p>
    <w:p>
      <w:pPr>
        <w:ind w:left="5580" w:right="1060" w:hanging="4276"/>
        <w:spacing w:after="0" w:line="788" w:lineRule="auto"/>
        <w:tabs>
          <w:tab w:leader="none" w:pos="1782" w:val="left"/>
        </w:tabs>
        <w:numPr>
          <w:ilvl w:val="0"/>
          <w:numId w:val="430"/>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 and 3</w:t>
      </w:r>
    </w:p>
    <w:p>
      <w:pPr>
        <w:sectPr>
          <w:pgSz w:w="11900" w:h="16838" w:orient="portrait"/>
          <w:cols w:equalWidth="0" w:num="1">
            <w:col w:w="11240"/>
          </w:cols>
          <w:pgMar w:left="320" w:top="942" w:right="339" w:bottom="1440" w:gutter="0" w:footer="0" w:header="0"/>
        </w:sectPr>
      </w:pPr>
    </w:p>
    <w:bookmarkStart w:id="623" w:name="page624"/>
    <w:bookmarkEnd w:id="623"/>
    <w:p>
      <w:pPr>
        <w:jc w:val="both"/>
        <w:ind w:firstLine="1304"/>
        <w:spacing w:after="0" w:line="247" w:lineRule="auto"/>
        <w:tabs>
          <w:tab w:leader="none" w:pos="1869" w:val="left"/>
        </w:tabs>
        <w:numPr>
          <w:ilvl w:val="0"/>
          <w:numId w:val="431"/>
        </w:numPr>
        <w:rPr>
          <w:rFonts w:ascii="Arial" w:cs="Arial" w:eastAsia="Arial" w:hAnsi="Arial"/>
          <w:sz w:val="22"/>
          <w:szCs w:val="22"/>
          <w:color w:val="auto"/>
        </w:rPr>
      </w:pPr>
      <w:r>
        <w:rPr>
          <w:rFonts w:ascii="Arial" w:cs="Arial" w:eastAsia="Arial" w:hAnsi="Arial"/>
          <w:sz w:val="22"/>
          <w:szCs w:val="22"/>
          <w:color w:val="auto"/>
        </w:rPr>
        <w:t>the sum of: (a) the alternate benchmark rate that has been selected by the Administrative Agent and the Borrower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39"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If the Benchmark Replacement as determined pursuant to clause (1) or (2) above would be less than the Floor, the Benchmark Replacement will be deemed to be the Floor for the purposes of this Agreement and the other Credit Documents.</w:t>
      </w:r>
    </w:p>
    <w:p>
      <w:pPr>
        <w:spacing w:after="0" w:line="50"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setting of such Unadjusted Benchmark Replacement:</w:t>
      </w:r>
    </w:p>
    <w:p>
      <w:pPr>
        <w:spacing w:after="0" w:line="97" w:lineRule="exact"/>
        <w:rPr>
          <w:sz w:val="20"/>
          <w:szCs w:val="20"/>
          <w:color w:val="auto"/>
        </w:rPr>
      </w:pPr>
    </w:p>
    <w:p>
      <w:pPr>
        <w:ind w:left="1800" w:hanging="496"/>
        <w:spacing w:after="0"/>
        <w:tabs>
          <w:tab w:leader="none" w:pos="180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for purposes of clause (1) of the definition of “Benchmark Replacement,” a spread adjustment of 0.11448%;</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48" w:lineRule="exact"/>
        <w:rPr>
          <w:sz w:val="20"/>
          <w:szCs w:val="20"/>
          <w:color w:val="auto"/>
        </w:rPr>
      </w:pPr>
    </w:p>
    <w:p>
      <w:pPr>
        <w:jc w:val="both"/>
        <w:ind w:firstLine="1304"/>
        <w:spacing w:after="0" w:line="290" w:lineRule="auto"/>
        <w:tabs>
          <w:tab w:leader="none" w:pos="1801" w:val="left"/>
        </w:tabs>
        <w:numPr>
          <w:ilvl w:val="0"/>
          <w:numId w:val="433"/>
        </w:numPr>
        <w:rPr>
          <w:rFonts w:ascii="Arial" w:cs="Arial" w:eastAsia="Arial" w:hAnsi="Arial"/>
          <w:sz w:val="19"/>
          <w:szCs w:val="19"/>
          <w:color w:val="auto"/>
        </w:rPr>
      </w:pPr>
      <w:r>
        <w:rPr>
          <w:rFonts w:ascii="Arial" w:cs="Arial" w:eastAsia="Arial" w:hAnsi="Arial"/>
          <w:sz w:val="19"/>
          <w:szCs w:val="19"/>
          <w:color w:val="auto"/>
        </w:rPr>
        <w:t>for purposes of clause (2) of the definition of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0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“Short-Term Funding Rate,” the definition of “Business Day,” timing and frequency of determining rates and making payments of interest or other changes to the billing cycle,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12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42" w:right="339" w:bottom="1440" w:gutter="0" w:footer="0" w:header="0"/>
        </w:sectPr>
      </w:pPr>
    </w:p>
    <w:bookmarkStart w:id="624" w:name="page625"/>
    <w:bookmarkEnd w:id="624"/>
    <w:p>
      <w:pPr>
        <w:jc w:val="both"/>
        <w:ind w:firstLine="1304"/>
        <w:spacing w:after="0" w:line="250" w:lineRule="auto"/>
        <w:tabs>
          <w:tab w:leader="none" w:pos="1790"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w:t>
      </w:r>
    </w:p>
    <w:p>
      <w:pPr>
        <w:spacing w:after="0" w:line="133" w:lineRule="exact"/>
        <w:rPr>
          <w:rFonts w:ascii="Arial" w:cs="Arial" w:eastAsia="Arial" w:hAnsi="Arial"/>
          <w:sz w:val="22"/>
          <w:szCs w:val="22"/>
          <w:color w:val="auto"/>
        </w:rPr>
      </w:pPr>
    </w:p>
    <w:p>
      <w:pPr>
        <w:ind w:firstLine="1304"/>
        <w:spacing w:after="0" w:line="263" w:lineRule="auto"/>
        <w:tabs>
          <w:tab w:leader="none" w:pos="1798"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 or</w:t>
      </w:r>
    </w:p>
    <w:p>
      <w:pPr>
        <w:spacing w:after="0" w:line="120" w:lineRule="exact"/>
        <w:rPr>
          <w:rFonts w:ascii="Arial" w:cs="Arial" w:eastAsia="Arial" w:hAnsi="Arial"/>
          <w:sz w:val="22"/>
          <w:szCs w:val="22"/>
          <w:color w:val="auto"/>
        </w:rPr>
      </w:pPr>
    </w:p>
    <w:p>
      <w:pPr>
        <w:jc w:val="both"/>
        <w:ind w:firstLine="1304"/>
        <w:spacing w:after="0" w:line="250" w:lineRule="auto"/>
        <w:tabs>
          <w:tab w:leader="none" w:pos="1846" w:val="left"/>
        </w:tabs>
        <w:numPr>
          <w:ilvl w:val="0"/>
          <w:numId w:val="434"/>
        </w:numPr>
        <w:rPr>
          <w:rFonts w:ascii="Arial" w:cs="Arial" w:eastAsia="Arial" w:hAnsi="Arial"/>
          <w:sz w:val="22"/>
          <w:szCs w:val="22"/>
          <w:color w:val="auto"/>
        </w:rPr>
      </w:pPr>
      <w:r>
        <w:rPr>
          <w:rFonts w:ascii="Arial" w:cs="Arial" w:eastAsia="Arial" w:hAnsi="Arial"/>
          <w:sz w:val="22"/>
          <w:szCs w:val="22"/>
          <w:color w:val="auto"/>
        </w:rPr>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134"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such Benchmark (or the published component used in the calculation thereof).</w:t>
      </w:r>
    </w:p>
    <w:p>
      <w:pPr>
        <w:spacing w:after="0" w:line="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21" w:lineRule="exact"/>
        <w:rPr>
          <w:sz w:val="20"/>
          <w:szCs w:val="20"/>
          <w:color w:val="auto"/>
        </w:rPr>
      </w:pPr>
    </w:p>
    <w:p>
      <w:pPr>
        <w:jc w:val="both"/>
        <w:ind w:firstLine="1304"/>
        <w:spacing w:after="0" w:line="302" w:lineRule="auto"/>
        <w:tabs>
          <w:tab w:leader="none" w:pos="1795" w:val="left"/>
        </w:tabs>
        <w:numPr>
          <w:ilvl w:val="0"/>
          <w:numId w:val="435"/>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provided that, at the time of such statement or publication, there is no successor administrator that will continue to provide such Benchmark (or such component thereof);</w:t>
      </w:r>
    </w:p>
    <w:p>
      <w:pPr>
        <w:spacing w:after="0" w:line="88" w:lineRule="exact"/>
        <w:rPr>
          <w:rFonts w:ascii="Arial" w:cs="Arial" w:eastAsia="Arial" w:hAnsi="Arial"/>
          <w:sz w:val="19"/>
          <w:szCs w:val="19"/>
          <w:color w:val="auto"/>
        </w:rPr>
      </w:pPr>
    </w:p>
    <w:p>
      <w:pPr>
        <w:jc w:val="both"/>
        <w:ind w:firstLine="1304"/>
        <w:spacing w:after="0" w:line="259" w:lineRule="auto"/>
        <w:tabs>
          <w:tab w:leader="none" w:pos="1832" w:val="left"/>
        </w:tabs>
        <w:numPr>
          <w:ilvl w:val="0"/>
          <w:numId w:val="435"/>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provided that, at the time of such statement or publication, there is no successor administrator that will continue to provide such Benchmark (or such component thereof); or</w:t>
      </w:r>
    </w:p>
    <w:p>
      <w:pPr>
        <w:spacing w:after="0" w:line="129" w:lineRule="exact"/>
        <w:rPr>
          <w:rFonts w:ascii="Arial" w:cs="Arial" w:eastAsia="Arial" w:hAnsi="Arial"/>
          <w:sz w:val="21"/>
          <w:szCs w:val="21"/>
          <w:color w:val="auto"/>
        </w:rPr>
      </w:pPr>
    </w:p>
    <w:p>
      <w:pPr>
        <w:ind w:firstLine="1304"/>
        <w:spacing w:after="0" w:line="263" w:lineRule="auto"/>
        <w:tabs>
          <w:tab w:leader="none" w:pos="1832" w:val="left"/>
        </w:tabs>
        <w:numPr>
          <w:ilvl w:val="0"/>
          <w:numId w:val="435"/>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42" w:right="339" w:bottom="1440" w:gutter="0" w:footer="0" w:header="0"/>
        </w:sectPr>
      </w:pPr>
    </w:p>
    <w:bookmarkStart w:id="625" w:name="page626"/>
    <w:bookmarkEnd w:id="625"/>
    <w:p>
      <w:pPr>
        <w:spacing w:after="0"/>
        <w:rPr>
          <w:sz w:val="20"/>
          <w:szCs w:val="20"/>
          <w:color w:val="auto"/>
        </w:rPr>
      </w:pPr>
      <w:r>
        <w:rPr>
          <w:rFonts w:ascii="Arial" w:cs="Arial" w:eastAsia="Arial" w:hAnsi="Arial"/>
          <w:sz w:val="22"/>
          <w:szCs w:val="22"/>
          <w:color w:val="auto"/>
        </w:rPr>
        <w:t>calculation thereof) announcing that such Benchmark (or such component thereof) is no longer representative.</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such Benchmark (or the published component used in the calculation thereof).</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Credit Document in accordance with Section 2.15 and (y) ending at the time that a Benchmark Replacement has replaced the then-current Benchmark for all purposes hereunder and under any Credit Document in accordance with Section 2.15.</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the Bank Holding Company Act (12 U.S.C. 1841(k))) of such party.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Revolving Loans made, converted or continued, or Swingline Loans made or continued by the Swingline Lender, in either case on the same date.</w:t>
      </w:r>
    </w:p>
    <w:p>
      <w:pPr>
        <w:spacing w:after="0" w:line="12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mean any Business Day specified by the Borrower as a date on which the Borrower requests the Lenders to make Loans hereunder.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has the meaning assigned to such term in Section 2.03(a).</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Broker-Dealer Licenses and Memberships</w:t>
      </w:r>
      <w:r>
        <w:rPr>
          <w:rFonts w:ascii="Arial" w:cs="Arial" w:eastAsia="Arial" w:hAnsi="Arial"/>
          <w:sz w:val="22"/>
          <w:szCs w:val="22"/>
          <w:color w:val="auto"/>
        </w:rPr>
        <w:t>” means (a) the memberships of the Borrower and each Broker-Dealer Subsidiary that is a Domestic Subsidiary with NSCC, DTC and FINRA, (b) the other memberships listed on Schedule 1.1B of the Borrower and each Broker-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42" w:right="339" w:bottom="1440" w:gutter="0" w:footer="0" w:header="0"/>
        </w:sectPr>
      </w:pPr>
    </w:p>
    <w:bookmarkStart w:id="626" w:name="page627"/>
    <w:bookmarkEnd w:id="626"/>
    <w:p>
      <w:pPr>
        <w:jc w:val="both"/>
        <w:spacing w:after="0" w:line="263" w:lineRule="auto"/>
        <w:rPr>
          <w:sz w:val="20"/>
          <w:szCs w:val="20"/>
          <w:color w:val="auto"/>
        </w:rPr>
      </w:pPr>
      <w:r>
        <w:rPr>
          <w:rFonts w:ascii="Arial" w:cs="Arial" w:eastAsia="Arial" w:hAnsi="Arial"/>
          <w:sz w:val="22"/>
          <w:szCs w:val="22"/>
          <w:color w:val="auto"/>
        </w:rPr>
        <w:t>Dealer Subsidiary, (c) the licenses with Governmental Authorities listed on Schedule 1.1B of the Borrower and each Broker-Dealer Subsidiary.</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Broker-Dealer Registrations</w:t>
      </w:r>
      <w:r>
        <w:rPr>
          <w:rFonts w:ascii="Arial" w:cs="Arial" w:eastAsia="Arial" w:hAnsi="Arial"/>
          <w:sz w:val="22"/>
          <w:szCs w:val="22"/>
          <w:color w:val="auto"/>
        </w:rPr>
        <w:t>” means the registrations of the Borrower and each Broker-Dealer Subsidiary with the SEC and all other Governmental Authorities which require registration and have jurisdiction over the Borrower and/or such Broker-Dealer Subsidiary.</w:t>
      </w:r>
    </w:p>
    <w:p>
      <w:pPr>
        <w:spacing w:after="0" w:line="13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Broker-Dealer Subsidiary</w:t>
      </w:r>
      <w:r>
        <w:rPr>
          <w:rFonts w:ascii="Arial" w:cs="Arial" w:eastAsia="Arial" w:hAnsi="Arial"/>
          <w:sz w:val="22"/>
          <w:szCs w:val="22"/>
          <w:color w:val="auto"/>
        </w:rPr>
        <w:t>” means any Subsidiary of the Borrower that is a “registered broker and/or dealer” under the Securities Exchange Act.</w:t>
      </w:r>
    </w:p>
    <w:p>
      <w:pPr>
        <w:spacing w:after="0" w:line="1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means any day that is not a Saturday, Sunday or other day on which commercial banks in New York City are authorized or required by law to remain closed;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“Business Day” shall also exclude any day on which banks are not open for dealings in dollar deposits in the London interbank market.</w:t>
      </w:r>
    </w:p>
    <w:p>
      <w:pPr>
        <w:spacing w:after="0" w:line="113"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as applied to any Person, means any lease of any property (whether real, personal or mixed) by that Person as lessee that, in conformity with GAAP, is accounted for as a capital lease on the balance sheet of that Person.</w:t>
      </w:r>
    </w:p>
    <w:p>
      <w:pPr>
        <w:spacing w:after="0" w:line="5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xml:space="preserve">” means, collectively, (a) marketable direct obligations issued or unconditionally guaranteed by the United States or Canada or any agency thereof maturing within two years from the date of acquisition thereof, (b) commercial paper maturing no more than nine months from the date of creation thereof and rated at least A-2 by S&amp;P or P-2 by Moody’s, or carrying an equivalent rating by a nationally recognized rating agency, if both of the two named rating agencies cease publishing ratings of commercial paper, (c) certificates of deposit, time deposits, Eurodollar time deposits or overnight bank deposits maturing no more than three hundred sixty-five (365) days (or three hundred sixty-six (366) days in a leap year) from the date of creation thereof issued by commercial banks incorporated under the laws of the United States, and any state thereof or Canada, each having combined capital, surplus and undivided profits of not less than $500,000,000, (d) time deposits maturing no more than one hundred twenty (120) days from the date of creation thereof with commercial banks or savings banks or savings and loan associations (i) each having a long term deposit rating of “A3” or “A-” (or its equivalent) or (ii) each having membership either in the FDIC or CDIC;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subsection (ii) only, (x) such time deposits shall be limited to $250,000 (or the applicable insurance threshold if different) with each commercial bank or savings bank or savings and loan association having membership in the FDIC and (y) such time deposits shall be limited to $100,000 (or the applicable insurance threshold if different) with each commercial bank or savings bank or savings and loan association having membership in the CDIC, (e) repurchase obligations with a term of not more than one hundred twenty (120) days for underlying securities of the types described in clause (a) above entered into with a Lender or a bank meeting the qualifications described in clause (c) above, (f) readily marketable securities with maturities of six months or less from the date of acquisition backed by standby letters of credit issued by a Lender or a bank meeting the qualifications described in clause (c) above, (g) readily marketable securities with maturities of two years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42" w:right="339" w:bottom="1440" w:gutter="0" w:footer="0" w:header="0"/>
        </w:sectPr>
      </w:pPr>
    </w:p>
    <w:bookmarkStart w:id="627" w:name="page628"/>
    <w:bookmarkEnd w:id="627"/>
    <w:p>
      <w:pPr>
        <w:spacing w:after="0" w:line="291" w:lineRule="auto"/>
        <w:rPr>
          <w:sz w:val="20"/>
          <w:szCs w:val="20"/>
          <w:color w:val="auto"/>
        </w:rPr>
      </w:pPr>
      <w:r>
        <w:rPr>
          <w:rFonts w:ascii="Arial" w:cs="Arial" w:eastAsia="Arial" w:hAnsi="Arial"/>
          <w:sz w:val="19"/>
          <w:szCs w:val="19"/>
          <w:color w:val="auto"/>
        </w:rPr>
        <w:t>A by S&amp;P or A by Moody’s, (h) investments in money market funds substantially all of whose assets are comprised of securities of the types and having the maturities described in clauses (a) through (g) above and (i) investments in money market funds that</w:t>
      </w:r>
    </w:p>
    <w:p>
      <w:pPr>
        <w:spacing w:after="0" w:line="1" w:lineRule="exact"/>
        <w:rPr>
          <w:sz w:val="20"/>
          <w:szCs w:val="20"/>
          <w:color w:val="auto"/>
        </w:rPr>
      </w:pPr>
    </w:p>
    <w:p>
      <w:pPr>
        <w:ind w:firstLine="8"/>
        <w:spacing w:after="0" w:line="246" w:lineRule="auto"/>
        <w:tabs>
          <w:tab w:leader="none" w:pos="276" w:val="left"/>
        </w:tabs>
        <w:numPr>
          <w:ilvl w:val="0"/>
          <w:numId w:val="436"/>
        </w:numPr>
        <w:rPr>
          <w:rFonts w:ascii="Arial" w:cs="Arial" w:eastAsia="Arial" w:hAnsi="Arial"/>
          <w:sz w:val="22"/>
          <w:szCs w:val="22"/>
          <w:color w:val="auto"/>
        </w:rPr>
      </w:pPr>
      <w:r>
        <w:rPr>
          <w:rFonts w:ascii="Arial" w:cs="Arial" w:eastAsia="Arial" w:hAnsi="Arial"/>
          <w:sz w:val="22"/>
          <w:szCs w:val="22"/>
          <w:color w:val="auto"/>
        </w:rPr>
        <w:t>comply with the criteria set forth in SEC Rule 2a-7 under the Investment Company Act of 1940, as amended, (ii) are rated AAA by S&amp;P and Aaa by Moody’s and (iii) have portfolio assets of at least $1,000,000,000.</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CDIC</w:t>
      </w:r>
      <w:r>
        <w:rPr>
          <w:rFonts w:ascii="Arial" w:cs="Arial" w:eastAsia="Arial" w:hAnsi="Arial"/>
          <w:sz w:val="22"/>
          <w:szCs w:val="22"/>
          <w:color w:val="auto"/>
        </w:rPr>
        <w:t>” means the Canada Deposit Insurance Corporation or any successor entity.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within the meaning of Section 957 of the Code.</w:t>
      </w:r>
    </w:p>
    <w:p>
      <w:pPr>
        <w:spacing w:after="0" w:line="1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herein to the contrary, (i) the Dodd-Frank Wall Street Reform and Consumer Protection Act and all requests, rules, regulations,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of the following</w:t>
      </w:r>
    </w:p>
    <w:p>
      <w:pPr>
        <w:spacing w:after="0" w:line="166" w:lineRule="exact"/>
        <w:rPr>
          <w:sz w:val="20"/>
          <w:szCs w:val="20"/>
          <w:color w:val="auto"/>
        </w:rPr>
      </w:pPr>
    </w:p>
    <w:p>
      <w:pPr>
        <w:jc w:val="both"/>
        <w:ind w:firstLine="1304"/>
        <w:spacing w:after="0" w:line="246" w:lineRule="auto"/>
        <w:tabs>
          <w:tab w:leader="none" w:pos="1803" w:val="left"/>
        </w:tabs>
        <w:numPr>
          <w:ilvl w:val="0"/>
          <w:numId w:val="437"/>
        </w:numPr>
        <w:rPr>
          <w:rFonts w:ascii="Arial" w:cs="Arial" w:eastAsia="Arial" w:hAnsi="Arial"/>
          <w:sz w:val="22"/>
          <w:szCs w:val="22"/>
          <w:color w:val="auto"/>
        </w:rPr>
      </w:pPr>
      <w:r>
        <w:rPr>
          <w:rFonts w:ascii="Arial" w:cs="Arial" w:eastAsia="Arial" w:hAnsi="Arial"/>
          <w:sz w:val="22"/>
          <w:szCs w:val="22"/>
          <w:color w:val="auto"/>
        </w:rPr>
        <w:t>at any time prior to a Qualified IPO, any Person or “group” (within the meaning of Rules 13d-3 and 13d-5 under the Securities Exchange Act of 1934 as in effect on the Effective Date, but excluding any employee benefit plan of such Person or its Subsidiaries and any Person acting in its capacity as trustee, agent or other fiduciary or administrator of such plan) other than the Permitted Holders shall, directly or indirectly, own and control at least the greater of (x) 35% and (y) the percentage held by the Permitted Holders of the outstanding Equity Interests of Holdco having the general voting power to elect the board of directors of Holdco (in each case, determined on a fully diluted basis, without giving effect to contingent voting rights that have not vested);</w:t>
      </w:r>
    </w:p>
    <w:p>
      <w:pPr>
        <w:spacing w:after="0" w:line="142" w:lineRule="exact"/>
        <w:rPr>
          <w:rFonts w:ascii="Arial" w:cs="Arial" w:eastAsia="Arial" w:hAnsi="Arial"/>
          <w:sz w:val="22"/>
          <w:szCs w:val="22"/>
          <w:color w:val="auto"/>
        </w:rPr>
      </w:pPr>
    </w:p>
    <w:p>
      <w:pPr>
        <w:jc w:val="both"/>
        <w:ind w:firstLine="1304"/>
        <w:spacing w:after="0" w:line="247" w:lineRule="auto"/>
        <w:tabs>
          <w:tab w:leader="none" w:pos="1860" w:val="left"/>
        </w:tabs>
        <w:numPr>
          <w:ilvl w:val="0"/>
          <w:numId w:val="437"/>
        </w:numPr>
        <w:rPr>
          <w:rFonts w:ascii="Arial" w:cs="Arial" w:eastAsia="Arial" w:hAnsi="Arial"/>
          <w:sz w:val="22"/>
          <w:szCs w:val="22"/>
          <w:color w:val="auto"/>
        </w:rPr>
      </w:pPr>
      <w:r>
        <w:rPr>
          <w:rFonts w:ascii="Arial" w:cs="Arial" w:eastAsia="Arial" w:hAnsi="Arial"/>
          <w:sz w:val="22"/>
          <w:szCs w:val="22"/>
          <w:color w:val="auto"/>
        </w:rPr>
        <w:t>at any time after a Qualified IPO, any Person or “group” (within the meaning of Rules 13d-3 and 13d-5 under the Securities Exchange Act as in effect on the Effective Date, but excluding any employee benefit plan of such Person or its Subsidiaries and any Person acting in its capacity as a trustee, agent or other fiduciary or administrator of such plan) other than the Permitted Holders shall have acquired beneficial ownership of more than 35%, on a fully diluted basis (without giving effect to contingent voting rights that have not vested), of the outstanding Equity Interests of Holdco having the general voting power to elect the board of directors of Holdco; or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942" w:right="339" w:bottom="1440" w:gutter="0" w:footer="0" w:header="0"/>
        </w:sectPr>
      </w:pPr>
    </w:p>
    <w:bookmarkStart w:id="628" w:name="page629"/>
    <w:bookmarkEnd w:id="628"/>
    <w:p>
      <w:pPr>
        <w:ind w:firstLine="1304"/>
        <w:spacing w:after="0" w:line="263" w:lineRule="auto"/>
        <w:tabs>
          <w:tab w:leader="none" w:pos="1869" w:val="left"/>
        </w:tabs>
        <w:numPr>
          <w:ilvl w:val="0"/>
          <w:numId w:val="438"/>
        </w:numPr>
        <w:rPr>
          <w:rFonts w:ascii="Arial" w:cs="Arial" w:eastAsia="Arial" w:hAnsi="Arial"/>
          <w:sz w:val="22"/>
          <w:szCs w:val="22"/>
          <w:color w:val="auto"/>
        </w:rPr>
      </w:pPr>
      <w:r>
        <w:rPr>
          <w:rFonts w:ascii="Arial" w:cs="Arial" w:eastAsia="Arial" w:hAnsi="Arial"/>
          <w:sz w:val="22"/>
          <w:szCs w:val="22"/>
          <w:color w:val="auto"/>
        </w:rPr>
        <w:t>Holdco shall cease to directly (or indirectly solely through passive holding companies) own and control 100% of each class of the outstanding Equity Interests of the Borrower.</w:t>
      </w:r>
    </w:p>
    <w:p>
      <w:pPr>
        <w:spacing w:after="0" w:line="12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Notwithstanding the preceding or any provision of Rules 13d-3 or 13d-5 under the Securities Exchange Act of 1934 as in effect on the Effective Date, (i) a Person or “group” shall not be deemed to beneficially own securities (1) subject to an equity or asset purchase agreement, merger agreement or similar agreement (or voting or option or similar agreement related thereto) until the consummation of the transactions contemplated by such agreement or (2) as a result of veto or approval rights in any joint venture agreement, shareholder agreement or other similar agreement and (ii) if any “group” includes one or more Permitted Holders, any issued and outstanding voting Equity Interests of Holdco beneficially owned, directly or indirectly, by any Permitted Holders that are a part of such “group” shall not be treated as being beneficially owned by any other member of such “group” for purposes of determining whether a “Change of Control” has occurred.</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assigned to such term in Section 9.13.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property and assets of the Borrower with respect to which a Lien is purported to be granted in favor of the Administrative Agent pursuant to a Security Document.</w:t>
      </w:r>
    </w:p>
    <w:p>
      <w:pPr>
        <w:spacing w:after="0" w:line="12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each Lender, the obligation of such Lender to make Revolving Loans and participate in Swingline Loans in an aggregate principal amount not to exceed the amount set forth on Schedule 1.1A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increase in such amount from time to time pursuant to Section 2.22, (b) any reduction in such amount from time to time pursuant to Section 2.09 and (c) any reduction or increase in such amount from time to time pursuant to assignments by or to such Lender pursuant to Section 9.04. The initial aggregate amount of the Lenders’ Commitments on the Effective Date is $2,175,000,000.</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Rate</w:t>
      </w:r>
      <w:r>
        <w:rPr>
          <w:rFonts w:ascii="Arial" w:cs="Arial" w:eastAsia="Arial" w:hAnsi="Arial"/>
          <w:sz w:val="22"/>
          <w:szCs w:val="22"/>
          <w:color w:val="auto"/>
        </w:rPr>
        <w:t>” means 0.50% per annum.</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has the meaning assigned to such term in Section 8.03(c).</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any Person (including any Subsidiary of any bank or other entity) whose business consists substantially of (x) the provision of retail securities broker-dealer services or (y) the provision of any other securities broker-dealer services (in the case of this clause (y), to the extent such Person was identified in writing to the Administrative Agent prior to the Effective Date), but in any event not to include bank regulated entities, insurance companies, or the bank or insurance affiliate of such providers of securities broker-dealer services.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w:t>
      </w:r>
      <w:r>
        <w:rPr>
          <w:rFonts w:ascii="Arial" w:cs="Arial" w:eastAsia="Arial" w:hAnsi="Arial"/>
          <w:sz w:val="22"/>
          <w:szCs w:val="22"/>
          <w:color w:val="auto"/>
        </w:rPr>
        <w:t>” refers to the consolidation of accounts in accordance with GAAP.</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942" w:right="339" w:bottom="1440" w:gutter="0" w:footer="0" w:header="0"/>
        </w:sectPr>
      </w:pPr>
    </w:p>
    <w:bookmarkStart w:id="629" w:name="page630"/>
    <w:bookmarkEnd w:id="629"/>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Tangible Net Worth</w:t>
      </w:r>
      <w:r>
        <w:rPr>
          <w:rFonts w:ascii="Arial" w:cs="Arial" w:eastAsia="Arial" w:hAnsi="Arial"/>
          <w:sz w:val="19"/>
          <w:szCs w:val="19"/>
          <w:color w:val="auto"/>
        </w:rPr>
        <w:t xml:space="preserve">” means, at any date, all amounts that would, in conformity with GAAP, be included on a consolidated balance sheet of the Borrower and its Subsidiaries under stockholders’ equity at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amount of all intangible items included therein, including goodwill, franchises, licenses, patents, trademarks, trade names, copyrights, service marks, brand names and write-ups of assets (other than non-cash gains resulting from mark to market adjustments of securities positions made in the ordinary course of business) (but only to the extent that such items would be included on a consolidated balance sheet of the Borrower and its Subsidiaries in accordance with GAAP).</w:t>
      </w:r>
    </w:p>
    <w:p>
      <w:pPr>
        <w:spacing w:after="0" w:line="9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166" w:lineRule="exact"/>
        <w:rPr>
          <w:sz w:val="20"/>
          <w:szCs w:val="20"/>
          <w:color w:val="auto"/>
        </w:rPr>
      </w:pPr>
    </w:p>
    <w:p>
      <w:pPr>
        <w:ind w:left="1720" w:hanging="416"/>
        <w:spacing w:after="0"/>
        <w:tabs>
          <w:tab w:leader="none" w:pos="1720" w:val="left"/>
        </w:tabs>
        <w:numPr>
          <w:ilvl w:val="0"/>
          <w:numId w:val="439"/>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177" w:lineRule="exact"/>
        <w:rPr>
          <w:rFonts w:ascii="Arial" w:cs="Arial" w:eastAsia="Arial" w:hAnsi="Arial"/>
          <w:sz w:val="21"/>
          <w:szCs w:val="21"/>
          <w:color w:val="auto"/>
        </w:rPr>
      </w:pPr>
    </w:p>
    <w:p>
      <w:pPr>
        <w:ind w:left="1780" w:hanging="476"/>
        <w:spacing w:after="0"/>
        <w:tabs>
          <w:tab w:leader="none" w:pos="1780" w:val="left"/>
        </w:tabs>
        <w:numPr>
          <w:ilvl w:val="0"/>
          <w:numId w:val="439"/>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00" w:lineRule="exact"/>
        <w:rPr>
          <w:rFonts w:ascii="Arial" w:cs="Arial" w:eastAsia="Arial" w:hAnsi="Arial"/>
          <w:sz w:val="19"/>
          <w:szCs w:val="19"/>
          <w:color w:val="auto"/>
        </w:rPr>
      </w:pPr>
    </w:p>
    <w:p>
      <w:pPr>
        <w:ind w:left="1300" w:right="780" w:firstLine="4"/>
        <w:spacing w:after="0" w:line="397" w:lineRule="auto"/>
        <w:tabs>
          <w:tab w:leader="none" w:pos="184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 “</w:t>
      </w:r>
      <w:r>
        <w:rPr>
          <w:rFonts w:ascii="Arial" w:cs="Arial" w:eastAsia="Arial" w:hAnsi="Arial"/>
          <w:sz w:val="22"/>
          <w:szCs w:val="22"/>
          <w:u w:val="single" w:color="auto"/>
          <w:color w:val="auto"/>
        </w:rPr>
        <w:t>Covered Party</w:t>
      </w:r>
      <w:r>
        <w:rPr>
          <w:rFonts w:ascii="Arial" w:cs="Arial" w:eastAsia="Arial" w:hAnsi="Arial"/>
          <w:sz w:val="22"/>
          <w:szCs w:val="22"/>
          <w:color w:val="auto"/>
        </w:rPr>
        <w:t>” has the meaning assigned to it in Section 9.17.</w:t>
      </w: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Documents</w:t>
      </w:r>
      <w:r>
        <w:rPr>
          <w:rFonts w:ascii="Arial" w:cs="Arial" w:eastAsia="Arial" w:hAnsi="Arial"/>
          <w:sz w:val="21"/>
          <w:szCs w:val="21"/>
          <w:color w:val="auto"/>
        </w:rPr>
        <w:t>” means (i) this Agreement, including schedules and exhibits hereto, (ii) the Notes, (iii) the Security Documents and (iv) any amendment, waiver, supplement or other modification to any of the foregoing.</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the Swingline Lender and each other Lender.</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xml:space="preserve">” means, for any day, SOFR, with the conventions for this rate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3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w:t>
      </w:r>
      <w:r>
        <w:rPr>
          <w:rFonts w:ascii="Arial" w:cs="Arial" w:eastAsia="Arial" w:hAnsi="Arial"/>
          <w:sz w:val="22"/>
          <w:szCs w:val="22"/>
          <w:color w:val="auto"/>
        </w:rPr>
        <w:t>” of any Person means, without duplication, (a) all indebtedness of such Person for borrowed money, (b) all payment Obligations of such Person for the deferred purchase price of property or services, (c) all payment Obligations of such Person evidenced by notes, bonds, debentures or other similar instruments, (d) all payment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942" w:right="339" w:bottom="1440" w:gutter="0" w:footer="0" w:header="0"/>
        </w:sectPr>
      </w:pPr>
    </w:p>
    <w:bookmarkStart w:id="630" w:name="page631"/>
    <w:bookmarkEnd w:id="630"/>
    <w:p>
      <w:pPr>
        <w:jc w:val="both"/>
        <w:spacing w:after="0" w:line="283" w:lineRule="auto"/>
        <w:rPr>
          <w:sz w:val="20"/>
          <w:szCs w:val="20"/>
          <w:color w:val="auto"/>
        </w:rPr>
      </w:pPr>
      <w:r>
        <w:rPr>
          <w:rFonts w:ascii="Arial" w:cs="Arial" w:eastAsia="Arial" w:hAnsi="Arial"/>
          <w:sz w:val="19"/>
          <w:szCs w:val="19"/>
          <w:color w:val="auto"/>
        </w:rPr>
        <w:t xml:space="preserve">Attributable Debt of such Person with respect to such Person’s Obligations in respect of (i) Capital Leases and (ii) Synthetic Leases (regardless of whether accounted for as indebtedness under GAAP), (f) all payment Obligations of such Person as an account party under acceptance or similar facilities, (g) all net payment Obligations of such Person in respect of Hedge Agreements, valued at the Agreement Value thereof, (h) all Guaranteed Debt of such Person with respect to Debt of another Person, (i) all non-contingent payment Obligations of such Person in respect of letters of credit, (j) all obligations to redeem or repurchase Disqualified Equity Interests issued by such Person and (k) all indebtedness and other payment Obligations referred to in clauses (a) through (j) above of another Person secured by (or for which the holder of such Debt has an existing right, contingent or otherwise, to be secured by) any Lien on property (including accounts and contract rights) owned by such Person, even though such Person has not assumed or become liable for the payment of such indebtedness or other payment Obligations (but only to the extent of the lesser of (x) the amount of such indebtedness and (y) the fair market value of such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Debt shall not include (i) trade payables and accrued expenses incurred in the ordinary course of business and not more than 120 days overdue, (ii) ordinary course intercompany liabilities having a term not exceeding 365 days (inclusive of any roll-over or extension of terms) or any other ordinary course intercompany liabilities not constituting Debt for Borrowed Money,</w:t>
      </w:r>
    </w:p>
    <w:p>
      <w:pPr>
        <w:spacing w:after="0" w:line="3" w:lineRule="exact"/>
        <w:rPr>
          <w:sz w:val="20"/>
          <w:szCs w:val="20"/>
          <w:color w:val="auto"/>
        </w:rPr>
      </w:pPr>
    </w:p>
    <w:p>
      <w:pPr>
        <w:jc w:val="both"/>
        <w:ind w:firstLine="8"/>
        <w:spacing w:after="0" w:line="244" w:lineRule="auto"/>
        <w:tabs>
          <w:tab w:leader="none" w:pos="390" w:val="left"/>
        </w:tabs>
        <w:numPr>
          <w:ilvl w:val="0"/>
          <w:numId w:val="440"/>
        </w:numPr>
        <w:rPr>
          <w:rFonts w:ascii="Arial" w:cs="Arial" w:eastAsia="Arial" w:hAnsi="Arial"/>
          <w:sz w:val="22"/>
          <w:szCs w:val="22"/>
          <w:color w:val="auto"/>
        </w:rPr>
      </w:pPr>
      <w:r>
        <w:rPr>
          <w:rFonts w:ascii="Arial" w:cs="Arial" w:eastAsia="Arial" w:hAnsi="Arial"/>
          <w:sz w:val="22"/>
          <w:szCs w:val="22"/>
          <w:color w:val="auto"/>
        </w:rPr>
        <w:t>prepaid or deferred revenue arising in the ordinary course of business, (iv) purchase price holdbacks arising in the ordinary course of business in respect of a portion of the purchase price of an asset to satisfy unperformed obligations of the seller of such assets, (v) deferred compensation payable to employees, officers and directors and (vi) any earn-out obligation until such obligation becomes a liability on the balance sheet of such Person in accordance with GAAP. Any Debt for which proceeds have been escrowed or otherwise deposited to repay, defease, redeem or satisfy and discharge such Debt shall not be deemed outstanding.</w:t>
      </w:r>
    </w:p>
    <w:p>
      <w:pPr>
        <w:spacing w:after="0" w:line="14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For Borrowed Money</w:t>
      </w:r>
      <w:r>
        <w:rPr>
          <w:rFonts w:ascii="Arial" w:cs="Arial" w:eastAsia="Arial" w:hAnsi="Arial"/>
          <w:sz w:val="22"/>
          <w:szCs w:val="22"/>
          <w:color w:val="auto"/>
        </w:rPr>
        <w:t>” of any Person means, without duplication, all (a) Debt for borrowed money, (b) purchase money debt, (c) drawn but unreimbursed letters of credit, (d) Attributable Debt in respect of (i) Capital Leases and (ii) Synthetic Leases (regardless of whether accounted for as indebtedness under GAAP) and (e) Debt obligations owed to third parties evidenced by notes, bonds, debentures or other similar instruments.</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2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Business Days of the date required to be funded or paid, to (i) fund any portion of its Loans, (ii) fund any portion of its participations in Swingline Loans or (iii) pay over to the Borrower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942" w:right="339" w:bottom="1440" w:gutter="0" w:footer="0" w:header="0"/>
        </w:sectPr>
      </w:pPr>
    </w:p>
    <w:bookmarkStart w:id="631" w:name="page632"/>
    <w:bookmarkEnd w:id="631"/>
    <w:p>
      <w:pPr>
        <w:jc w:val="both"/>
        <w:spacing w:after="0" w:line="285" w:lineRule="auto"/>
        <w:rPr>
          <w:sz w:val="20"/>
          <w:szCs w:val="20"/>
          <w:color w:val="auto"/>
        </w:rPr>
      </w:pPr>
      <w:r>
        <w:rPr>
          <w:rFonts w:ascii="Arial" w:cs="Arial" w:eastAsia="Arial" w:hAnsi="Arial"/>
          <w:sz w:val="19"/>
          <w:szCs w:val="19"/>
          <w:color w:val="auto"/>
        </w:rPr>
        <w:t xml:space="preserve">to extend credit, (c) has failed, within three Business Days after written request by the Borrower,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Swingline Loans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the Borrower’s receipt of such written certification in form and substance satisfactory to the Borrower and the Administrative Agent,</w:t>
      </w:r>
    </w:p>
    <w:p>
      <w:pPr>
        <w:spacing w:after="0" w:line="3" w:lineRule="exact"/>
        <w:rPr>
          <w:sz w:val="20"/>
          <w:szCs w:val="20"/>
          <w:color w:val="auto"/>
        </w:rPr>
      </w:pPr>
    </w:p>
    <w:p>
      <w:pPr>
        <w:ind w:right="20" w:firstLine="8"/>
        <w:spacing w:after="0" w:line="246" w:lineRule="auto"/>
        <w:tabs>
          <w:tab w:leader="none" w:pos="326" w:val="left"/>
        </w:tabs>
        <w:numPr>
          <w:ilvl w:val="0"/>
          <w:numId w:val="441"/>
        </w:numPr>
        <w:rPr>
          <w:rFonts w:ascii="Arial" w:cs="Arial" w:eastAsia="Arial" w:hAnsi="Arial"/>
          <w:sz w:val="22"/>
          <w:szCs w:val="22"/>
          <w:color w:val="auto"/>
        </w:rPr>
      </w:pPr>
      <w:r>
        <w:rPr>
          <w:rFonts w:ascii="Arial" w:cs="Arial" w:eastAsia="Arial" w:hAnsi="Arial"/>
          <w:sz w:val="22"/>
          <w:szCs w:val="22"/>
          <w:color w:val="auto"/>
        </w:rPr>
        <w:t>has become, or whose Lender Parent has become, the subject of a Bankruptcy Event, or (e) has become, or whose Lender Parent has become, the subject of a Bail-In Action.</w:t>
      </w:r>
    </w:p>
    <w:p>
      <w:pPr>
        <w:spacing w:after="0" w:line="1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Deficiency</w:t>
      </w:r>
      <w:r>
        <w:rPr>
          <w:rFonts w:ascii="Arial" w:cs="Arial" w:eastAsia="Arial" w:hAnsi="Arial"/>
          <w:sz w:val="22"/>
          <w:szCs w:val="22"/>
          <w:color w:val="auto"/>
        </w:rPr>
        <w:t>” has the meaning assigned to such term in Section 2.12(a).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Deficiency Notice</w:t>
      </w:r>
      <w:r>
        <w:rPr>
          <w:rFonts w:ascii="Arial" w:cs="Arial" w:eastAsia="Arial" w:hAnsi="Arial"/>
          <w:sz w:val="22"/>
          <w:szCs w:val="22"/>
          <w:color w:val="auto"/>
        </w:rPr>
        <w:t>” has the meaning assigned to such term in Section 2.12(a).</w:t>
      </w:r>
    </w:p>
    <w:p>
      <w:pPr>
        <w:spacing w:after="0" w:line="16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means Equity Interests that by their terms or otherwise are (1) required to be redeemed (other than solely for Equity Interests that do not constitute Disqualified Equity Interests and cash in lieu of fractional shares of such Equity Interests) prior to a date that is 91 day after the Maturity Date, (2) redeemable (other than solely for Equity Interests that do not constitute Disqualified Equity Interests and cash in lieu of fractional shares of such Equity Interests) at the option of the holder thereof at any time prior to the date that is 91 days after the Maturity Date or (3) convertible or exchangeable for Equity Interests referred to in clause (1) or (2)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Equity Interests that would not constitute Disqualified Equity Interests but for provisions thereof giving holders thereof the right to require such Person to repurchase or redeem such Equity Interests upon the occurrence of any “asset sale”, “condemnation” or “change of control” (or similar event, however denominated) occurring prior to the date that is 91 days after the Maturity Date shall not constitute Disqualified Equity Interests if such right to repurchase or redeem any such Equity Interests is subject to the prior payment in full of all Obligations of the Borrower under the Credit Documents, (ii) any Equity Interests issued to any employee or to any plan for the benefit of employees or by any such plan to such employees shall not constitute Disqualified Equity Interests solely because such Equity Interests may be required to be repurchased in order to satisfy applicable statutory or regulatory obligations or as a result of such employee’s termination, death or disability, and (iii) only the portion of any Equity Interests referred to in clauses (1) through (3) above that are so mandatorily redeemable, are so redeemable at the option of the holder thereof, or are so convertible or exchangeable prior to the date that is 91 days after the Maturity Date shall be deemed to be Disqualified Equity Interests.</w:t>
      </w:r>
    </w:p>
    <w:p>
      <w:pPr>
        <w:spacing w:after="0" w:line="11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Lenders</w:t>
      </w:r>
      <w:r>
        <w:rPr>
          <w:rFonts w:ascii="Arial" w:cs="Arial" w:eastAsia="Arial" w:hAnsi="Arial"/>
          <w:sz w:val="19"/>
          <w:szCs w:val="19"/>
          <w:color w:val="auto"/>
        </w:rPr>
        <w:t>” means (a) any Person that has been specified to the Lead Arrangers by the Borrower in writing before the Effective Date, (b) any Competitors of the Borrower that have been specified to the Administrative Agent by the Borrower in writing at any time and from time to time and (c) in the case of each of clauses (a) and (b), any of their respective affiliates (other than (i) any bank regulated entity, (ii) any insurance company and (iii) any bona fide debt fund that is managed for the benefit of the clients of such Competitor or any of its Affiliates, except to the extent otherwise disqualified pursuant to clause (a)) that, in each case in this clause (c), are either (x) identified in writing to the Administrative Agent by the Borrower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42" w:right="339" w:bottom="1440" w:gutter="0" w:footer="0" w:header="0"/>
        </w:sectPr>
      </w:pPr>
    </w:p>
    <w:bookmarkStart w:id="632" w:name="page633"/>
    <w:bookmarkEnd w:id="632"/>
    <w:p>
      <w:pPr>
        <w:jc w:val="both"/>
        <w:spacing w:after="0" w:line="294" w:lineRule="auto"/>
        <w:rPr>
          <w:sz w:val="20"/>
          <w:szCs w:val="20"/>
          <w:color w:val="auto"/>
        </w:rPr>
      </w:pPr>
      <w:r>
        <w:rPr>
          <w:rFonts w:ascii="Arial" w:cs="Arial" w:eastAsia="Arial" w:hAnsi="Arial"/>
          <w:sz w:val="19"/>
          <w:szCs w:val="19"/>
          <w:color w:val="auto"/>
        </w:rPr>
        <w:t xml:space="preserve">from time to time or (y) clearly identifiable as affiliates of such Persons solely on the basis of the similarity of such affiliate’s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provisions shall not apply retroactively to disqualify any Person that shall have become a Disqualified Lender after the date such Person shall have become a Lender or participant (or shall have been allocated a Commitment hereunder), but shall disqualify such Person from taking any further assignment or participation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supplements to the list of Disqualified Lenders after the Effective Date may not apply until the date that is three Business Days following the delivery of such written notice from the Borrower to the Administrative Agent.</w:t>
      </w:r>
    </w:p>
    <w:p>
      <w:pPr>
        <w:spacing w:after="0" w:line="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 refers to lawful currency of the United States of America.</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each Subsidiary of the Borrower that is organized under the applicable laws of the United States, any state thereof, or the District of Columbia.</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and its successors and assigns.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Election</w:t>
      </w:r>
      <w:r>
        <w:rPr>
          <w:rFonts w:ascii="Arial" w:cs="Arial" w:eastAsia="Arial" w:hAnsi="Arial"/>
          <w:sz w:val="21"/>
          <w:szCs w:val="21"/>
          <w:color w:val="auto"/>
        </w:rPr>
        <w:t>” means, if the then-current Benchmark is Eurodollar Base Rate, the occurrence of:</w:t>
      </w:r>
    </w:p>
    <w:p>
      <w:pPr>
        <w:spacing w:after="0" w:line="177" w:lineRule="exact"/>
        <w:rPr>
          <w:sz w:val="20"/>
          <w:szCs w:val="20"/>
          <w:color w:val="auto"/>
        </w:rPr>
      </w:pPr>
    </w:p>
    <w:p>
      <w:pPr>
        <w:jc w:val="both"/>
        <w:ind w:firstLine="1304"/>
        <w:spacing w:after="0" w:line="248" w:lineRule="auto"/>
        <w:tabs>
          <w:tab w:leader="none" w:pos="1775" w:val="left"/>
        </w:tabs>
        <w:numPr>
          <w:ilvl w:val="0"/>
          <w:numId w:val="442"/>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or any other rate based upon SOFR) as a benchmark rate (and such syndicated credit facilities are identified in such notice and are publicly available for review), and</w:t>
      </w:r>
    </w:p>
    <w:p>
      <w:pPr>
        <w:spacing w:after="0" w:line="137" w:lineRule="exact"/>
        <w:rPr>
          <w:rFonts w:ascii="Arial" w:cs="Arial" w:eastAsia="Arial" w:hAnsi="Arial"/>
          <w:sz w:val="22"/>
          <w:szCs w:val="22"/>
          <w:color w:val="auto"/>
        </w:rPr>
      </w:pPr>
    </w:p>
    <w:p>
      <w:pPr>
        <w:ind w:right="20" w:firstLine="1304"/>
        <w:spacing w:after="0" w:line="287" w:lineRule="auto"/>
        <w:tabs>
          <w:tab w:leader="none" w:pos="1812" w:val="left"/>
        </w:tabs>
        <w:numPr>
          <w:ilvl w:val="0"/>
          <w:numId w:val="442"/>
        </w:numPr>
        <w:rPr>
          <w:rFonts w:ascii="Arial" w:cs="Arial" w:eastAsia="Arial" w:hAnsi="Arial"/>
          <w:sz w:val="21"/>
          <w:szCs w:val="21"/>
          <w:color w:val="auto"/>
        </w:rPr>
      </w:pPr>
      <w:r>
        <w:rPr>
          <w:rFonts w:ascii="Arial" w:cs="Arial" w:eastAsia="Arial" w:hAnsi="Arial"/>
          <w:sz w:val="21"/>
          <w:szCs w:val="21"/>
          <w:color w:val="auto"/>
        </w:rPr>
        <w:t>the joint election by the Administrative Agent and the Borrower to trigger a fallback from Eurodollar Base Rate and the provision by the Administrative Agent of written notice of such election to the Lenders.</w:t>
      </w:r>
    </w:p>
    <w:p>
      <w:pPr>
        <w:spacing w:after="0" w:line="9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4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conditions specified in Section 4.01 are satisfied (or waived in accordance with Section 9.02).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942" w:right="339" w:bottom="1440" w:gutter="0" w:footer="0" w:header="0"/>
        </w:sectPr>
      </w:pPr>
    </w:p>
    <w:bookmarkStart w:id="633" w:name="page634"/>
    <w:bookmarkEnd w:id="633"/>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9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Assets</w:t>
      </w:r>
      <w:r>
        <w:rPr>
          <w:rFonts w:ascii="Arial" w:cs="Arial" w:eastAsia="Arial" w:hAnsi="Arial"/>
          <w:sz w:val="19"/>
          <w:szCs w:val="19"/>
          <w:color w:val="auto"/>
        </w:rPr>
        <w:t>” means common and preferred equity securities, ADRs and exchange- traded funds (“</w:t>
      </w:r>
      <w:r>
        <w:rPr>
          <w:rFonts w:ascii="Arial" w:cs="Arial" w:eastAsia="Arial" w:hAnsi="Arial"/>
          <w:sz w:val="19"/>
          <w:szCs w:val="19"/>
          <w:u w:val="single" w:color="auto"/>
          <w:color w:val="auto"/>
        </w:rPr>
        <w:t>ETFs</w:t>
      </w:r>
      <w:r>
        <w:rPr>
          <w:rFonts w:ascii="Arial" w:cs="Arial" w:eastAsia="Arial" w:hAnsi="Arial"/>
          <w:sz w:val="19"/>
          <w:szCs w:val="19"/>
          <w:color w:val="auto"/>
        </w:rPr>
        <w:t xml:space="preserve">”) that are, in each case, then listed on the NYSE, NASDAQ or Amex (regardless of the venue used to execute trades with respect to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any event, that “Eligible Assets” shall not include leveraged ETFs, synthetic ETFs (other than Qualified Synthetic ETFs), warrants, options, limited partnership interests or convertible preferred securities;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securities issued by any single issuer and its Affiliates shall constitute “Eligible Assets” only to the extent that the Market Value of such securities of such single issuer and its Affiliates does not exceed 10% of the aggregate Market Value of all Pledged Eligible Assets at such time, (ii) securities of any Lender Affiliate shall not constitute “Eligible Assets” and (iii) securities having an individual Market Value of less than $5.00 shall not constitute “Eligible Assets”.</w:t>
      </w:r>
    </w:p>
    <w:p>
      <w:pPr>
        <w:spacing w:after="0" w:line="1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Funds</w:t>
      </w:r>
      <w:r>
        <w:rPr>
          <w:rFonts w:ascii="Arial" w:cs="Arial" w:eastAsia="Arial" w:hAnsi="Arial"/>
          <w:sz w:val="22"/>
          <w:szCs w:val="22"/>
          <w:color w:val="auto"/>
        </w:rPr>
        <w:t>” means funds deposited in any of the Borrower’s customer reserve bank accounts (collectively, the “</w:t>
      </w:r>
      <w:r>
        <w:rPr>
          <w:rFonts w:ascii="Arial" w:cs="Arial" w:eastAsia="Arial" w:hAnsi="Arial"/>
          <w:sz w:val="22"/>
          <w:szCs w:val="22"/>
          <w:u w:val="single" w:color="auto"/>
          <w:color w:val="auto"/>
        </w:rPr>
        <w:t>Reserve Account</w:t>
      </w:r>
      <w:r>
        <w:rPr>
          <w:rFonts w:ascii="Arial" w:cs="Arial" w:eastAsia="Arial" w:hAnsi="Arial"/>
          <w:sz w:val="22"/>
          <w:szCs w:val="22"/>
          <w:color w:val="auto"/>
        </w:rPr>
        <w:t>”) to satisfy reserve requirements under Rule 15c3-3 of the Securities Exchange Act that are eligible for release based on a pro forma calculation of the Reserve Formula at the time of the making of any Tranche C Loan and after giving effect to the application of the proceeds thereof.</w:t>
      </w:r>
    </w:p>
    <w:p>
      <w:pPr>
        <w:spacing w:after="0" w:line="13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NSCC Margin Deposits</w:t>
      </w:r>
      <w:r>
        <w:rPr>
          <w:rFonts w:ascii="Arial" w:cs="Arial" w:eastAsia="Arial" w:hAnsi="Arial"/>
          <w:sz w:val="19"/>
          <w:szCs w:val="19"/>
          <w:color w:val="auto"/>
        </w:rPr>
        <w:t>” means NSCC Margin Deposits, other than (x) any such deposits that the Borrower has not directed the NSCC to return to an account maintained by the Borrower subject to a customary deposit account control agreement constituting a Security Document (each such account, an “</w:t>
      </w:r>
      <w:r>
        <w:rPr>
          <w:rFonts w:ascii="Arial" w:cs="Arial" w:eastAsia="Arial" w:hAnsi="Arial"/>
          <w:sz w:val="19"/>
          <w:szCs w:val="19"/>
          <w:u w:val="single" w:color="auto"/>
          <w:color w:val="auto"/>
        </w:rPr>
        <w:t>NSCC Collateral Account</w:t>
      </w:r>
      <w:r>
        <w:rPr>
          <w:rFonts w:ascii="Arial" w:cs="Arial" w:eastAsia="Arial" w:hAnsi="Arial"/>
          <w:sz w:val="19"/>
          <w:szCs w:val="19"/>
          <w:color w:val="auto"/>
        </w:rPr>
        <w:t>”), (y) any portion of any NSCC Margin Deposit relating to losses incurred by the Borrower for its own account or the account of any of its Affiliates and</w:t>
      </w:r>
    </w:p>
    <w:p>
      <w:pPr>
        <w:spacing w:after="0" w:line="3" w:lineRule="exact"/>
        <w:rPr>
          <w:sz w:val="20"/>
          <w:szCs w:val="20"/>
          <w:color w:val="auto"/>
        </w:rPr>
      </w:pPr>
    </w:p>
    <w:p>
      <w:pPr>
        <w:jc w:val="both"/>
        <w:ind w:firstLine="8"/>
        <w:spacing w:after="0" w:line="243" w:lineRule="auto"/>
        <w:tabs>
          <w:tab w:leader="none" w:pos="305" w:val="left"/>
        </w:tabs>
        <w:numPr>
          <w:ilvl w:val="0"/>
          <w:numId w:val="443"/>
        </w:numPr>
        <w:rPr>
          <w:rFonts w:ascii="Arial" w:cs="Arial" w:eastAsia="Arial" w:hAnsi="Arial"/>
          <w:sz w:val="22"/>
          <w:szCs w:val="22"/>
          <w:color w:val="auto"/>
        </w:rPr>
      </w:pPr>
      <w:r>
        <w:rPr>
          <w:rFonts w:ascii="Arial" w:cs="Arial" w:eastAsia="Arial" w:hAnsi="Arial"/>
          <w:sz w:val="22"/>
          <w:szCs w:val="22"/>
          <w:color w:val="auto"/>
        </w:rPr>
        <w:t>any portion of any NSCC Margin Deposit that, as reasonably determined by the Borrower, acting in good faith, is subject to any counterclaim deduction, defense, setoff or similar rights by NSCC or DTC other than to the extent constituting or arising out of the underlying obligation for which such deposit was delivered (but only to the extent of any such counterclaim, deduction, defense, setoff or similar rights).</w:t>
      </w:r>
    </w:p>
    <w:p>
      <w:pPr>
        <w:spacing w:after="0" w:line="1" w:lineRule="exact"/>
        <w:rPr>
          <w:rFonts w:ascii="Arial" w:cs="Arial" w:eastAsia="Arial" w:hAnsi="Arial"/>
          <w:sz w:val="22"/>
          <w:szCs w:val="22"/>
          <w:color w:val="auto"/>
        </w:rPr>
      </w:pPr>
    </w:p>
    <w:p>
      <w:pPr>
        <w:jc w:val="both"/>
        <w:ind w:firstLine="1296"/>
        <w:spacing w:after="0" w:line="258"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federal, state, local or foreign statute, law, ordinance, rule, regulation, code, order, writ, judgment, injunction, decree or any binding judicial or agency interpretation, policy or guidance having the force or effect of law and relating to pollution or protection of the environment, health and safety (as it relates to any harmful or deleterious substance), or natural resources, including those relating to the use, handling, transportation, treatment, storage, disposal, release or discharge of harmful or deleterious substances.</w:t>
      </w:r>
    </w:p>
    <w:p>
      <w:pPr>
        <w:spacing w:after="0" w:line="12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Liability</w:t>
      </w:r>
      <w:r>
        <w:rPr>
          <w:rFonts w:ascii="Arial" w:cs="Arial" w:eastAsia="Arial" w:hAnsi="Arial"/>
          <w:sz w:val="22"/>
          <w:szCs w:val="22"/>
          <w:color w:val="auto"/>
        </w:rPr>
        <w:t>” means any liability, contingent or otherwise (including any liability for damages, costs of environmental remediation, administrative oversight costs, consultants’ fees, fines, penalties or indemnities), of the Borrower or any Subsidiary directly or indirectly resulting from or based upon (a) any violation of any Environmental Law, (b) the generation, use, handling, transportation, storage, treatment or disposal of any Hazardous Materials, (c) exposure to any Hazardous Materials, (d) the release or threatened release of 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942" w:right="339" w:bottom="1440" w:gutter="0" w:footer="0" w:header="0"/>
        </w:sectPr>
      </w:pPr>
    </w:p>
    <w:bookmarkStart w:id="634" w:name="page635"/>
    <w:bookmarkEnd w:id="634"/>
    <w:p>
      <w:pPr>
        <w:jc w:val="both"/>
        <w:spacing w:after="0" w:line="263" w:lineRule="auto"/>
        <w:rPr>
          <w:sz w:val="20"/>
          <w:szCs w:val="20"/>
          <w:color w:val="auto"/>
        </w:rPr>
      </w:pPr>
      <w:r>
        <w:rPr>
          <w:rFonts w:ascii="Arial" w:cs="Arial" w:eastAsia="Arial" w:hAnsi="Arial"/>
          <w:sz w:val="22"/>
          <w:szCs w:val="22"/>
          <w:color w:val="auto"/>
        </w:rPr>
        <w:t>Hazardous Materials into the environment or (e) any contract, agreement or other consensual arrangement pursuant to which liability is assumed or imposed with respect to any of the foregoing.</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121"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Person that is a member of the controlled group of the Borrower, or under common control with the Borrower, within the meaning of Section 414 of the Internal Revenue Code or Section 4001 of ERISA.</w:t>
      </w:r>
    </w:p>
    <w:p>
      <w:pPr>
        <w:spacing w:after="0" w:line="5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(a)(i) the occurrence of a reportable event, within the meaning of Section 4043 of ERISA, with respect to any Plan unless the 30 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imposition of a lien under Section 303(k) of ERISA shall have been met with respect to any Plan; or (g) the institution by the PBGC of proceedings to terminate a Plan pursuant to Section 4042 of ERISA, or the occurrence of any event or condition described in Section 4042 of ERISA that constitutes grounds for the termination of, or the appointment of a trustee to administer, such Plan.</w:t>
      </w:r>
    </w:p>
    <w:p>
      <w:pPr>
        <w:spacing w:after="0" w:line="1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ETFs</w:t>
      </w:r>
      <w:r>
        <w:rPr>
          <w:rFonts w:ascii="Arial" w:cs="Arial" w:eastAsia="Arial" w:hAnsi="Arial"/>
          <w:sz w:val="22"/>
          <w:szCs w:val="22"/>
          <w:color w:val="auto"/>
        </w:rPr>
        <w:t>” has the meaning assigned to such term in the definition of “Eligible Assets”.</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Base Rate</w:t>
      </w:r>
      <w:r>
        <w:rPr>
          <w:rFonts w:ascii="Arial" w:cs="Arial" w:eastAsia="Arial" w:hAnsi="Arial"/>
          <w:sz w:val="22"/>
          <w:szCs w:val="22"/>
          <w:color w:val="auto"/>
        </w:rPr>
        <w:t xml:space="preserve">” means, with respect to any Borrowing, the Screen Rate at approximately 11:00 a.m., London time, on the date of such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the rate calculated in accordance with the foregoing, at no time shall the Eurodollar Base Rate be less than 0% per annum.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942" w:right="339" w:bottom="1440" w:gutter="0" w:footer="0" w:header="0"/>
        </w:sectPr>
      </w:pPr>
    </w:p>
    <w:bookmarkStart w:id="635" w:name="page636"/>
    <w:bookmarkEnd w:id="635"/>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Eurodollar Rate</w:t>
      </w:r>
      <w:r>
        <w:rPr>
          <w:rFonts w:ascii="Arial" w:cs="Arial" w:eastAsia="Arial" w:hAnsi="Arial"/>
          <w:sz w:val="21"/>
          <w:szCs w:val="21"/>
          <w:color w:val="auto"/>
        </w:rPr>
        <w:t>” means, with respect to any Borrowing, an interest rate per annum (rounded upwards, if necessary, to the next 1/16 of 1%) equal to (a) the Eurodollar Base Rate multiplied by (b) the Statutory Reserve Rate.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Article VI.</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Net Capital</w:t>
      </w:r>
      <w:r>
        <w:rPr>
          <w:rFonts w:ascii="Arial" w:cs="Arial" w:eastAsia="Arial" w:hAnsi="Arial"/>
          <w:sz w:val="19"/>
          <w:szCs w:val="19"/>
          <w:color w:val="auto"/>
        </w:rPr>
        <w:t>” of any Person means the net capital as shown on line 3910 of the FOCUS-II Report for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Person.</w:t>
      </w:r>
    </w:p>
    <w:p>
      <w:pPr>
        <w:spacing w:after="0" w:line="14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such Recipient: (a) Taxes imposed on (or measured by) net income (however denominated), franchise Taxes or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2.20(b)) or (ii) such Lender changes its lending office, except in each case to the extent that, pursuant to Section 2.18, amounts with respect to such Taxes were payable either to such Lender’s assignor immediately before such Lender became a party hereto or to such Lender immediately before it changed its lending office, (c) Taxes attributable to such Recipient’s failure to comply with Section 2.18(f), and (d) any withholding Taxes imposed under FATCA.</w:t>
      </w:r>
    </w:p>
    <w:p>
      <w:pPr>
        <w:spacing w:after="0" w:line="3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that certain Credit Agreement, dated as of September 27, 2019, among the Borrower, the lenders from time to time parties thereto, BMO Harris Bank N.A., as administrative agent, and the other parties party thereto (as amended, restated or modified from time to time).</w:t>
      </w:r>
    </w:p>
    <w:p>
      <w:pPr>
        <w:spacing w:after="0" w:line="13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guidance notes, practices or official agreement adopted pursuant to any intergovernmental agreement, treaty or convention among Governmental Authorities and implementing such Sections of the Code.</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FCA</w:t>
      </w:r>
      <w:r>
        <w:rPr>
          <w:rFonts w:ascii="Arial" w:cs="Arial" w:eastAsia="Arial" w:hAnsi="Arial"/>
          <w:sz w:val="22"/>
          <w:szCs w:val="22"/>
          <w:color w:val="auto"/>
        </w:rPr>
        <w:t>” has the meaning assigned to such term in Section 1.13.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FDIC</w:t>
      </w:r>
      <w:r>
        <w:rPr>
          <w:rFonts w:ascii="Arial" w:cs="Arial" w:eastAsia="Arial" w:hAnsi="Arial"/>
          <w:sz w:val="22"/>
          <w:szCs w:val="22"/>
          <w:color w:val="auto"/>
        </w:rPr>
        <w:t>” means the Federal Deposit Insurance Corporation or any successor entity.</w:t>
      </w:r>
    </w:p>
    <w:p>
      <w:pPr>
        <w:spacing w:after="0" w:line="16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(rounded upwards, if necessary to the next 1/100 of 1%) calculated by the NYFRB based on such day’s federal funds transactions by depositary institutions, as determined in such manner as shall be set forth on the NYFRB’s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as so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942" w:right="339" w:bottom="1440" w:gutter="0" w:footer="0" w:header="0"/>
        </w:sectPr>
      </w:pPr>
    </w:p>
    <w:bookmarkStart w:id="636" w:name="page637"/>
    <w:bookmarkEnd w:id="636"/>
    <w:p>
      <w:pPr>
        <w:spacing w:after="0"/>
        <w:rPr>
          <w:sz w:val="20"/>
          <w:szCs w:val="20"/>
          <w:color w:val="auto"/>
        </w:rPr>
      </w:pPr>
      <w:r>
        <w:rPr>
          <w:rFonts w:ascii="Arial" w:cs="Arial" w:eastAsia="Arial" w:hAnsi="Arial"/>
          <w:sz w:val="22"/>
          <w:szCs w:val="22"/>
          <w:color w:val="auto"/>
        </w:rPr>
        <w:t>determined would be less than zero, such rate shall be deemed to be zero for the purposes of this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1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 or any other self- regulatory body which succeeds to the functions of the Financial Industry Regulatory Authority, Inc.</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the Borrower and its Consolidated Subsidiaries ending on the last day of December in any calendar year.</w:t>
      </w:r>
    </w:p>
    <w:p>
      <w:pPr>
        <w:spacing w:after="0" w:line="121"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the benchmark rate floor provided in this Agreement initially (as of the execution of this Agreement, the modification, amendment or renewal of this Agreement or otherwise) with respect to Eurodollar Base Rate.</w:t>
      </w:r>
    </w:p>
    <w:p>
      <w:pPr>
        <w:spacing w:after="0" w:line="5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FOCUS-II Report</w:t>
      </w:r>
      <w:r>
        <w:rPr>
          <w:rFonts w:ascii="Arial" w:cs="Arial" w:eastAsia="Arial" w:hAnsi="Arial"/>
          <w:sz w:val="22"/>
          <w:szCs w:val="22"/>
          <w:color w:val="auto"/>
        </w:rPr>
        <w:t>” means the Financial and Operational Combined Uniform Single Report on Form X-17A-5 Part II (or any successor or replacement form required by FINRA).</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each Subsidiary of the Borrower that is not a Domestic Subsidiary.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of America in effect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4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Body</w:t>
      </w:r>
      <w:r>
        <w:rPr>
          <w:rFonts w:ascii="Arial" w:cs="Arial" w:eastAsia="Arial" w:hAnsi="Arial"/>
          <w:sz w:val="22"/>
          <w:szCs w:val="22"/>
          <w:color w:val="auto"/>
        </w:rPr>
        <w:t>” means the managing partner or, if applicable at any time, the executive committee, board of directors, board of governors, managing director or directors, or other body or Person in a similar capacity having the power to direct or cause the direction of the management and policies of a Person that is a corporation, partnership, trust, limited liability company, limited partnership or limited liability limited partnership.</w:t>
      </w:r>
    </w:p>
    <w:p>
      <w:pPr>
        <w:spacing w:after="0" w:line="13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any state, regional or local political subdivision or department thereof, and any other governmental or regulatory agency, authority, body, commission, central bank, board, bureau, organization, court, instrumentality or other entity exercising executive, legislative, judicial, taxing, regulatory or administrative powers or functions of or pertaining to government, in each case whether federal, state, local or foreign (including any supra-national bodies such as the European Union or the European Central Bank) and any self-regulatory organization as defined in Section 3(a)(26) of the Securities Exchange Act.</w:t>
      </w:r>
    </w:p>
    <w:p>
      <w:pPr>
        <w:spacing w:after="0" w:line="1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Authorization</w:t>
      </w:r>
      <w:r>
        <w:rPr>
          <w:rFonts w:ascii="Arial" w:cs="Arial" w:eastAsia="Arial" w:hAnsi="Arial"/>
          <w:sz w:val="22"/>
          <w:szCs w:val="22"/>
          <w:color w:val="auto"/>
        </w:rPr>
        <w:t>” means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942" w:right="339" w:bottom="1440" w:gutter="0" w:footer="0" w:header="0"/>
        </w:sectPr>
      </w:pPr>
    </w:p>
    <w:bookmarkStart w:id="637" w:name="page638"/>
    <w:bookmarkEnd w:id="637"/>
    <w:p>
      <w:pPr>
        <w:jc w:val="both"/>
        <w:ind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Guaranteed Debt</w:t>
      </w:r>
      <w:r>
        <w:rPr>
          <w:rFonts w:ascii="Arial" w:cs="Arial" w:eastAsia="Arial" w:hAnsi="Arial"/>
          <w:sz w:val="19"/>
          <w:szCs w:val="19"/>
          <w:color w:val="auto"/>
        </w:rPr>
        <w:t xml:space="preserve">” means, with respect to any Person, without duplication. any payment Obligation or arrangement of such Person to guarantee or intended to guarantee any Debt (“primary obligations”) of any other Person (the “primary obligor”) in any manner, whether directly or indirectly, including (a) the direct or indirect guarantee, endorsement (other than for collection or deposit in the ordinary course of business), co-making, discounting with recourse or sale with recourse by such Person of the payment Obligation of a primary obligor in respect of such Debt or (b) any payment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Guaranteed Debt shall not include endorsements of instruments for deposit or collection in the ordinary course of business or customary and reasonable indemnity obligations entered into in connection with any acquisition or disposition of assets permitted under this Agreement (other than any such obligations with respect to Debt). The amount of any Guaranteed Debt shall be deemed to be an amount equal to the stated or determinable amount of the primary obligation in respect of which such Guaranteed Debt is made (or, if less, the maximum amount of such primary obligation for which such Person may be liable pursuant to the terms of the instrument evidencing such Guaranteed Debt) or, if not stated or determinable, the maximum reasonably anticipated liability in respect thereof (assuming such Person is required to perform thereunder), as determined by such Person in good faith.</w:t>
      </w:r>
    </w:p>
    <w:p>
      <w:pPr>
        <w:spacing w:after="0" w:line="10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 petroleum or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3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Agreements</w:t>
      </w:r>
      <w:r>
        <w:rPr>
          <w:rFonts w:ascii="Arial" w:cs="Arial" w:eastAsia="Arial" w:hAnsi="Arial"/>
          <w:sz w:val="22"/>
          <w:szCs w:val="22"/>
          <w:color w:val="auto"/>
        </w:rPr>
        <w:t>” means interest rate swap, cap or collar agreements, interest rate future or option contracts, currency swap agreements, currency future or option contracts and other hedging agreements.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w:t>
      </w:r>
      <w:r>
        <w:rPr>
          <w:rFonts w:ascii="Arial" w:cs="Arial" w:eastAsia="Arial" w:hAnsi="Arial"/>
          <w:sz w:val="22"/>
          <w:szCs w:val="22"/>
          <w:color w:val="auto"/>
        </w:rPr>
        <w:t>” means Robinhood Markets, Inc., a Delaware corporation.</w:t>
      </w:r>
    </w:p>
    <w:p>
      <w:pPr>
        <w:spacing w:after="0" w:line="16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Credit Agreement</w:t>
      </w:r>
      <w:r>
        <w:rPr>
          <w:rFonts w:ascii="Arial" w:cs="Arial" w:eastAsia="Arial" w:hAnsi="Arial"/>
          <w:sz w:val="22"/>
          <w:szCs w:val="22"/>
          <w:color w:val="auto"/>
        </w:rPr>
        <w:t>” means that certain Amended and Restated Credit Agreement, dated as of October 29, 2020, among Holdco, JPMorgan, as administrative agent, and the several banks and other financial institutions or parties from time to time party thereto, as amended from time to time.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any Subsidiary of the Borrower that is not a Material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 Date</w:t>
      </w:r>
      <w:r>
        <w:rPr>
          <w:rFonts w:ascii="Arial" w:cs="Arial" w:eastAsia="Arial" w:hAnsi="Arial"/>
          <w:sz w:val="22"/>
          <w:szCs w:val="22"/>
          <w:color w:val="auto"/>
        </w:rPr>
        <w:t>” has the meaning specified in Section 2.22(a).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942" w:right="339" w:bottom="1440" w:gutter="0" w:footer="0" w:header="0"/>
        </w:sectPr>
      </w:pPr>
    </w:p>
    <w:bookmarkStart w:id="638" w:name="page639"/>
    <w:bookmarkEnd w:id="638"/>
    <w:p>
      <w:pPr>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Amount</w:t>
      </w:r>
      <w:r>
        <w:rPr>
          <w:rFonts w:ascii="Arial" w:cs="Arial" w:eastAsia="Arial" w:hAnsi="Arial"/>
          <w:sz w:val="21"/>
          <w:szCs w:val="21"/>
          <w:color w:val="auto"/>
        </w:rPr>
        <w:t>” shall mean, at any time, the excess, if any, of (a) the Incremental Commitment Cap over (b) the aggregate amount of all Incremental Commitments established prior to such time pursuant to Section 2.22.</w:t>
      </w:r>
    </w:p>
    <w:p>
      <w:pPr>
        <w:spacing w:after="0" w:line="9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Assumption Agreement</w:t>
      </w:r>
      <w:r>
        <w:rPr>
          <w:rFonts w:ascii="Arial" w:cs="Arial" w:eastAsia="Arial" w:hAnsi="Arial"/>
          <w:sz w:val="22"/>
          <w:szCs w:val="22"/>
          <w:color w:val="auto"/>
        </w:rPr>
        <w:t>” means an Incremental Assumption Agreement in form and substance reasonably satisfactory to the Administrative Agent, among the Borrower, the Administrative Agent and one or more Incremental Lenders.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Commitment</w:t>
      </w:r>
      <w:r>
        <w:rPr>
          <w:rFonts w:ascii="Arial" w:cs="Arial" w:eastAsia="Arial" w:hAnsi="Arial"/>
          <w:sz w:val="19"/>
          <w:szCs w:val="19"/>
          <w:color w:val="auto"/>
        </w:rPr>
        <w:t>” means any increased or incremental Commitment provided pursuant to Section 2.22.</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 Cap</w:t>
      </w:r>
      <w:r>
        <w:rPr>
          <w:rFonts w:ascii="Arial" w:cs="Arial" w:eastAsia="Arial" w:hAnsi="Arial"/>
          <w:sz w:val="22"/>
          <w:szCs w:val="22"/>
          <w:color w:val="auto"/>
        </w:rPr>
        <w:t>” means $1,087,500,000.</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Lender</w:t>
      </w:r>
      <w:r>
        <w:rPr>
          <w:rFonts w:ascii="Arial" w:cs="Arial" w:eastAsia="Arial" w:hAnsi="Arial"/>
          <w:sz w:val="22"/>
          <w:szCs w:val="22"/>
          <w:color w:val="auto"/>
        </w:rPr>
        <w:t>” means a Lender with a Commitment or an outstanding Revolving Loan as a result of an Incremental Commitment.</w:t>
      </w:r>
    </w:p>
    <w:p>
      <w:pPr>
        <w:spacing w:after="0" w:line="121"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 Taxes, other than Excluded Taxes, imposed on or with respect to any payment made by the Borrower under any Credit Document and (b) to the extent not otherwise described in (a), Other Taxes.</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specified in Section 9.03(c).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the last day of each calendar month.</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has the meaning assigned to such term in Section 5.03(g).</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means JPMorgan Chase Bank, N.A. and BMO Capital Markets Corp.</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means, with respect to any Lender, any Person of which such Lender is, directly or indirectly,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48"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means the Persons listed on Schedule 1.1A and any other Person that shall have become a party hereto pursuant to an Assignment and Assumption or otherwise, other than any such Person that ceases to be a party hereto pursuant to an Assignment and Assumption. Unless the context otherwise requires, the term “Lenders” includes the Swingline Lender.</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means any losses, claims (including intraparty claims), demands, damages or liabilities of any kind.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assigned to such term in Section 1.13.</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security interest or other charge of any kind, or any other type of preferential arrangement intended to have the effect of a lien or security interest, including the lien or retained security title of a conditional vendor and any easement, right of way or other encumbrance on title to real property.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942" w:right="339" w:bottom="1440" w:gutter="0" w:footer="0" w:header="0"/>
        </w:sectPr>
      </w:pPr>
    </w:p>
    <w:bookmarkStart w:id="639" w:name="page640"/>
    <w:bookmarkEnd w:id="639"/>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Value</w:t>
      </w:r>
      <w:r>
        <w:rPr>
          <w:rFonts w:ascii="Arial" w:cs="Arial" w:eastAsia="Arial" w:hAnsi="Arial"/>
          <w:sz w:val="22"/>
          <w:szCs w:val="22"/>
          <w:color w:val="auto"/>
        </w:rPr>
        <w:t xml:space="preserve">” means as to any Pledged Eligible Asset at any time, the product of (a) 80% and (b) the Market Value of such Pledged Eligible Asset as most recently determined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Pledged Eligible Asset shall be included in the calculation of Loan Value only to the extent the Administrative Agent (for the benefit of the Lenders) has a valid and enforceable first priority perfected Lien and security interest on such Pledged Eligible Asset (subject solely to any Permitted Collateral Liens).</w:t>
      </w:r>
    </w:p>
    <w:p>
      <w:pPr>
        <w:spacing w:after="0" w:line="13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 (including any Revolving Loans and/or Swingline Loans).</w:t>
      </w:r>
    </w:p>
    <w:p>
      <w:pPr>
        <w:spacing w:after="0" w:line="12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w:t>
      </w:r>
      <w:r>
        <w:rPr>
          <w:rFonts w:ascii="Arial" w:cs="Arial" w:eastAsia="Arial" w:hAnsi="Arial"/>
          <w:sz w:val="22"/>
          <w:szCs w:val="22"/>
          <w:color w:val="auto"/>
        </w:rPr>
        <w:t>” means, as to any Pledged Eligible Asset, the market value determined by the Administrative Agent in its usual and customary manner for loans to broker-dealers by using pricing information with respect to such Pledged Eligible Asset available to the Administrative Agent from Intercontinental Exchange, Inc. or any of its Affiliates (including ICE Data Services Interactive), or such other pricing services selected by the Administrative Agent in its reasonable discretion (in each case at the time of determination).</w:t>
      </w:r>
    </w:p>
    <w:p>
      <w:pPr>
        <w:spacing w:after="0" w:line="13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financial condition or results of operations of the Borrower and its Subsidiaries, taken as a whole, (b) the rights and remedies of the Administrative Agent or the Lenders under the Credit Documents, taken as a whole or (c) the ability of the Borrower to perform its payment obligations under the Credit Documents.</w:t>
      </w:r>
    </w:p>
    <w:p>
      <w:pPr>
        <w:spacing w:after="0" w:line="13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xml:space="preserve">” means, at any date of determination, any Subsidiary (i) which, as of the last day of the most recently completed Measurement Period of the Borrower, contributed greater than five percent (5%) of gross revenue of the Borrower and its Subsidiaries on a consolidated basis for such Measurement Period or (ii) which contributed greater than five percent (5%) of total assets of the Borrower and its Subsidiaries on a consolidated basis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the aggregate amount of gross revenue or total assets attributable to all Subsidiaries that are not Material Subsidiaries exceeds ten percent (10%) of gross revenue of the Borrower and its Subsidiaries on a consolidated basis for any such Measurement Period or ten percent (10%) of total assets of the Borrower and its Subsidiaries on a consolidated basis as of the end of any such Measurement Period, the Borrower shall promptly (and in any event within thirty (30) days of becoming aware of such excess) designate sufficient Subsidiaries as “Material Subsidiaries” to eliminate such excess, and such designated Subsidiaries shall for all purposes of this Agreement constitute Material Subsidiaries.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means April 15, 2022 (or if such date is not a Business Day, the immediately preceding Business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assigned to such term in Section 9.13.</w:t>
      </w:r>
    </w:p>
    <w:p>
      <w:pPr>
        <w:spacing w:after="0" w:line="166"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Period</w:t>
      </w:r>
      <w:r>
        <w:rPr>
          <w:rFonts w:ascii="Arial" w:cs="Arial" w:eastAsia="Arial" w:hAnsi="Arial"/>
          <w:sz w:val="19"/>
          <w:szCs w:val="19"/>
          <w:color w:val="auto"/>
        </w:rPr>
        <w:t>” means, except as otherwise expressly provided herein, each period of four consecutive fiscal quarters of the Borrower for which financial statements have been delivered pursuant to Section 5.01(a)(ii) or (iii).</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TNW</w:t>
      </w:r>
      <w:r>
        <w:rPr>
          <w:rFonts w:ascii="Arial" w:cs="Arial" w:eastAsia="Arial" w:hAnsi="Arial"/>
          <w:sz w:val="22"/>
          <w:szCs w:val="22"/>
          <w:color w:val="auto"/>
        </w:rPr>
        <w:t>” means, at any time, $1,918,806,097.</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942" w:right="339" w:bottom="1440" w:gutter="0" w:footer="0" w:header="0"/>
        </w:sectPr>
      </w:pPr>
    </w:p>
    <w:bookmarkStart w:id="640" w:name="page641"/>
    <w:bookmarkEnd w:id="64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Capital</w:t>
      </w:r>
      <w:r>
        <w:rPr>
          <w:rFonts w:ascii="Arial" w:cs="Arial" w:eastAsia="Arial" w:hAnsi="Arial"/>
          <w:sz w:val="19"/>
          <w:szCs w:val="19"/>
          <w:color w:val="auto"/>
        </w:rPr>
        <w:t>” of any Person means the net capital as shown on line 3750 of the FOCUS-II Report for such Person.</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 in connection with any issuance or sale of Equity Interests, the cash proceeds received from such issuance or incurrence, net of attorneys’ fees, investment banking fees, auditor fees, printer fees, SEC filing fees, brokerage fees, accountants’ fees, underwriting discounts and commissions and other customary fees and expenses actually incurred in connection therewith.</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has the meaning assigned to such term in Section 2.20(b).</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means a Lender that is not a U.S. Person.</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 Otherwise Applied</w:t>
      </w:r>
      <w:r>
        <w:rPr>
          <w:rFonts w:ascii="Arial" w:cs="Arial" w:eastAsia="Arial" w:hAnsi="Arial"/>
          <w:sz w:val="22"/>
          <w:szCs w:val="22"/>
          <w:color w:val="auto"/>
        </w:rPr>
        <w:t>” means in respect of any amount, such amount has not previously been (and is not currently being) applied to any other use or transaction.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means the collective reference to any promissory note evidencing Loans.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NSCC</w:t>
      </w:r>
      <w:r>
        <w:rPr>
          <w:rFonts w:ascii="Arial" w:cs="Arial" w:eastAsia="Arial" w:hAnsi="Arial"/>
          <w:sz w:val="22"/>
          <w:szCs w:val="22"/>
          <w:color w:val="auto"/>
        </w:rPr>
        <w:t>” means the National Securities Clearing Corporation.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NSCC Collateral Account</w:t>
      </w:r>
      <w:r>
        <w:rPr>
          <w:rFonts w:ascii="Arial" w:cs="Arial" w:eastAsia="Arial" w:hAnsi="Arial"/>
          <w:sz w:val="19"/>
          <w:szCs w:val="19"/>
          <w:color w:val="auto"/>
        </w:rPr>
        <w:t>” has the meaning assigned to such term in the definition of “Eligible NSCC Margin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Deposits”.</w:t>
      </w:r>
    </w:p>
    <w:p>
      <w:pPr>
        <w:spacing w:after="0" w:line="14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NSCC Deposit Requirements</w:t>
      </w:r>
      <w:r>
        <w:rPr>
          <w:rFonts w:ascii="Arial" w:cs="Arial" w:eastAsia="Arial" w:hAnsi="Arial"/>
          <w:sz w:val="21"/>
          <w:szCs w:val="21"/>
          <w:color w:val="auto"/>
        </w:rPr>
        <w:t>” means cash collateral requirements established by NSCC in connection with securities clearing services provided by NSCC, as such requirements may be adjusted from time to time.</w:t>
      </w:r>
    </w:p>
    <w:p>
      <w:pPr>
        <w:spacing w:after="0" w:line="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NSCC Margin Deposits</w:t>
      </w:r>
      <w:r>
        <w:rPr>
          <w:rFonts w:ascii="Arial" w:cs="Arial" w:eastAsia="Arial" w:hAnsi="Arial"/>
          <w:sz w:val="22"/>
          <w:szCs w:val="22"/>
          <w:color w:val="auto"/>
        </w:rPr>
        <w:t>” means deposits made by the Borrower with NSCC in connection with securities clearing services provided to it by NSCC, as such requirements may be adjusted from time to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56" w:lineRule="exact"/>
        <w:rPr>
          <w:sz w:val="20"/>
          <w:szCs w:val="20"/>
          <w:color w:val="auto"/>
        </w:rPr>
      </w:pPr>
    </w:p>
    <w:p>
      <w:pPr>
        <w:jc w:val="both"/>
        <w:ind w:firstLine="8"/>
        <w:spacing w:after="0" w:line="292" w:lineRule="auto"/>
        <w:tabs>
          <w:tab w:leader="none" w:pos="337" w:val="left"/>
        </w:tabs>
        <w:numPr>
          <w:ilvl w:val="0"/>
          <w:numId w:val="444"/>
        </w:numPr>
        <w:rPr>
          <w:rFonts w:ascii="Arial" w:cs="Arial" w:eastAsia="Arial" w:hAnsi="Arial"/>
          <w:sz w:val="19"/>
          <w:szCs w:val="19"/>
          <w:color w:val="auto"/>
        </w:rPr>
      </w:pPr>
      <w:r>
        <w:rPr>
          <w:rFonts w:ascii="Arial" w:cs="Arial" w:eastAsia="Arial" w:hAnsi="Arial"/>
          <w:sz w:val="19"/>
          <w:szCs w:val="19"/>
          <w:color w:val="auto"/>
        </w:rPr>
        <w:t xml:space="preserve">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942" w:right="339" w:bottom="1440" w:gutter="0" w:footer="0" w:header="0"/>
        </w:sectPr>
      </w:pPr>
    </w:p>
    <w:bookmarkStart w:id="641" w:name="page642"/>
    <w:bookmarkEnd w:id="641"/>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NYFRB’s Website</w:t>
      </w:r>
      <w:r>
        <w:rPr>
          <w:rFonts w:ascii="Arial" w:cs="Arial" w:eastAsia="Arial" w:hAnsi="Arial"/>
          <w:sz w:val="19"/>
          <w:szCs w:val="19"/>
          <w:color w:val="auto"/>
        </w:rPr>
        <w:t>” means the website of the NYFRB at http://www.newyorkfed.org, or any successor source.</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w:t>
      </w:r>
      <w:r>
        <w:rPr>
          <w:rFonts w:ascii="Arial" w:cs="Arial" w:eastAsia="Arial" w:hAnsi="Arial"/>
          <w:sz w:val="21"/>
          <w:szCs w:val="21"/>
          <w:color w:val="auto"/>
        </w:rPr>
        <w:t>” means, with respect to any Person, any payment or other obligation or liability of such Person of any kind, including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the Borrower under the Credit Documents includes the obligation to pay principal, interest, charges, expenses, fees, attorneys’ fees and disbursements, indemnities and other amounts payable by the Borrower under any Credit Document.</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OCC</w:t>
      </w:r>
      <w:r>
        <w:rPr>
          <w:rFonts w:ascii="Arial" w:cs="Arial" w:eastAsia="Arial" w:hAnsi="Arial"/>
          <w:sz w:val="22"/>
          <w:szCs w:val="22"/>
          <w:color w:val="auto"/>
        </w:rPr>
        <w:t>” means the United States Office of the Comptroller of the Currency.</w:t>
      </w:r>
    </w:p>
    <w:p>
      <w:pPr>
        <w:spacing w:after="0" w:line="16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Payment Obligations</w:t>
      </w:r>
      <w:r>
        <w:rPr>
          <w:rFonts w:ascii="Arial" w:cs="Arial" w:eastAsia="Arial" w:hAnsi="Arial"/>
          <w:sz w:val="19"/>
          <w:szCs w:val="19"/>
          <w:color w:val="auto"/>
        </w:rPr>
        <w:t xml:space="preserve">” means (i) liabilities payable to brokers, dealers, clearing organizations, clients and correspondents, and liabilities in respect of securities sold but not yet purchased, in each case incurred in the ordinary course of the “broker-dealer” business of the Borrower and its Broker-Dealer Subsidiaries, including the provision of margin for forward, future, option, swap, repurchase or similar transactions, the making of advances to customers, the establishment of performance or surety bonds or guarantees, (ii) accounts payable and accrued liabilities in the ordinary course of business, (iii) notes, bills and checks presented in the ordinary course of business by such Person to banks for collection or deposit and (iv) all obligations of the Borrower or any Subsidiary of the character referred to in this definition to the extent owing to the Borrower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“Ordinary Course Payment Obligations” shall not, under any circumstances, include Obligations that would either (1) represent Debt for Borrowed Money or (2) contribute to regulatory capital.</w:t>
      </w:r>
    </w:p>
    <w:p>
      <w:pPr>
        <w:spacing w:after="0" w:line="10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Taxes (other than a connection arising solely from such Recipient having executed, delivered, enforced, become a party to, performed its obligations under, received payments under, received or perfected a security interest under, or engaged in any other transaction pursuant to, or enforced, any Credit Document, or sold or assigned an interest in any Loan or Credit Document).</w:t>
      </w:r>
    </w:p>
    <w:p>
      <w:pPr>
        <w:spacing w:after="0" w:line="12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Credit Document, except any such Taxes that are Other Connection Taxes imposed with respect to an assignment (other than an assignment under Section 2.20(b)).</w:t>
      </w:r>
    </w:p>
    <w:p>
      <w:pPr>
        <w:spacing w:after="0" w:line="13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NYFRB’s Website from time to time, and published on the next succeeding Business Day by the NYFRB as an overnight bank funding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942" w:right="339" w:bottom="1440" w:gutter="0" w:footer="0" w:header="0"/>
        </w:sectPr>
      </w:pPr>
    </w:p>
    <w:bookmarkStart w:id="642" w:name="page643"/>
    <w:bookmarkEnd w:id="64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set forth in Section 9.04(b)(vi).</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set forth in Section 9.04(b)(vi).</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has the meaning set forth in Section 9.14.</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2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Collateral Liens</w:t>
      </w:r>
      <w:r>
        <w:rPr>
          <w:rFonts w:ascii="Arial" w:cs="Arial" w:eastAsia="Arial" w:hAnsi="Arial"/>
          <w:sz w:val="19"/>
          <w:szCs w:val="19"/>
          <w:color w:val="auto"/>
        </w:rPr>
        <w:t xml:space="preserve">” means (a) Liens securing the payment of Taxes, assessments and governmental charges or levies to the extent not yet due or otherwise not required to be paid, (b) other Liens which arise by operation of law, and not as a result of any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Liens do not materially interfere with the Borrower’s use of the Pledged Eligible Assets, materially lessen the value of the Pledged Eligible Assets as Collateral or impair the Lien held by the Administrative Agent and (c) Liens in favor of the Administrative Agent, for the benefit of the Secured Parties.</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 such of the following:</w:t>
      </w:r>
    </w:p>
    <w:p>
      <w:pPr>
        <w:spacing w:after="0" w:line="166" w:lineRule="exact"/>
        <w:rPr>
          <w:sz w:val="20"/>
          <w:szCs w:val="20"/>
          <w:color w:val="auto"/>
        </w:rPr>
      </w:pPr>
    </w:p>
    <w:p>
      <w:pPr>
        <w:ind w:right="20" w:firstLine="1304"/>
        <w:spacing w:after="0" w:line="263" w:lineRule="auto"/>
        <w:tabs>
          <w:tab w:leader="none" w:pos="1767" w:val="left"/>
        </w:tabs>
        <w:numPr>
          <w:ilvl w:val="0"/>
          <w:numId w:val="445"/>
        </w:numPr>
        <w:rPr>
          <w:rFonts w:ascii="Arial" w:cs="Arial" w:eastAsia="Arial" w:hAnsi="Arial"/>
          <w:sz w:val="22"/>
          <w:szCs w:val="22"/>
          <w:color w:val="auto"/>
        </w:rPr>
      </w:pPr>
      <w:r>
        <w:rPr>
          <w:rFonts w:ascii="Arial" w:cs="Arial" w:eastAsia="Arial" w:hAnsi="Arial"/>
          <w:sz w:val="22"/>
          <w:szCs w:val="22"/>
          <w:color w:val="auto"/>
        </w:rPr>
        <w:t>Liens for unpaid utilities and for Taxes, assessments and governmental charges or levies to the extent not yet due or otherwise not required to be paid under Section 5.01(c);</w:t>
      </w:r>
    </w:p>
    <w:p>
      <w:pPr>
        <w:spacing w:after="0" w:line="120" w:lineRule="exact"/>
        <w:rPr>
          <w:rFonts w:ascii="Arial" w:cs="Arial" w:eastAsia="Arial" w:hAnsi="Arial"/>
          <w:sz w:val="22"/>
          <w:szCs w:val="22"/>
          <w:color w:val="auto"/>
        </w:rPr>
      </w:pPr>
    </w:p>
    <w:p>
      <w:pPr>
        <w:jc w:val="both"/>
        <w:ind w:firstLine="1304"/>
        <w:spacing w:after="0" w:line="253" w:lineRule="auto"/>
        <w:tabs>
          <w:tab w:leader="none" w:pos="1801" w:val="left"/>
        </w:tabs>
        <w:numPr>
          <w:ilvl w:val="0"/>
          <w:numId w:val="445"/>
        </w:numPr>
        <w:rPr>
          <w:rFonts w:ascii="Arial" w:cs="Arial" w:eastAsia="Arial" w:hAnsi="Arial"/>
          <w:sz w:val="22"/>
          <w:szCs w:val="22"/>
          <w:color w:val="auto"/>
        </w:rPr>
      </w:pPr>
      <w:r>
        <w:rPr>
          <w:rFonts w:ascii="Arial" w:cs="Arial" w:eastAsia="Arial" w:hAnsi="Arial"/>
          <w:sz w:val="22"/>
          <w:szCs w:val="22"/>
          <w:color w:val="auto"/>
        </w:rPr>
        <w:t>Liens imposed by law, such as landlords’, materialmen’s, mechanics’, carriers’, workmen’s and repairmen’s Liens and other similar Liens arising in the ordinary course of business securing obligations that are not overdue for a period of more than 60 days or are being contested in good faith by appropriate proceedings;</w:t>
      </w:r>
    </w:p>
    <w:p>
      <w:pPr>
        <w:spacing w:after="0" w:line="131" w:lineRule="exact"/>
        <w:rPr>
          <w:rFonts w:ascii="Arial" w:cs="Arial" w:eastAsia="Arial" w:hAnsi="Arial"/>
          <w:sz w:val="22"/>
          <w:szCs w:val="22"/>
          <w:color w:val="auto"/>
        </w:rPr>
      </w:pPr>
    </w:p>
    <w:p>
      <w:pPr>
        <w:ind w:left="1760" w:hanging="456"/>
        <w:spacing w:after="0"/>
        <w:tabs>
          <w:tab w:leader="none" w:pos="1760" w:val="left"/>
        </w:tabs>
        <w:numPr>
          <w:ilvl w:val="0"/>
          <w:numId w:val="445"/>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1304"/>
        <w:spacing w:after="0" w:line="253" w:lineRule="auto"/>
        <w:tabs>
          <w:tab w:leader="none" w:pos="1885" w:val="left"/>
        </w:tabs>
        <w:numPr>
          <w:ilvl w:val="0"/>
          <w:numId w:val="445"/>
        </w:numPr>
        <w:rPr>
          <w:rFonts w:ascii="Arial" w:cs="Arial" w:eastAsia="Arial" w:hAnsi="Arial"/>
          <w:sz w:val="22"/>
          <w:szCs w:val="22"/>
          <w:color w:val="auto"/>
        </w:rPr>
      </w:pPr>
      <w:r>
        <w:rPr>
          <w:rFonts w:ascii="Arial" w:cs="Arial" w:eastAsia="Arial" w:hAnsi="Arial"/>
          <w:sz w:val="22"/>
          <w:szCs w:val="22"/>
          <w:color w:val="auto"/>
        </w:rPr>
        <w:t>pledges and deposits to secure the performance of bids, trade contracts and leases (other than Debt For Borrowed Money), statutory or regulatory obligations, surety and appeal bonds, performance bonds and other obligations of a like nature incurred in the ordinary course of business;</w:t>
      </w:r>
    </w:p>
    <w:p>
      <w:pPr>
        <w:spacing w:after="0" w:line="131" w:lineRule="exact"/>
        <w:rPr>
          <w:rFonts w:ascii="Arial" w:cs="Arial" w:eastAsia="Arial" w:hAnsi="Arial"/>
          <w:sz w:val="22"/>
          <w:szCs w:val="22"/>
          <w:color w:val="auto"/>
        </w:rPr>
      </w:pPr>
    </w:p>
    <w:p>
      <w:pPr>
        <w:ind w:firstLine="1304"/>
        <w:spacing w:after="0" w:line="263" w:lineRule="auto"/>
        <w:tabs>
          <w:tab w:leader="none" w:pos="1868" w:val="left"/>
        </w:tabs>
        <w:numPr>
          <w:ilvl w:val="0"/>
          <w:numId w:val="445"/>
        </w:numPr>
        <w:rPr>
          <w:rFonts w:ascii="Arial" w:cs="Arial" w:eastAsia="Arial" w:hAnsi="Arial"/>
          <w:sz w:val="22"/>
          <w:szCs w:val="22"/>
          <w:color w:val="auto"/>
        </w:rPr>
      </w:pPr>
      <w:r>
        <w:rPr>
          <w:rFonts w:ascii="Arial" w:cs="Arial" w:eastAsia="Arial" w:hAnsi="Arial"/>
          <w:sz w:val="22"/>
          <w:szCs w:val="22"/>
          <w:color w:val="auto"/>
        </w:rPr>
        <w:t>Liens securing judgments for the payment of money not constituting an Event of Default under Section 6.01(g) or securing appeal or other surety bonds related to such judgments;</w:t>
      </w:r>
    </w:p>
    <w:p>
      <w:pPr>
        <w:spacing w:after="0" w:line="120" w:lineRule="exact"/>
        <w:rPr>
          <w:rFonts w:ascii="Arial" w:cs="Arial" w:eastAsia="Arial" w:hAnsi="Arial"/>
          <w:sz w:val="22"/>
          <w:szCs w:val="22"/>
          <w:color w:val="auto"/>
        </w:rPr>
      </w:pPr>
    </w:p>
    <w:p>
      <w:pPr>
        <w:jc w:val="both"/>
        <w:ind w:right="20" w:firstLine="1304"/>
        <w:spacing w:after="0" w:line="253" w:lineRule="auto"/>
        <w:tabs>
          <w:tab w:leader="none" w:pos="1748" w:val="left"/>
        </w:tabs>
        <w:numPr>
          <w:ilvl w:val="0"/>
          <w:numId w:val="445"/>
        </w:numPr>
        <w:rPr>
          <w:rFonts w:ascii="Arial" w:cs="Arial" w:eastAsia="Arial" w:hAnsi="Arial"/>
          <w:sz w:val="22"/>
          <w:szCs w:val="22"/>
          <w:color w:val="auto"/>
        </w:rPr>
      </w:pPr>
      <w:r>
        <w:rPr>
          <w:rFonts w:ascii="Arial" w:cs="Arial" w:eastAsia="Arial" w:hAnsi="Arial"/>
          <w:sz w:val="22"/>
          <w:szCs w:val="22"/>
          <w:color w:val="auto"/>
        </w:rPr>
        <w:t>easements, rights of way, covenants, zoning, use restrictions and other encumbrances on title to real property and title defects or irregularities that do not in, the aggregate, interfere in any material respect with the ordinary conduct of the business of Borrower or any of the Subsidiaries;</w:t>
      </w:r>
    </w:p>
    <w:p>
      <w:pPr>
        <w:spacing w:after="0" w:line="131" w:lineRule="exact"/>
        <w:rPr>
          <w:rFonts w:ascii="Arial" w:cs="Arial" w:eastAsia="Arial" w:hAnsi="Arial"/>
          <w:sz w:val="22"/>
          <w:szCs w:val="22"/>
          <w:color w:val="auto"/>
        </w:rPr>
      </w:pPr>
    </w:p>
    <w:p>
      <w:pPr>
        <w:jc w:val="both"/>
        <w:ind w:firstLine="1304"/>
        <w:spacing w:after="0" w:line="253" w:lineRule="auto"/>
        <w:tabs>
          <w:tab w:leader="none" w:pos="1787" w:val="left"/>
        </w:tabs>
        <w:numPr>
          <w:ilvl w:val="0"/>
          <w:numId w:val="445"/>
        </w:numPr>
        <w:rPr>
          <w:rFonts w:ascii="Arial" w:cs="Arial" w:eastAsia="Arial" w:hAnsi="Arial"/>
          <w:sz w:val="22"/>
          <w:szCs w:val="22"/>
          <w:color w:val="auto"/>
        </w:rPr>
      </w:pPr>
      <w:r>
        <w:rPr>
          <w:rFonts w:ascii="Arial" w:cs="Arial" w:eastAsia="Arial" w:hAnsi="Arial"/>
          <w:sz w:val="22"/>
          <w:szCs w:val="22"/>
          <w:color w:val="auto"/>
        </w:rPr>
        <w:t>any interest or title of a lessor, sublessor, licensee or licensor under any operating lease or license agreement entered into in the ordinary course of business and not interfering in any material respect with the business of the Borrower or any of its Subsidiaries;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942" w:right="339" w:bottom="1440" w:gutter="0" w:footer="0" w:header="0"/>
        </w:sectPr>
      </w:pPr>
    </w:p>
    <w:bookmarkStart w:id="643" w:name="page644"/>
    <w:bookmarkEnd w:id="643"/>
    <w:p>
      <w:pPr>
        <w:jc w:val="both"/>
        <w:ind w:firstLine="1304"/>
        <w:spacing w:after="0" w:line="253" w:lineRule="auto"/>
        <w:tabs>
          <w:tab w:leader="none" w:pos="1952" w:val="left"/>
        </w:tabs>
        <w:numPr>
          <w:ilvl w:val="0"/>
          <w:numId w:val="446"/>
        </w:numPr>
        <w:rPr>
          <w:rFonts w:ascii="Arial" w:cs="Arial" w:eastAsia="Arial" w:hAnsi="Arial"/>
          <w:sz w:val="22"/>
          <w:szCs w:val="22"/>
          <w:color w:val="auto"/>
        </w:rPr>
      </w:pPr>
      <w:r>
        <w:rPr>
          <w:rFonts w:ascii="Arial" w:cs="Arial" w:eastAsia="Arial" w:hAnsi="Arial"/>
          <w:sz w:val="22"/>
          <w:szCs w:val="22"/>
          <w:color w:val="auto"/>
        </w:rPr>
        <w:t>banker’s liens, rights of set off or similar rights and remedies as to deposit accounts or other funds maintained with depository institutions and securities accounts and other financial assets maintained with a securities intermediary, in each case granted in the ordinary course of business;</w:t>
      </w:r>
    </w:p>
    <w:p>
      <w:pPr>
        <w:spacing w:after="0" w:line="131" w:lineRule="exact"/>
        <w:rPr>
          <w:rFonts w:ascii="Arial" w:cs="Arial" w:eastAsia="Arial" w:hAnsi="Arial"/>
          <w:sz w:val="22"/>
          <w:szCs w:val="22"/>
          <w:color w:val="auto"/>
        </w:rPr>
      </w:pPr>
    </w:p>
    <w:p>
      <w:pPr>
        <w:jc w:val="both"/>
        <w:ind w:firstLine="1304"/>
        <w:spacing w:after="0" w:line="253" w:lineRule="auto"/>
        <w:tabs>
          <w:tab w:leader="none" w:pos="1982" w:val="left"/>
        </w:tabs>
        <w:numPr>
          <w:ilvl w:val="0"/>
          <w:numId w:val="446"/>
        </w:numPr>
        <w:rPr>
          <w:rFonts w:ascii="Arial" w:cs="Arial" w:eastAsia="Arial" w:hAnsi="Arial"/>
          <w:sz w:val="22"/>
          <w:szCs w:val="22"/>
          <w:color w:val="auto"/>
        </w:rPr>
      </w:pPr>
      <w:r>
        <w:rPr>
          <w:rFonts w:ascii="Arial" w:cs="Arial" w:eastAsia="Arial" w:hAnsi="Arial"/>
          <w:sz w:val="22"/>
          <w:szCs w:val="22"/>
          <w:color w:val="auto"/>
        </w:rPr>
        <w:t>Liens arising by virtue of precautionary Uniform Commercial Code financing statement filings or precautionary personal property security financing statements (or similar filings under applicable law) regarding operating leases, in each case, entered into in the ordinary course of business;</w:t>
      </w:r>
    </w:p>
    <w:p>
      <w:pPr>
        <w:spacing w:after="0" w:line="131" w:lineRule="exact"/>
        <w:rPr>
          <w:rFonts w:ascii="Arial" w:cs="Arial" w:eastAsia="Arial" w:hAnsi="Arial"/>
          <w:sz w:val="22"/>
          <w:szCs w:val="22"/>
          <w:color w:val="auto"/>
        </w:rPr>
      </w:pPr>
    </w:p>
    <w:p>
      <w:pPr>
        <w:ind w:right="20" w:firstLine="1304"/>
        <w:spacing w:after="0" w:line="343" w:lineRule="auto"/>
        <w:tabs>
          <w:tab w:leader="none" w:pos="1734" w:val="left"/>
        </w:tabs>
        <w:numPr>
          <w:ilvl w:val="0"/>
          <w:numId w:val="446"/>
        </w:numPr>
        <w:rPr>
          <w:rFonts w:ascii="Arial" w:cs="Arial" w:eastAsia="Arial" w:hAnsi="Arial"/>
          <w:sz w:val="19"/>
          <w:szCs w:val="19"/>
          <w:color w:val="auto"/>
        </w:rPr>
      </w:pPr>
      <w:r>
        <w:rPr>
          <w:rFonts w:ascii="Arial" w:cs="Arial" w:eastAsia="Arial" w:hAnsi="Arial"/>
          <w:sz w:val="19"/>
          <w:szCs w:val="19"/>
          <w:color w:val="auto"/>
        </w:rPr>
        <w:t>Liens created by or resulting from any litigation or legal proceedings which are being contested in good faith by the Borrower or which involve claims against the Borrower that would not otherwise result in an Event of Default;</w:t>
      </w:r>
    </w:p>
    <w:p>
      <w:pPr>
        <w:spacing w:after="0" w:line="50" w:lineRule="exact"/>
        <w:rPr>
          <w:rFonts w:ascii="Arial" w:cs="Arial" w:eastAsia="Arial" w:hAnsi="Arial"/>
          <w:sz w:val="19"/>
          <w:szCs w:val="19"/>
          <w:color w:val="auto"/>
        </w:rPr>
      </w:pPr>
    </w:p>
    <w:p>
      <w:pPr>
        <w:ind w:firstLine="1304"/>
        <w:spacing w:after="0" w:line="263" w:lineRule="auto"/>
        <w:tabs>
          <w:tab w:leader="none" w:pos="1791" w:val="left"/>
        </w:tabs>
        <w:numPr>
          <w:ilvl w:val="0"/>
          <w:numId w:val="446"/>
        </w:numPr>
        <w:rPr>
          <w:rFonts w:ascii="Arial" w:cs="Arial" w:eastAsia="Arial" w:hAnsi="Arial"/>
          <w:sz w:val="22"/>
          <w:szCs w:val="22"/>
          <w:color w:val="auto"/>
        </w:rPr>
      </w:pPr>
      <w:r>
        <w:rPr>
          <w:rFonts w:ascii="Arial" w:cs="Arial" w:eastAsia="Arial" w:hAnsi="Arial"/>
          <w:sz w:val="22"/>
          <w:szCs w:val="22"/>
          <w:color w:val="auto"/>
        </w:rPr>
        <w:t>pledges and deposits to secure (or in lieu of) any surety, stay, appeal or customs bonds and other obligations of a like nature (other than Debt For Borrowed Money);</w:t>
      </w:r>
    </w:p>
    <w:p>
      <w:pPr>
        <w:spacing w:after="0" w:line="120" w:lineRule="exact"/>
        <w:rPr>
          <w:rFonts w:ascii="Arial" w:cs="Arial" w:eastAsia="Arial" w:hAnsi="Arial"/>
          <w:sz w:val="22"/>
          <w:szCs w:val="22"/>
          <w:color w:val="auto"/>
        </w:rPr>
      </w:pPr>
    </w:p>
    <w:p>
      <w:pPr>
        <w:ind w:left="1720" w:hanging="416"/>
        <w:spacing w:after="0"/>
        <w:tabs>
          <w:tab w:leader="none" w:pos="1720" w:val="left"/>
        </w:tabs>
        <w:numPr>
          <w:ilvl w:val="0"/>
          <w:numId w:val="446"/>
        </w:numPr>
        <w:rPr>
          <w:rFonts w:ascii="Arial" w:cs="Arial" w:eastAsia="Arial" w:hAnsi="Arial"/>
          <w:sz w:val="22"/>
          <w:szCs w:val="22"/>
          <w:color w:val="auto"/>
        </w:rPr>
      </w:pPr>
      <w:r>
        <w:rPr>
          <w:rFonts w:ascii="Arial" w:cs="Arial" w:eastAsia="Arial" w:hAnsi="Arial"/>
          <w:sz w:val="22"/>
          <w:szCs w:val="22"/>
          <w:color w:val="auto"/>
        </w:rPr>
        <w:t>Liens incurred in the ordinary course related to the settlement of securities transactions;</w:t>
      </w:r>
    </w:p>
    <w:p>
      <w:pPr>
        <w:spacing w:after="0" w:line="165" w:lineRule="exact"/>
        <w:rPr>
          <w:rFonts w:ascii="Arial" w:cs="Arial" w:eastAsia="Arial" w:hAnsi="Arial"/>
          <w:sz w:val="22"/>
          <w:szCs w:val="22"/>
          <w:color w:val="auto"/>
        </w:rPr>
      </w:pPr>
    </w:p>
    <w:p>
      <w:pPr>
        <w:ind w:left="1840" w:hanging="536"/>
        <w:spacing w:after="0"/>
        <w:tabs>
          <w:tab w:leader="none" w:pos="1840" w:val="left"/>
        </w:tabs>
        <w:numPr>
          <w:ilvl w:val="0"/>
          <w:numId w:val="446"/>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firstLine="1304"/>
        <w:spacing w:after="0" w:line="343" w:lineRule="auto"/>
        <w:tabs>
          <w:tab w:leader="none" w:pos="1772" w:val="left"/>
        </w:tabs>
        <w:numPr>
          <w:ilvl w:val="0"/>
          <w:numId w:val="446"/>
        </w:numPr>
        <w:rPr>
          <w:rFonts w:ascii="Arial" w:cs="Arial" w:eastAsia="Arial" w:hAnsi="Arial"/>
          <w:sz w:val="19"/>
          <w:szCs w:val="19"/>
          <w:color w:val="auto"/>
        </w:rPr>
      </w:pPr>
      <w:r>
        <w:rPr>
          <w:rFonts w:ascii="Arial" w:cs="Arial" w:eastAsia="Arial" w:hAnsi="Arial"/>
          <w:sz w:val="19"/>
          <w:szCs w:val="19"/>
          <w:color w:val="auto"/>
        </w:rPr>
        <w:t>Liens solely on any cash earnest money deposits made by the Borrower or any Subsidiary in connection with any letter of intent or purchase agreement relating to an acquisition or third party Investment permitted hereunder;</w:t>
      </w:r>
    </w:p>
    <w:p>
      <w:pPr>
        <w:spacing w:after="0" w:line="50" w:lineRule="exact"/>
        <w:rPr>
          <w:rFonts w:ascii="Arial" w:cs="Arial" w:eastAsia="Arial" w:hAnsi="Arial"/>
          <w:sz w:val="19"/>
          <w:szCs w:val="19"/>
          <w:color w:val="auto"/>
        </w:rPr>
      </w:pPr>
    </w:p>
    <w:p>
      <w:pPr>
        <w:ind w:right="20" w:firstLine="1304"/>
        <w:spacing w:after="0" w:line="263" w:lineRule="auto"/>
        <w:tabs>
          <w:tab w:leader="none" w:pos="1762" w:val="left"/>
        </w:tabs>
        <w:numPr>
          <w:ilvl w:val="0"/>
          <w:numId w:val="446"/>
        </w:numPr>
        <w:rPr>
          <w:rFonts w:ascii="Arial" w:cs="Arial" w:eastAsia="Arial" w:hAnsi="Arial"/>
          <w:sz w:val="22"/>
          <w:szCs w:val="22"/>
          <w:color w:val="auto"/>
        </w:rPr>
      </w:pPr>
      <w:r>
        <w:rPr>
          <w:rFonts w:ascii="Arial" w:cs="Arial" w:eastAsia="Arial" w:hAnsi="Arial"/>
          <w:sz w:val="22"/>
          <w:szCs w:val="22"/>
          <w:color w:val="auto"/>
        </w:rPr>
        <w:t>Any option or other agreement to purchase any asset of the Borrower or any Subsidiary, the purchase, sale or other disposition of which is not prohibited by Section 5.03(e);</w:t>
      </w:r>
    </w:p>
    <w:p>
      <w:pPr>
        <w:spacing w:after="0" w:line="120" w:lineRule="exact"/>
        <w:rPr>
          <w:rFonts w:ascii="Arial" w:cs="Arial" w:eastAsia="Arial" w:hAnsi="Arial"/>
          <w:sz w:val="22"/>
          <w:szCs w:val="22"/>
          <w:color w:val="auto"/>
        </w:rPr>
      </w:pPr>
    </w:p>
    <w:p>
      <w:pPr>
        <w:ind w:firstLine="1304"/>
        <w:spacing w:after="0" w:line="343" w:lineRule="auto"/>
        <w:tabs>
          <w:tab w:leader="none" w:pos="1824" w:val="left"/>
        </w:tabs>
        <w:numPr>
          <w:ilvl w:val="0"/>
          <w:numId w:val="446"/>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sale of goods entered into by the Borrower or any other Subsidiary in the ordinary course of business and permitted by this Agreement;</w:t>
      </w:r>
    </w:p>
    <w:p>
      <w:pPr>
        <w:spacing w:after="0" w:line="50" w:lineRule="exact"/>
        <w:rPr>
          <w:rFonts w:ascii="Arial" w:cs="Arial" w:eastAsia="Arial" w:hAnsi="Arial"/>
          <w:sz w:val="19"/>
          <w:szCs w:val="19"/>
          <w:color w:val="auto"/>
        </w:rPr>
      </w:pPr>
    </w:p>
    <w:p>
      <w:pPr>
        <w:ind w:firstLine="1304"/>
        <w:spacing w:after="0" w:line="263" w:lineRule="auto"/>
        <w:tabs>
          <w:tab w:leader="none" w:pos="1764" w:val="left"/>
        </w:tabs>
        <w:numPr>
          <w:ilvl w:val="0"/>
          <w:numId w:val="446"/>
        </w:numPr>
        <w:rPr>
          <w:rFonts w:ascii="Arial" w:cs="Arial" w:eastAsia="Arial" w:hAnsi="Arial"/>
          <w:sz w:val="22"/>
          <w:szCs w:val="22"/>
          <w:color w:val="auto"/>
        </w:rPr>
      </w:pPr>
      <w:r>
        <w:rPr>
          <w:rFonts w:ascii="Arial" w:cs="Arial" w:eastAsia="Arial" w:hAnsi="Arial"/>
          <w:sz w:val="22"/>
          <w:szCs w:val="22"/>
          <w:color w:val="auto"/>
        </w:rPr>
        <w:t>Liens encumbering reasonable and customary initial deposits and margin deposits and similar Liens attaching to brokerage accounts incurred in the ordinary course of business and not for speculative purposes;</w:t>
      </w:r>
    </w:p>
    <w:p>
      <w:pPr>
        <w:spacing w:after="0" w:line="120" w:lineRule="exact"/>
        <w:rPr>
          <w:rFonts w:ascii="Arial" w:cs="Arial" w:eastAsia="Arial" w:hAnsi="Arial"/>
          <w:sz w:val="22"/>
          <w:szCs w:val="22"/>
          <w:color w:val="auto"/>
        </w:rPr>
      </w:pPr>
    </w:p>
    <w:p>
      <w:pPr>
        <w:ind w:right="20" w:firstLine="1304"/>
        <w:spacing w:after="0" w:line="263" w:lineRule="auto"/>
        <w:tabs>
          <w:tab w:leader="none" w:pos="1794" w:val="left"/>
        </w:tabs>
        <w:numPr>
          <w:ilvl w:val="0"/>
          <w:numId w:val="446"/>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120" w:lineRule="exact"/>
        <w:rPr>
          <w:rFonts w:ascii="Arial" w:cs="Arial" w:eastAsia="Arial" w:hAnsi="Arial"/>
          <w:sz w:val="22"/>
          <w:szCs w:val="22"/>
          <w:color w:val="auto"/>
        </w:rPr>
      </w:pPr>
    </w:p>
    <w:p>
      <w:pPr>
        <w:ind w:firstLine="1304"/>
        <w:spacing w:after="0" w:line="263" w:lineRule="auto"/>
        <w:tabs>
          <w:tab w:leader="none" w:pos="1873" w:val="left"/>
        </w:tabs>
        <w:numPr>
          <w:ilvl w:val="0"/>
          <w:numId w:val="446"/>
        </w:numPr>
        <w:rPr>
          <w:rFonts w:ascii="Arial" w:cs="Arial" w:eastAsia="Arial" w:hAnsi="Arial"/>
          <w:sz w:val="22"/>
          <w:szCs w:val="22"/>
          <w:color w:val="auto"/>
        </w:rPr>
      </w:pPr>
      <w:r>
        <w:rPr>
          <w:rFonts w:ascii="Arial" w:cs="Arial" w:eastAsia="Arial" w:hAnsi="Arial"/>
          <w:sz w:val="22"/>
          <w:szCs w:val="22"/>
          <w:color w:val="auto"/>
        </w:rPr>
        <w:t>Liens on premium refunds granted in favor of insurance companies (or their financing affiliates) in the ordinary course of business in connection with the financing of insurance premiums;</w:t>
      </w:r>
    </w:p>
    <w:p>
      <w:pPr>
        <w:spacing w:after="0" w:line="120" w:lineRule="exact"/>
        <w:rPr>
          <w:rFonts w:ascii="Arial" w:cs="Arial" w:eastAsia="Arial" w:hAnsi="Arial"/>
          <w:sz w:val="22"/>
          <w:szCs w:val="22"/>
          <w:color w:val="auto"/>
        </w:rPr>
      </w:pPr>
    </w:p>
    <w:p>
      <w:pPr>
        <w:jc w:val="both"/>
        <w:ind w:firstLine="1304"/>
        <w:spacing w:after="0" w:line="253" w:lineRule="auto"/>
        <w:tabs>
          <w:tab w:leader="none" w:pos="1767" w:val="left"/>
        </w:tabs>
        <w:numPr>
          <w:ilvl w:val="0"/>
          <w:numId w:val="446"/>
        </w:numPr>
        <w:rPr>
          <w:rFonts w:ascii="Arial" w:cs="Arial" w:eastAsia="Arial" w:hAnsi="Arial"/>
          <w:sz w:val="22"/>
          <w:szCs w:val="22"/>
          <w:color w:val="auto"/>
        </w:rPr>
      </w:pPr>
      <w:r>
        <w:rPr>
          <w:rFonts w:ascii="Arial" w:cs="Arial" w:eastAsia="Arial" w:hAnsi="Arial"/>
          <w:sz w:val="22"/>
          <w:szCs w:val="22"/>
          <w:color w:val="auto"/>
        </w:rPr>
        <w:t>(i) pledges and deposits made in the ordinary course of business in compliance with the Federal Employers Liability Act or any other workers’ compensation, unemployment insurance and other social security laws or regulations and deposits made in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942" w:right="339" w:bottom="1440" w:gutter="0" w:footer="0" w:header="0"/>
        </w:sectPr>
      </w:pPr>
    </w:p>
    <w:bookmarkStart w:id="644" w:name="page645"/>
    <w:bookmarkEnd w:id="644"/>
    <w:p>
      <w:pPr>
        <w:jc w:val="both"/>
        <w:spacing w:after="0" w:line="265" w:lineRule="auto"/>
        <w:rPr>
          <w:sz w:val="20"/>
          <w:szCs w:val="20"/>
          <w:color w:val="auto"/>
        </w:rPr>
      </w:pPr>
      <w:r>
        <w:rPr>
          <w:rFonts w:ascii="Arial" w:cs="Arial" w:eastAsia="Arial" w:hAnsi="Arial"/>
          <w:sz w:val="21"/>
          <w:szCs w:val="21"/>
          <w:color w:val="auto"/>
        </w:rPr>
        <w:t>ordinary course of business securing liability to insurance carriers under insurance or self-insurance arrangements in respect of such obligations and (ii) pledges and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 and</w:t>
      </w:r>
    </w:p>
    <w:p>
      <w:pPr>
        <w:spacing w:after="0" w:line="121" w:lineRule="exact"/>
        <w:rPr>
          <w:sz w:val="20"/>
          <w:szCs w:val="20"/>
          <w:color w:val="auto"/>
        </w:rPr>
      </w:pPr>
    </w:p>
    <w:p>
      <w:pPr>
        <w:jc w:val="both"/>
        <w:ind w:firstLine="1304"/>
        <w:spacing w:after="0" w:line="302" w:lineRule="auto"/>
        <w:tabs>
          <w:tab w:leader="none" w:pos="1777" w:val="left"/>
        </w:tabs>
        <w:numPr>
          <w:ilvl w:val="0"/>
          <w:numId w:val="447"/>
        </w:numPr>
        <w:rPr>
          <w:rFonts w:ascii="Arial" w:cs="Arial" w:eastAsia="Arial" w:hAnsi="Arial"/>
          <w:sz w:val="19"/>
          <w:szCs w:val="19"/>
          <w:color w:val="auto"/>
        </w:rPr>
      </w:pPr>
      <w:r>
        <w:rPr>
          <w:rFonts w:ascii="Arial" w:cs="Arial" w:eastAsia="Arial" w:hAnsi="Arial"/>
          <w:sz w:val="19"/>
          <w:szCs w:val="19"/>
          <w:color w:val="auto"/>
        </w:rPr>
        <w:t xml:space="preserve">Liens in favor of the applicable trustee on amounts deposited into escrow in connection with the redemption, defeasance or satisfaction and discharge of bonds, debentures, notes or similar instruments to the extent such redemption, defeasance or satisfaction and discharge is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except as expressly set forth in the definition of Permitted Collateral Liens, Permitted Encumbrances will not encumber any Collateral.</w:t>
      </w:r>
    </w:p>
    <w:p>
      <w:pPr>
        <w:spacing w:after="0" w:line="8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means, at any time, each of (i) Baiju Bhatt, Vladimir Tenev, Index Ventures, New Enterprise Associates, Ribbit Capital, DST Global, Greenoaks Capital Partners, Thrive Capital, Susa Ventures, Iconiq Capital and Sequoia Capital, (ii) any family members of any natural person listed in subclause (i), (iii) any Affiliates and funds affiliated with any entities listed in subclause (i), (iv) any trusts for the benefit of, and controlled by, any natural person listed in subclauses (i) or (ii) and any family charitable foundations over which any natural person listed in subclauses (i) or (ii) has direction and (v) any “group” (within the meaning of Rules 13d-3 and 13d-5 under the Securities Exchange Act of 1934 or any successor provision) the members of which include any of the Persons listed in subclause (i); provided that in the case of clause (v), Persons in clauses (i)-(iv) control a majority of the voting securities of such “group”.</w:t>
      </w:r>
    </w:p>
    <w:p>
      <w:pPr>
        <w:spacing w:after="0" w:line="10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Sale Leasebacks</w:t>
      </w:r>
      <w:r>
        <w:rPr>
          <w:rFonts w:ascii="Arial" w:cs="Arial" w:eastAsia="Arial" w:hAnsi="Arial"/>
          <w:sz w:val="22"/>
          <w:szCs w:val="22"/>
          <w:color w:val="auto"/>
        </w:rPr>
        <w:t xml:space="preserve">” means any Sale Leaseback with respect to the sale, transfer or disposition of property consummated by the Borrower or any of its Subsidiaries after the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Sale Leaseback (a) is not between the Borrower and a Subsidiary and (b) is, in each case, consummated for fair market value as determined at the time of consummation in good faith by the Borrower or such Subsidiary (which such determination may take into account any retained interest or other Investment of the Borrower or such Subsidiary in connection with, and any other material economic terms of, such Sale Leaseback).</w:t>
      </w:r>
    </w:p>
    <w:p>
      <w:pPr>
        <w:spacing w:after="0" w:line="139"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natural person, corporation, limited liability company, trust, joint venture, association, company, partnership, limited partnership, limited liability limited partnership, Governmental Authority or other entity.</w:t>
      </w:r>
    </w:p>
    <w:p>
      <w:pPr>
        <w:spacing w:after="0" w:line="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means of 29 CFR § 2510.3-101 et seq., as modified by Section 3(42) of ERISA, as amended from time to time.</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Eligible Assets</w:t>
      </w:r>
      <w:r>
        <w:rPr>
          <w:rFonts w:ascii="Arial" w:cs="Arial" w:eastAsia="Arial" w:hAnsi="Arial"/>
          <w:sz w:val="22"/>
          <w:szCs w:val="22"/>
          <w:color w:val="auto"/>
        </w:rPr>
        <w:t>” means Eligible Assets that have been pledged to the Administrative Agent for the benefit of the Lenders to secure the obligations of the Borrower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942" w:right="339" w:bottom="1440" w:gutter="0" w:footer="0" w:header="0"/>
        </w:sectPr>
      </w:pPr>
    </w:p>
    <w:bookmarkStart w:id="645" w:name="page646"/>
    <w:bookmarkEnd w:id="645"/>
    <w:p>
      <w:pPr>
        <w:jc w:val="both"/>
        <w:spacing w:after="0" w:line="263" w:lineRule="auto"/>
        <w:rPr>
          <w:sz w:val="20"/>
          <w:szCs w:val="20"/>
          <w:color w:val="auto"/>
        </w:rPr>
      </w:pPr>
      <w:r>
        <w:rPr>
          <w:rFonts w:ascii="Arial" w:cs="Arial" w:eastAsia="Arial" w:hAnsi="Arial"/>
          <w:sz w:val="22"/>
          <w:szCs w:val="22"/>
          <w:color w:val="auto"/>
        </w:rPr>
        <w:t>respect of Tranche A Loans pursuant to the terms of the Security Agreement and that are reflected in DTC’s record system for maintaining DTC participant accounts as being pledged to the Administrative Agent.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has the meaning set forth in Section 7.06(b).</w:t>
      </w:r>
    </w:p>
    <w:p>
      <w:pPr>
        <w:spacing w:after="0" w:line="16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Trading</w:t>
      </w:r>
      <w:r>
        <w:rPr>
          <w:rFonts w:ascii="Arial" w:cs="Arial" w:eastAsia="Arial" w:hAnsi="Arial"/>
          <w:sz w:val="19"/>
          <w:szCs w:val="19"/>
          <w:color w:val="auto"/>
        </w:rPr>
        <w:t>” means, with respect to the Borrower or any Subsidiary, engaging as a principal for such Person’s own account (and, for the avoidance of doubt, not on behalf of a customer) in any transaction to purchase or sell, or otherwise acquire or dispose of, any security, any derivative, any contract of sale of a commodity for future delivery, any option on any such security, derivative, or contract, or any other security or financial instrument, other than ordinary course transactions consistent with the past practice of the Borrower as of the Effective Date, including purchasing and selling treasury securities for segregated funds accounts, buying and selling Securities to award to customers in the ordinary course, selling out customers that default on loans, buying in Securities that were not returned in Securities lending transactions and buying and selling Securities to account for fractional shares purchased by customers.</w:t>
      </w:r>
    </w:p>
    <w:p>
      <w:pPr>
        <w:spacing w:after="0" w:line="1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has the meaning assigned to it in Section 9.17.</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Equity Interests other than Disqualified Equity Interests.</w:t>
      </w:r>
    </w:p>
    <w:p>
      <w:pPr>
        <w:spacing w:after="0" w:line="16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IPO</w:t>
      </w:r>
      <w:r>
        <w:rPr>
          <w:rFonts w:ascii="Arial" w:cs="Arial" w:eastAsia="Arial" w:hAnsi="Arial"/>
          <w:sz w:val="19"/>
          <w:szCs w:val="19"/>
          <w:color w:val="auto"/>
        </w:rPr>
        <w:t>” means the issuance by Holdco or any direct or indirect parent of Holdco of its common Equity Interests in an underwritten primary public offering after the Effective Date in an amount in excess of $100,000,000 (other than a public offering pursuant to a registration statement on form S-8 pursuant to an effective registration statement filed with the SEC in accordance with the Securities Act (whether alone or in connection with a secondary public offering)).</w:t>
      </w:r>
    </w:p>
    <w:p>
      <w:pPr>
        <w:spacing w:after="0" w:line="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Synthetic ETF</w:t>
      </w:r>
      <w:r>
        <w:rPr>
          <w:rFonts w:ascii="Arial" w:cs="Arial" w:eastAsia="Arial" w:hAnsi="Arial"/>
          <w:sz w:val="22"/>
          <w:szCs w:val="22"/>
          <w:color w:val="auto"/>
        </w:rPr>
        <w:t>” means a synthetic exchange-traded fund that (x) is not a levered exchange-traded fund and (y) has not entered into any derivative transaction with a counterparty other than a financial market utility that has been designated by the Financial Stability Oversight Council as systemically important under Title VIII of the Dodd-Frank Wall Street Reform and Consumer Protection Act of 2010 (it being understood that with respect to the preceding clauses (x) and (y), the Administrative Agent may rely on a certification of the Borrower).</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as applicable, (a) the Administrative Agent and (b) any Lender.</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Time</w:t>
      </w:r>
      <w:r>
        <w:rPr>
          <w:rFonts w:ascii="Arial" w:cs="Arial" w:eastAsia="Arial" w:hAnsi="Arial"/>
          <w:sz w:val="22"/>
          <w:szCs w:val="22"/>
          <w:color w:val="auto"/>
        </w:rPr>
        <w:t>” with respect to any setting of the then-current Benchmark means (1) if such Benchmark is Eurodollar Base Rate, 11:00 a.m. (London time) on the day that is two London banking days preceding the date of such setting, and (2) if such Benchmark is not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942" w:right="339" w:bottom="1440" w:gutter="0" w:footer="0" w:header="0"/>
        </w:sectPr>
      </w:pPr>
    </w:p>
    <w:bookmarkStart w:id="646" w:name="page647"/>
    <w:bookmarkEnd w:id="646"/>
    <w:p>
      <w:pPr>
        <w:spacing w:after="0"/>
        <w:rPr>
          <w:sz w:val="20"/>
          <w:szCs w:val="20"/>
          <w:color w:val="auto"/>
        </w:rPr>
      </w:pPr>
      <w:r>
        <w:rPr>
          <w:rFonts w:ascii="Arial" w:cs="Arial" w:eastAsia="Arial" w:hAnsi="Arial"/>
          <w:sz w:val="22"/>
          <w:szCs w:val="22"/>
          <w:color w:val="auto"/>
        </w:rPr>
        <w:t>Eurodollar Base Rate, the time determined by the Administrative Agent in its reasonable discretion.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Refunded Swingline Loans</w:t>
      </w:r>
      <w:r>
        <w:rPr>
          <w:rFonts w:ascii="Arial" w:cs="Arial" w:eastAsia="Arial" w:hAnsi="Arial"/>
          <w:sz w:val="22"/>
          <w:szCs w:val="22"/>
          <w:color w:val="auto"/>
        </w:rPr>
        <w:t>” has the meaning set forth in Section 2.05(c).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set forth in Section 9.04(b)(iv).</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Board, as in effect from time to time and all official rulings and interpretations thereunder or thereof.</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as in effect from time to time and all official rulings and interpretations thereunder or thereof.</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as in effect from time to time and all official rulings and interpretations thereunder or thereof.</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as in effect from time to time and all official rulings and interpretations thereunder or thereof.</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controlling persons, directors, officers, employees, agents, advisors and other representatives of such Person and such Person’s Affiliates.</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Board or the NYFRB, or a committee officially endorsed or convened by the Board or the NYFRB, or any successor thereto.</w:t>
      </w:r>
    </w:p>
    <w:p>
      <w:pPr>
        <w:spacing w:after="0" w:line="121"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 Agreement</w:t>
      </w:r>
      <w:r>
        <w:rPr>
          <w:rFonts w:ascii="Arial" w:cs="Arial" w:eastAsia="Arial" w:hAnsi="Arial"/>
          <w:sz w:val="19"/>
          <w:szCs w:val="19"/>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 in each case in the ordinary course of business and incidental to servicing customers.</w:t>
      </w:r>
    </w:p>
    <w:p>
      <w:pPr>
        <w:spacing w:after="0" w:line="79"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subject to Section 2.21, (a) at any time prior to the earlier of the Loans becoming due and payable pursuant to Section 6.01 or the Commitments terminating or expiring, Lenders having Revolving Credit Exposures and Unfunded Commitments representing more than 50% of the sum of the Total Revolving Credit Exposure and Unfunded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declaring the Loans to be due and payable pursuant to Section 6.01, the Unfunded Commitment of each Lender shall be deemed to be zero and (b) for all purposes after the Loans become due and payable pursuant to Section 6.01 or the Commitments expire or terminate, Lenders having Revolving Credit Exposures representing more than 50% of the sum of the Total Revolving Credit Exposure.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Account</w:t>
      </w:r>
      <w:r>
        <w:rPr>
          <w:rFonts w:ascii="Arial" w:cs="Arial" w:eastAsia="Arial" w:hAnsi="Arial"/>
          <w:sz w:val="22"/>
          <w:szCs w:val="22"/>
          <w:color w:val="auto"/>
        </w:rPr>
        <w:t>” has the meaning assigned to such term in the definition of “Eligible Funds”.</w:t>
      </w:r>
    </w:p>
    <w:p>
      <w:pPr>
        <w:spacing w:after="0" w:line="166"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 Formula</w:t>
      </w:r>
      <w:r>
        <w:rPr>
          <w:rFonts w:ascii="Arial" w:cs="Arial" w:eastAsia="Arial" w:hAnsi="Arial"/>
          <w:sz w:val="19"/>
          <w:szCs w:val="19"/>
          <w:color w:val="auto"/>
        </w:rPr>
        <w:t>” means the FORMULA FOR DETERMINATION OF CUSTOMER ACCOUNT RESERVE REQUIREMENTS OF BROKERS AND DEALERS UNDER RULE 15C3-3 set forth in the FOCUS-II Report of the Borrower.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942" w:right="339" w:bottom="1440" w:gutter="0" w:footer="0" w:header="0"/>
        </w:sectPr>
      </w:pPr>
    </w:p>
    <w:bookmarkStart w:id="647" w:name="page648"/>
    <w:bookmarkEnd w:id="647"/>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has the meaning assigned to such term in Section 5.03(f).</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with respect to any Lender at any time, the sum of (a) the outstanding principal amount of such Lender’s Revolving Loans at such time and (b) the Lender’s Applicable Percentage of the outstanding principal amount of Swingline Loans then outstanding.</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means a Loan made pursuant to Section 2.03.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Standard &amp; Poor’s Rating Services, a Standard &amp; Poor’s Financial Services LLC business.</w:t>
      </w:r>
    </w:p>
    <w:p>
      <w:pPr>
        <w:spacing w:after="0" w:line="177"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 Leaseback</w:t>
      </w:r>
      <w:r>
        <w:rPr>
          <w:rFonts w:ascii="Arial" w:cs="Arial" w:eastAsia="Arial" w:hAnsi="Arial"/>
          <w:sz w:val="21"/>
          <w:szCs w:val="21"/>
          <w:color w:val="auto"/>
        </w:rPr>
        <w:t>” means any transaction or series of related transactions pursuant to which the Borrower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that is itself the subject or target of any Sanctions (at the time of this Agreement, Cuba, Iran, North Korea, Syria and Crimea).</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means, at any time, (a) any Person listed in any Sanctions-related list of designated Persons maintained or enforced by the Office of Foreign Assets Control of the U.S. Department of the Treasury, the U.S. Department of State, or by the United Nations Security Council or other relevant sanctions authority having jurisdiction over the Borrower or any of its Subsidiaries, (b) any Person located, organized or resident in a Sanctioned Country or (c) any Person owned or controlled by any such Person or Persons described in the foregoing clauses (a) or (b).</w:t>
      </w:r>
    </w:p>
    <w:p>
      <w:pPr>
        <w:spacing w:after="0" w:line="121"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all applicable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or other relevant sanctions authority having jurisdiction over the Borrower or any of its Subsidiaries.</w:t>
      </w:r>
    </w:p>
    <w:p>
      <w:pPr>
        <w:spacing w:after="0" w:line="121"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means, for any day and time, with respect to any eurodollar borrowing, the London interbank offered rate as administered by ICE Benchmark Administration (or any other Person that takes over the administration of such rate) for dollars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Screen Rate as so determined would be less than zero, such rate shall be deemed to zero for the purposes of this Agreement.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942" w:right="339" w:bottom="1440" w:gutter="0" w:footer="0" w:header="0"/>
        </w:sectPr>
      </w:pPr>
    </w:p>
    <w:bookmarkStart w:id="648" w:name="page649"/>
    <w:bookmarkEnd w:id="648"/>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any successor thereto and any analogous Governmental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Authority.</w:t>
      </w:r>
    </w:p>
    <w:p>
      <w:pPr>
        <w:spacing w:after="0" w:line="1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means the Administrative Agent, each Lead Arranger and each Lender (including, for the avoidance of doubt, the Swingline Lender).</w:t>
      </w:r>
    </w:p>
    <w:p>
      <w:pPr>
        <w:spacing w:after="0" w:line="12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w:t>
      </w:r>
      <w:r>
        <w:rPr>
          <w:rFonts w:ascii="Arial" w:cs="Arial" w:eastAsia="Arial" w:hAnsi="Arial"/>
          <w:sz w:val="19"/>
          <w:szCs w:val="19"/>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certificated or uncertificated,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Exchange Act</w:t>
      </w:r>
      <w:r>
        <w:rPr>
          <w:rFonts w:ascii="Arial" w:cs="Arial" w:eastAsia="Arial" w:hAnsi="Arial"/>
          <w:sz w:val="21"/>
          <w:szCs w:val="21"/>
          <w:color w:val="auto"/>
        </w:rPr>
        <w:t>” means the Securities Exchange Act of 1934, as amended from time to time.</w:t>
      </w:r>
    </w:p>
    <w:p>
      <w:pPr>
        <w:spacing w:after="0" w:line="17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the Security Agreement dated as of the date hereof among the Borrower and the Administrative Agent, for the benefit of the Lenders, substantially in the form of Exhibit F, as the same may be amended, supplemented or otherwise modified from time to time.</w:t>
      </w:r>
    </w:p>
    <w:p>
      <w:pPr>
        <w:spacing w:after="0" w:line="13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the collective reference to the Security Agreement and all other security documents (including control agreements) hereafter delivered to the Administrative Agent granting a Lien on any property of any Person to secure the Obligations and other liabilities of the Borrower under any Credit Document.</w:t>
      </w:r>
    </w:p>
    <w:p>
      <w:pPr>
        <w:spacing w:after="0" w:line="13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Short-Term Funding Rate</w:t>
      </w:r>
      <w:r>
        <w:rPr>
          <w:rFonts w:ascii="Arial" w:cs="Arial" w:eastAsia="Arial" w:hAnsi="Arial"/>
          <w:sz w:val="19"/>
          <w:szCs w:val="19"/>
          <w:color w:val="auto"/>
        </w:rPr>
        <w:t xml:space="preserve">” means, for any day, a rate per annum equal to the greatest of (i) the Eurodollar Rate for a one month interest period on such day (or if such day is not a Business Day, the immediately preceding Business Day), (ii) the Federal Funds Effective Rate in effect on such day and (iii)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rate calculated in accordance with the foregoing, at no time shall the Short-Term Funding Rate be less than zero.</w:t>
      </w:r>
    </w:p>
    <w:p>
      <w:pPr>
        <w:spacing w:after="0" w:line="9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reasonably have liability under Section 4069 of ERISA in the event such plan has been or were to be terminated.</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means the NYFRB (or a successor administrator of the secured overnight financing rate).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942" w:right="339" w:bottom="1440" w:gutter="0" w:footer="0" w:header="0"/>
        </w:sectPr>
      </w:pPr>
    </w:p>
    <w:bookmarkStart w:id="649" w:name="page650"/>
    <w:bookmarkEnd w:id="649"/>
    <w:p>
      <w:pPr>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with respect to any Person, means that as of the date of determination,</w:t>
      </w:r>
    </w:p>
    <w:p>
      <w:pPr>
        <w:spacing w:after="0" w:line="166" w:lineRule="exact"/>
        <w:rPr>
          <w:sz w:val="20"/>
          <w:szCs w:val="20"/>
          <w:color w:val="auto"/>
        </w:rPr>
      </w:pPr>
    </w:p>
    <w:p>
      <w:pPr>
        <w:jc w:val="both"/>
        <w:ind w:firstLine="1304"/>
        <w:spacing w:after="0" w:line="289" w:lineRule="auto"/>
        <w:tabs>
          <w:tab w:leader="none" w:pos="1817" w:val="left"/>
        </w:tabs>
        <w:numPr>
          <w:ilvl w:val="0"/>
          <w:numId w:val="448"/>
        </w:numPr>
        <w:rPr>
          <w:rFonts w:ascii="Arial" w:cs="Arial" w:eastAsia="Arial" w:hAnsi="Arial"/>
          <w:sz w:val="19"/>
          <w:szCs w:val="19"/>
          <w:color w:val="auto"/>
        </w:rPr>
      </w:pPr>
      <w:r>
        <w:rPr>
          <w:rFonts w:ascii="Arial" w:cs="Arial" w:eastAsia="Arial" w:hAnsi="Arial"/>
          <w:sz w:val="19"/>
          <w:szCs w:val="19"/>
          <w:color w:val="auto"/>
        </w:rPr>
        <w:t>the fair value of the assets of such Person, at a fair valuation, is greater than the total amount of liabilities (including contingent liabilities) of such Person, (b) the present fair saleable value of the assets of such Person is not less than the amount that will be required to pay the probable liabilities on such Person’s then existing debts as they become absolute and due considering all financing alternatives, ordinary operating income and potential asset sales reasonably available to such Person; (c) such Person does not have unreasonably small capital with which to conduct the business in which it is engaged as such business is conducted as of such date of determination and proposed to be conducted following such date; and (d) such Person will be able to pay its debts as they become due.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0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xml:space="preserve">” means a fraction (expressed as a decimal), the numerator of which is the number one and the denominator of which is the number one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aggregate of the maximum reserve percentage (including any marginal, special, emergency or supplemental reserves) expressed as a decimal established by the Board to which the Administrative Agent is subject with respect to the Eurodollar Rate, for eurocurrency funding (currently referred to as “Eurocurrency liabilities” in Regulation D). Such reserve percentage shall include those imposed pursuant to Regulation D. Loans based on the Eurodollar Base Rate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means Debt which (i) qualifies as the Borrower’s regulatory capital calculated in accordance with Rule 15c3-1 of the Securities Exchange Act, (ii) is unsecured, (iii) is owed to Holdco and (iv) is subordinated in right of payment to the prior payment of the Obligations of the Borrower pursuant to subordination provisions reasonably acceptable to the Administrative Agent (which shall include the subordination provisions required pursuant to Rule 15c3-1(d) of the Securities Exchange Act).</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Obligations</w:t>
      </w:r>
      <w:r>
        <w:rPr>
          <w:rFonts w:ascii="Arial" w:cs="Arial" w:eastAsia="Arial" w:hAnsi="Arial"/>
          <w:sz w:val="22"/>
          <w:szCs w:val="22"/>
          <w:color w:val="auto"/>
        </w:rPr>
        <w:t>” has the meaning set forth in Section 7.06.</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any corporation, partnership, joint venture, limited liability company, limited partnership, limited liability limited partnership, trust or estate of which (or in which) more than 50% of (a) the issued and outstanding capital stock having ordinary voting power to elect the board of directors of such corporation (irrespective of whether at the time capital stock of any other class or classes of such corporation shall or might have voting power upon the occurrence of any contingency), (b) the interest in the capital or profits of such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942" w:right="339" w:bottom="1440" w:gutter="0" w:footer="0" w:header="0"/>
        </w:sectPr>
      </w:pPr>
    </w:p>
    <w:bookmarkStart w:id="650" w:name="page651"/>
    <w:bookmarkEnd w:id="650"/>
    <w:p>
      <w:pPr>
        <w:jc w:val="both"/>
        <w:spacing w:after="0" w:line="253" w:lineRule="auto"/>
        <w:rPr>
          <w:sz w:val="20"/>
          <w:szCs w:val="20"/>
          <w:color w:val="auto"/>
        </w:rPr>
      </w:pPr>
      <w:r>
        <w:rPr>
          <w:rFonts w:ascii="Arial" w:cs="Arial" w:eastAsia="Arial" w:hAnsi="Arial"/>
          <w:sz w:val="22"/>
          <w:szCs w:val="22"/>
          <w:color w:val="auto"/>
        </w:rPr>
        <w:t>partnership, joint venture, limited liability company, limited partnership or limited liability limited partnership or (c) the beneficial interest in such trust or estate is at the time directly or indirectly owned or controlled by such Person, by such Person and one or more of its other Subsidiaries or by one or more of such Person’s other Subsidiaries.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has the meaning assigned to it in Section 9.17.</w:t>
      </w:r>
    </w:p>
    <w:p>
      <w:pPr>
        <w:spacing w:after="0" w:line="1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Supermajority Lenders</w:t>
      </w:r>
      <w:r>
        <w:rPr>
          <w:rFonts w:ascii="Arial" w:cs="Arial" w:eastAsia="Arial" w:hAnsi="Arial"/>
          <w:sz w:val="22"/>
          <w:szCs w:val="22"/>
          <w:color w:val="auto"/>
        </w:rPr>
        <w:t>” means, (a) at any time prior to the earlier of the Loans becoming due and payable pursuant to Section 6.01 or the Commitments terminating or expiring, Lenders having Revolving Credit Exposures and Unfunded Commitments representing more than 66.67% of the sum of the Total Revolving Credit Exposure and Unfunded Commitments at such time and (b) for all purposes after the Loans become due and payable pursuant to Section 6.01 or the Commitments expire or terminate, Lenders having Revolving Credit Exposures representing more than 66.67% of the sum of the Total Revolving Credit Exposure.</w:t>
      </w:r>
    </w:p>
    <w:p>
      <w:pPr>
        <w:spacing w:after="0" w:line="13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Debt</w:t>
      </w:r>
      <w:r>
        <w:rPr>
          <w:rFonts w:ascii="Arial" w:cs="Arial" w:eastAsia="Arial" w:hAnsi="Arial"/>
          <w:sz w:val="22"/>
          <w:szCs w:val="22"/>
          <w:color w:val="auto"/>
        </w:rPr>
        <w:t>” means Debt of any Subsidiary of the Borrower, other than Debt of the type permitted under Section 5.03(b)(x), outstanding on the Effective Date.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Subcommitment</w:t>
      </w:r>
      <w:r>
        <w:rPr>
          <w:rFonts w:ascii="Arial" w:cs="Arial" w:eastAsia="Arial" w:hAnsi="Arial"/>
          <w:sz w:val="22"/>
          <w:szCs w:val="22"/>
          <w:color w:val="auto"/>
        </w:rPr>
        <w:t>” means $400,000,000.</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2.21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JPMorgan Chase Bank, N.A., in its capacity as a lender of Swingline Loans hereunder.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Loans</w:t>
      </w:r>
      <w:r>
        <w:rPr>
          <w:rFonts w:ascii="Arial" w:cs="Arial" w:eastAsia="Arial" w:hAnsi="Arial"/>
          <w:sz w:val="22"/>
          <w:szCs w:val="22"/>
          <w:color w:val="auto"/>
        </w:rPr>
        <w:t>” has the meaning set forth in Section 2.04(a).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Participation Amount</w:t>
      </w:r>
      <w:r>
        <w:rPr>
          <w:rFonts w:ascii="Arial" w:cs="Arial" w:eastAsia="Arial" w:hAnsi="Arial"/>
          <w:sz w:val="22"/>
          <w:szCs w:val="22"/>
          <w:color w:val="auto"/>
        </w:rPr>
        <w:t>” has the meaning set forth in Section 2.05(d).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w:t>
      </w:r>
      <w:r>
        <w:rPr>
          <w:rFonts w:ascii="Arial" w:cs="Arial" w:eastAsia="Arial" w:hAnsi="Arial"/>
          <w:sz w:val="22"/>
          <w:szCs w:val="22"/>
          <w:color w:val="auto"/>
        </w:rPr>
        <w:t>” means BMO Harris Bank N.A..</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w:t>
      </w:r>
      <w:r>
        <w:rPr>
          <w:rFonts w:ascii="Arial" w:cs="Arial" w:eastAsia="Arial" w:hAnsi="Arial"/>
          <w:sz w:val="22"/>
          <w:szCs w:val="22"/>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has the meaning set forth in Section 5.03(g)(iv).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942" w:right="339" w:bottom="1440" w:gutter="0" w:footer="0" w:header="0"/>
        </w:sectPr>
      </w:pPr>
    </w:p>
    <w:bookmarkStart w:id="651" w:name="page652"/>
    <w:bookmarkEnd w:id="651"/>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present or future taxes, levies, imposts, duties, deductions, withholdings, assessments, fees or other charges imposed by any Governmental Authority, including any interest, additions to tax or penalties applicable thereto.</w:t>
      </w:r>
    </w:p>
    <w:p>
      <w:pPr>
        <w:spacing w:after="0" w:line="5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Regulatory Capital</w:t>
      </w:r>
      <w:r>
        <w:rPr>
          <w:rFonts w:ascii="Arial" w:cs="Arial" w:eastAsia="Arial" w:hAnsi="Arial"/>
          <w:sz w:val="22"/>
          <w:szCs w:val="22"/>
          <w:color w:val="auto"/>
        </w:rPr>
        <w:t>” means, as of any date of determination, the Borrower’s Total Regulatory Capital as shown on line 3530 of the Borrower’s most recent FOCUS-II Report.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Exposure</w:t>
      </w:r>
      <w:r>
        <w:rPr>
          <w:rFonts w:ascii="Arial" w:cs="Arial" w:eastAsia="Arial" w:hAnsi="Arial"/>
          <w:sz w:val="22"/>
          <w:szCs w:val="22"/>
          <w:color w:val="auto"/>
        </w:rPr>
        <w:t>” means, at any time, the sum of (a) the outstanding principal amount of all Revolving Loans at such time and (b) the total Swingline Exposure at such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Loans</w:t>
      </w:r>
      <w:r>
        <w:rPr>
          <w:rFonts w:ascii="Arial" w:cs="Arial" w:eastAsia="Arial" w:hAnsi="Arial"/>
          <w:sz w:val="22"/>
          <w:szCs w:val="22"/>
          <w:color w:val="auto"/>
        </w:rPr>
        <w:t>” means any Loans which are secured by Pledged Eligible Assets.</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Limit</w:t>
      </w:r>
      <w:r>
        <w:rPr>
          <w:rFonts w:ascii="Arial" w:cs="Arial" w:eastAsia="Arial" w:hAnsi="Arial"/>
          <w:sz w:val="22"/>
          <w:szCs w:val="22"/>
          <w:color w:val="auto"/>
        </w:rPr>
        <w:t xml:space="preserve">” means, at any time, an amount equal to 80% of the excess, if any, of (i) the Eligible NSCC Margin Deposits at such time </w:t>
      </w:r>
      <w:r>
        <w:rPr>
          <w:rFonts w:ascii="Arial" w:cs="Arial" w:eastAsia="Arial" w:hAnsi="Arial"/>
          <w:sz w:val="22"/>
          <w:szCs w:val="22"/>
          <w:u w:val="single" w:color="auto"/>
          <w:color w:val="auto"/>
        </w:rPr>
        <w:t>over</w:t>
      </w:r>
      <w:r>
        <w:rPr>
          <w:rFonts w:ascii="Arial" w:cs="Arial" w:eastAsia="Arial" w:hAnsi="Arial"/>
          <w:sz w:val="22"/>
          <w:szCs w:val="22"/>
          <w:color w:val="auto"/>
        </w:rPr>
        <w:t xml:space="preserve"> (ii) $250,000,000.</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Limit Notice</w:t>
      </w:r>
      <w:r>
        <w:rPr>
          <w:rFonts w:ascii="Arial" w:cs="Arial" w:eastAsia="Arial" w:hAnsi="Arial"/>
          <w:sz w:val="22"/>
          <w:szCs w:val="22"/>
          <w:color w:val="auto"/>
        </w:rPr>
        <w:t>” has the meaning assigned to it in Section 2.03(a).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B Loans</w:t>
      </w:r>
      <w:r>
        <w:rPr>
          <w:rFonts w:ascii="Arial" w:cs="Arial" w:eastAsia="Arial" w:hAnsi="Arial"/>
          <w:sz w:val="19"/>
          <w:szCs w:val="19"/>
          <w:color w:val="auto"/>
        </w:rPr>
        <w:t>” means any Loans the purpose and use of which is to satisfy NSCC Deposit Requirements.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 Collateral Account</w:t>
      </w:r>
      <w:r>
        <w:rPr>
          <w:rFonts w:ascii="Arial" w:cs="Arial" w:eastAsia="Arial" w:hAnsi="Arial"/>
          <w:sz w:val="22"/>
          <w:szCs w:val="22"/>
          <w:color w:val="auto"/>
        </w:rPr>
        <w:t>” has the meaning assigned to it in Section 2.12(f).</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 Limit</w:t>
      </w:r>
      <w:r>
        <w:rPr>
          <w:rFonts w:ascii="Arial" w:cs="Arial" w:eastAsia="Arial" w:hAnsi="Arial"/>
          <w:sz w:val="22"/>
          <w:szCs w:val="22"/>
          <w:color w:val="auto"/>
        </w:rPr>
        <w:t>” means the maximum amount of cash, determined at the time of each Borrowing of Tranche C Loans, that, after giving pro forma effect to the applicable Tranche C Loan Borrowing and the application of proceeds (as it relates to the replacement of a “credit” in the Reserve Formula), the Borrower would be permitted to withdraw from the Reserve Account (and not otherwise be subject to any segregation requirement) pursuant to the Reserve Formula if such Reserve Formula were recalculated at such time.</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 Limit Notice</w:t>
      </w:r>
      <w:r>
        <w:rPr>
          <w:rFonts w:ascii="Arial" w:cs="Arial" w:eastAsia="Arial" w:hAnsi="Arial"/>
          <w:sz w:val="22"/>
          <w:szCs w:val="22"/>
          <w:color w:val="auto"/>
        </w:rPr>
        <w:t>” has the meaning assigned to it in Section 2.03(a)</w:t>
      </w:r>
    </w:p>
    <w:p>
      <w:pPr>
        <w:spacing w:after="0" w:line="16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C Loans</w:t>
      </w:r>
      <w:r>
        <w:rPr>
          <w:rFonts w:ascii="Arial" w:cs="Arial" w:eastAsia="Arial" w:hAnsi="Arial"/>
          <w:sz w:val="21"/>
          <w:szCs w:val="21"/>
          <w:color w:val="auto"/>
        </w:rPr>
        <w:t>” means any Loans the purpose and use of which is to satisfy reserve requirements under Rule 15c3-3 of the Securities Exchange Act, whether by making an additional deposit to the account of the Borrower or reducing “credits” in the Reserve Formula such that a simultaneous pro forma calculation of the Reserve Formula would permit withdrawal from one or more Reserve Accounts of an amount sufficient to repay such loan.</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Borrower of this Agreement, the borrowing of Loans and the use of the proceeds thereof.</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such Loan, or the Loans comprising such Borrowing, are Tranche A Loans, Tranche B Loans or Tranche C Loans.</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Institutions</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942" w:right="339" w:bottom="1440" w:gutter="0" w:footer="0" w:header="0"/>
        </w:sectPr>
      </w:pPr>
    </w:p>
    <w:bookmarkStart w:id="652" w:name="page653"/>
    <w:bookmarkEnd w:id="652"/>
    <w:p>
      <w:pPr>
        <w:jc w:val="both"/>
        <w:spacing w:after="0" w:line="263" w:lineRule="auto"/>
        <w:rPr>
          <w:sz w:val="20"/>
          <w:szCs w:val="20"/>
          <w:color w:val="auto"/>
        </w:rPr>
      </w:pPr>
      <w:r>
        <w:rPr>
          <w:rFonts w:ascii="Arial" w:cs="Arial" w:eastAsia="Arial" w:hAnsi="Arial"/>
          <w:sz w:val="22"/>
          <w:szCs w:val="22"/>
          <w:color w:val="auto"/>
        </w:rPr>
        <w:t>(as amended from time to time) promulgated by the FCA, which includes certain credit institutions and investment firms, and certain affiliates of such credit institutions or investment firms.</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Commitment</w:t>
      </w:r>
      <w:r>
        <w:rPr>
          <w:rFonts w:ascii="Arial" w:cs="Arial" w:eastAsia="Arial" w:hAnsi="Arial"/>
          <w:sz w:val="22"/>
          <w:szCs w:val="22"/>
          <w:color w:val="auto"/>
        </w:rPr>
        <w:t>” means, with respect to each Lender, the Commitment of such Lender less its Revolving Credit Exposure.</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has the meaning assigned to it in Section 9.17.</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Certificate</w:t>
      </w:r>
      <w:r>
        <w:rPr>
          <w:rFonts w:ascii="Arial" w:cs="Arial" w:eastAsia="Arial" w:hAnsi="Arial"/>
          <w:sz w:val="22"/>
          <w:szCs w:val="22"/>
          <w:color w:val="auto"/>
        </w:rPr>
        <w:t>” shall have the meaning set forth in Section 2.18(f)(ii)(D).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the Borrower and the Administrative Agent.</w:t>
      </w:r>
    </w:p>
    <w:p>
      <w:pPr>
        <w:spacing w:after="0" w:line="16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6"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and Borrowings may be classified and referred to by Type (e.g., a “Tranche A Loan”, a “Tranche B Loan” or a “Tranche C Loan”).</w:t>
      </w:r>
    </w:p>
    <w:p>
      <w:pPr>
        <w:spacing w:after="0" w:line="5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Terms Generally</w:t>
      </w:r>
      <w:r>
        <w:rPr>
          <w:rFonts w:ascii="Arial" w:cs="Arial" w:eastAsia="Arial" w:hAnsi="Arial"/>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942" w:right="339" w:bottom="1440" w:gutter="0" w:footer="0" w:header="0"/>
        </w:sectPr>
      </w:pPr>
    </w:p>
    <w:bookmarkStart w:id="653" w:name="page654"/>
    <w:bookmarkEnd w:id="653"/>
    <w:p>
      <w:pPr>
        <w:jc w:val="both"/>
        <w:spacing w:after="0" w:line="289" w:lineRule="auto"/>
        <w:rPr>
          <w:sz w:val="20"/>
          <w:szCs w:val="20"/>
          <w:color w:val="auto"/>
        </w:rPr>
      </w:pPr>
      <w:r>
        <w:rPr>
          <w:rFonts w:ascii="Arial" w:cs="Arial" w:eastAsia="Arial" w:hAnsi="Arial"/>
          <w:sz w:val="19"/>
          <w:szCs w:val="19"/>
          <w:color w:val="auto"/>
        </w:rPr>
        <w:t>instrument or other document as from time to time amended, restated, replaced, supplemented or otherwise modified (subject to any restrictions on such amendments, restatements, replacements,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03"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Accounting Terms; GAAP</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86" w:lineRule="auto"/>
        <w:tabs>
          <w:tab w:leader="none" w:pos="1911" w:val="left"/>
        </w:tabs>
        <w:numPr>
          <w:ilvl w:val="0"/>
          <w:numId w:val="449"/>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All terms of an accounting or financial nature shall be construed, and all computations of amounts and ratios shall be made without giving effect to any treatment of indebtedness in respect of convertible debt instruments under Financial Accounting Standards Board Staff Position APB 14-1 to value any such indebtedness in a reduced or bifurcated manner as described therein, and such indebtedness shall at all times be valued at the full stated principal amount thereof. Notwithstanding any other provision contained herein, all computations of amounts and ratios referred to in this Agreement shall be made without giving effect to any election under FASB ASC Topic 825 “Financial Instruments” (or any other financial accounting standard having a similar result or effect) to value any Debt or other liabilities of the Borrower or any of its Subsidiaries at “fair value” as defined therein.</w:t>
      </w:r>
    </w:p>
    <w:p>
      <w:pPr>
        <w:spacing w:after="0" w:line="104" w:lineRule="exact"/>
        <w:rPr>
          <w:rFonts w:ascii="Arial" w:cs="Arial" w:eastAsia="Arial" w:hAnsi="Arial"/>
          <w:sz w:val="19"/>
          <w:szCs w:val="19"/>
          <w:color w:val="auto"/>
        </w:rPr>
      </w:pPr>
    </w:p>
    <w:p>
      <w:pPr>
        <w:jc w:val="both"/>
        <w:ind w:firstLine="1304"/>
        <w:spacing w:after="0" w:line="260" w:lineRule="auto"/>
        <w:tabs>
          <w:tab w:leader="none" w:pos="1770" w:val="left"/>
        </w:tabs>
        <w:numPr>
          <w:ilvl w:val="0"/>
          <w:numId w:val="449"/>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1.04(a) or in the definition of “Capital Lease,” any change in accounting for leases pursuant to GAAP resulting from the adoption of Financial Accounting Standards Board Accounting Standards Update No. 2016-02, Leases (Topic 842) (“</w:t>
      </w:r>
      <w:r>
        <w:rPr>
          <w:rFonts w:ascii="Arial" w:cs="Arial" w:eastAsia="Arial" w:hAnsi="Arial"/>
          <w:sz w:val="21"/>
          <w:szCs w:val="21"/>
          <w:u w:val="single" w:color="auto"/>
          <w:color w:val="auto"/>
        </w:rPr>
        <w:t>FAS 842</w:t>
      </w:r>
      <w:r>
        <w:rPr>
          <w:rFonts w:ascii="Arial" w:cs="Arial" w:eastAsia="Arial" w:hAnsi="Arial"/>
          <w:sz w:val="21"/>
          <w:szCs w:val="21"/>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be considered a capital lease, and all calculations and deliverables under this Agreement or any other Credit Document shall be made or delivered, as applicable, in accordance therewith.</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942" w:right="339" w:bottom="1440" w:gutter="0" w:footer="0" w:header="0"/>
        </w:sectPr>
      </w:pPr>
    </w:p>
    <w:bookmarkStart w:id="654" w:name="page655"/>
    <w:bookmarkEnd w:id="654"/>
    <w:p>
      <w:pPr>
        <w:ind w:left="1300"/>
        <w:spacing w:after="0"/>
        <w:tabs>
          <w:tab w:leader="none" w:pos="290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Statement or Certificate by any Officer</w:t>
      </w:r>
      <w:r>
        <w:rPr>
          <w:rFonts w:ascii="Arial" w:cs="Arial" w:eastAsia="Arial" w:hAnsi="Arial"/>
          <w:sz w:val="22"/>
          <w:szCs w:val="22"/>
          <w:color w:val="auto"/>
        </w:rPr>
        <w:t>. Any reference in this Agreement to a statement of or made by any officer of the Borrower or a certificate from any officer of the Borrower shall mean a statement or certificate made or executed by such officer solely in such Person’s capacity as an officer thereof and not in any individual or personal capacity of any kind.</w:t>
      </w:r>
    </w:p>
    <w:p>
      <w:pPr>
        <w:spacing w:after="0" w:line="134"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3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Calculations</w:t>
      </w:r>
      <w:r>
        <w:rPr>
          <w:rFonts w:ascii="Arial" w:cs="Arial" w:eastAsia="Arial" w:hAnsi="Arial"/>
          <w:sz w:val="22"/>
          <w:szCs w:val="22"/>
          <w:color w:val="auto"/>
        </w:rPr>
        <w:t>. Notwithstanding anything in this Agreement or any Credit Document to the contrary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Discontinued Operations</w:t>
      </w:r>
      <w:r>
        <w:rPr>
          <w:rFonts w:ascii="Arial" w:cs="Arial" w:eastAsia="Arial" w:hAnsi="Arial"/>
          <w:sz w:val="22"/>
          <w:szCs w:val="22"/>
          <w:color w:val="auto"/>
        </w:rPr>
        <w:t>.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until such disposition shall have been consummated.</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Bridge Loans</w:t>
      </w:r>
      <w:r>
        <w:rPr>
          <w:rFonts w:ascii="Arial" w:cs="Arial" w:eastAsia="Arial" w:hAnsi="Arial"/>
          <w:sz w:val="22"/>
          <w:szCs w:val="22"/>
          <w:color w:val="auto"/>
        </w:rPr>
        <w:t>. For purposes of determining the maturity date of any Indebtedness, customary bridge loans that are subject to customary conditions (including no payment or bankruptcy event of default) that would automatically either be extended as, converted into or required to be exchanged for, permanent refinancing shall be deemed to have the maturity date as so extended, converted or exchanged.</w:t>
      </w:r>
    </w:p>
    <w:p>
      <w:pPr>
        <w:spacing w:after="0" w:line="13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u w:val="single" w:color="auto"/>
          <w:color w:val="auto"/>
        </w:rPr>
        <w:t>Interest Rates; LIBOR Notification</w:t>
      </w:r>
      <w:r>
        <w:rPr>
          <w:rFonts w:ascii="Arial" w:cs="Arial" w:eastAsia="Arial" w:hAnsi="Arial"/>
          <w:sz w:val="21"/>
          <w:szCs w:val="21"/>
          <w:color w:val="auto"/>
        </w:rPr>
        <w:t>. The interest rate determined by reference to the Eurodollar Base Rate is derived from the London interbank offered rate (“</w:t>
      </w:r>
      <w:r>
        <w:rPr>
          <w:rFonts w:ascii="Arial" w:cs="Arial" w:eastAsia="Arial" w:hAnsi="Arial"/>
          <w:sz w:val="21"/>
          <w:szCs w:val="21"/>
          <w:u w:val="single" w:color="auto"/>
          <w:color w:val="auto"/>
        </w:rPr>
        <w:t>LIBOR</w:t>
      </w:r>
      <w:r>
        <w:rPr>
          <w:rFonts w:ascii="Arial" w:cs="Arial" w:eastAsia="Arial" w:hAnsi="Arial"/>
          <w:sz w:val="21"/>
          <w:szCs w:val="21"/>
          <w:color w:val="auto"/>
        </w:rPr>
        <w:t>”). LIBOR is intended to represent the rate at which contributing banks may obtain short-term borrowings from each other in the London interbank market. On March 5, 2021, the U.K. Financial Conduct Authority (“</w:t>
      </w:r>
      <w:r>
        <w:rPr>
          <w:rFonts w:ascii="Arial" w:cs="Arial" w:eastAsia="Arial" w:hAnsi="Arial"/>
          <w:sz w:val="21"/>
          <w:szCs w:val="21"/>
          <w:u w:val="single" w:color="auto"/>
          <w:color w:val="auto"/>
        </w:rPr>
        <w:t>FCA</w:t>
      </w:r>
      <w:r>
        <w:rPr>
          <w:rFonts w:ascii="Arial" w:cs="Arial" w:eastAsia="Arial" w:hAnsi="Arial"/>
          <w:sz w:val="21"/>
          <w:szCs w:val="21"/>
          <w:color w:val="auto"/>
        </w:rPr>
        <w:t>”) publicly announced that: immediately after June 30, 2023, the 1-month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942" w:right="339" w:bottom="1440" w:gutter="0" w:footer="0" w:header="0"/>
        </w:sectPr>
      </w:pPr>
    </w:p>
    <w:bookmarkStart w:id="655" w:name="page656"/>
    <w:bookmarkEnd w:id="655"/>
    <w:p>
      <w:pPr>
        <w:jc w:val="both"/>
        <w:spacing w:after="0" w:line="287" w:lineRule="auto"/>
        <w:rPr>
          <w:sz w:val="20"/>
          <w:szCs w:val="20"/>
          <w:color w:val="auto"/>
        </w:rPr>
      </w:pPr>
      <w:r>
        <w:rPr>
          <w:rFonts w:ascii="Arial" w:cs="Arial" w:eastAsia="Arial" w:hAnsi="Arial"/>
          <w:sz w:val="19"/>
          <w:szCs w:val="19"/>
          <w:color w:val="auto"/>
        </w:rPr>
        <w:t>the availability, composition, or characteristics of LIBOR.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or an Early Opt-in Election, Section 2.15 provides the mechanism for determining an alternative rate of interest. The Administrative Agent does not warrant or accept any responsibility for, and shall not have any liability with respect to, the administration, submission or any other matter related to LIBOR or other rates in the definition of “Eurodollar Base Rate” or with respect to any alternative or successor rate thereto, or replacement rate thereof (including, without limitation, (i) any such alternative, successor or replacement rate implemented pursuant to Section 2.15, whether upon the occurrence of a Benchmark Transition Event or an Early Opt-in Election, and (ii) the implementation of any Benchmark Replacement Conforming Changes pursuant to Section 2.15), including without limitation, whether the composition or characteristics of any such alternative, successor or replacement reference rate will be similar to, or produce the same value or economic equivalence of, the Eurodollar Base Rate or have the same volume or liquidity as did the London interbank offered rate prior to its discontinuance or unavailability.</w:t>
      </w:r>
    </w:p>
    <w:p>
      <w:pPr>
        <w:spacing w:after="0" w:line="10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The Credits</w:t>
      </w:r>
    </w:p>
    <w:p>
      <w:pPr>
        <w:spacing w:after="0" w:line="14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Commitments</w:t>
      </w:r>
      <w:r>
        <w:rPr>
          <w:rFonts w:ascii="Arial" w:cs="Arial" w:eastAsia="Arial" w:hAnsi="Arial"/>
          <w:sz w:val="21"/>
          <w:szCs w:val="21"/>
          <w:color w:val="auto"/>
        </w:rPr>
        <w:t>. Subject to the terms and conditions set forth herein, each Lender agrees to make Revolving Loans denominated in dollars to the Borrower from time to time during the Availability Period in an aggregate principal amount that will not result (after giving effect to any application of the proceeds of such Borrowing pursuant to Section 2.10) in (i) such Lender’s Revolving Credit Exposure (including such Lender’s Applicable Percentage of the aggregate principal amount of Swingline Loans then outstanding) exceeding such Lender’s Commitment, (ii) the Total Revolving Credit Exposures exceeding the total Commitments, (iii) the aggregate amount of outstanding Tranche A Loans exceeding the aggregate Loan Value of the Pledged Eligible Assets, (iv) the aggregate amount of outstanding Tranche B Loans exceeding the Tranche B Limit or (v) the aggregate amount of outstanding Tranche C Loans exceeding the Tranche C Limit. Within the foregoing limits and subject to the terms and conditions set forth herein, the Borrower may borrow, prepay, in whole or in part, and reborrow Revolving Loans.</w:t>
      </w:r>
    </w:p>
    <w:p>
      <w:pPr>
        <w:spacing w:after="0" w:line="13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38" w:lineRule="exact"/>
        <w:rPr>
          <w:sz w:val="20"/>
          <w:szCs w:val="20"/>
          <w:color w:val="auto"/>
        </w:rPr>
      </w:pPr>
    </w:p>
    <w:p>
      <w:pPr>
        <w:jc w:val="both"/>
        <w:ind w:firstLine="1304"/>
        <w:spacing w:after="0" w:line="248" w:lineRule="auto"/>
        <w:tabs>
          <w:tab w:leader="none" w:pos="1837" w:val="left"/>
        </w:tabs>
        <w:numPr>
          <w:ilvl w:val="0"/>
          <w:numId w:val="450"/>
        </w:numPr>
        <w:rPr>
          <w:rFonts w:ascii="Arial" w:cs="Arial" w:eastAsia="Arial" w:hAnsi="Arial"/>
          <w:sz w:val="22"/>
          <w:szCs w:val="22"/>
          <w:color w:val="auto"/>
        </w:rPr>
      </w:pPr>
      <w:r>
        <w:rPr>
          <w:rFonts w:ascii="Arial" w:cs="Arial" w:eastAsia="Arial" w:hAnsi="Arial"/>
          <w:sz w:val="22"/>
          <w:szCs w:val="22"/>
          <w:color w:val="auto"/>
        </w:rPr>
        <w:t xml:space="preserve">Each Revolving Loan shall be a Tranche A Loan, a Tranche B Loan, a Tranche C Loan or a combination thereof. Each Borrowing shall be comprised entirely of Short-Term Funding Rate Loans. Each Lender at its option may make any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 Upon receipt of any Borrowing Request from the Borrower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942" w:right="339" w:bottom="1440" w:gutter="0" w:footer="0" w:header="0"/>
        </w:sectPr>
      </w:pPr>
    </w:p>
    <w:bookmarkStart w:id="656" w:name="page657"/>
    <w:bookmarkEnd w:id="656"/>
    <w:p>
      <w:pPr>
        <w:jc w:val="both"/>
        <w:spacing w:after="0" w:line="259" w:lineRule="auto"/>
        <w:rPr>
          <w:sz w:val="20"/>
          <w:szCs w:val="20"/>
          <w:color w:val="auto"/>
        </w:rPr>
      </w:pPr>
      <w:r>
        <w:rPr>
          <w:rFonts w:ascii="Arial" w:cs="Arial" w:eastAsia="Arial" w:hAnsi="Arial"/>
          <w:sz w:val="21"/>
          <w:szCs w:val="21"/>
          <w:color w:val="auto"/>
        </w:rPr>
        <w:t>accordance with Section 2.03(a), the Administrative Agent shall promptly notify each Lender thereof. Each Lender will make the amount of its pro rata share of each borrowing available to the Administrative Agent for the account of the Borrower at the Funding Office promptly, but in any event prior to 5:00 P.M., New York City time, on the Borrowing Date requested by the Borrower, in funds immediately available to the Administrative Agent. Such borrowing (or, in the case of a borrowing of Tranche A Loans, the portion thereof which is covered by the aggregate Loan Value of the Pledged Eligible Assets) will then be made available to the Borrower by the Administrative Agent by its transferring the aggregate amount made available to the Administrative Agent by the Lenders (or the relevant portion thereof) and in like funds as received by the Administrative Agent to a settlement bank for the Borrower or to DTC or NSCC or otherwise as directed by the Borrower, in either case on behalf of the Borrower and as directed by it.</w:t>
      </w:r>
    </w:p>
    <w:p>
      <w:pPr>
        <w:spacing w:after="0" w:line="125" w:lineRule="exact"/>
        <w:rPr>
          <w:sz w:val="20"/>
          <w:szCs w:val="20"/>
          <w:color w:val="auto"/>
        </w:rPr>
      </w:pPr>
    </w:p>
    <w:p>
      <w:pPr>
        <w:ind w:left="1820" w:hanging="516"/>
        <w:spacing w:after="0"/>
        <w:tabs>
          <w:tab w:leader="none" w:pos="1820" w:val="left"/>
        </w:tabs>
        <w:numPr>
          <w:ilvl w:val="0"/>
          <w:numId w:val="451"/>
        </w:numPr>
        <w:rPr>
          <w:rFonts w:ascii="Arial" w:cs="Arial" w:eastAsia="Arial" w:hAnsi="Arial"/>
          <w:sz w:val="19"/>
          <w:szCs w:val="19"/>
          <w:color w:val="auto"/>
        </w:rPr>
      </w:pPr>
      <w:r>
        <w:rPr>
          <w:rFonts w:ascii="Arial" w:cs="Arial" w:eastAsia="Arial" w:hAnsi="Arial"/>
          <w:sz w:val="19"/>
          <w:szCs w:val="19"/>
          <w:color w:val="auto"/>
        </w:rPr>
        <w:t>Each Borrowing shall be in an aggregate amount equal to $5,000,000 or a whole multiple of $1,000,000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excess thereof.</w:t>
      </w:r>
    </w:p>
    <w:p>
      <w:pPr>
        <w:spacing w:after="0" w:line="14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57" w:lineRule="auto"/>
        <w:tabs>
          <w:tab w:leader="none" w:pos="1808" w:val="left"/>
        </w:tabs>
        <w:numPr>
          <w:ilvl w:val="0"/>
          <w:numId w:val="452"/>
        </w:numPr>
        <w:rPr>
          <w:rFonts w:ascii="Arial" w:cs="Arial" w:eastAsia="Arial" w:hAnsi="Arial"/>
          <w:sz w:val="21"/>
          <w:szCs w:val="21"/>
          <w:color w:val="auto"/>
        </w:rPr>
      </w:pPr>
      <w:r>
        <w:rPr>
          <w:rFonts w:ascii="Arial" w:cs="Arial" w:eastAsia="Arial" w:hAnsi="Arial"/>
          <w:sz w:val="21"/>
          <w:szCs w:val="21"/>
          <w:color w:val="auto"/>
        </w:rPr>
        <w:t xml:space="preserve">The Borrower may borrow Revolving Loans during the Availability Period on any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deliver to the Administrative Agent, no later than 4:00 P.M., New York City time, on the requested Borrowing Date, (i) irrevocable notice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 (a “</w:t>
      </w:r>
      <w:r>
        <w:rPr>
          <w:rFonts w:ascii="Arial" w:cs="Arial" w:eastAsia="Arial" w:hAnsi="Arial"/>
          <w:sz w:val="21"/>
          <w:szCs w:val="21"/>
          <w:u w:val="single" w:color="auto"/>
          <w:color w:val="auto"/>
        </w:rPr>
        <w:t>Borrowing Request</w:t>
      </w:r>
      <w:r>
        <w:rPr>
          <w:rFonts w:ascii="Arial" w:cs="Arial" w:eastAsia="Arial" w:hAnsi="Arial"/>
          <w:sz w:val="21"/>
          <w:szCs w:val="21"/>
          <w:color w:val="auto"/>
        </w:rPr>
        <w:t xml:space="preserve">”), specifying (A) the amount of Revolving Loans to be borrowed, (B) whether such Loans are to be Tranche A Loans, Tranche B Loans or Tranche C Loans, or a combination thereof and (C) the requested Borrowing Date and (ii) in the case of Tranche B Loans, a notice substantially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(a “</w:t>
      </w:r>
      <w:r>
        <w:rPr>
          <w:rFonts w:ascii="Arial" w:cs="Arial" w:eastAsia="Arial" w:hAnsi="Arial"/>
          <w:sz w:val="21"/>
          <w:szCs w:val="21"/>
          <w:u w:val="single" w:color="auto"/>
          <w:color w:val="auto"/>
        </w:rPr>
        <w:t>Tranche B Limit Notice</w:t>
      </w:r>
      <w:r>
        <w:rPr>
          <w:rFonts w:ascii="Arial" w:cs="Arial" w:eastAsia="Arial" w:hAnsi="Arial"/>
          <w:sz w:val="21"/>
          <w:szCs w:val="21"/>
          <w:color w:val="auto"/>
        </w:rPr>
        <w:t xml:space="preserve">”) detailing the Tranche B Limit (which shall include a calculation of the Borrower’s NSCC Deposit Requirement and customary NSCC notices and certificates), after giving effect to the borrowing of the Tranche B Loans requested thereby and application of the proceeds thereof as Eligible NSCC Margin Deposits (which shall not be less than the aggregate principal amount of the Tranche B Loans to be outstanding after giving effect to the Tranche B Loans requested in the related Borrowing Request) and (iii) in the case of Tranche C Loans, a notice substantially in the form of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 “</w:t>
      </w:r>
      <w:r>
        <w:rPr>
          <w:rFonts w:ascii="Arial" w:cs="Arial" w:eastAsia="Arial" w:hAnsi="Arial"/>
          <w:sz w:val="21"/>
          <w:szCs w:val="21"/>
          <w:u w:val="single" w:color="auto"/>
          <w:color w:val="auto"/>
        </w:rPr>
        <w:t>Tranche C Limit Notice</w:t>
      </w:r>
      <w:r>
        <w:rPr>
          <w:rFonts w:ascii="Arial" w:cs="Arial" w:eastAsia="Arial" w:hAnsi="Arial"/>
          <w:sz w:val="21"/>
          <w:szCs w:val="21"/>
          <w:color w:val="auto"/>
        </w:rPr>
        <w:t>”) detailing the Tranche C Limit, after giving effect to the borrowing of the Tranche C Loans requested thereby and application of the proceeds thereof (which shall not be less than the aggregate principal amount of the Tranche C Loans to be outstanding after giving effect to the Tranche C Loans requested in the related Borrowing Request).</w:t>
      </w:r>
    </w:p>
    <w:p>
      <w:pPr>
        <w:spacing w:after="0" w:line="132" w:lineRule="exact"/>
        <w:rPr>
          <w:rFonts w:ascii="Arial" w:cs="Arial" w:eastAsia="Arial" w:hAnsi="Arial"/>
          <w:sz w:val="21"/>
          <w:szCs w:val="21"/>
          <w:color w:val="auto"/>
        </w:rPr>
      </w:pPr>
    </w:p>
    <w:p>
      <w:pPr>
        <w:jc w:val="both"/>
        <w:ind w:firstLine="1304"/>
        <w:spacing w:after="0" w:line="248" w:lineRule="auto"/>
        <w:tabs>
          <w:tab w:leader="none" w:pos="1792" w:val="left"/>
        </w:tabs>
        <w:numPr>
          <w:ilvl w:val="0"/>
          <w:numId w:val="452"/>
        </w:numPr>
        <w:rPr>
          <w:rFonts w:ascii="Arial" w:cs="Arial" w:eastAsia="Arial" w:hAnsi="Arial"/>
          <w:sz w:val="22"/>
          <w:szCs w:val="22"/>
          <w:color w:val="auto"/>
        </w:rPr>
      </w:pPr>
      <w:r>
        <w:rPr>
          <w:rFonts w:ascii="Arial" w:cs="Arial" w:eastAsia="Arial" w:hAnsi="Arial"/>
          <w:sz w:val="22"/>
          <w:szCs w:val="22"/>
          <w:color w:val="auto"/>
        </w:rPr>
        <w:t>In connection with each Tranche A Borrowing, and in any event prior to 4:00 p.m., New York City time, on the requested date of such Borrowing, the Borrower shall also instruct DTC to reflect in the DTC’s record system for maintaining DTC participant accounts the Pledged Eligible Assets as being pledged to the Administrative Agent. For the avoidance of doubt, Tranche A Loans must be designated by the Borrower as a “customer bank loan” and qualify as a Customer Bank Loan under Rule 15c3-3 and Regulation T.</w:t>
      </w:r>
    </w:p>
    <w:p>
      <w:pPr>
        <w:spacing w:after="0" w:line="137" w:lineRule="exact"/>
        <w:rPr>
          <w:rFonts w:ascii="Arial" w:cs="Arial" w:eastAsia="Arial" w:hAnsi="Arial"/>
          <w:sz w:val="22"/>
          <w:szCs w:val="22"/>
          <w:color w:val="auto"/>
        </w:rPr>
      </w:pPr>
    </w:p>
    <w:p>
      <w:pPr>
        <w:jc w:val="both"/>
        <w:ind w:firstLine="1304"/>
        <w:spacing w:after="0" w:line="253" w:lineRule="auto"/>
        <w:tabs>
          <w:tab w:leader="none" w:pos="1803" w:val="left"/>
        </w:tabs>
        <w:numPr>
          <w:ilvl w:val="0"/>
          <w:numId w:val="452"/>
        </w:numPr>
        <w:rPr>
          <w:rFonts w:ascii="Arial" w:cs="Arial" w:eastAsia="Arial" w:hAnsi="Arial"/>
          <w:sz w:val="22"/>
          <w:szCs w:val="22"/>
          <w:color w:val="auto"/>
        </w:rPr>
      </w:pPr>
      <w:r>
        <w:rPr>
          <w:rFonts w:ascii="Arial" w:cs="Arial" w:eastAsia="Arial" w:hAnsi="Arial"/>
          <w:sz w:val="22"/>
          <w:szCs w:val="22"/>
          <w:color w:val="auto"/>
        </w:rPr>
        <w:t>On each date that a Revolving Loan is made, the Borrower shall first repay all of its Swingline Loans then outstanding with the proceeds of any such Borrowing (it being understood that if the proposed Borrowing is not the same Type as the outstanding Swingline Loan,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942" w:right="339" w:bottom="1440" w:gutter="0" w:footer="0" w:header="0"/>
        </w:sectPr>
      </w:pPr>
    </w:p>
    <w:bookmarkStart w:id="657" w:name="page658"/>
    <w:bookmarkEnd w:id="657"/>
    <w:p>
      <w:pPr>
        <w:ind w:right="20"/>
        <w:spacing w:after="0" w:line="263" w:lineRule="auto"/>
        <w:rPr>
          <w:sz w:val="20"/>
          <w:szCs w:val="20"/>
          <w:color w:val="auto"/>
        </w:rPr>
      </w:pPr>
      <w:r>
        <w:rPr>
          <w:rFonts w:ascii="Arial" w:cs="Arial" w:eastAsia="Arial" w:hAnsi="Arial"/>
          <w:sz w:val="22"/>
          <w:szCs w:val="22"/>
          <w:color w:val="auto"/>
        </w:rPr>
        <w:t>the Borrower will request an additional concurrent Borrowing of Revolving Loans of the same Type as such Swingline Loan in an amount sufficient to repay such Swingline Loan.</w:t>
      </w:r>
    </w:p>
    <w:p>
      <w:pPr>
        <w:spacing w:after="0" w:line="12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85" w:lineRule="auto"/>
        <w:tabs>
          <w:tab w:leader="none" w:pos="1862" w:val="left"/>
        </w:tabs>
        <w:numPr>
          <w:ilvl w:val="0"/>
          <w:numId w:val="453"/>
        </w:numPr>
        <w:rPr>
          <w:rFonts w:ascii="Arial" w:cs="Arial" w:eastAsia="Arial" w:hAnsi="Arial"/>
          <w:sz w:val="19"/>
          <w:szCs w:val="19"/>
          <w:color w:val="auto"/>
        </w:rPr>
      </w:pPr>
      <w:r>
        <w:rPr>
          <w:rFonts w:ascii="Arial" w:cs="Arial" w:eastAsia="Arial" w:hAnsi="Arial"/>
          <w:sz w:val="19"/>
          <w:szCs w:val="19"/>
          <w:color w:val="auto"/>
        </w:rPr>
        <w:t>Subject to the terms and conditions hereof, the Swingline Lender agrees to make a portion of the credit otherwise available to the Borrower under the Commitments from time to time during the Availability Period by making swing line loans (“</w:t>
      </w:r>
      <w:r>
        <w:rPr>
          <w:rFonts w:ascii="Arial" w:cs="Arial" w:eastAsia="Arial" w:hAnsi="Arial"/>
          <w:sz w:val="19"/>
          <w:szCs w:val="19"/>
          <w:u w:val="single" w:color="auto"/>
          <w:color w:val="auto"/>
        </w:rPr>
        <w:t>Swingline Loans</w:t>
      </w:r>
      <w:r>
        <w:rPr>
          <w:rFonts w:ascii="Arial" w:cs="Arial" w:eastAsia="Arial" w:hAnsi="Arial"/>
          <w:sz w:val="19"/>
          <w:szCs w:val="19"/>
          <w:color w:val="auto"/>
        </w:rPr>
        <w:t xml:space="preserv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not use the proceeds of any Swingline Loan to refinance or repay any outstanding Swingline Loan and (ii) the Borrower shall not request, and the Swingline Lender shall not make, any Swingline Loans if, after giving effect to the making of such Swingline Loans, the aggregate amount of the Available Commitments would be less than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no Swingline Loan shall be made to the extent the aggregate unpaid principal amount of all Loans would exceed the aggregate amount of the Lenders’ Commitments, (ii) no Swingline Loan shall be made to the extent the aggregate principal amount of outstanding Swingline Loans would exceed the Swingline Subcommitment, (iii) no Swingline Loan shall be made to the extent the aggregate principal amount of outstanding Swingline Loans and the Swingline Lender’s Applicable Percentage of outstanding Loans would exceed the Commitments of the Swingline Lender, (iv) no Swingline Loan that is a Tranche A Loan shall be made to the extent that the aggregate unpaid principal amount of all Tranche A Loans would exceed the aggregate Loan Value of the Pledged Eligible Assets, (v) no Swingline Loan that is a Tranche B Loan shall be made to the extent that the aggregate principal amount of all Tranche B Loans would exceed the Tranche B Limit and (vi) no Swingline Loan that is a Tranche C Loan shall be made to the extent that the aggregate principal amount of all Tranche C Loans would exceed the Tranche C Limit. During the Availability Period, the Borrower may borrow, repay the Swingline Loans in whole or in part and reborrow, all in accordance with the terms and conditions hereof.</w:t>
      </w:r>
    </w:p>
    <w:p>
      <w:pPr>
        <w:spacing w:after="0" w:line="114" w:lineRule="exact"/>
        <w:rPr>
          <w:rFonts w:ascii="Arial" w:cs="Arial" w:eastAsia="Arial" w:hAnsi="Arial"/>
          <w:sz w:val="19"/>
          <w:szCs w:val="19"/>
          <w:color w:val="auto"/>
        </w:rPr>
      </w:pPr>
    </w:p>
    <w:p>
      <w:pPr>
        <w:ind w:firstLine="1304"/>
        <w:spacing w:after="0" w:line="287" w:lineRule="auto"/>
        <w:tabs>
          <w:tab w:leader="none" w:pos="1779" w:val="left"/>
        </w:tabs>
        <w:numPr>
          <w:ilvl w:val="0"/>
          <w:numId w:val="453"/>
        </w:numPr>
        <w:rPr>
          <w:rFonts w:ascii="Arial" w:cs="Arial" w:eastAsia="Arial" w:hAnsi="Arial"/>
          <w:sz w:val="21"/>
          <w:szCs w:val="21"/>
          <w:color w:val="auto"/>
        </w:rPr>
      </w:pPr>
      <w:r>
        <w:rPr>
          <w:rFonts w:ascii="Arial" w:cs="Arial" w:eastAsia="Arial" w:hAnsi="Arial"/>
          <w:sz w:val="21"/>
          <w:szCs w:val="21"/>
          <w:color w:val="auto"/>
        </w:rPr>
        <w:t>The Borrower shall repay to the Swingline Lender the then unpaid principal amount of any Swingline Loans on the earlier of the Maturity Date and the fourth Business Day after such Swingline Loans are made.</w:t>
      </w:r>
    </w:p>
    <w:p>
      <w:pPr>
        <w:spacing w:after="0" w:line="97" w:lineRule="exact"/>
        <w:rPr>
          <w:rFonts w:ascii="Arial" w:cs="Arial" w:eastAsia="Arial" w:hAnsi="Arial"/>
          <w:sz w:val="21"/>
          <w:szCs w:val="21"/>
          <w:color w:val="auto"/>
        </w:rPr>
      </w:pPr>
    </w:p>
    <w:p>
      <w:pPr>
        <w:jc w:val="both"/>
        <w:ind w:firstLine="1304"/>
        <w:spacing w:after="0" w:line="312" w:lineRule="auto"/>
        <w:tabs>
          <w:tab w:leader="none" w:pos="1777" w:val="left"/>
        </w:tabs>
        <w:numPr>
          <w:ilvl w:val="0"/>
          <w:numId w:val="453"/>
        </w:numPr>
        <w:rPr>
          <w:rFonts w:ascii="Arial" w:cs="Arial" w:eastAsia="Arial" w:hAnsi="Arial"/>
          <w:sz w:val="19"/>
          <w:szCs w:val="19"/>
          <w:color w:val="auto"/>
        </w:rPr>
      </w:pPr>
      <w:r>
        <w:rPr>
          <w:rFonts w:ascii="Arial" w:cs="Arial" w:eastAsia="Arial" w:hAnsi="Arial"/>
          <w:sz w:val="19"/>
          <w:szCs w:val="19"/>
          <w:color w:val="auto"/>
        </w:rPr>
        <w:t>Any Swingline Loans will (i) reduce the amount of the Revolving Commitments available during such time such Swingline Loans are outstanding on a dollar-for-dollar basis and (ii) reduce the amount of the Revolving Commitments of the Swingline Lender available during such time such Swingline Loans are outstanding on a dollar-for-dollar basis.</w:t>
      </w:r>
    </w:p>
    <w:p>
      <w:pPr>
        <w:spacing w:after="0" w:line="7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Procedure for Swingline Borrowing; Refunding of Swingline Loans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94" w:lineRule="auto"/>
        <w:tabs>
          <w:tab w:leader="none" w:pos="1811" w:val="left"/>
        </w:tabs>
        <w:numPr>
          <w:ilvl w:val="0"/>
          <w:numId w:val="454"/>
        </w:numPr>
        <w:rPr>
          <w:rFonts w:ascii="Arial" w:cs="Arial" w:eastAsia="Arial" w:hAnsi="Arial"/>
          <w:sz w:val="19"/>
          <w:szCs w:val="19"/>
          <w:color w:val="auto"/>
        </w:rPr>
      </w:pPr>
      <w:r>
        <w:rPr>
          <w:rFonts w:ascii="Arial" w:cs="Arial" w:eastAsia="Arial" w:hAnsi="Arial"/>
          <w:sz w:val="19"/>
          <w:szCs w:val="19"/>
          <w:color w:val="auto"/>
        </w:rPr>
        <w:t xml:space="preserve">The Borrower may borrow Swingline Loans during the Availability Period on any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to the Administrative Agent, no later than 4:00 P.M., New York City time, on the requested Borrowing Date, (i) a Borrowing Request specifying (A) the amount of Swingline Loans to be borrowed, (B) whether such Loans are to be Tranche A Loans, Tranche B Loans or Tranche C Loans or a combination thereof and (C) the requested Borrowing Date (which shall be a Business Day during the Availability Period) and (ii) in the case of Tranche B Loans, a Tranche B Limit Notice; and in the case of Tranche C Loans, a Tranche C Limit Notice. The Borrowing Request, Tranche B Limit Notice or Tranche 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942" w:right="339" w:bottom="1440" w:gutter="0" w:footer="0" w:header="0"/>
        </w:sectPr>
      </w:pPr>
    </w:p>
    <w:bookmarkStart w:id="658" w:name="page659"/>
    <w:bookmarkEnd w:id="658"/>
    <w:p>
      <w:pPr>
        <w:jc w:val="both"/>
        <w:spacing w:after="0" w:line="288" w:lineRule="auto"/>
        <w:rPr>
          <w:sz w:val="20"/>
          <w:szCs w:val="20"/>
          <w:color w:val="auto"/>
        </w:rPr>
      </w:pPr>
      <w:r>
        <w:rPr>
          <w:rFonts w:ascii="Arial" w:cs="Arial" w:eastAsia="Arial" w:hAnsi="Arial"/>
          <w:sz w:val="19"/>
          <w:szCs w:val="19"/>
          <w:color w:val="auto"/>
        </w:rPr>
        <w:t xml:space="preserve">Limit Notice, as applicable, shall be delivered by electronic transmission (with any such transmission deemed delivered upon receipt by the Borrower of a transmission confirmation) to the Administrative Agent at the addresses set forth in Section 9.01. If the Borrower delivers to the Administrative Agent, later than 4:00 P.M., New York City time, but no later than 5:00 P.M., New York City time, on the requested Borrowing Date, (i) a Borrowing Request satisfying the conditions specified in the immediately preceding sentence and (ii) in the case of Tranche B Loans, a Tranche B Limit Notice and in the case of Tranche C Loans, a Tranche C Limit Notice, then the Swingline Lender will use commercially reasonable efforts to fund such Swingline Loan on the requested Borrowing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Swingline Lender shall have no commitment to fund any Swingline Loans with respect to a Borrowing Request delivered after 4:00 P.M., New York City time. The Swingline Lender will use commercially reasonable efforts to fund all requested Swingline Loans within one hour of receipt of a Borrowing Request, subject to the satisfaction of each condition to the borrowing of Swingline Loans.</w:t>
      </w:r>
    </w:p>
    <w:p>
      <w:pPr>
        <w:spacing w:after="0" w:line="105" w:lineRule="exact"/>
        <w:rPr>
          <w:sz w:val="20"/>
          <w:szCs w:val="20"/>
          <w:color w:val="auto"/>
        </w:rPr>
      </w:pPr>
    </w:p>
    <w:p>
      <w:pPr>
        <w:jc w:val="both"/>
        <w:ind w:firstLine="1304"/>
        <w:spacing w:after="0" w:line="289" w:lineRule="auto"/>
        <w:tabs>
          <w:tab w:leader="none" w:pos="1895" w:val="left"/>
        </w:tabs>
        <w:numPr>
          <w:ilvl w:val="0"/>
          <w:numId w:val="455"/>
        </w:numPr>
        <w:rPr>
          <w:rFonts w:ascii="Arial" w:cs="Arial" w:eastAsia="Arial" w:hAnsi="Arial"/>
          <w:sz w:val="19"/>
          <w:szCs w:val="19"/>
          <w:color w:val="auto"/>
        </w:rPr>
      </w:pPr>
      <w:r>
        <w:rPr>
          <w:rFonts w:ascii="Arial" w:cs="Arial" w:eastAsia="Arial" w:hAnsi="Arial"/>
          <w:sz w:val="19"/>
          <w:szCs w:val="19"/>
          <w:color w:val="auto"/>
        </w:rPr>
        <w:t>Each borrowing of Swingline Loans shall be in an amount equal to $5,000,000 or a whole multiple of $1,000,000 in excess thereof and shall be made by the Swingline Lender. The Swingline Lender shall make available to the Administrative Agent an amount in immediately available funds equal to the amount of such Swingline Loans to be made by the Swingline Lender. The Administrative Agent shall make the proceeds of such Swingline Loan (or, in the case of a Borrowing of Swingline Loans that are Tranche A Loans, the portion thereof which is covered by the aggregate available Loan Value of the Pledged Eligible Assets as calculated by the Administrative Agent pursuant to Section 2.4(a)) available to the Borrower on such Borrowing Date by its transferring the aggregate amount made available to the Administrative Agent by the Swingline Lender and in like funds as received by the Administrative Agent to a settlement bank for the Borrower or to DTC or NSCC or otherwise as directed by the Borrower, in each case on behalf of the Borrower and as directed by it.</w:t>
      </w:r>
    </w:p>
    <w:p>
      <w:pPr>
        <w:spacing w:after="0" w:line="102" w:lineRule="exact"/>
        <w:rPr>
          <w:rFonts w:ascii="Arial" w:cs="Arial" w:eastAsia="Arial" w:hAnsi="Arial"/>
          <w:sz w:val="19"/>
          <w:szCs w:val="19"/>
          <w:color w:val="auto"/>
        </w:rPr>
      </w:pPr>
    </w:p>
    <w:p>
      <w:pPr>
        <w:jc w:val="both"/>
        <w:ind w:firstLine="1304"/>
        <w:spacing w:after="0" w:line="257" w:lineRule="auto"/>
        <w:tabs>
          <w:tab w:leader="none" w:pos="1757" w:val="left"/>
        </w:tabs>
        <w:numPr>
          <w:ilvl w:val="0"/>
          <w:numId w:val="455"/>
        </w:numPr>
        <w:rPr>
          <w:rFonts w:ascii="Arial" w:cs="Arial" w:eastAsia="Arial" w:hAnsi="Arial"/>
          <w:sz w:val="21"/>
          <w:szCs w:val="21"/>
          <w:color w:val="auto"/>
        </w:rPr>
      </w:pPr>
      <w:r>
        <w:rPr>
          <w:rFonts w:ascii="Arial" w:cs="Arial" w:eastAsia="Arial" w:hAnsi="Arial"/>
          <w:sz w:val="21"/>
          <w:szCs w:val="21"/>
          <w:color w:val="auto"/>
        </w:rPr>
        <w:t>The Swingline Lender, at any time and from time to time in its sole and absolute discretion may, on behalf of the Borrower (which hereby irrevocably directs the Swingline Lender to act on its behalf), on notice given by the Swingline Lender on any Business Day no later than 4:00 P.M., New York City time to the Administrative Agent, which will in turn promptly notify each Lender, request each Lender to make, and each Lender hereby agrees to make, a Revolving Loan, in an amount equal to such Lender’s Applicable Percentage of the aggregate amount of the Swingline Loans (the “</w:t>
      </w:r>
      <w:r>
        <w:rPr>
          <w:rFonts w:ascii="Arial" w:cs="Arial" w:eastAsia="Arial" w:hAnsi="Arial"/>
          <w:sz w:val="21"/>
          <w:szCs w:val="21"/>
          <w:u w:val="single" w:color="auto"/>
          <w:color w:val="auto"/>
        </w:rPr>
        <w:t>Refunded Swingline</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w:t>
      </w:r>
      <w:r>
        <w:rPr>
          <w:rFonts w:ascii="Arial" w:cs="Arial" w:eastAsia="Arial" w:hAnsi="Arial"/>
          <w:sz w:val="21"/>
          <w:szCs w:val="21"/>
          <w:color w:val="auto"/>
        </w:rPr>
        <w:t>”) outstanding on the date of such notice, to repay the Swingline Loan (it being understood that each Swingline Loan shall be deemed to be the same Type as the Revolving Loan it refinances). Each Lender shall make the amount of such Revolving Loan available to the Administrative Agent in immediately available funds promptly, but in any event prior to 5:00 P.M., New York City time, on the date of such notice. The proceeds of such Revolving Loans shall be immediately made available by the Administrative Agent to the Swingline Lender on a ratable basis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Lenders are not sufficient to repay in full such Refunded Swingline Loans.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942" w:right="339" w:bottom="1440" w:gutter="0" w:footer="0" w:header="0"/>
        </w:sectPr>
      </w:pPr>
    </w:p>
    <w:bookmarkStart w:id="659" w:name="page660"/>
    <w:bookmarkEnd w:id="659"/>
    <w:p>
      <w:pPr>
        <w:jc w:val="both"/>
        <w:ind w:firstLine="1304"/>
        <w:spacing w:after="0" w:line="287" w:lineRule="auto"/>
        <w:tabs>
          <w:tab w:leader="none" w:pos="1815" w:val="left"/>
        </w:tabs>
        <w:numPr>
          <w:ilvl w:val="0"/>
          <w:numId w:val="456"/>
        </w:numPr>
        <w:rPr>
          <w:rFonts w:ascii="Arial" w:cs="Arial" w:eastAsia="Arial" w:hAnsi="Arial"/>
          <w:sz w:val="19"/>
          <w:szCs w:val="19"/>
          <w:color w:val="auto"/>
        </w:rPr>
      </w:pPr>
      <w:r>
        <w:rPr>
          <w:rFonts w:ascii="Arial" w:cs="Arial" w:eastAsia="Arial" w:hAnsi="Arial"/>
          <w:sz w:val="19"/>
          <w:szCs w:val="19"/>
          <w:color w:val="auto"/>
        </w:rPr>
        <w:t>If prior to the time a Revolving Loan would have otherwise been made pursuant to Section 2.05(c), one of the events described in Section 8.01(f) shall have occurred and be continuing with respect to the Borrower or if for any other reason, as determined by the Swingline Lender in its sole discretion, Revolving Loans may not be made as contemplated by Section 2.05(c), each Lender shall, on the date such Revolving Loan was to have been made pursuant to the notice referred to in Section 2.05(c), purchase for cash an undivided participating interest in the then outstanding Swingline Loans by paying to the Administrative Agent for distribution to the Swingline Lender an amount (the “</w:t>
      </w:r>
      <w:r>
        <w:rPr>
          <w:rFonts w:ascii="Arial" w:cs="Arial" w:eastAsia="Arial" w:hAnsi="Arial"/>
          <w:sz w:val="19"/>
          <w:szCs w:val="19"/>
          <w:u w:val="single" w:color="auto"/>
          <w:color w:val="auto"/>
        </w:rPr>
        <w:t>Swingline Participation Amount</w:t>
      </w:r>
      <w:r>
        <w:rPr>
          <w:rFonts w:ascii="Arial" w:cs="Arial" w:eastAsia="Arial" w:hAnsi="Arial"/>
          <w:sz w:val="19"/>
          <w:szCs w:val="19"/>
          <w:color w:val="auto"/>
        </w:rPr>
        <w:t xml:space="preserve">”) equal to (i) such Lender’s Applicable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sum of the aggregate principal amount of Swingline Loans then outstanding that were to have been repaid with such Revolving Loans. On each date that a Revolving Loan is made, the Borrower shall first repay all of its Swingline Loans then outstanding with the proceeds of any such Borrowing (it being understood that if the proposed Borrowing is not the same Type as the outstanding Swingline Loan, the Borrower will request an additional concurrent Borrowing of Revolving Loans of the same Type as such Swingline Loan in an amount sufficient to repay such Swingline Loan.</w:t>
      </w:r>
    </w:p>
    <w:p>
      <w:pPr>
        <w:spacing w:after="0" w:line="109" w:lineRule="exact"/>
        <w:rPr>
          <w:rFonts w:ascii="Arial" w:cs="Arial" w:eastAsia="Arial" w:hAnsi="Arial"/>
          <w:sz w:val="19"/>
          <w:szCs w:val="19"/>
          <w:color w:val="auto"/>
        </w:rPr>
      </w:pPr>
    </w:p>
    <w:p>
      <w:pPr>
        <w:jc w:val="both"/>
        <w:ind w:firstLine="1304"/>
        <w:spacing w:after="0" w:line="259" w:lineRule="auto"/>
        <w:tabs>
          <w:tab w:leader="none" w:pos="1819" w:val="left"/>
        </w:tabs>
        <w:numPr>
          <w:ilvl w:val="0"/>
          <w:numId w:val="456"/>
        </w:numPr>
        <w:rPr>
          <w:rFonts w:ascii="Arial" w:cs="Arial" w:eastAsia="Arial" w:hAnsi="Arial"/>
          <w:sz w:val="21"/>
          <w:szCs w:val="21"/>
          <w:color w:val="auto"/>
        </w:rPr>
      </w:pPr>
      <w:r>
        <w:rPr>
          <w:rFonts w:ascii="Arial" w:cs="Arial" w:eastAsia="Arial" w:hAnsi="Arial"/>
          <w:sz w:val="21"/>
          <w:szCs w:val="21"/>
          <w:color w:val="auto"/>
        </w:rPr>
        <w:t xml:space="preserve">Whenever, at any time after the Swingline Lender has received from any Lender such Lender’s Swingline Participation Amount in respect of the Swingline Loans made by the Swingline Lender, the Swingline Lender receives any payment on account of the Swingline Loans, the Swingline Lender will distribute to such Lender through the Administrative Agent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by the Swingline Lender then due);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such payment received by the Swingline Lender is required to be returned, such Lender will return to the Swingline Lender any portion thereof previously distributed to it by the Swingline Lender.</w:t>
      </w:r>
    </w:p>
    <w:p>
      <w:pPr>
        <w:spacing w:after="0" w:line="125" w:lineRule="exact"/>
        <w:rPr>
          <w:rFonts w:ascii="Arial" w:cs="Arial" w:eastAsia="Arial" w:hAnsi="Arial"/>
          <w:sz w:val="21"/>
          <w:szCs w:val="21"/>
          <w:color w:val="auto"/>
        </w:rPr>
      </w:pPr>
    </w:p>
    <w:p>
      <w:pPr>
        <w:jc w:val="both"/>
        <w:ind w:firstLine="1304"/>
        <w:spacing w:after="0" w:line="292" w:lineRule="auto"/>
        <w:tabs>
          <w:tab w:leader="none" w:pos="1803" w:val="left"/>
        </w:tabs>
        <w:numPr>
          <w:ilvl w:val="0"/>
          <w:numId w:val="456"/>
        </w:numPr>
        <w:rPr>
          <w:rFonts w:ascii="Arial" w:cs="Arial" w:eastAsia="Arial" w:hAnsi="Arial"/>
          <w:sz w:val="19"/>
          <w:szCs w:val="19"/>
          <w:color w:val="auto"/>
        </w:rPr>
      </w:pPr>
      <w:r>
        <w:rPr>
          <w:rFonts w:ascii="Arial" w:cs="Arial" w:eastAsia="Arial" w:hAnsi="Arial"/>
          <w:sz w:val="19"/>
          <w:szCs w:val="19"/>
          <w:color w:val="auto"/>
        </w:rPr>
        <w:t>Each Lender’s obligation to purchase participating interests pursuant to this Section 2.05 shall be absolute and unconditional and shall not be affected by any circumstance, including (i) any setoff, counterclaim, recoupment, defense or other right that such Lender or the Borrower may have against the Swingline Lender, the Borrower or any other Person for any reason whatsoever, (ii) the occurrence or continuance of a Default or an Event of Default or the failure to satisfy any of the other conditions specified in Section 4, (iii) any adverse change in the condition (financial or otherwise) of the Borrower, (iv) any breach of this Agreement or any other Credit Document by the Borrower or any other Lender or (v) any other circumstance, happening or event whatsoever, whether or not similar to any of the foregoing.</w:t>
      </w:r>
    </w:p>
    <w:p>
      <w:pPr>
        <w:spacing w:after="0" w:line="9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Funding</w:t>
      </w:r>
      <w:r>
        <w:rPr>
          <w:rFonts w:ascii="Arial" w:cs="Arial" w:eastAsia="Arial" w:hAnsi="Arial"/>
          <w:sz w:val="22"/>
          <w:szCs w:val="22"/>
          <w:color w:val="auto"/>
        </w:rPr>
        <w:t xml:space="preserve">. (a) Each Lender shall make each Loan to be made by it hereunder on the proposed date thereof by wire transfer of immediately available funds by 5:00 p.m., New York City time, to the account of the Administrative Agent most recently designated by it for such purpose by notice to the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Swingline Loans shall be made as provided in Section 2.05. The Administrative Agent will make such Loans available to the Borrower by promptly crediting the amounts so received, in like funds (for the avoidance of doubt, the Administrative Agent shall not be required to fund on behalf of any other Lender if such Lender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942" w:right="339" w:bottom="1440" w:gutter="0" w:footer="0" w:header="0"/>
        </w:sectPr>
      </w:pPr>
    </w:p>
    <w:bookmarkStart w:id="660" w:name="page661"/>
    <w:bookmarkEnd w:id="660"/>
    <w:p>
      <w:pPr>
        <w:jc w:val="both"/>
        <w:spacing w:after="0" w:line="343" w:lineRule="auto"/>
        <w:rPr>
          <w:sz w:val="20"/>
          <w:szCs w:val="20"/>
          <w:color w:val="auto"/>
        </w:rPr>
      </w:pPr>
      <w:r>
        <w:rPr>
          <w:rFonts w:ascii="Arial" w:cs="Arial" w:eastAsia="Arial" w:hAnsi="Arial"/>
          <w:sz w:val="19"/>
          <w:szCs w:val="19"/>
          <w:color w:val="auto"/>
        </w:rPr>
        <w:t>does not fund in accordance with the times set forth herein), to an account of the Borrower maintained with the Administrative Agent in New York City or such other account of the Borrower designated by the Borrower in the applicable Borrowing Request.</w:t>
      </w:r>
    </w:p>
    <w:p>
      <w:pPr>
        <w:spacing w:after="0" w:line="50" w:lineRule="exact"/>
        <w:rPr>
          <w:sz w:val="20"/>
          <w:szCs w:val="20"/>
          <w:color w:val="auto"/>
        </w:rPr>
      </w:pPr>
    </w:p>
    <w:p>
      <w:pPr>
        <w:jc w:val="both"/>
        <w:ind w:firstLine="1304"/>
        <w:spacing w:after="0" w:line="286" w:lineRule="auto"/>
        <w:tabs>
          <w:tab w:leader="none" w:pos="1812" w:val="left"/>
        </w:tabs>
        <w:numPr>
          <w:ilvl w:val="0"/>
          <w:numId w:val="45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not later than one Business Day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its sole discretion,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Short-Term Funding Rate Loans. If such Lender pays such amount to the Administrative Agent, then (x) such amount shall constitute such Lender’s Loan included in such Borrowing, and (y) if the Borrower has also paid such amount, such amount (excluding, for the avoidance of doubt, any interest paid pursuant to clause (ii) above) shall be promptly (and in any event within one Business Day) refunded to the Borrower. Nothing in this Section 2.07(b) shall be deemed to relieve any Lender from its obligation to fulfill its Commitments hereunder or to prejudice any rights that the Borrower may have against any Lender as a result of any default by such Lender hereunder.</w:t>
      </w:r>
    </w:p>
    <w:p>
      <w:pPr>
        <w:spacing w:after="0" w:line="36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u w:val="single" w:color="auto"/>
          <w:color w:val="auto"/>
        </w:rPr>
        <w:t>Termination and Reduction of Commitments</w:t>
      </w:r>
      <w:r>
        <w:rPr>
          <w:rFonts w:ascii="Arial" w:cs="Arial" w:eastAsia="Arial" w:hAnsi="Arial"/>
          <w:sz w:val="21"/>
          <w:szCs w:val="21"/>
          <w:color w:val="auto"/>
        </w:rPr>
        <w:t xml:space="preserve">. (a) The Borrower shall have the right, upon not less than one Business Day’s notice to the Administrative Agent, to terminate the Commitments or, from time to time, to reduce the amount of the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termination or reduction of Commitments shall be permitted if, after giving effect thereto and to any concurrent prepayments of the Revolving Loans and Swingline Loans, (a) the Total Revolving Credit Exposures would exceed the total Commitments or (b) any Lender’s Revolving Credit Exposure would exceed such Lender’s Commitment. Any such reduction shall be in an amount equal to $5,000,000, or a whole multiple of $1,000,000 in excess thereof, and shall reduce permanently the Commitments then in effect.</w:t>
      </w:r>
    </w:p>
    <w:p>
      <w:pPr>
        <w:spacing w:after="0" w:line="126" w:lineRule="exact"/>
        <w:rPr>
          <w:sz w:val="20"/>
          <w:szCs w:val="20"/>
          <w:color w:val="auto"/>
        </w:rPr>
      </w:pPr>
    </w:p>
    <w:p>
      <w:pPr>
        <w:ind w:left="1780" w:hanging="476"/>
        <w:spacing w:after="0"/>
        <w:tabs>
          <w:tab w:leader="none" w:pos="1780" w:val="left"/>
        </w:tabs>
        <w:numPr>
          <w:ilvl w:val="0"/>
          <w:numId w:val="458"/>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terminate on the Maturity Date.</w:t>
      </w:r>
    </w:p>
    <w:p>
      <w:pPr>
        <w:spacing w:after="0" w:line="165" w:lineRule="exact"/>
        <w:rPr>
          <w:rFonts w:ascii="Arial" w:cs="Arial" w:eastAsia="Arial" w:hAnsi="Arial"/>
          <w:sz w:val="22"/>
          <w:szCs w:val="22"/>
          <w:color w:val="auto"/>
        </w:rPr>
      </w:pPr>
    </w:p>
    <w:p>
      <w:pPr>
        <w:jc w:val="both"/>
        <w:ind w:firstLine="1304"/>
        <w:spacing w:after="0" w:line="247" w:lineRule="auto"/>
        <w:tabs>
          <w:tab w:leader="none" w:pos="1764" w:val="left"/>
        </w:tabs>
        <w:numPr>
          <w:ilvl w:val="0"/>
          <w:numId w:val="458"/>
        </w:numPr>
        <w:rPr>
          <w:rFonts w:ascii="Arial" w:cs="Arial" w:eastAsia="Arial" w:hAnsi="Arial"/>
          <w:sz w:val="22"/>
          <w:szCs w:val="22"/>
          <w:color w:val="auto"/>
        </w:rPr>
      </w:pPr>
      <w:r>
        <w:rPr>
          <w:rFonts w:ascii="Arial" w:cs="Arial" w:eastAsia="Arial" w:hAnsi="Arial"/>
          <w:sz w:val="22"/>
          <w:szCs w:val="22"/>
          <w:color w:val="auto"/>
        </w:rPr>
        <w:t xml:space="preserve">Each notice delivered by the Borrower pursuant to this Section shall be irrevocable;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notice of termination of the Commitments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Any termination or reduction of the Commitments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942" w:right="339" w:bottom="1440" w:gutter="0" w:footer="0" w:header="0"/>
        </w:sectPr>
      </w:pPr>
    </w:p>
    <w:bookmarkStart w:id="661" w:name="page662"/>
    <w:bookmarkEnd w:id="661"/>
    <w:p>
      <w:pPr>
        <w:jc w:val="both"/>
        <w:spacing w:after="0" w:line="263" w:lineRule="auto"/>
        <w:rPr>
          <w:sz w:val="20"/>
          <w:szCs w:val="20"/>
          <w:color w:val="auto"/>
        </w:rPr>
      </w:pPr>
      <w:r>
        <w:rPr>
          <w:rFonts w:ascii="Arial" w:cs="Arial" w:eastAsia="Arial" w:hAnsi="Arial"/>
          <w:sz w:val="22"/>
          <w:szCs w:val="22"/>
          <w:color w:val="auto"/>
        </w:rPr>
        <w:t>shall be permanent. Each reduction of the Commitments shall be made ratably among the Lenders in accordance with their respective Commitments.</w:t>
      </w:r>
    </w:p>
    <w:p>
      <w:pPr>
        <w:spacing w:after="0" w:line="121"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 (a) The Borrower hereby unconditionally promises to pay to the Administrative Agent (i) for the account of each Lender the then unpaid principal amount of each Revolving Loan on the Maturity Date and (ii) for the account of the Swingline Lender the then unpaid principal amount of any Swingline Loans on the earlier of the Maturity Date and the fourth Business Day after such Swingline Loans are made, as set forth in Section 2.04(b).</w:t>
      </w:r>
    </w:p>
    <w:p>
      <w:pPr>
        <w:spacing w:after="0" w:line="88" w:lineRule="exact"/>
        <w:rPr>
          <w:sz w:val="20"/>
          <w:szCs w:val="20"/>
          <w:color w:val="auto"/>
        </w:rPr>
      </w:pPr>
    </w:p>
    <w:p>
      <w:pPr>
        <w:jc w:val="both"/>
        <w:ind w:firstLine="1304"/>
        <w:spacing w:after="0" w:line="253" w:lineRule="auto"/>
        <w:tabs>
          <w:tab w:leader="none" w:pos="1880" w:val="left"/>
        </w:tabs>
        <w:numPr>
          <w:ilvl w:val="0"/>
          <w:numId w:val="459"/>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31" w:lineRule="exact"/>
        <w:rPr>
          <w:rFonts w:ascii="Arial" w:cs="Arial" w:eastAsia="Arial" w:hAnsi="Arial"/>
          <w:sz w:val="22"/>
          <w:szCs w:val="22"/>
          <w:color w:val="auto"/>
        </w:rPr>
      </w:pPr>
    </w:p>
    <w:p>
      <w:pPr>
        <w:jc w:val="both"/>
        <w:ind w:firstLine="1304"/>
        <w:spacing w:after="0" w:line="265" w:lineRule="auto"/>
        <w:tabs>
          <w:tab w:leader="none" w:pos="1768" w:val="left"/>
        </w:tabs>
        <w:numPr>
          <w:ilvl w:val="0"/>
          <w:numId w:val="459"/>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(i) the amount of each Loan made to the Borrower hereunder and the Type thereof,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21" w:lineRule="exact"/>
        <w:rPr>
          <w:rFonts w:ascii="Arial" w:cs="Arial" w:eastAsia="Arial" w:hAnsi="Arial"/>
          <w:sz w:val="21"/>
          <w:szCs w:val="21"/>
          <w:color w:val="auto"/>
        </w:rPr>
      </w:pPr>
    </w:p>
    <w:p>
      <w:pPr>
        <w:jc w:val="both"/>
        <w:ind w:firstLine="1304"/>
        <w:spacing w:after="0" w:line="250" w:lineRule="auto"/>
        <w:tabs>
          <w:tab w:leader="none" w:pos="1809" w:val="left"/>
        </w:tabs>
        <w:numPr>
          <w:ilvl w:val="0"/>
          <w:numId w:val="459"/>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33" w:lineRule="exact"/>
        <w:rPr>
          <w:rFonts w:ascii="Arial" w:cs="Arial" w:eastAsia="Arial" w:hAnsi="Arial"/>
          <w:sz w:val="22"/>
          <w:szCs w:val="22"/>
          <w:color w:val="auto"/>
        </w:rPr>
      </w:pPr>
    </w:p>
    <w:p>
      <w:pPr>
        <w:jc w:val="both"/>
        <w:ind w:firstLine="1304"/>
        <w:spacing w:after="0" w:line="250" w:lineRule="auto"/>
        <w:tabs>
          <w:tab w:leader="none" w:pos="1872" w:val="left"/>
        </w:tabs>
        <w:numPr>
          <w:ilvl w:val="0"/>
          <w:numId w:val="459"/>
        </w:numPr>
        <w:rPr>
          <w:rFonts w:ascii="Arial" w:cs="Arial" w:eastAsia="Arial" w:hAnsi="Arial"/>
          <w:sz w:val="22"/>
          <w:szCs w:val="22"/>
          <w:color w:val="auto"/>
        </w:rPr>
      </w:pPr>
      <w:r>
        <w:rPr>
          <w:rFonts w:ascii="Arial" w:cs="Arial" w:eastAsia="Arial" w:hAnsi="Arial"/>
          <w:sz w:val="22"/>
          <w:szCs w:val="22"/>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or in another form approved by the Administrative Agent.</w:t>
      </w:r>
    </w:p>
    <w:p>
      <w:pPr>
        <w:spacing w:after="0" w:line="13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Voluntary Prepayment of Loans</w:t>
      </w:r>
      <w:r>
        <w:rPr>
          <w:rFonts w:ascii="Arial" w:cs="Arial" w:eastAsia="Arial" w:hAnsi="Arial"/>
          <w:sz w:val="21"/>
          <w:szCs w:val="21"/>
          <w:color w:val="auto"/>
        </w:rPr>
        <w:t>. (a) The Borrower shall have the right at any time and from time to time prior to 4:00 P.M., New York City Time, on any Business Day, to prepay any Borrowing without penalty or premium of any kind, in whole or in part, upon irrevocable notice (subject to clause (b) below) delivered to the Administrative Agent no later than 1:00 P.M., New York City time, on the date of such prepayment, which notice shall specify the date and amount of prepayment and whether the prepayment is of Tranche A Loans, Tranche B Loans or Tranche C Loans. Upon receipt of any such notice the Administrative Agent shall promptly notify each relevant Lender thereof. If any such notice is given, the amount specified in such notice shall be due and payable on the date specified therein. Partial prepayments of Revolving Loans shall be in an aggregate principal amount of $5,000,000 or a whole multiple of $1,000,000 in excess thereof. Partial prepayments of Swingline Loans shall be in an aggregate principal amount of $5,000,000 or a whole multiple of $1,000,000 in excess thereof. Interest will accrue on such amount being prepaid until the next business day if such payment is received after 4:00 p.m., New York City time.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942" w:right="339" w:bottom="1440" w:gutter="0" w:footer="0" w:header="0"/>
        </w:sectPr>
      </w:pPr>
    </w:p>
    <w:bookmarkStart w:id="662" w:name="page663"/>
    <w:bookmarkEnd w:id="662"/>
    <w:p>
      <w:pPr>
        <w:jc w:val="both"/>
        <w:ind w:firstLine="1304"/>
        <w:spacing w:after="0" w:line="292" w:lineRule="auto"/>
        <w:tabs>
          <w:tab w:leader="none" w:pos="1901" w:val="left"/>
        </w:tabs>
        <w:numPr>
          <w:ilvl w:val="0"/>
          <w:numId w:val="460"/>
        </w:numPr>
        <w:rPr>
          <w:rFonts w:ascii="Arial" w:cs="Arial" w:eastAsia="Arial" w:hAnsi="Arial"/>
          <w:sz w:val="19"/>
          <w:szCs w:val="19"/>
          <w:color w:val="auto"/>
        </w:rPr>
      </w:pPr>
      <w:r>
        <w:rPr>
          <w:rFonts w:ascii="Arial" w:cs="Arial" w:eastAsia="Arial" w:hAnsi="Arial"/>
          <w:sz w:val="19"/>
          <w:szCs w:val="19"/>
          <w:color w:val="auto"/>
        </w:rPr>
        <w:t xml:space="preserve">Each notice of prepayment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prepayment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prepayment date) if such condition is not satisfied. Each prepayment of a Borrowing shall be applied ratably to the Loans included in the prepaid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outstanding Swingline Loans shall be repaid prior to the prepayment of any Revolving Loans. Prepayments shall be accompanied by the payment of accrued and unpaid interest.</w:t>
      </w:r>
    </w:p>
    <w:p>
      <w:pPr>
        <w:spacing w:after="0" w:line="9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Calculation of Loan Value; Mandatory Prepayments; Releases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86" w:lineRule="auto"/>
        <w:tabs>
          <w:tab w:leader="none" w:pos="1812" w:val="left"/>
        </w:tabs>
        <w:numPr>
          <w:ilvl w:val="0"/>
          <w:numId w:val="461"/>
        </w:numPr>
        <w:rPr>
          <w:rFonts w:ascii="Arial" w:cs="Arial" w:eastAsia="Arial" w:hAnsi="Arial"/>
          <w:sz w:val="19"/>
          <w:szCs w:val="19"/>
          <w:color w:val="auto"/>
        </w:rPr>
      </w:pPr>
      <w:r>
        <w:rPr>
          <w:rFonts w:ascii="Arial" w:cs="Arial" w:eastAsia="Arial" w:hAnsi="Arial"/>
          <w:sz w:val="19"/>
          <w:szCs w:val="19"/>
          <w:color w:val="auto"/>
        </w:rPr>
        <w:t xml:space="preserve">With respect to each Pledged Eligible Asset, Loan Value shall be determined at 6:00 P.M., New York City time, on each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Pledged Eligible Asset is added to the Collateral or ceases to constitute a Pledged Eligible Asset, the Loan Value of each Pledged Eligible Asset shall also be determined as of the time (or approximately as of such time) of such addition and/or cessation. If at any time the sum of the unpaid principal balance of the Tranche A Loans then outstanding shall be in excess of the aggregate Loan Value of the Pledged Eligible Assets (a “</w:t>
      </w:r>
      <w:r>
        <w:rPr>
          <w:rFonts w:ascii="Arial" w:cs="Arial" w:eastAsia="Arial" w:hAnsi="Arial"/>
          <w:sz w:val="19"/>
          <w:szCs w:val="19"/>
          <w:u w:val="single" w:color="auto"/>
          <w:color w:val="auto"/>
        </w:rPr>
        <w:t>Deficiency</w:t>
      </w:r>
      <w:r>
        <w:rPr>
          <w:rFonts w:ascii="Arial" w:cs="Arial" w:eastAsia="Arial" w:hAnsi="Arial"/>
          <w:sz w:val="19"/>
          <w:szCs w:val="19"/>
          <w:color w:val="auto"/>
        </w:rPr>
        <w:t>”), the Borrower shall, following written demand from the Administrative Agent, either, (A) deliver additional Pledged Eligible Assets no later than the later of 6:00 P.M., New York City time, on the date of such demand (if such demand is delivered to the Borrower by 11:00 A.M., New York City time, on such Business Day), or, otherwise, 6:00 P.M., New York City time, on the following Business Day so that the aggregate Loan Value of the Pledged Eligible Assets is at least equal to the principal balance of the Tranche A Loans outstanding or (B) pay to the Administrative Agent for the account of the Lenders not later than no later than 4:00 P.M., New York City time, on the date such Deficiency occurred (if such demand is delivered to the Borrower by 11:00 A.M., New York City time, on such Business Day), or, otherwise, by 4:00 P.M., New York City time, on the following Business Day the amount of such Deficiency as a mandatory prepayment on such Tranche A Loans.</w:t>
      </w:r>
    </w:p>
    <w:p>
      <w:pPr>
        <w:spacing w:after="0" w:line="111" w:lineRule="exact"/>
        <w:rPr>
          <w:rFonts w:ascii="Arial" w:cs="Arial" w:eastAsia="Arial" w:hAnsi="Arial"/>
          <w:sz w:val="19"/>
          <w:szCs w:val="19"/>
          <w:color w:val="auto"/>
        </w:rPr>
      </w:pPr>
    </w:p>
    <w:p>
      <w:pPr>
        <w:jc w:val="both"/>
        <w:ind w:firstLine="1304"/>
        <w:spacing w:after="0" w:line="248" w:lineRule="auto"/>
        <w:tabs>
          <w:tab w:leader="none" w:pos="1783" w:val="left"/>
        </w:tabs>
        <w:numPr>
          <w:ilvl w:val="0"/>
          <w:numId w:val="461"/>
        </w:numPr>
        <w:rPr>
          <w:rFonts w:ascii="Arial" w:cs="Arial" w:eastAsia="Arial" w:hAnsi="Arial"/>
          <w:sz w:val="22"/>
          <w:szCs w:val="22"/>
          <w:color w:val="auto"/>
        </w:rPr>
      </w:pPr>
      <w:r>
        <w:rPr>
          <w:rFonts w:ascii="Arial" w:cs="Arial" w:eastAsia="Arial" w:hAnsi="Arial"/>
          <w:sz w:val="22"/>
          <w:szCs w:val="22"/>
          <w:color w:val="auto"/>
        </w:rPr>
        <w:t>At or prior to 10:00 A.M., New York City time, on each Business Day on which any Tranche B Loans shall remain outstanding, the Borrower shall deliver to the Administrative Agent a Tranche B Limit Notice as of the close of business on the previous Business Day. In the event that the aggregate principal amount of outstanding Tranche B Loans exceeds the Tranche B Limit, the Borrower shall, on such Business Day, prepay Tranche B Loans in an amount sufficient to cure such deficiency.</w:t>
      </w:r>
    </w:p>
    <w:p>
      <w:pPr>
        <w:spacing w:after="0" w:line="137" w:lineRule="exact"/>
        <w:rPr>
          <w:rFonts w:ascii="Arial" w:cs="Arial" w:eastAsia="Arial" w:hAnsi="Arial"/>
          <w:sz w:val="22"/>
          <w:szCs w:val="22"/>
          <w:color w:val="auto"/>
        </w:rPr>
      </w:pPr>
    </w:p>
    <w:p>
      <w:pPr>
        <w:jc w:val="both"/>
        <w:ind w:firstLine="1304"/>
        <w:spacing w:after="0" w:line="261" w:lineRule="auto"/>
        <w:tabs>
          <w:tab w:leader="none" w:pos="1780" w:val="left"/>
        </w:tabs>
        <w:numPr>
          <w:ilvl w:val="0"/>
          <w:numId w:val="461"/>
        </w:numPr>
        <w:rPr>
          <w:rFonts w:ascii="Arial" w:cs="Arial" w:eastAsia="Arial" w:hAnsi="Arial"/>
          <w:sz w:val="21"/>
          <w:szCs w:val="21"/>
          <w:color w:val="auto"/>
        </w:rPr>
      </w:pPr>
      <w:r>
        <w:rPr>
          <w:rFonts w:ascii="Arial" w:cs="Arial" w:eastAsia="Arial" w:hAnsi="Arial"/>
          <w:sz w:val="21"/>
          <w:szCs w:val="21"/>
          <w:color w:val="auto"/>
        </w:rPr>
        <w:t>At or prior to 10:00 A.M., New York City time, on the next Business Day following each calculation of the Reserve Formula or any other 15c3-3 reserve calculation, if any Tranche C Loans shall remain outstanding, the Borrower shall deliver to the Administrative Agent a Tranche C Limit Notice as of such previous Business Day. In the event that the aggregate principal amount of outstanding Tranche C Loans exceeds the Tranche C Limit as set forth in the a Tranche C Limit Notice, the Borrower shall, on the Business Day on which such a Tranche C Limit Notice is delivered, prepay Tranche C Loans in an amount sufficient to cure such deficiency.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942" w:right="339" w:bottom="1440" w:gutter="0" w:footer="0" w:header="0"/>
        </w:sectPr>
      </w:pPr>
    </w:p>
    <w:bookmarkStart w:id="663" w:name="page664"/>
    <w:bookmarkEnd w:id="663"/>
    <w:p>
      <w:pPr>
        <w:jc w:val="both"/>
        <w:ind w:firstLine="1304"/>
        <w:spacing w:after="0" w:line="297" w:lineRule="auto"/>
        <w:tabs>
          <w:tab w:leader="none" w:pos="1780" w:val="left"/>
        </w:tabs>
        <w:numPr>
          <w:ilvl w:val="0"/>
          <w:numId w:val="462"/>
        </w:numPr>
        <w:rPr>
          <w:rFonts w:ascii="Arial" w:cs="Arial" w:eastAsia="Arial" w:hAnsi="Arial"/>
          <w:sz w:val="19"/>
          <w:szCs w:val="19"/>
          <w:color w:val="auto"/>
        </w:rPr>
      </w:pPr>
      <w:r>
        <w:rPr>
          <w:rFonts w:ascii="Arial" w:cs="Arial" w:eastAsia="Arial" w:hAnsi="Arial"/>
          <w:sz w:val="19"/>
          <w:szCs w:val="19"/>
          <w:color w:val="auto"/>
        </w:rPr>
        <w:t xml:space="preserve">Any Pledged Eligible Asset shall be released from the pledge thereof in favor of the Lenders promptly upon the request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at such time and (ii) a Deficiency would not be in existence after giving effect to such release and the receipt on the date of such release (and, for the avoidance of doubt, prior to such release) of any cash proceeds to be used for the prepayment of Tranche A Loans or additional Eligible Assets identified by the Borrower to be used as substitute Pledged Eligible Assets.</w:t>
      </w:r>
    </w:p>
    <w:p>
      <w:pPr>
        <w:spacing w:after="0" w:line="92" w:lineRule="exact"/>
        <w:rPr>
          <w:rFonts w:ascii="Arial" w:cs="Arial" w:eastAsia="Arial" w:hAnsi="Arial"/>
          <w:sz w:val="19"/>
          <w:szCs w:val="19"/>
          <w:color w:val="auto"/>
        </w:rPr>
      </w:pPr>
    </w:p>
    <w:p>
      <w:pPr>
        <w:jc w:val="both"/>
        <w:ind w:firstLine="1304"/>
        <w:spacing w:after="0" w:line="248" w:lineRule="auto"/>
        <w:tabs>
          <w:tab w:leader="none" w:pos="1853" w:val="left"/>
        </w:tabs>
        <w:numPr>
          <w:ilvl w:val="0"/>
          <w:numId w:val="462"/>
        </w:numPr>
        <w:rPr>
          <w:rFonts w:ascii="Arial" w:cs="Arial" w:eastAsia="Arial" w:hAnsi="Arial"/>
          <w:sz w:val="22"/>
          <w:szCs w:val="22"/>
          <w:color w:val="auto"/>
        </w:rPr>
      </w:pPr>
      <w:r>
        <w:rPr>
          <w:rFonts w:ascii="Arial" w:cs="Arial" w:eastAsia="Arial" w:hAnsi="Arial"/>
          <w:sz w:val="22"/>
          <w:szCs w:val="22"/>
          <w:color w:val="auto"/>
        </w:rPr>
        <w:t xml:space="preserve">The amount of any NSCC Margin Deposits deposited in an account subject to a deposit account control agreement constituting a Security Document in excess of the outstanding principal amount of Tranche B Loans shall be promptly distributed pursuant to the directions of the Borrower upon the request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(i) Default or Event of Default has occurred and is continuing at such time and (ii) any outstanding Tranche B Loans shall be prepaid prior to such distribution.</w:t>
      </w:r>
    </w:p>
    <w:p>
      <w:pPr>
        <w:spacing w:after="0" w:line="137" w:lineRule="exact"/>
        <w:rPr>
          <w:rFonts w:ascii="Arial" w:cs="Arial" w:eastAsia="Arial" w:hAnsi="Arial"/>
          <w:sz w:val="22"/>
          <w:szCs w:val="22"/>
          <w:color w:val="auto"/>
        </w:rPr>
      </w:pPr>
    </w:p>
    <w:p>
      <w:pPr>
        <w:jc w:val="both"/>
        <w:ind w:firstLine="1304"/>
        <w:spacing w:after="0" w:line="260" w:lineRule="auto"/>
        <w:tabs>
          <w:tab w:leader="none" w:pos="1754" w:val="left"/>
        </w:tabs>
        <w:numPr>
          <w:ilvl w:val="0"/>
          <w:numId w:val="462"/>
        </w:numPr>
        <w:rPr>
          <w:rFonts w:ascii="Arial" w:cs="Arial" w:eastAsia="Arial" w:hAnsi="Arial"/>
          <w:sz w:val="21"/>
          <w:szCs w:val="21"/>
          <w:color w:val="auto"/>
        </w:rPr>
      </w:pPr>
      <w:r>
        <w:rPr>
          <w:rFonts w:ascii="Arial" w:cs="Arial" w:eastAsia="Arial" w:hAnsi="Arial"/>
          <w:sz w:val="21"/>
          <w:szCs w:val="21"/>
          <w:color w:val="auto"/>
        </w:rPr>
        <w:t>The Borrower shall direct all funds that are withdrawn from the Reserve Account (and not otherwise subject to any segregation requirement) to an account maintained by the Borrower subject to a customary deposit account control agreement constituting a Security Document (any such account, a “</w:t>
      </w:r>
      <w:r>
        <w:rPr>
          <w:rFonts w:ascii="Arial" w:cs="Arial" w:eastAsia="Arial" w:hAnsi="Arial"/>
          <w:sz w:val="21"/>
          <w:szCs w:val="21"/>
          <w:u w:val="single" w:color="auto"/>
          <w:color w:val="auto"/>
        </w:rPr>
        <w:t>Tranche C Collateral Account</w:t>
      </w:r>
      <w:r>
        <w:rPr>
          <w:rFonts w:ascii="Arial" w:cs="Arial" w:eastAsia="Arial" w:hAnsi="Arial"/>
          <w:sz w:val="21"/>
          <w:szCs w:val="21"/>
          <w:color w:val="auto"/>
        </w:rPr>
        <w:t xml:space="preserve">”). The amount of any proceeds of Eligible Funds deposited in a Tranche C Collateral Account in excess of the outstanding principal amount of Tranche C Loans shall be promptly distributed pursuant to the directions of the Borrower upon the request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has occurred and is continuing at such time and (ii) any outstanding Tranche C Loans shall be prepaid prior to such distribution.</w:t>
      </w:r>
    </w:p>
    <w:p>
      <w:pPr>
        <w:spacing w:after="0" w:line="126" w:lineRule="exact"/>
        <w:rPr>
          <w:rFonts w:ascii="Arial" w:cs="Arial" w:eastAsia="Arial" w:hAnsi="Arial"/>
          <w:sz w:val="21"/>
          <w:szCs w:val="21"/>
          <w:color w:val="auto"/>
        </w:rPr>
      </w:pPr>
    </w:p>
    <w:p>
      <w:pPr>
        <w:jc w:val="both"/>
        <w:ind w:firstLine="1304"/>
        <w:spacing w:after="0" w:line="253" w:lineRule="auto"/>
        <w:tabs>
          <w:tab w:leader="none" w:pos="1887" w:val="left"/>
        </w:tabs>
        <w:numPr>
          <w:ilvl w:val="0"/>
          <w:numId w:val="462"/>
        </w:numPr>
        <w:rPr>
          <w:rFonts w:ascii="Arial" w:cs="Arial" w:eastAsia="Arial" w:hAnsi="Arial"/>
          <w:sz w:val="22"/>
          <w:szCs w:val="22"/>
          <w:color w:val="auto"/>
        </w:rPr>
      </w:pPr>
      <w:r>
        <w:rPr>
          <w:rFonts w:ascii="Arial" w:cs="Arial" w:eastAsia="Arial" w:hAnsi="Arial"/>
          <w:sz w:val="22"/>
          <w:szCs w:val="22"/>
          <w:color w:val="auto"/>
        </w:rPr>
        <w:t>Any prepayment made pursuant to this Section 2.12 shall be accompanied by a notice delivered to the Administrative Agent specifying the date and amount of such prepayment and whether such prepayment is of Tranche A Loans, Tranche B Loans or Tranche C Loans.</w:t>
      </w:r>
    </w:p>
    <w:p>
      <w:pPr>
        <w:spacing w:after="0" w:line="13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(a) The Borrower agrees to pay to the Administrative Agent for the account of each Lender a commitment fee, which shall accrue at the Commitment Fee Rate on the daily amount of the unused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calculating the unused Commitment, the aggregate principal amount of Swingline Loans then outstanding shall be deemed to be zero) of such Lender during the period from and including the Effective Date to but excluding the date on which such Commitment terminates. Commitment fees accrued through and including the last day of March, June, September and December of each year shall be payable in arrears on the last day of the applicable month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46" w:lineRule="exact"/>
        <w:rPr>
          <w:sz w:val="20"/>
          <w:szCs w:val="20"/>
          <w:color w:val="auto"/>
        </w:rPr>
      </w:pPr>
    </w:p>
    <w:p>
      <w:pPr>
        <w:ind w:left="1780" w:hanging="476"/>
        <w:spacing w:after="0"/>
        <w:tabs>
          <w:tab w:leader="none" w:pos="1780" w:val="left"/>
        </w:tabs>
        <w:numPr>
          <w:ilvl w:val="0"/>
          <w:numId w:val="463"/>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firstLine="1304"/>
        <w:spacing w:after="0" w:line="263" w:lineRule="auto"/>
        <w:tabs>
          <w:tab w:leader="none" w:pos="1810" w:val="left"/>
        </w:tabs>
        <w:numPr>
          <w:ilvl w:val="0"/>
          <w:numId w:val="463"/>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payable in the amounts and at the times separately agreed upon in writing between the Borrower and the Administrative Agent.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942" w:right="339" w:bottom="1440" w:gutter="0" w:footer="0" w:header="0"/>
        </w:sectPr>
      </w:pPr>
    </w:p>
    <w:bookmarkStart w:id="664" w:name="page665"/>
    <w:bookmarkEnd w:id="664"/>
    <w:p>
      <w:pPr>
        <w:jc w:val="both"/>
        <w:ind w:firstLine="1304"/>
        <w:spacing w:after="0" w:line="253" w:lineRule="auto"/>
        <w:tabs>
          <w:tab w:leader="none" w:pos="1811" w:val="left"/>
        </w:tabs>
        <w:numPr>
          <w:ilvl w:val="0"/>
          <w:numId w:val="464"/>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dollars in immediately available funds, to the Administrative Agent for distribution, in the case of commitment fees, to the Lenders. Fees paid shall not be refundable under any circumstances.</w:t>
      </w:r>
    </w:p>
    <w:p>
      <w:pPr>
        <w:spacing w:after="0" w:line="13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Interest</w:t>
      </w:r>
      <w:r>
        <w:rPr>
          <w:rFonts w:ascii="Arial" w:cs="Arial" w:eastAsia="Arial" w:hAnsi="Arial"/>
          <w:sz w:val="22"/>
          <w:szCs w:val="22"/>
          <w:color w:val="auto"/>
        </w:rPr>
        <w:t>. (a) Each Loan (including each Swingline Loan) shall bear interest at the Short-Term Funding Rate plus the Applicable Rate.</w:t>
      </w:r>
    </w:p>
    <w:p>
      <w:pPr>
        <w:spacing w:after="0" w:line="121" w:lineRule="exact"/>
        <w:rPr>
          <w:sz w:val="20"/>
          <w:szCs w:val="20"/>
          <w:color w:val="auto"/>
        </w:rPr>
      </w:pPr>
    </w:p>
    <w:p>
      <w:pPr>
        <w:ind w:left="1780" w:hanging="476"/>
        <w:spacing w:after="0"/>
        <w:tabs>
          <w:tab w:leader="none" w:pos="1780" w:val="left"/>
        </w:tabs>
        <w:numPr>
          <w:ilvl w:val="0"/>
          <w:numId w:val="465"/>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1304"/>
        <w:spacing w:after="0" w:line="292" w:lineRule="auto"/>
        <w:tabs>
          <w:tab w:leader="none" w:pos="1811" w:val="left"/>
        </w:tabs>
        <w:numPr>
          <w:ilvl w:val="0"/>
          <w:numId w:val="465"/>
        </w:numPr>
        <w:rPr>
          <w:rFonts w:ascii="Arial" w:cs="Arial" w:eastAsia="Arial" w:hAnsi="Arial"/>
          <w:sz w:val="19"/>
          <w:szCs w:val="19"/>
          <w:color w:val="auto"/>
        </w:rPr>
      </w:pPr>
      <w:r>
        <w:rPr>
          <w:rFonts w:ascii="Arial" w:cs="Arial" w:eastAsia="Arial" w:hAnsi="Arial"/>
          <w:sz w:val="19"/>
          <w:szCs w:val="19"/>
          <w:color w:val="auto"/>
        </w:rPr>
        <w:t>If at any time after the occurrence and during the continuance of any Event of Default under Section 6.01, any principal of or interest on any Loan or any fee or other amount payable by the Borrower hereunder is not paid when due, whether at stated maturity, upon acceleration or otherwise, such overdue amount shall bear interest (in the case of any unpaid fee or other amount payable by the Borrower hereunder (other than principal of or interest on any Loan), upon election of the Required Lenders),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Short-Term Funding Rate Loans as provided in paragraph (a) of this Section.</w:t>
      </w:r>
    </w:p>
    <w:p>
      <w:pPr>
        <w:spacing w:after="0" w:line="96" w:lineRule="exact"/>
        <w:rPr>
          <w:rFonts w:ascii="Arial" w:cs="Arial" w:eastAsia="Arial" w:hAnsi="Arial"/>
          <w:sz w:val="19"/>
          <w:szCs w:val="19"/>
          <w:color w:val="auto"/>
        </w:rPr>
      </w:pPr>
    </w:p>
    <w:p>
      <w:pPr>
        <w:ind w:firstLine="1304"/>
        <w:spacing w:after="0" w:line="263" w:lineRule="auto"/>
        <w:tabs>
          <w:tab w:leader="none" w:pos="1949" w:val="left"/>
        </w:tabs>
        <w:numPr>
          <w:ilvl w:val="0"/>
          <w:numId w:val="465"/>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and upon termination of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paragraph</w:t>
      </w:r>
    </w:p>
    <w:p>
      <w:pPr>
        <w:spacing w:after="0" w:line="120" w:lineRule="exact"/>
        <w:rPr>
          <w:rFonts w:ascii="Arial" w:cs="Arial" w:eastAsia="Arial" w:hAnsi="Arial"/>
          <w:sz w:val="22"/>
          <w:szCs w:val="22"/>
          <w:color w:val="auto"/>
        </w:rPr>
      </w:pPr>
    </w:p>
    <w:p>
      <w:pPr>
        <w:ind w:firstLine="1304"/>
        <w:spacing w:after="0" w:line="343" w:lineRule="auto"/>
        <w:tabs>
          <w:tab w:leader="none" w:pos="1752" w:val="left"/>
        </w:tabs>
        <w:numPr>
          <w:ilvl w:val="0"/>
          <w:numId w:val="465"/>
        </w:numPr>
        <w:rPr>
          <w:rFonts w:ascii="Arial" w:cs="Arial" w:eastAsia="Arial" w:hAnsi="Arial"/>
          <w:sz w:val="19"/>
          <w:szCs w:val="19"/>
          <w:color w:val="auto"/>
        </w:rPr>
      </w:pPr>
      <w:r>
        <w:rPr>
          <w:rFonts w:ascii="Arial" w:cs="Arial" w:eastAsia="Arial" w:hAnsi="Arial"/>
          <w:sz w:val="19"/>
          <w:szCs w:val="19"/>
          <w:color w:val="auto"/>
        </w:rPr>
        <w:t>of this Section shall be payable on demand and (ii) in the event of any repayment or prepayment of any Loan, accrued interest on the principal amount repaid or prepaid shall be payable on the date of such repayment or prepayment.</w:t>
      </w:r>
    </w:p>
    <w:p>
      <w:pPr>
        <w:spacing w:after="0" w:line="50" w:lineRule="exact"/>
        <w:rPr>
          <w:rFonts w:ascii="Arial" w:cs="Arial" w:eastAsia="Arial" w:hAnsi="Arial"/>
          <w:sz w:val="19"/>
          <w:szCs w:val="19"/>
          <w:color w:val="auto"/>
        </w:rPr>
      </w:pPr>
    </w:p>
    <w:p>
      <w:pPr>
        <w:jc w:val="both"/>
        <w:ind w:firstLine="1304"/>
        <w:spacing w:after="0" w:line="302" w:lineRule="auto"/>
        <w:tabs>
          <w:tab w:leader="none" w:pos="1722" w:val="left"/>
        </w:tabs>
        <w:numPr>
          <w:ilvl w:val="0"/>
          <w:numId w:val="465"/>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and in each case, shall be payable for the actual number of days elapsed (including the first day but excluding the last day). Any change in the interest rate on a Loan shall become effective as of the opening of business on the day on which such change becomes effective. The Short-Term Funding Rate shall be determined by the Administrative Agent, and such determination shall be conclusive absent manifest error.</w:t>
      </w:r>
    </w:p>
    <w:p>
      <w:pPr>
        <w:spacing w:after="0" w:line="8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(a) Subject to clauses (b), (d), (e), and (g) of this Section 2.15, if:</w:t>
      </w:r>
    </w:p>
    <w:p>
      <w:pPr>
        <w:spacing w:after="0" w:line="166" w:lineRule="exact"/>
        <w:rPr>
          <w:sz w:val="20"/>
          <w:szCs w:val="20"/>
          <w:color w:val="auto"/>
        </w:rPr>
      </w:pPr>
    </w:p>
    <w:p>
      <w:pPr>
        <w:jc w:val="both"/>
        <w:ind w:left="660" w:firstLine="1292"/>
        <w:spacing w:after="0" w:line="250" w:lineRule="auto"/>
        <w:tabs>
          <w:tab w:leader="none" w:pos="2405" w:val="left"/>
        </w:tabs>
        <w:numPr>
          <w:ilvl w:val="0"/>
          <w:numId w:val="466"/>
        </w:numPr>
        <w:rPr>
          <w:rFonts w:ascii="Arial" w:cs="Arial" w:eastAsia="Arial" w:hAnsi="Arial"/>
          <w:sz w:val="22"/>
          <w:szCs w:val="22"/>
          <w:color w:val="auto"/>
        </w:rPr>
      </w:pPr>
      <w:r>
        <w:rPr>
          <w:rFonts w:ascii="Arial" w:cs="Arial" w:eastAsia="Arial" w:hAnsi="Arial"/>
          <w:sz w:val="22"/>
          <w:szCs w:val="22"/>
          <w:color w:val="auto"/>
        </w:rPr>
        <w:t>the Administrative Agent determines (which determination shall be conclusive absent manifest error) that adequate and reasonable means do not exist for ascertaining the Eurodollar Rate or Eurodollar Base Rate, as applicable (including because the Screen Rate is not available or published on a current basis), for the applicable currency; or</w:t>
      </w:r>
    </w:p>
    <w:p>
      <w:pPr>
        <w:spacing w:after="0" w:line="133" w:lineRule="exact"/>
        <w:rPr>
          <w:rFonts w:ascii="Arial" w:cs="Arial" w:eastAsia="Arial" w:hAnsi="Arial"/>
          <w:sz w:val="22"/>
          <w:szCs w:val="22"/>
          <w:color w:val="auto"/>
        </w:rPr>
      </w:pPr>
    </w:p>
    <w:p>
      <w:pPr>
        <w:jc w:val="both"/>
        <w:ind w:left="660" w:firstLine="1292"/>
        <w:spacing w:after="0" w:line="253" w:lineRule="auto"/>
        <w:tabs>
          <w:tab w:leader="none" w:pos="2475" w:val="left"/>
        </w:tabs>
        <w:numPr>
          <w:ilvl w:val="0"/>
          <w:numId w:val="466"/>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Eurodollar Rate or Eurodollar Base Rate, as applicable, for the applicable currency will not adequately and fairly reflect the cost to such Lenders (or Lender) of making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942" w:right="339" w:bottom="1440" w:gutter="0" w:footer="0" w:header="0"/>
        </w:sectPr>
      </w:pPr>
    </w:p>
    <w:bookmarkStart w:id="665" w:name="page666"/>
    <w:bookmarkEnd w:id="665"/>
    <w:p>
      <w:pPr>
        <w:ind w:left="660"/>
        <w:spacing w:after="0"/>
        <w:rPr>
          <w:sz w:val="20"/>
          <w:szCs w:val="20"/>
          <w:color w:val="auto"/>
        </w:rPr>
      </w:pPr>
      <w:r>
        <w:rPr>
          <w:rFonts w:ascii="Arial" w:cs="Arial" w:eastAsia="Arial" w:hAnsi="Arial"/>
          <w:sz w:val="22"/>
          <w:szCs w:val="22"/>
          <w:color w:val="auto"/>
        </w:rPr>
        <w:t>maintaining their Loans (or its Loan) included in such Borrowing for the applicable currency;</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or a Benchmark Replacement is implemented, the component of the Short-Term Funding Rate based upon the Eurodollar Rate will not be used in any determination of the Short-Term Funding Rate and the Applicable Rate shall be increased by 0.10%.</w:t>
      </w:r>
    </w:p>
    <w:p>
      <w:pPr>
        <w:spacing w:after="0" w:line="138" w:lineRule="exact"/>
        <w:rPr>
          <w:sz w:val="20"/>
          <w:szCs w:val="20"/>
          <w:color w:val="auto"/>
        </w:rPr>
      </w:pPr>
    </w:p>
    <w:p>
      <w:pPr>
        <w:jc w:val="both"/>
        <w:ind w:firstLine="1304"/>
        <w:spacing w:after="0" w:line="286" w:lineRule="auto"/>
        <w:tabs>
          <w:tab w:leader="none" w:pos="1778" w:val="left"/>
        </w:tabs>
        <w:numPr>
          <w:ilvl w:val="1"/>
          <w:numId w:val="467"/>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111" w:lineRule="exact"/>
        <w:rPr>
          <w:rFonts w:ascii="Arial" w:cs="Arial" w:eastAsia="Arial" w:hAnsi="Arial"/>
          <w:sz w:val="19"/>
          <w:szCs w:val="19"/>
          <w:color w:val="auto"/>
        </w:rPr>
      </w:pPr>
    </w:p>
    <w:p>
      <w:pPr>
        <w:ind w:left="1760" w:hanging="456"/>
        <w:spacing w:after="0"/>
        <w:tabs>
          <w:tab w:leader="none" w:pos="1760" w:val="left"/>
        </w:tabs>
        <w:numPr>
          <w:ilvl w:val="1"/>
          <w:numId w:val="467"/>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1304"/>
        <w:spacing w:after="0" w:line="302" w:lineRule="auto"/>
        <w:tabs>
          <w:tab w:leader="none" w:pos="1770" w:val="left"/>
        </w:tabs>
        <w:numPr>
          <w:ilvl w:val="1"/>
          <w:numId w:val="467"/>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88" w:lineRule="exact"/>
        <w:rPr>
          <w:rFonts w:ascii="Arial" w:cs="Arial" w:eastAsia="Arial" w:hAnsi="Arial"/>
          <w:sz w:val="19"/>
          <w:szCs w:val="19"/>
          <w:color w:val="auto"/>
        </w:rPr>
      </w:pPr>
    </w:p>
    <w:p>
      <w:pPr>
        <w:jc w:val="both"/>
        <w:ind w:firstLine="1304"/>
        <w:spacing w:after="0" w:line="291" w:lineRule="auto"/>
        <w:tabs>
          <w:tab w:leader="none" w:pos="1853" w:val="left"/>
        </w:tabs>
        <w:numPr>
          <w:ilvl w:val="1"/>
          <w:numId w:val="467"/>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or an Early Opt-in Election, as applicable, (ii) the implementation of any Benchmark Replacement,</w:t>
      </w:r>
    </w:p>
    <w:p>
      <w:pPr>
        <w:spacing w:after="0" w:line="1" w:lineRule="exact"/>
        <w:rPr>
          <w:rFonts w:ascii="Arial" w:cs="Arial" w:eastAsia="Arial" w:hAnsi="Arial"/>
          <w:sz w:val="19"/>
          <w:szCs w:val="19"/>
          <w:color w:val="auto"/>
        </w:rPr>
      </w:pPr>
    </w:p>
    <w:p>
      <w:pPr>
        <w:jc w:val="both"/>
        <w:ind w:firstLine="8"/>
        <w:spacing w:after="0" w:line="257" w:lineRule="auto"/>
        <w:tabs>
          <w:tab w:leader="none" w:pos="391" w:val="left"/>
        </w:tabs>
        <w:numPr>
          <w:ilvl w:val="0"/>
          <w:numId w:val="468"/>
        </w:numPr>
        <w:rPr>
          <w:rFonts w:ascii="Arial" w:cs="Arial" w:eastAsia="Arial" w:hAnsi="Arial"/>
          <w:sz w:val="21"/>
          <w:szCs w:val="21"/>
          <w:color w:val="auto"/>
        </w:rPr>
      </w:pPr>
      <w:r>
        <w:rPr>
          <w:rFonts w:ascii="Arial" w:cs="Arial" w:eastAsia="Arial" w:hAnsi="Arial"/>
          <w:sz w:val="21"/>
          <w:szCs w:val="21"/>
          <w:color w:val="auto"/>
        </w:rPr>
        <w:t>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942" w:right="339" w:bottom="1440" w:gutter="0" w:footer="0" w:header="0"/>
        </w:sectPr>
      </w:pPr>
    </w:p>
    <w:bookmarkStart w:id="666" w:name="page667"/>
    <w:bookmarkEnd w:id="666"/>
    <w:p>
      <w:pPr>
        <w:ind w:right="20"/>
        <w:spacing w:after="0" w:line="263" w:lineRule="auto"/>
        <w:rPr>
          <w:sz w:val="20"/>
          <w:szCs w:val="20"/>
          <w:color w:val="auto"/>
        </w:rPr>
      </w:pPr>
      <w:r>
        <w:rPr>
          <w:rFonts w:ascii="Arial" w:cs="Arial" w:eastAsia="Arial" w:hAnsi="Arial"/>
          <w:sz w:val="22"/>
          <w:szCs w:val="22"/>
          <w:color w:val="auto"/>
        </w:rPr>
        <w:t>may be made in its or their sole discretion and without consent from any other party to this Agreement or any other Credit Document, except, in each case, as expressly required pursuant to this Section 2.15.</w:t>
      </w:r>
    </w:p>
    <w:p>
      <w:pPr>
        <w:spacing w:after="0" w:line="121" w:lineRule="exact"/>
        <w:rPr>
          <w:sz w:val="20"/>
          <w:szCs w:val="20"/>
          <w:color w:val="auto"/>
        </w:rPr>
      </w:pPr>
    </w:p>
    <w:p>
      <w:pPr>
        <w:ind w:left="1740" w:hanging="436"/>
        <w:spacing w:after="0"/>
        <w:tabs>
          <w:tab w:leader="none" w:pos="1740" w:val="left"/>
        </w:tabs>
        <w:numPr>
          <w:ilvl w:val="0"/>
          <w:numId w:val="469"/>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1304"/>
        <w:spacing w:after="0" w:line="253" w:lineRule="auto"/>
        <w:tabs>
          <w:tab w:leader="none" w:pos="1831" w:val="left"/>
        </w:tabs>
        <w:numPr>
          <w:ilvl w:val="0"/>
          <w:numId w:val="469"/>
        </w:numPr>
        <w:rPr>
          <w:rFonts w:ascii="Arial" w:cs="Arial" w:eastAsia="Arial" w:hAnsi="Arial"/>
          <w:sz w:val="22"/>
          <w:szCs w:val="22"/>
          <w:color w:val="auto"/>
        </w:rPr>
      </w:pPr>
      <w:r>
        <w:rPr>
          <w:rFonts w:ascii="Arial" w:cs="Arial" w:eastAsia="Arial" w:hAnsi="Arial"/>
          <w:sz w:val="22"/>
          <w:szCs w:val="22"/>
          <w:color w:val="auto"/>
        </w:rPr>
        <w:t>During any Benchmark Unavailability Period, the component of the Short-Term Funding Rate based upon the then-current Benchmark will not be used in any determination of the Short-Term Funding Rate and the Applicable Rate shall be increased by 0.10%.</w:t>
      </w:r>
    </w:p>
    <w:p>
      <w:pPr>
        <w:spacing w:after="0" w:line="13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color w:val="auto"/>
        </w:rPr>
        <w:t>. (a) If any Change in Law shall:</w:t>
      </w:r>
    </w:p>
    <w:p>
      <w:pPr>
        <w:spacing w:after="0" w:line="166" w:lineRule="exact"/>
        <w:rPr>
          <w:sz w:val="20"/>
          <w:szCs w:val="20"/>
          <w:color w:val="auto"/>
        </w:rPr>
      </w:pPr>
    </w:p>
    <w:p>
      <w:pPr>
        <w:jc w:val="both"/>
        <w:ind w:left="660" w:firstLine="1292"/>
        <w:spacing w:after="0" w:line="250" w:lineRule="auto"/>
        <w:tabs>
          <w:tab w:leader="none" w:pos="2401" w:val="left"/>
        </w:tabs>
        <w:numPr>
          <w:ilvl w:val="1"/>
          <w:numId w:val="470"/>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capital adequacy or similar requirement (including any compulsory loan requirement, insurance charge or other assessment) against assets of, deposits with or for the account of, or credit extended by, any Lender (except any such reserve requirement reflected in the Eurodollar Rate);</w:t>
      </w:r>
    </w:p>
    <w:p>
      <w:pPr>
        <w:spacing w:after="0" w:line="133" w:lineRule="exact"/>
        <w:rPr>
          <w:rFonts w:ascii="Arial" w:cs="Arial" w:eastAsia="Arial" w:hAnsi="Arial"/>
          <w:sz w:val="22"/>
          <w:szCs w:val="22"/>
          <w:color w:val="auto"/>
        </w:rPr>
      </w:pPr>
    </w:p>
    <w:p>
      <w:pPr>
        <w:ind w:left="660" w:firstLine="1292"/>
        <w:spacing w:after="0" w:line="263" w:lineRule="auto"/>
        <w:tabs>
          <w:tab w:leader="none" w:pos="2507" w:val="left"/>
        </w:tabs>
        <w:numPr>
          <w:ilvl w:val="1"/>
          <w:numId w:val="470"/>
        </w:numPr>
        <w:rPr>
          <w:rFonts w:ascii="Arial" w:cs="Arial" w:eastAsia="Arial" w:hAnsi="Arial"/>
          <w:sz w:val="21"/>
          <w:szCs w:val="21"/>
          <w:color w:val="auto"/>
        </w:rPr>
      </w:pPr>
      <w:r>
        <w:rPr>
          <w:rFonts w:ascii="Arial" w:cs="Arial" w:eastAsia="Arial" w:hAnsi="Arial"/>
          <w:sz w:val="21"/>
          <w:szCs w:val="21"/>
          <w:color w:val="auto"/>
        </w:rPr>
        <w:t>impose on any Lender or the London interbank market any other condition, cost or expense (other than Taxes) affecting this Agreement or Loans made by such Lender or participation therein; or</w:t>
      </w:r>
    </w:p>
    <w:p>
      <w:pPr>
        <w:spacing w:after="0" w:line="1" w:lineRule="exact"/>
        <w:rPr>
          <w:rFonts w:ascii="Arial" w:cs="Arial" w:eastAsia="Arial" w:hAnsi="Arial"/>
          <w:sz w:val="21"/>
          <w:szCs w:val="21"/>
          <w:color w:val="auto"/>
        </w:rPr>
      </w:pPr>
    </w:p>
    <w:p>
      <w:pPr>
        <w:ind w:left="2500" w:hanging="548"/>
        <w:spacing w:after="0"/>
        <w:tabs>
          <w:tab w:leader="none" w:pos="2500" w:val="left"/>
        </w:tabs>
        <w:numPr>
          <w:ilvl w:val="1"/>
          <w:numId w:val="470"/>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w:t>
      </w:r>
    </w:p>
    <w:p>
      <w:pPr>
        <w:spacing w:after="0" w:line="38" w:lineRule="exact"/>
        <w:rPr>
          <w:rFonts w:ascii="Arial" w:cs="Arial" w:eastAsia="Arial" w:hAnsi="Arial"/>
          <w:sz w:val="19"/>
          <w:szCs w:val="19"/>
          <w:color w:val="auto"/>
        </w:rPr>
      </w:pPr>
    </w:p>
    <w:p>
      <w:pPr>
        <w:ind w:left="660" w:hanging="4"/>
        <w:spacing w:after="0" w:line="323" w:lineRule="auto"/>
        <w:tabs>
          <w:tab w:leader="none" w:pos="969" w:val="left"/>
        </w:tabs>
        <w:numPr>
          <w:ilvl w:val="0"/>
          <w:numId w:val="471"/>
        </w:numPr>
        <w:rPr>
          <w:rFonts w:ascii="Arial" w:cs="Arial" w:eastAsia="Arial" w:hAnsi="Arial"/>
          <w:sz w:val="19"/>
          <w:szCs w:val="19"/>
          <w:color w:val="auto"/>
        </w:rPr>
      </w:pPr>
      <w:r>
        <w:rPr>
          <w:rFonts w:ascii="Arial" w:cs="Arial" w:eastAsia="Arial" w:hAnsi="Arial"/>
          <w:sz w:val="19"/>
          <w:szCs w:val="19"/>
          <w:color w:val="auto"/>
        </w:rPr>
        <w:t>through (d) of the definition of Excluded Taxes and (C) Other Connection Taxes) on its loans, loan principal, letters of credit, commitments, or other obligations, or its deposits, reserves, other liabilities or capital attributable thereto;</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within ten Business Days of written demand pay to such Lender or such other Recipient, as the case may be, such additional amount or amounts as will compensate such Lender or such other Recipient, as the case may be, for such additional costs incurred or reduction suffered.</w:t>
      </w:r>
    </w:p>
    <w:p>
      <w:pPr>
        <w:spacing w:after="0" w:line="125" w:lineRule="exact"/>
        <w:rPr>
          <w:sz w:val="20"/>
          <w:szCs w:val="20"/>
          <w:color w:val="auto"/>
        </w:rPr>
      </w:pPr>
    </w:p>
    <w:p>
      <w:pPr>
        <w:jc w:val="both"/>
        <w:ind w:firstLine="1304"/>
        <w:spacing w:after="0" w:line="259" w:lineRule="auto"/>
        <w:tabs>
          <w:tab w:leader="none" w:pos="1821" w:val="left"/>
        </w:tabs>
        <w:numPr>
          <w:ilvl w:val="0"/>
          <w:numId w:val="472"/>
        </w:numPr>
        <w:rPr>
          <w:rFonts w:ascii="Arial" w:cs="Arial" w:eastAsia="Arial" w:hAnsi="Arial"/>
          <w:sz w:val="21"/>
          <w:szCs w:val="21"/>
          <w:color w:val="auto"/>
        </w:rPr>
      </w:pPr>
      <w:r>
        <w:rPr>
          <w:rFonts w:ascii="Arial" w:cs="Arial" w:eastAsia="Arial" w:hAnsi="Arial"/>
          <w:sz w:val="21"/>
          <w:szCs w:val="21"/>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such Lender shall promptly notify the Borrower in writing thereof, and from time to time the Borrower will pay to such Lender such additional amount or amounts as will compensate such Lender or such Lender’s holding company for any such reduction suffered. Notwithstanding anything to the contrary provided in this Section 2.16, no Lender shall be entitled to request any payment or amount under this Section 2.16 unless such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942" w:right="339" w:bottom="1440" w:gutter="0" w:footer="0" w:header="0"/>
        </w:sectPr>
      </w:pPr>
    </w:p>
    <w:bookmarkStart w:id="667" w:name="page668"/>
    <w:bookmarkEnd w:id="667"/>
    <w:p>
      <w:pPr>
        <w:spacing w:after="0" w:line="263" w:lineRule="auto"/>
        <w:rPr>
          <w:sz w:val="20"/>
          <w:szCs w:val="20"/>
          <w:color w:val="auto"/>
        </w:rPr>
      </w:pPr>
      <w:r>
        <w:rPr>
          <w:rFonts w:ascii="Arial" w:cs="Arial" w:eastAsia="Arial" w:hAnsi="Arial"/>
          <w:sz w:val="22"/>
          <w:szCs w:val="22"/>
          <w:color w:val="auto"/>
        </w:rPr>
        <w:t>Lender is generally demanding payment in a consistent manner under comparable provisions of its agreements with similarly situated borrowers of similar credit quality.</w:t>
      </w:r>
    </w:p>
    <w:p>
      <w:pPr>
        <w:spacing w:after="0" w:line="121" w:lineRule="exact"/>
        <w:rPr>
          <w:sz w:val="20"/>
          <w:szCs w:val="20"/>
          <w:color w:val="auto"/>
        </w:rPr>
      </w:pPr>
    </w:p>
    <w:p>
      <w:pPr>
        <w:jc w:val="both"/>
        <w:ind w:firstLine="1304"/>
        <w:spacing w:after="0" w:line="302" w:lineRule="auto"/>
        <w:tabs>
          <w:tab w:leader="none" w:pos="1820" w:val="left"/>
        </w:tabs>
        <w:numPr>
          <w:ilvl w:val="0"/>
          <w:numId w:val="473"/>
        </w:numPr>
        <w:rPr>
          <w:rFonts w:ascii="Arial" w:cs="Arial" w:eastAsia="Arial" w:hAnsi="Arial"/>
          <w:sz w:val="19"/>
          <w:szCs w:val="19"/>
          <w:color w:val="auto"/>
        </w:rPr>
      </w:pPr>
      <w:r>
        <w:rPr>
          <w:rFonts w:ascii="Arial" w:cs="Arial" w:eastAsia="Arial" w:hAnsi="Arial"/>
          <w:sz w:val="19"/>
          <w:szCs w:val="19"/>
          <w:color w:val="auto"/>
        </w:rPr>
        <w:t>A certificate of a Lender setting forth the amount or amounts necessary to compensate such Lender or its holding company, as the case may be, as specified in paragraph (a) or (b) of this Section shall be delivered to the Borrower, shall include reasonable details for calculation of such amount or amounts and shall be conclusive absent manifest error. The Borrower shall pay such Lender the amount shown as due on any such certificate within 10 days after receipt thereof.</w:t>
      </w:r>
    </w:p>
    <w:p>
      <w:pPr>
        <w:spacing w:after="0" w:line="88" w:lineRule="exact"/>
        <w:rPr>
          <w:rFonts w:ascii="Arial" w:cs="Arial" w:eastAsia="Arial" w:hAnsi="Arial"/>
          <w:sz w:val="19"/>
          <w:szCs w:val="19"/>
          <w:color w:val="auto"/>
        </w:rPr>
      </w:pPr>
    </w:p>
    <w:p>
      <w:pPr>
        <w:jc w:val="both"/>
        <w:ind w:firstLine="1304"/>
        <w:spacing w:after="0" w:line="260" w:lineRule="auto"/>
        <w:tabs>
          <w:tab w:leader="none" w:pos="1808" w:val="left"/>
        </w:tabs>
        <w:numPr>
          <w:ilvl w:val="0"/>
          <w:numId w:val="473"/>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to notify the Borrower or demand compensation pursuant to this Section shall not constitute a waiver of such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pursuant to this Section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2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Taxes</w:t>
      </w:r>
      <w:r>
        <w:rPr>
          <w:rFonts w:ascii="Arial" w:cs="Arial" w:eastAsia="Arial" w:hAnsi="Arial"/>
          <w:sz w:val="19"/>
          <w:szCs w:val="19"/>
          <w:color w:val="auto"/>
        </w:rPr>
        <w:t>. (a) Each payment by the Borrower under any Credit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the Borrower shall be increased as necessary so that, net of such withholding (including such withholding applicable to additional amounts payable under this Section 2.18), the applicable Recipient receives the amount it would have received had no such withholding been made.</w:t>
      </w:r>
    </w:p>
    <w:p>
      <w:pPr>
        <w:spacing w:after="0" w:line="97" w:lineRule="exact"/>
        <w:rPr>
          <w:sz w:val="20"/>
          <w:szCs w:val="20"/>
          <w:color w:val="auto"/>
        </w:rPr>
      </w:pPr>
    </w:p>
    <w:p>
      <w:pPr>
        <w:ind w:firstLine="1304"/>
        <w:spacing w:after="0" w:line="263" w:lineRule="auto"/>
        <w:tabs>
          <w:tab w:leader="none" w:pos="1777" w:val="left"/>
        </w:tabs>
        <w:numPr>
          <w:ilvl w:val="0"/>
          <w:numId w:val="474"/>
        </w:numPr>
        <w:rPr>
          <w:rFonts w:ascii="Arial" w:cs="Arial" w:eastAsia="Arial" w:hAnsi="Arial"/>
          <w:sz w:val="22"/>
          <w:szCs w:val="22"/>
          <w:color w:val="auto"/>
        </w:rPr>
      </w:pPr>
      <w:r>
        <w:rPr>
          <w:rFonts w:ascii="Arial" w:cs="Arial" w:eastAsia="Arial" w:hAnsi="Arial"/>
          <w:sz w:val="22"/>
          <w:szCs w:val="22"/>
          <w:color w:val="auto"/>
        </w:rPr>
        <w:t>The Borrower shall timely pay to the relevant Governmental Authority in accordance with applicable law, or at the option of the Administrative Agent timely reimburse it for the payment of, any Other Taxes.</w:t>
      </w:r>
    </w:p>
    <w:p>
      <w:pPr>
        <w:spacing w:after="0" w:line="120" w:lineRule="exact"/>
        <w:rPr>
          <w:rFonts w:ascii="Arial" w:cs="Arial" w:eastAsia="Arial" w:hAnsi="Arial"/>
          <w:sz w:val="22"/>
          <w:szCs w:val="22"/>
          <w:color w:val="auto"/>
        </w:rPr>
      </w:pPr>
    </w:p>
    <w:p>
      <w:pPr>
        <w:jc w:val="both"/>
        <w:ind w:firstLine="1304"/>
        <w:spacing w:after="0" w:line="250" w:lineRule="auto"/>
        <w:tabs>
          <w:tab w:leader="none" w:pos="176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As soon as practicable after any payment of Taxes by the Borrower to a Governmental Authority pursuant to this Section 2.18,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3" w:lineRule="exact"/>
        <w:rPr>
          <w:rFonts w:ascii="Arial" w:cs="Arial" w:eastAsia="Arial" w:hAnsi="Arial"/>
          <w:sz w:val="22"/>
          <w:szCs w:val="22"/>
          <w:color w:val="auto"/>
        </w:rPr>
      </w:pPr>
    </w:p>
    <w:p>
      <w:pPr>
        <w:jc w:val="both"/>
        <w:ind w:firstLine="1304"/>
        <w:spacing w:after="0" w:line="302" w:lineRule="auto"/>
        <w:tabs>
          <w:tab w:leader="none" w:pos="1814" w:val="left"/>
        </w:tabs>
        <w:numPr>
          <w:ilvl w:val="0"/>
          <w:numId w:val="474"/>
        </w:numPr>
        <w:rPr>
          <w:rFonts w:ascii="Arial" w:cs="Arial" w:eastAsia="Arial" w:hAnsi="Arial"/>
          <w:sz w:val="19"/>
          <w:szCs w:val="19"/>
          <w:color w:val="auto"/>
        </w:rPr>
      </w:pPr>
      <w:r>
        <w:rPr>
          <w:rFonts w:ascii="Arial" w:cs="Arial" w:eastAsia="Arial" w:hAnsi="Arial"/>
          <w:sz w:val="19"/>
          <w:szCs w:val="19"/>
          <w:color w:val="auto"/>
        </w:rPr>
        <w:t>The Borrower shall severally indemnify each Recipient for any Indemnified Taxes that are paid or payable by such Recipient in connection with any Credit Document related to the Borrower (including amounts paid or payable under this Section 2.18) and any reasonable expenses arising therefrom or with respect thereto, whether or not such Indemnified Taxes were correctly or legally imposed or asserted by the relevant Governmental Authority. The indemnity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942" w:right="339" w:bottom="1440" w:gutter="0" w:footer="0" w:header="0"/>
        </w:sectPr>
      </w:pPr>
    </w:p>
    <w:bookmarkStart w:id="668" w:name="page669"/>
    <w:bookmarkEnd w:id="668"/>
    <w:p>
      <w:pPr>
        <w:jc w:val="both"/>
        <w:spacing w:after="0" w:line="250" w:lineRule="auto"/>
        <w:rPr>
          <w:sz w:val="20"/>
          <w:szCs w:val="20"/>
          <w:color w:val="auto"/>
        </w:rPr>
      </w:pPr>
      <w:r>
        <w:rPr>
          <w:rFonts w:ascii="Arial" w:cs="Arial" w:eastAsia="Arial" w:hAnsi="Arial"/>
          <w:sz w:val="22"/>
          <w:szCs w:val="22"/>
          <w:color w:val="auto"/>
        </w:rPr>
        <w:t>under this Section 2.18(d) shall be paid within twenty (20) days after the Recipient delivers to the Borrower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34" w:lineRule="exact"/>
        <w:rPr>
          <w:sz w:val="20"/>
          <w:szCs w:val="20"/>
          <w:color w:val="auto"/>
        </w:rPr>
      </w:pPr>
    </w:p>
    <w:p>
      <w:pPr>
        <w:jc w:val="both"/>
        <w:ind w:firstLine="1304"/>
        <w:spacing w:after="0" w:line="287" w:lineRule="auto"/>
        <w:tabs>
          <w:tab w:leader="none" w:pos="1761" w:val="left"/>
        </w:tabs>
        <w:numPr>
          <w:ilvl w:val="0"/>
          <w:numId w:val="475"/>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9.04(b)(vi)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Governmental Authority. The indemnity under this Section 2.18(e) shall be paid within twenty (20)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(e).</w:t>
      </w:r>
    </w:p>
    <w:p>
      <w:pPr>
        <w:spacing w:after="0" w:line="104" w:lineRule="exact"/>
        <w:rPr>
          <w:rFonts w:ascii="Arial" w:cs="Arial" w:eastAsia="Arial" w:hAnsi="Arial"/>
          <w:sz w:val="19"/>
          <w:szCs w:val="19"/>
          <w:color w:val="auto"/>
        </w:rPr>
      </w:pPr>
    </w:p>
    <w:p>
      <w:pPr>
        <w:jc w:val="both"/>
        <w:ind w:firstLine="1304"/>
        <w:spacing w:after="0" w:line="285" w:lineRule="auto"/>
        <w:tabs>
          <w:tab w:leader="none" w:pos="1792" w:val="left"/>
        </w:tabs>
        <w:numPr>
          <w:ilvl w:val="0"/>
          <w:numId w:val="475"/>
        </w:numPr>
        <w:rPr>
          <w:rFonts w:ascii="Arial" w:cs="Arial" w:eastAsia="Arial" w:hAnsi="Arial"/>
          <w:sz w:val="19"/>
          <w:szCs w:val="19"/>
          <w:color w:val="auto"/>
        </w:rPr>
      </w:pPr>
      <w:r>
        <w:rPr>
          <w:rFonts w:ascii="Arial" w:cs="Arial" w:eastAsia="Arial" w:hAnsi="Arial"/>
          <w:sz w:val="19"/>
          <w:szCs w:val="19"/>
          <w:color w:val="auto"/>
        </w:rPr>
        <w:t>(i) Any Lender that is entitled to an exemption from, or reduction of, any applicable withholding Tax with respect to any payments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2.18(f)(ii)(A) through (ii)(E) and Section 2.18(f)(iii) below) shall not be required if in the Lender’s reasonable judgment such completion, execution or submission would subject such Lender to any material unreimbursed cost or expense (or, in the case of a Change in Law, any incremental material unreimbursed cost or expense) or would materially prejudice the legal or commercial position of such Lender. Upon the reasonable request of the Borrower or the Administrative Agent (or as otherwise required by applicable law), any Lender shall update any form or certification previously delivered pursuant to this Section 2.18(f). If any form or certification previously delivered pursuant to this Section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update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942" w:right="339" w:bottom="1440" w:gutter="0" w:footer="0" w:header="0"/>
        </w:sectPr>
      </w:pPr>
    </w:p>
    <w:bookmarkStart w:id="669" w:name="page670"/>
    <w:bookmarkEnd w:id="669"/>
    <w:p>
      <w:pPr>
        <w:spacing w:after="0" w:line="263" w:lineRule="auto"/>
        <w:rPr>
          <w:sz w:val="20"/>
          <w:szCs w:val="20"/>
          <w:color w:val="auto"/>
        </w:rPr>
      </w:pPr>
      <w:r>
        <w:rPr>
          <w:rFonts w:ascii="Arial" w:cs="Arial" w:eastAsia="Arial" w:hAnsi="Arial"/>
          <w:sz w:val="22"/>
          <w:szCs w:val="22"/>
          <w:color w:val="auto"/>
        </w:rPr>
        <w:t>form or certification if it is legally eligible to do so (or promptly notify the Borrower and the Administrative Agent in writing of its legal inability to do so).</w:t>
      </w:r>
    </w:p>
    <w:p>
      <w:pPr>
        <w:spacing w:after="0" w:line="121" w:lineRule="exact"/>
        <w:rPr>
          <w:sz w:val="20"/>
          <w:szCs w:val="20"/>
          <w:color w:val="auto"/>
        </w:rPr>
      </w:pPr>
    </w:p>
    <w:p>
      <w:pPr>
        <w:jc w:val="both"/>
        <w:ind w:left="660" w:firstLine="1292"/>
        <w:spacing w:after="0" w:line="248" w:lineRule="auto"/>
        <w:tabs>
          <w:tab w:leader="none" w:pos="2570" w:val="left"/>
        </w:tabs>
        <w:numPr>
          <w:ilvl w:val="1"/>
          <w:numId w:val="47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any Lender with respect to the Borrower shall deliver to the Borrower and the Administrative Agent (in such number of copies reasonably requested by the Borrower and the Administrative Agent) on or prior to the date on which such Lender becomes a party hereto (and from time to time thereafter upon the reasonable request of the Borrower or the Administrative Agent), duly completed and executed copies of whichever of the following is applicable:</w:t>
      </w:r>
    </w:p>
    <w:p>
      <w:pPr>
        <w:spacing w:after="0" w:line="137" w:lineRule="exact"/>
        <w:rPr>
          <w:rFonts w:ascii="Arial" w:cs="Arial" w:eastAsia="Arial" w:hAnsi="Arial"/>
          <w:sz w:val="22"/>
          <w:szCs w:val="22"/>
          <w:color w:val="auto"/>
        </w:rPr>
      </w:pPr>
    </w:p>
    <w:p>
      <w:pPr>
        <w:ind w:left="1300" w:firstLine="1300"/>
        <w:spacing w:after="0" w:line="263" w:lineRule="auto"/>
        <w:tabs>
          <w:tab w:leader="none" w:pos="3181" w:val="left"/>
        </w:tabs>
        <w:numPr>
          <w:ilvl w:val="2"/>
          <w:numId w:val="476"/>
        </w:numPr>
        <w:rPr>
          <w:rFonts w:ascii="Arial" w:cs="Arial" w:eastAsia="Arial" w:hAnsi="Arial"/>
          <w:sz w:val="22"/>
          <w:szCs w:val="22"/>
          <w:color w:val="auto"/>
        </w:rPr>
      </w:pPr>
      <w:r>
        <w:rPr>
          <w:rFonts w:ascii="Arial" w:cs="Arial" w:eastAsia="Arial" w:hAnsi="Arial"/>
          <w:sz w:val="22"/>
          <w:szCs w:val="22"/>
          <w:color w:val="auto"/>
        </w:rPr>
        <w:t>in the case of a Lender that is a U.S. Person, IRS Form W-9 certifying that such Lender is exempt from U.S. federal backup withholding tax;</w:t>
      </w:r>
    </w:p>
    <w:p>
      <w:pPr>
        <w:spacing w:after="0" w:line="120" w:lineRule="exact"/>
        <w:rPr>
          <w:rFonts w:ascii="Arial" w:cs="Arial" w:eastAsia="Arial" w:hAnsi="Arial"/>
          <w:sz w:val="22"/>
          <w:szCs w:val="22"/>
          <w:color w:val="auto"/>
        </w:rPr>
      </w:pPr>
    </w:p>
    <w:p>
      <w:pPr>
        <w:jc w:val="both"/>
        <w:ind w:left="1300" w:firstLine="1300"/>
        <w:spacing w:after="0" w:line="294" w:lineRule="auto"/>
        <w:tabs>
          <w:tab w:leader="none" w:pos="3149" w:val="left"/>
        </w:tabs>
        <w:numPr>
          <w:ilvl w:val="2"/>
          <w:numId w:val="476"/>
        </w:numPr>
        <w:rPr>
          <w:rFonts w:ascii="Arial" w:cs="Arial" w:eastAsia="Arial" w:hAnsi="Arial"/>
          <w:sz w:val="19"/>
          <w:szCs w:val="19"/>
          <w:color w:val="auto"/>
        </w:rPr>
      </w:pPr>
      <w:r>
        <w:rPr>
          <w:rFonts w:ascii="Arial" w:cs="Arial" w:eastAsia="Arial" w:hAnsi="Arial"/>
          <w:sz w:val="19"/>
          <w:szCs w:val="19"/>
          <w:color w:val="auto"/>
        </w:rPr>
        <w:t>in the case of a Non-U.S. Lender claiming the benefits of an income tax treaty to which the United States is a party (1) with respect to payments of interest under any Credit Document, IRS Form W-8BEN or W-8BEN-E, as applicable, establishing an exemption from, or reduction of, U.S. federal withholding Tax pursuant to the “interest” article of such tax treaty and (2) with respect to any other applicable payments under any Credit Document, IRS Form W-8BEN or W-8BEN-E, as applicable, establishing an exemption from, or reduction of, U.S. federal withholding Tax pursuant to the “business profits” or “other income” article of such tax treaty;</w:t>
      </w:r>
    </w:p>
    <w:p>
      <w:pPr>
        <w:spacing w:after="0" w:line="95" w:lineRule="exact"/>
        <w:rPr>
          <w:rFonts w:ascii="Arial" w:cs="Arial" w:eastAsia="Arial" w:hAnsi="Arial"/>
          <w:sz w:val="19"/>
          <w:szCs w:val="19"/>
          <w:color w:val="auto"/>
        </w:rPr>
      </w:pPr>
    </w:p>
    <w:p>
      <w:pPr>
        <w:jc w:val="both"/>
        <w:ind w:left="1300" w:firstLine="1300"/>
        <w:spacing w:after="0" w:line="253" w:lineRule="auto"/>
        <w:tabs>
          <w:tab w:leader="none" w:pos="3133" w:val="left"/>
        </w:tabs>
        <w:numPr>
          <w:ilvl w:val="2"/>
          <w:numId w:val="476"/>
        </w:numPr>
        <w:rPr>
          <w:rFonts w:ascii="Arial" w:cs="Arial" w:eastAsia="Arial" w:hAnsi="Arial"/>
          <w:sz w:val="22"/>
          <w:szCs w:val="22"/>
          <w:color w:val="auto"/>
        </w:rPr>
      </w:pPr>
      <w:r>
        <w:rPr>
          <w:rFonts w:ascii="Arial" w:cs="Arial" w:eastAsia="Arial" w:hAnsi="Arial"/>
          <w:sz w:val="22"/>
          <w:szCs w:val="22"/>
          <w:color w:val="auto"/>
        </w:rPr>
        <w:t>in the case of a Non-U.S. Lender for whom payments under any Credit Document constitute income that is effectively connected with such Lender’s conduct of a trade or business in the United States, IRS Form W-8ECI;</w:t>
      </w:r>
    </w:p>
    <w:p>
      <w:pPr>
        <w:spacing w:after="0" w:line="131" w:lineRule="exact"/>
        <w:rPr>
          <w:rFonts w:ascii="Arial" w:cs="Arial" w:eastAsia="Arial" w:hAnsi="Arial"/>
          <w:sz w:val="22"/>
          <w:szCs w:val="22"/>
          <w:color w:val="auto"/>
        </w:rPr>
      </w:pPr>
    </w:p>
    <w:p>
      <w:pPr>
        <w:jc w:val="both"/>
        <w:ind w:left="1300" w:firstLine="1300"/>
        <w:spacing w:after="0" w:line="285" w:lineRule="auto"/>
        <w:tabs>
          <w:tab w:leader="none" w:pos="3129" w:val="left"/>
        </w:tabs>
        <w:numPr>
          <w:ilvl w:val="2"/>
          <w:numId w:val="476"/>
        </w:numPr>
        <w:rPr>
          <w:rFonts w:ascii="Arial" w:cs="Arial" w:eastAsia="Arial" w:hAnsi="Arial"/>
          <w:sz w:val="19"/>
          <w:szCs w:val="19"/>
          <w:color w:val="auto"/>
        </w:rPr>
      </w:pPr>
      <w:r>
        <w:rPr>
          <w:rFonts w:ascii="Arial" w:cs="Arial" w:eastAsia="Arial" w:hAnsi="Arial"/>
          <w:sz w:val="19"/>
          <w:szCs w:val="19"/>
          <w:color w:val="auto"/>
        </w:rPr>
        <w:t xml:space="preserve">in the case of a Non-U.S. Lender claiming the benefits of the exemption for portfolio interest under Section 881(c) of the Code both (1) IRS Form W- 8BEN or W-8BEN-E, as applicable, and (2) a certificate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 “</w:t>
      </w:r>
      <w:r>
        <w:rPr>
          <w:rFonts w:ascii="Arial" w:cs="Arial" w:eastAsia="Arial" w:hAnsi="Arial"/>
          <w:sz w:val="19"/>
          <w:szCs w:val="19"/>
          <w:u w:val="single" w:color="auto"/>
          <w:color w:val="auto"/>
        </w:rPr>
        <w:t>U.S. Tax Certificate</w:t>
      </w:r>
      <w:r>
        <w:rPr>
          <w:rFonts w:ascii="Arial" w:cs="Arial" w:eastAsia="Arial" w:hAnsi="Arial"/>
          <w:sz w:val="19"/>
          <w:szCs w:val="19"/>
          <w:color w:val="auto"/>
        </w:rPr>
        <w:t>”) to the effect that such Lender is not (a) a “bank” within the meaning of Section 881(c)(3)(A) of the Code, (b) a “10 percent shareholder” of the Borrower within the meaning of Section 881(c)(3)(B) of the Code, (c) a “controlled foreign corporation” described in Section 881(c)(3)</w:t>
      </w:r>
    </w:p>
    <w:p>
      <w:pPr>
        <w:spacing w:after="0" w:line="3" w:lineRule="exact"/>
        <w:rPr>
          <w:rFonts w:ascii="Arial" w:cs="Arial" w:eastAsia="Arial" w:hAnsi="Arial"/>
          <w:sz w:val="19"/>
          <w:szCs w:val="19"/>
          <w:color w:val="auto"/>
        </w:rPr>
      </w:pPr>
    </w:p>
    <w:p>
      <w:pPr>
        <w:ind w:left="1300" w:right="20" w:firstLine="4"/>
        <w:spacing w:after="0" w:line="246" w:lineRule="auto"/>
        <w:tabs>
          <w:tab w:leader="none" w:pos="1686" w:val="left"/>
        </w:tabs>
        <w:numPr>
          <w:ilvl w:val="0"/>
          <w:numId w:val="477"/>
        </w:numPr>
        <w:rPr>
          <w:rFonts w:ascii="Arial" w:cs="Arial" w:eastAsia="Arial" w:hAnsi="Arial"/>
          <w:sz w:val="22"/>
          <w:szCs w:val="22"/>
          <w:color w:val="auto"/>
        </w:rPr>
      </w:pPr>
      <w:r>
        <w:rPr>
          <w:rFonts w:ascii="Arial" w:cs="Arial" w:eastAsia="Arial" w:hAnsi="Arial"/>
          <w:sz w:val="22"/>
          <w:szCs w:val="22"/>
          <w:color w:val="auto"/>
        </w:rPr>
        <w:t>of the Code or (d) conducting a trade or business in the United States with which the relevant interest payments are effectively connected;</w:t>
      </w:r>
    </w:p>
    <w:p>
      <w:pPr>
        <w:spacing w:after="0" w:line="138" w:lineRule="exact"/>
        <w:rPr>
          <w:rFonts w:ascii="Arial" w:cs="Arial" w:eastAsia="Arial" w:hAnsi="Arial"/>
          <w:sz w:val="22"/>
          <w:szCs w:val="22"/>
          <w:color w:val="auto"/>
        </w:rPr>
      </w:pPr>
    </w:p>
    <w:p>
      <w:pPr>
        <w:jc w:val="both"/>
        <w:ind w:left="1300" w:firstLine="1300"/>
        <w:spacing w:after="0" w:line="260" w:lineRule="auto"/>
        <w:tabs>
          <w:tab w:leader="none" w:pos="3093" w:val="left"/>
        </w:tabs>
        <w:numPr>
          <w:ilvl w:val="2"/>
          <w:numId w:val="477"/>
        </w:numPr>
        <w:rPr>
          <w:rFonts w:ascii="Arial" w:cs="Arial" w:eastAsia="Arial" w:hAnsi="Arial"/>
          <w:sz w:val="21"/>
          <w:szCs w:val="21"/>
          <w:color w:val="auto"/>
        </w:rPr>
      </w:pPr>
      <w:r>
        <w:rPr>
          <w:rFonts w:ascii="Arial" w:cs="Arial" w:eastAsia="Arial" w:hAnsi="Arial"/>
          <w:sz w:val="21"/>
          <w:szCs w:val="21"/>
          <w:color w:val="auto"/>
        </w:rPr>
        <w:t xml:space="preserve">in the case of a Non-U.S. Lender that is not the beneficial owner of payments made under any Credit Document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Lender is a partnership and one or more of its partners are claiming the exemption for portfolio interest under Section 881(c) of the Code, such Lender may provide a U.S. Tax Certificate on behalf of such partners; 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942" w:right="339" w:bottom="1440" w:gutter="0" w:footer="0" w:header="0"/>
        </w:sectPr>
      </w:pPr>
    </w:p>
    <w:bookmarkStart w:id="670" w:name="page671"/>
    <w:bookmarkEnd w:id="670"/>
    <w:p>
      <w:pPr>
        <w:jc w:val="both"/>
        <w:ind w:left="1300" w:firstLine="1300"/>
        <w:spacing w:after="0" w:line="312" w:lineRule="auto"/>
        <w:tabs>
          <w:tab w:leader="none" w:pos="3127" w:val="left"/>
        </w:tabs>
        <w:numPr>
          <w:ilvl w:val="3"/>
          <w:numId w:val="478"/>
        </w:numPr>
        <w:rPr>
          <w:rFonts w:ascii="Arial" w:cs="Arial" w:eastAsia="Arial" w:hAnsi="Arial"/>
          <w:sz w:val="19"/>
          <w:szCs w:val="19"/>
          <w:color w:val="auto"/>
        </w:rPr>
      </w:pPr>
      <w:r>
        <w:rPr>
          <w:rFonts w:ascii="Arial" w:cs="Arial" w:eastAsia="Arial" w:hAnsi="Arial"/>
          <w:sz w:val="19"/>
          <w:szCs w:val="19"/>
          <w:color w:val="auto"/>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79" w:lineRule="exact"/>
        <w:rPr>
          <w:rFonts w:ascii="Arial" w:cs="Arial" w:eastAsia="Arial" w:hAnsi="Arial"/>
          <w:sz w:val="19"/>
          <w:szCs w:val="19"/>
          <w:color w:val="auto"/>
        </w:rPr>
      </w:pPr>
    </w:p>
    <w:p>
      <w:pPr>
        <w:jc w:val="both"/>
        <w:ind w:left="660" w:firstLine="1292"/>
        <w:spacing w:after="0" w:line="285" w:lineRule="auto"/>
        <w:tabs>
          <w:tab w:leader="none" w:pos="2655" w:val="left"/>
        </w:tabs>
        <w:numPr>
          <w:ilvl w:val="2"/>
          <w:numId w:val="479"/>
        </w:numPr>
        <w:rPr>
          <w:rFonts w:ascii="Arial" w:cs="Arial" w:eastAsia="Arial" w:hAnsi="Arial"/>
          <w:sz w:val="19"/>
          <w:szCs w:val="19"/>
          <w:color w:val="auto"/>
        </w:rPr>
      </w:pPr>
      <w:r>
        <w:rPr>
          <w:rFonts w:ascii="Arial" w:cs="Arial" w:eastAsia="Arial" w:hAnsi="Arial"/>
          <w:sz w:val="19"/>
          <w:szCs w:val="19"/>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w:t>
      </w:r>
    </w:p>
    <w:p>
      <w:pPr>
        <w:spacing w:after="0" w:line="3" w:lineRule="exact"/>
        <w:rPr>
          <w:rFonts w:ascii="Arial" w:cs="Arial" w:eastAsia="Arial" w:hAnsi="Arial"/>
          <w:sz w:val="19"/>
          <w:szCs w:val="19"/>
          <w:color w:val="auto"/>
        </w:rPr>
      </w:pPr>
    </w:p>
    <w:p>
      <w:pPr>
        <w:jc w:val="both"/>
        <w:ind w:left="660" w:hanging="4"/>
        <w:spacing w:after="0" w:line="244" w:lineRule="auto"/>
        <w:tabs>
          <w:tab w:leader="none" w:pos="928" w:val="left"/>
        </w:tabs>
        <w:numPr>
          <w:ilvl w:val="0"/>
          <w:numId w:val="480"/>
        </w:numPr>
        <w:rPr>
          <w:rFonts w:ascii="Arial" w:cs="Arial" w:eastAsia="Arial" w:hAnsi="Arial"/>
          <w:sz w:val="22"/>
          <w:szCs w:val="22"/>
          <w:color w:val="auto"/>
        </w:rPr>
      </w:pPr>
      <w:r>
        <w:rPr>
          <w:rFonts w:ascii="Arial" w:cs="Arial" w:eastAsia="Arial" w:hAnsi="Arial"/>
          <w:sz w:val="22"/>
          <w:szCs w:val="22"/>
          <w:color w:val="auto"/>
        </w:rPr>
        <w:t>of the Code) and such additional documentation reasonably requested by the Withholding Agent as may be necessary for the Withholding Agent to comply with its obligations under FATCA, to determine that such Lender has or has not complied with such Lender’s obligations under FATCA or to determine the amount to deduct and withhold from such payment. Solely for purposes of this Section 2.18(f)(iii), “FATCA” shall include any amendments made to FATCA after the date of this Agreement.</w:t>
      </w:r>
    </w:p>
    <w:p>
      <w:pPr>
        <w:spacing w:after="0" w:line="140" w:lineRule="exact"/>
        <w:rPr>
          <w:rFonts w:ascii="Arial" w:cs="Arial" w:eastAsia="Arial" w:hAnsi="Arial"/>
          <w:sz w:val="22"/>
          <w:szCs w:val="22"/>
          <w:color w:val="auto"/>
        </w:rPr>
      </w:pPr>
    </w:p>
    <w:p>
      <w:pPr>
        <w:jc w:val="both"/>
        <w:ind w:firstLine="1304"/>
        <w:spacing w:after="0" w:line="286" w:lineRule="auto"/>
        <w:tabs>
          <w:tab w:leader="none" w:pos="1850" w:val="left"/>
        </w:tabs>
        <w:numPr>
          <w:ilvl w:val="1"/>
          <w:numId w:val="480"/>
        </w:numPr>
        <w:rPr>
          <w:rFonts w:ascii="Arial" w:cs="Arial" w:eastAsia="Arial" w:hAnsi="Arial"/>
          <w:sz w:val="19"/>
          <w:szCs w:val="19"/>
          <w:color w:val="auto"/>
        </w:rPr>
      </w:pPr>
      <w:r>
        <w:rPr>
          <w:rFonts w:ascii="Arial" w:cs="Arial" w:eastAsia="Arial" w:hAnsi="Arial"/>
          <w:sz w:val="19"/>
          <w:szCs w:val="19"/>
          <w:color w:val="auto"/>
        </w:rPr>
        <w:t xml:space="preserve">If any Recipient determines, in its sole discretion exercised in good faith, that it has received a refund in respect of any Indemnified Taxes or Other Taxes as to which indemnification or additional amounts have been paid to it by the Borrower pursuant to this Section 2.18, it shall remit such refund (but only to the extent of indemnity payments made, or additional amounts paid, by the Borrower under this Section 2.18 with respect to the Indemnified Taxes or Other Taxes giving rise to such refund plus any interest included in such refund by the relevant Governmental Authority attributable thereto) to the Borrower, net of all out-of-pocket expenses of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such Recipient, agrees promptly to return such refund to such party in the event such party is required to repay such refund to the relevant Governmental Authority. Nothing in this Section 2.18(g) shall interfere with the right of a Recipient to arrange its tax affairs in whatever manner it thinks fit nor oblige any Recipient to make available its tax returns or disclose any information relating to its tax affairs or any computations in respect thereof or any other information relating to Taxes that it deems to be confidential or require any Recipient to do anything that would prejudice its ability to benefit from any other refunds, credits, reliefs, remissions or repayments to which it may be entitled. Notwithstanding anything to the contrary in this Section 2.18(g), in no event will any Recipient be required to pay any amount to any indemnifying party pursuant to this Section 2.18(g) if such payment would place such Recipient in a less favorable position (on a net after-Tax basis) than such Recipient would have been in if the indemnification payments or additional amounts giving rise to such refund had never been paid.</w:t>
      </w:r>
    </w:p>
    <w:p>
      <w:pPr>
        <w:spacing w:after="0" w:line="360" w:lineRule="exact"/>
        <w:rPr>
          <w:rFonts w:ascii="Arial" w:cs="Arial" w:eastAsia="Arial" w:hAnsi="Arial"/>
          <w:sz w:val="19"/>
          <w:szCs w:val="19"/>
          <w:color w:val="auto"/>
        </w:rPr>
      </w:pPr>
    </w:p>
    <w:p>
      <w:pPr>
        <w:jc w:val="both"/>
        <w:ind w:firstLine="1304"/>
        <w:spacing w:after="0" w:line="250" w:lineRule="auto"/>
        <w:tabs>
          <w:tab w:leader="none" w:pos="1827" w:val="left"/>
        </w:tabs>
        <w:numPr>
          <w:ilvl w:val="1"/>
          <w:numId w:val="480"/>
        </w:numPr>
        <w:rPr>
          <w:rFonts w:ascii="Arial" w:cs="Arial" w:eastAsia="Arial" w:hAnsi="Arial"/>
          <w:sz w:val="22"/>
          <w:szCs w:val="22"/>
          <w:color w:val="auto"/>
        </w:rPr>
      </w:pPr>
      <w:r>
        <w:rPr>
          <w:rFonts w:ascii="Arial" w:cs="Arial" w:eastAsia="Arial" w:hAnsi="Arial"/>
          <w:sz w:val="22"/>
          <w:szCs w:val="22"/>
          <w:color w:val="auto"/>
        </w:rPr>
        <w:t>Solely for purposes of determining withholding Taxes imposed under FATCA, from and after the effective date of the Amendment,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942" w:right="339" w:bottom="1440" w:gutter="0" w:footer="0" w:header="0"/>
        </w:sectPr>
      </w:pPr>
    </w:p>
    <w:bookmarkStart w:id="671" w:name="page672"/>
    <w:bookmarkEnd w:id="671"/>
    <w:p>
      <w:pPr>
        <w:ind w:left="2380" w:hanging="428"/>
        <w:spacing w:after="0"/>
        <w:tabs>
          <w:tab w:leader="none" w:pos="2380" w:val="left"/>
        </w:tabs>
        <w:numPr>
          <w:ilvl w:val="1"/>
          <w:numId w:val="481"/>
        </w:numPr>
        <w:rPr>
          <w:rFonts w:ascii="Arial" w:cs="Arial" w:eastAsia="Arial" w:hAnsi="Arial"/>
          <w:sz w:val="22"/>
          <w:szCs w:val="22"/>
          <w:color w:val="auto"/>
        </w:rPr>
      </w:pPr>
      <w:r>
        <w:rPr>
          <w:rFonts w:ascii="Arial" w:cs="Arial" w:eastAsia="Arial" w:hAnsi="Arial"/>
          <w:sz w:val="22"/>
          <w:szCs w:val="22"/>
          <w:color w:val="auto"/>
        </w:rPr>
        <w:t>For purposes of this Section 2.18, the term “applicable law” includes FATCA.</w:t>
      </w:r>
    </w:p>
    <w:p>
      <w:pPr>
        <w:spacing w:after="0" w:line="165" w:lineRule="exact"/>
        <w:rPr>
          <w:rFonts w:ascii="Arial" w:cs="Arial" w:eastAsia="Arial" w:hAnsi="Arial"/>
          <w:sz w:val="22"/>
          <w:szCs w:val="22"/>
          <w:color w:val="auto"/>
        </w:rPr>
      </w:pPr>
    </w:p>
    <w:p>
      <w:pPr>
        <w:jc w:val="both"/>
        <w:ind w:firstLine="1304"/>
        <w:spacing w:after="0" w:line="271" w:lineRule="auto"/>
        <w:tabs>
          <w:tab w:leader="none" w:pos="1938" w:val="left"/>
        </w:tabs>
        <w:numPr>
          <w:ilvl w:val="0"/>
          <w:numId w:val="482"/>
        </w:numPr>
        <w:rPr>
          <w:rFonts w:ascii="Arial" w:cs="Arial" w:eastAsia="Arial" w:hAnsi="Arial"/>
          <w:sz w:val="21"/>
          <w:szCs w:val="21"/>
          <w:color w:val="auto"/>
        </w:rPr>
      </w:pPr>
      <w:r>
        <w:rPr>
          <w:rFonts w:ascii="Arial" w:cs="Arial" w:eastAsia="Arial" w:hAnsi="Arial"/>
          <w:sz w:val="21"/>
          <w:szCs w:val="21"/>
          <w:color w:val="auto"/>
        </w:rPr>
        <w:t>Each party’s obligations under this Section 2.18 shall survive the resignation or replacement of the Administrative Agent or any assignment of rights by, or the replacement of, a Lender, the repayment of the Loans, the expiration or termination of the Commitments and the termination of this Agreement or any provision hereof.</w:t>
      </w:r>
    </w:p>
    <w:p>
      <w:pPr>
        <w:spacing w:after="0" w:line="11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 (a) The Borrower shall make each payment and prepayment required to be made by it hereunder (whether of principal, interest, fees, or of amounts payable under Section 2.16 or Section 2.18, or otherwise) prior to 4:00 p.m., New York City time, on the date when due, in immediately available funds, without set 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(or any successor primary office), except as expressly provided herein.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09" w:lineRule="exact"/>
        <w:rPr>
          <w:sz w:val="20"/>
          <w:szCs w:val="20"/>
          <w:color w:val="auto"/>
        </w:rPr>
      </w:pPr>
    </w:p>
    <w:p>
      <w:pPr>
        <w:jc w:val="both"/>
        <w:ind w:firstLine="1304"/>
        <w:spacing w:after="0" w:line="294" w:lineRule="auto"/>
        <w:tabs>
          <w:tab w:leader="none" w:pos="1813" w:val="left"/>
        </w:tabs>
        <w:numPr>
          <w:ilvl w:val="0"/>
          <w:numId w:val="483"/>
        </w:numPr>
        <w:rPr>
          <w:rFonts w:ascii="Arial" w:cs="Arial" w:eastAsia="Arial" w:hAnsi="Arial"/>
          <w:sz w:val="19"/>
          <w:szCs w:val="19"/>
          <w:color w:val="auto"/>
        </w:rPr>
      </w:pPr>
      <w:r>
        <w:rPr>
          <w:rFonts w:ascii="Arial" w:cs="Arial" w:eastAsia="Arial" w:hAnsi="Arial"/>
          <w:sz w:val="19"/>
          <w:szCs w:val="19"/>
          <w:color w:val="auto"/>
        </w:rPr>
        <w:t>At any time that payments are not required to be applied in the manner required by Section 6.02, if at any time insufficient funds are received by and available to the Administrative Agent from the Borrower to pay fully all amounts of principal, interest and fees then due from the Borrower hereunder, such funds shall be applied (i) first, towards payment of interest and fees then due from the Borrower hereunder, ratably among the parties entitled thereto in accordance with the amounts of interest and fees then due to such parties, and (ii) second, towards payment of principal then due from the Borrower hereunder, ratably among the parties entitled thereto in accordance with the amounts of principal then due to such parties.</w:t>
      </w:r>
    </w:p>
    <w:p>
      <w:pPr>
        <w:spacing w:after="0" w:line="95" w:lineRule="exact"/>
        <w:rPr>
          <w:rFonts w:ascii="Arial" w:cs="Arial" w:eastAsia="Arial" w:hAnsi="Arial"/>
          <w:sz w:val="19"/>
          <w:szCs w:val="19"/>
          <w:color w:val="auto"/>
        </w:rPr>
      </w:pPr>
    </w:p>
    <w:p>
      <w:pPr>
        <w:jc w:val="both"/>
        <w:ind w:firstLine="1304"/>
        <w:spacing w:after="0" w:line="287" w:lineRule="auto"/>
        <w:tabs>
          <w:tab w:leader="none" w:pos="1759" w:val="left"/>
        </w:tabs>
        <w:numPr>
          <w:ilvl w:val="0"/>
          <w:numId w:val="483"/>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 off or counterclaim or otherwise, obtain payment in respect of any principal of or interest on any of its Revolving Loans or Swingline Loans resulting in such Lender receiving payment of a greater proportion of the aggregate amount of its Revolving Loans and Swingline Loans and accrued interest thereon than the proportion received by any other Lender, then the Lender receiving such greater proportion shall purchase (for cash at face value) participations in the Revolving Loans and Swingline Loans of other Lenders to the extent necessary so that the benefit of all such payments shall be shared by the Lenders ratably in accordance with the aggregate amount of principal of and accrued interest on their respective Revolving Loans and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permitted hereunder. The Borrower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942" w:right="339" w:bottom="1440" w:gutter="0" w:footer="0" w:header="0"/>
        </w:sectPr>
      </w:pPr>
    </w:p>
    <w:bookmarkStart w:id="672" w:name="page673"/>
    <w:bookmarkEnd w:id="672"/>
    <w:p>
      <w:pPr>
        <w:jc w:val="both"/>
        <w:spacing w:after="0" w:line="312" w:lineRule="auto"/>
        <w:rPr>
          <w:sz w:val="20"/>
          <w:szCs w:val="20"/>
          <w:color w:val="auto"/>
        </w:rPr>
      </w:pPr>
      <w:r>
        <w:rPr>
          <w:rFonts w:ascii="Arial" w:cs="Arial" w:eastAsia="Arial" w:hAnsi="Arial"/>
          <w:sz w:val="19"/>
          <w:szCs w:val="19"/>
          <w:color w:val="auto"/>
        </w:rPr>
        <w:t>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79" w:lineRule="exact"/>
        <w:rPr>
          <w:sz w:val="20"/>
          <w:szCs w:val="20"/>
          <w:color w:val="auto"/>
        </w:rPr>
      </w:pPr>
    </w:p>
    <w:p>
      <w:pPr>
        <w:jc w:val="both"/>
        <w:ind w:firstLine="1304"/>
        <w:spacing w:after="0" w:line="245" w:lineRule="auto"/>
        <w:tabs>
          <w:tab w:leader="none" w:pos="1766" w:val="left"/>
        </w:tabs>
        <w:numPr>
          <w:ilvl w:val="0"/>
          <w:numId w:val="484"/>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the Borrower prior to the date on which any payment or prepayment is due to the Administrative Agent for the account of the Lenders hereunder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46" w:lineRule="exact"/>
        <w:rPr>
          <w:rFonts w:ascii="Arial" w:cs="Arial" w:eastAsia="Arial" w:hAnsi="Arial"/>
          <w:sz w:val="22"/>
          <w:szCs w:val="22"/>
          <w:color w:val="auto"/>
        </w:rPr>
      </w:pPr>
    </w:p>
    <w:p>
      <w:pPr>
        <w:jc w:val="both"/>
        <w:ind w:firstLine="1304"/>
        <w:spacing w:after="0" w:line="246" w:lineRule="auto"/>
        <w:tabs>
          <w:tab w:leader="none" w:pos="1824" w:val="left"/>
        </w:tabs>
        <w:numPr>
          <w:ilvl w:val="0"/>
          <w:numId w:val="484"/>
        </w:numPr>
        <w:rPr>
          <w:rFonts w:ascii="Arial" w:cs="Arial" w:eastAsia="Arial" w:hAnsi="Arial"/>
          <w:sz w:val="22"/>
          <w:szCs w:val="22"/>
          <w:color w:val="auto"/>
        </w:rPr>
      </w:pPr>
      <w:r>
        <w:rPr>
          <w:rFonts w:ascii="Arial" w:cs="Arial" w:eastAsia="Arial" w:hAnsi="Arial"/>
          <w:sz w:val="22"/>
          <w:szCs w:val="22"/>
          <w:color w:val="auto"/>
        </w:rPr>
        <w:t>If any Lender shall fail to make any Loan or payment required to be made by it pursuant to Section 2.02, Section 2.05(c), Section 2.07(b), Section 2.19(d) or Section 9.03(d), then the Administrative Agent may, in its discretion and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4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(a) If any Lender requests compensation under Section 2.16, or if the Borrower is required to pay any additional amount to any Lender or any Governmental Authority for the account of any Lender, is required to pay any Indemnified Taxes, or is required to indemnify any Lender pursuant to Section 2.18,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2.16 or Section 2.18,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03" w:lineRule="exact"/>
        <w:rPr>
          <w:sz w:val="20"/>
          <w:szCs w:val="20"/>
          <w:color w:val="auto"/>
        </w:rPr>
      </w:pPr>
    </w:p>
    <w:p>
      <w:pPr>
        <w:jc w:val="both"/>
        <w:ind w:firstLine="1304"/>
        <w:spacing w:after="0" w:line="247" w:lineRule="auto"/>
        <w:tabs>
          <w:tab w:leader="none" w:pos="1895" w:val="left"/>
        </w:tabs>
        <w:numPr>
          <w:ilvl w:val="0"/>
          <w:numId w:val="485"/>
        </w:numPr>
        <w:rPr>
          <w:rFonts w:ascii="Arial" w:cs="Arial" w:eastAsia="Arial" w:hAnsi="Arial"/>
          <w:sz w:val="22"/>
          <w:szCs w:val="22"/>
          <w:color w:val="auto"/>
        </w:rPr>
      </w:pPr>
      <w:r>
        <w:rPr>
          <w:rFonts w:ascii="Arial" w:cs="Arial" w:eastAsia="Arial" w:hAnsi="Arial"/>
          <w:sz w:val="22"/>
          <w:szCs w:val="22"/>
          <w:color w:val="auto"/>
        </w:rPr>
        <w:t>If (x) any Lender requests compensation under Section 2.16, or if the Borrower is required to pay any additional amount to any Lender or any Governmental Authority for the account of any Lender, is required to pay any Indemnified Taxes, or is required to indemnify any Lender pursuant to Section 2.18, (y) in connection with any proposed amendment, waiver or consent to this Agreement or any other Credit Document requiring the consent of “each Lender” or “each Lender directly affected thereby,” the consent of the Required Lenders is obtained, but the consent of other necessary Lenders is not obtained (any such Lender whose consent is not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942" w:right="339" w:bottom="1440" w:gutter="0" w:footer="0" w:header="0"/>
        </w:sectPr>
      </w:pPr>
    </w:p>
    <w:bookmarkStart w:id="673" w:name="page674"/>
    <w:bookmarkEnd w:id="673"/>
    <w:p>
      <w:pPr>
        <w:jc w:val="both"/>
        <w:spacing w:after="0" w:line="284" w:lineRule="auto"/>
        <w:rPr>
          <w:sz w:val="20"/>
          <w:szCs w:val="20"/>
          <w:color w:val="auto"/>
        </w:rPr>
      </w:pPr>
      <w:r>
        <w:rPr>
          <w:rFonts w:ascii="Arial" w:cs="Arial" w:eastAsia="Arial" w:hAnsi="Arial"/>
          <w:sz w:val="19"/>
          <w:szCs w:val="19"/>
          <w:color w:val="auto"/>
        </w:rPr>
        <w:t>obtained being referred to herein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or (z) any Lender becomes a Defaulting Lender, then the Borrower may, at its sole expense and effort, upon notice to such Lender or Non-Consenting Lender, as applicable, and the Administrative Agent, require such Lender or such Non-Consenting Lender, as applicable, to assign and delegate, without recourse (in accordance with and subject to the restrictions contained in Section 9.04), all its interests, rights (other than its existing rights to payments pursuant to Sections 2.16) and obligations under this Agreement and the other Credit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(solely in its capacity as such) and the Swingline Lender which consent shall not unreasonably be withheld, (ii) such Lender or such Non-Consenting Lender, as applicable, shall have received payment of an amount equal to the outstanding principal of its Loans and participations in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2.16 or payments required to be made pursuant to Section 2.18,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37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31" w:lineRule="exact"/>
        <w:rPr>
          <w:sz w:val="20"/>
          <w:szCs w:val="20"/>
          <w:color w:val="auto"/>
        </w:rPr>
      </w:pPr>
    </w:p>
    <w:p>
      <w:pPr>
        <w:ind w:left="1780" w:hanging="476"/>
        <w:spacing w:after="0"/>
        <w:tabs>
          <w:tab w:leader="none" w:pos="178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fees shall cease to accrue on the unfunded portion of the Commitment of such Defaulting Lender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2.13;</w:t>
      </w:r>
    </w:p>
    <w:p>
      <w:pPr>
        <w:spacing w:after="0" w:line="148" w:lineRule="exact"/>
        <w:rPr>
          <w:sz w:val="20"/>
          <w:szCs w:val="20"/>
          <w:color w:val="auto"/>
        </w:rPr>
      </w:pPr>
    </w:p>
    <w:p>
      <w:pPr>
        <w:jc w:val="both"/>
        <w:ind w:firstLine="1304"/>
        <w:spacing w:after="0" w:line="248" w:lineRule="auto"/>
        <w:tabs>
          <w:tab w:leader="none" w:pos="1947" w:val="left"/>
        </w:tabs>
        <w:numPr>
          <w:ilvl w:val="0"/>
          <w:numId w:val="487"/>
        </w:numPr>
        <w:rPr>
          <w:rFonts w:ascii="Arial" w:cs="Arial" w:eastAsia="Arial" w:hAnsi="Arial"/>
          <w:sz w:val="22"/>
          <w:szCs w:val="22"/>
          <w:color w:val="auto"/>
        </w:rPr>
      </w:pPr>
      <w:r>
        <w:rPr>
          <w:rFonts w:ascii="Arial" w:cs="Arial" w:eastAsia="Arial" w:hAnsi="Arial"/>
          <w:sz w:val="22"/>
          <w:szCs w:val="22"/>
          <w:color w:val="auto"/>
        </w:rPr>
        <w:t xml:space="preserve">the Commitment and Revolving Credit Exposure of such Defaulting Lender shall not be included in determining whether all Lenders, the Required Lenders or the Supermajority Lenders have taken or may take any action hereunder (including any consent to any amendment, waiver or other modification pursuant to Section 9.02); </w:t>
      </w:r>
      <w:r>
        <w:rPr>
          <w:rFonts w:ascii="Arial" w:cs="Arial" w:eastAsia="Arial" w:hAnsi="Arial"/>
          <w:sz w:val="22"/>
          <w:szCs w:val="22"/>
          <w:u w:val="single" w:color="auto"/>
          <w:color w:val="auto"/>
        </w:rPr>
        <w:t>provided</w:t>
      </w:r>
      <w:r>
        <w:rPr>
          <w:rFonts w:ascii="Arial" w:cs="Arial" w:eastAsia="Arial" w:hAnsi="Arial"/>
          <w:sz w:val="22"/>
          <w:szCs w:val="22"/>
          <w:color w:val="auto"/>
        </w:rPr>
        <w:t>, that this clause (b) shall not apply to the vote of a Defaulting Lender in the case of an amendment, waiver or other modification requiring the consent of all Lenders or each affected Lender;</w:t>
      </w:r>
    </w:p>
    <w:p>
      <w:pPr>
        <w:spacing w:after="0" w:line="137" w:lineRule="exact"/>
        <w:rPr>
          <w:rFonts w:ascii="Arial" w:cs="Arial" w:eastAsia="Arial" w:hAnsi="Arial"/>
          <w:sz w:val="22"/>
          <w:szCs w:val="22"/>
          <w:color w:val="auto"/>
        </w:rPr>
      </w:pPr>
    </w:p>
    <w:p>
      <w:pPr>
        <w:ind w:left="1760" w:hanging="456"/>
        <w:spacing w:after="0"/>
        <w:tabs>
          <w:tab w:leader="none" w:pos="1760" w:val="left"/>
        </w:tabs>
        <w:numPr>
          <w:ilvl w:val="0"/>
          <w:numId w:val="48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942" w:right="339" w:bottom="1440" w:gutter="0" w:footer="0" w:header="0"/>
        </w:sectPr>
      </w:pPr>
    </w:p>
    <w:bookmarkStart w:id="674" w:name="page675"/>
    <w:bookmarkEnd w:id="674"/>
    <w:p>
      <w:pPr>
        <w:ind w:left="1780" w:hanging="476"/>
        <w:spacing w:after="0"/>
        <w:tabs>
          <w:tab w:leader="none" w:pos="178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if any Swingline Exposure exists at the time a Lender becomes a Defaulting Lender then:</w:t>
      </w:r>
    </w:p>
    <w:p>
      <w:pPr>
        <w:spacing w:after="0" w:line="165" w:lineRule="exact"/>
        <w:rPr>
          <w:rFonts w:ascii="Arial" w:cs="Arial" w:eastAsia="Arial" w:hAnsi="Arial"/>
          <w:sz w:val="22"/>
          <w:szCs w:val="22"/>
          <w:color w:val="auto"/>
        </w:rPr>
      </w:pPr>
    </w:p>
    <w:p>
      <w:pPr>
        <w:jc w:val="both"/>
        <w:ind w:left="660" w:firstLine="1292"/>
        <w:spacing w:after="0" w:line="263" w:lineRule="auto"/>
        <w:tabs>
          <w:tab w:leader="none" w:pos="2481" w:val="left"/>
        </w:tabs>
        <w:numPr>
          <w:ilvl w:val="1"/>
          <w:numId w:val="488"/>
        </w:numPr>
        <w:rPr>
          <w:rFonts w:ascii="Arial" w:cs="Arial" w:eastAsia="Arial" w:hAnsi="Arial"/>
          <w:sz w:val="21"/>
          <w:szCs w:val="21"/>
          <w:color w:val="auto"/>
        </w:rPr>
      </w:pPr>
      <w:r>
        <w:rPr>
          <w:rFonts w:ascii="Arial" w:cs="Arial" w:eastAsia="Arial" w:hAnsi="Arial"/>
          <w:sz w:val="21"/>
          <w:szCs w:val="21"/>
          <w:color w:val="auto"/>
        </w:rPr>
        <w:t>all or any part of the Swingline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 and</w:t>
      </w:r>
    </w:p>
    <w:p>
      <w:pPr>
        <w:spacing w:after="0" w:line="121" w:lineRule="exact"/>
        <w:rPr>
          <w:rFonts w:ascii="Arial" w:cs="Arial" w:eastAsia="Arial" w:hAnsi="Arial"/>
          <w:sz w:val="21"/>
          <w:szCs w:val="21"/>
          <w:color w:val="auto"/>
        </w:rPr>
      </w:pPr>
    </w:p>
    <w:p>
      <w:pPr>
        <w:ind w:left="660" w:right="20" w:firstLine="1292"/>
        <w:spacing w:after="0" w:line="343" w:lineRule="auto"/>
        <w:tabs>
          <w:tab w:leader="none" w:pos="2615" w:val="left"/>
        </w:tabs>
        <w:numPr>
          <w:ilvl w:val="1"/>
          <w:numId w:val="488"/>
        </w:numPr>
        <w:rPr>
          <w:rFonts w:ascii="Arial" w:cs="Arial" w:eastAsia="Arial" w:hAnsi="Arial"/>
          <w:sz w:val="19"/>
          <w:szCs w:val="19"/>
          <w:color w:val="auto"/>
        </w:rPr>
      </w:pPr>
      <w:r>
        <w:rPr>
          <w:rFonts w:ascii="Arial" w:cs="Arial" w:eastAsia="Arial" w:hAnsi="Arial"/>
          <w:sz w:val="19"/>
          <w:szCs w:val="19"/>
          <w:color w:val="auto"/>
        </w:rPr>
        <w:t>if the reallocation described in clause (i) above cannot, or can only partially, be effected, the Borrower shall within one Business Day following notice by the Administrative Agent, prepay such Swingline Exposure;</w:t>
      </w:r>
    </w:p>
    <w:p>
      <w:pPr>
        <w:spacing w:after="0" w:line="50" w:lineRule="exact"/>
        <w:rPr>
          <w:rFonts w:ascii="Arial" w:cs="Arial" w:eastAsia="Arial" w:hAnsi="Arial"/>
          <w:sz w:val="19"/>
          <w:szCs w:val="19"/>
          <w:color w:val="auto"/>
        </w:rPr>
      </w:pPr>
    </w:p>
    <w:p>
      <w:pPr>
        <w:jc w:val="both"/>
        <w:ind w:firstLine="1304"/>
        <w:spacing w:after="0" w:line="284" w:lineRule="auto"/>
        <w:tabs>
          <w:tab w:leader="none" w:pos="1891" w:val="left"/>
        </w:tabs>
        <w:numPr>
          <w:ilvl w:val="0"/>
          <w:numId w:val="488"/>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Article VI or otherwise, and including any amounts made available to the Administrative Agent by such Defaulting Lender pursuant to Section 9.08),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or under the other Credit Documents;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of amounts owing by such Defaulting Lender to the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if so determined by the Administrative Agent and the Borrower, to be held in a non-interest bearing deposit account and released pro rata in order to satisfy potential future obligations of such Defaulting Lender to fund Loans and other obligations under this Agreement, in accordance with this Section;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payment of any amounts owing to the Lenders (including, for the avoidance of doubt, the Swingline Lender) as a result of any judgment of a court of competent jurisdiction obtained by any Lender against such Defaulting Lender as a result of such Defaulting Lender’s breach of its obligations under this Agreement or under the other Credit Documents;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the other Credit Documents; and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the Borrower makes a payment of the principal amount of any Loans in respect of which such Defaulting Lender has not fully funded its appropriate share, and (y) such Loans were made at a time when the conditions set forth in Section 4.02 were satisfied or waived, then such payment shall be applied solely to pay the relevant Loans of the relevant non-Defaulting Lenders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prior to being applied to the payment of any Loans of such Defaulting Lender until such time as all Loans and funded and unfunded participations in the Borrower’s obligations corresponding to such Defaulting Lender’s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942" w:right="339" w:bottom="1440" w:gutter="0" w:footer="0" w:header="0"/>
        </w:sectPr>
      </w:pPr>
    </w:p>
    <w:bookmarkStart w:id="675" w:name="page676"/>
    <w:bookmarkEnd w:id="675"/>
    <w:p>
      <w:pPr>
        <w:spacing w:after="0"/>
        <w:rPr>
          <w:sz w:val="20"/>
          <w:szCs w:val="20"/>
          <w:color w:val="auto"/>
        </w:rPr>
      </w:pPr>
      <w:r>
        <w:rPr>
          <w:rFonts w:ascii="Arial" w:cs="Arial" w:eastAsia="Arial" w:hAnsi="Arial"/>
          <w:sz w:val="22"/>
          <w:szCs w:val="22"/>
          <w:color w:val="auto"/>
        </w:rPr>
        <w:t>be deemed paid to and redirected by such Defaulting Lender, and each Lender irrevocably consents hereto; and</w:t>
      </w:r>
    </w:p>
    <w:p>
      <w:pPr>
        <w:spacing w:after="0" w:line="166" w:lineRule="exact"/>
        <w:rPr>
          <w:sz w:val="20"/>
          <w:szCs w:val="20"/>
          <w:color w:val="auto"/>
        </w:rPr>
      </w:pPr>
    </w:p>
    <w:p>
      <w:pPr>
        <w:jc w:val="both"/>
        <w:ind w:firstLine="1304"/>
        <w:spacing w:after="0" w:line="302" w:lineRule="auto"/>
        <w:tabs>
          <w:tab w:leader="none" w:pos="1855" w:val="left"/>
        </w:tabs>
        <w:numPr>
          <w:ilvl w:val="0"/>
          <w:numId w:val="489"/>
        </w:numPr>
        <w:rPr>
          <w:rFonts w:ascii="Arial" w:cs="Arial" w:eastAsia="Arial" w:hAnsi="Arial"/>
          <w:sz w:val="19"/>
          <w:szCs w:val="19"/>
          <w:color w:val="auto"/>
        </w:rPr>
      </w:pPr>
      <w:r>
        <w:rPr>
          <w:rFonts w:ascii="Arial" w:cs="Arial" w:eastAsia="Arial" w:hAnsi="Arial"/>
          <w:sz w:val="19"/>
          <w:szCs w:val="19"/>
          <w:color w:val="auto"/>
        </w:rPr>
        <w:t>so long as such Lender is a Defaulting Lender, the Swingline Lender shall not be required to fund any Swingline Loan, unless it is satisfied that the related exposure will be 100% covered by the Commitments of the non-Defaulting Lenders and Swingline Exposure related to any newly made Swingline Loan shall be allocated among non-Defaulting Lenders in a manner consistent with Section 2.20(d)(i) (and such Defaulting Lender shall not participate therein).</w:t>
      </w:r>
    </w:p>
    <w:p>
      <w:pPr>
        <w:spacing w:after="0" w:line="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If (i) a Bankruptcy Event or a Bail-In Action with respect to a Lender Parent shall occur following the Effective Date and for so long as such event shall continue or (ii) the Swingline Lender has a good faith belief that any Lender has defaulted in fulfilling its obligations under one or more other agreements in which such Lender commits to extend credit, the Swingline Lender shall not be required to fund any Swingline Loan unless the Swingline Lender shall have entered into arrangements with the Borrower or such Lender, satisfactory to the Swingline Lender to defease any risk to it in respect of such Lender hereunder.</w:t>
      </w:r>
    </w:p>
    <w:p>
      <w:pPr>
        <w:spacing w:after="0" w:line="139"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In the event that the Administrative Agent, the Swingline Lender and the Borrower each agree that a Defaulting Lender has adequately remedied all matters that caused such Lender to be a Defaulting Lender, then the Swingline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 No adjustments will be made retroactively with respect to fees accrued or payments made by or on behalf of the Borrower while such Lender was a Defaulting Lender.</w:t>
      </w:r>
    </w:p>
    <w:p>
      <w:pPr>
        <w:spacing w:after="0" w:line="9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19"/>
          <w:szCs w:val="19"/>
          <w:u w:val="single" w:color="auto"/>
          <w:color w:val="auto"/>
        </w:rPr>
        <w:t>Incremental Commitments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86" w:lineRule="auto"/>
        <w:tabs>
          <w:tab w:leader="none" w:pos="1902"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The Borrower may, by written notice to the Administrative Agent from time to time, on one or more occasions, request Incremental Commitments in an additional aggregate principal amount not to exceed the Incremental Commitment Cap from one or more Incremental Lenders (which may include any existing Lender (each of which shall be entitled to agree or decline to participate in its sole discretion)) willing to provide such Incremental Commitments, as the case may be, in their own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Incremental Lender shall be subject to the approval of the Administrative Agent (which approval shall not be unreasonably withheld, delayed or conditioned), the Swingline Lender (which approval shall not be unreasonably withheld, delayed or conditioned) and the Borrower (in its sole discretion) unless such Incremental Lender is a Lender, and (ii) each Incremental Commitment shall be on the same terms as the existing Commitments (except with respect to any underwriting, upfront or similar fees that may be agreed to among the Borrower and the Incremental Lenders providing such Incremental Commitments) and in all respects shall become a part of the Commitments hereunder on such terms; </w:t>
      </w:r>
      <w:r>
        <w:rPr>
          <w:rFonts w:ascii="Arial" w:cs="Arial" w:eastAsia="Arial" w:hAnsi="Arial"/>
          <w:sz w:val="19"/>
          <w:szCs w:val="19"/>
          <w:u w:val="single" w:color="auto"/>
          <w:color w:val="auto"/>
        </w:rPr>
        <w:t>provided</w:t>
      </w:r>
      <w:r>
        <w:rPr>
          <w:rFonts w:ascii="Arial" w:cs="Arial" w:eastAsia="Arial" w:hAnsi="Arial"/>
          <w:sz w:val="19"/>
          <w:szCs w:val="19"/>
          <w:color w:val="auto"/>
        </w:rPr>
        <w:t>, that, with the consent of the Borrower, the Applicable Rate and Commitment Fee Rate applicable to the then existing Commitments shall automatically be increased (but in no event decreased) to the extent necessary to cause any Incremental Commitment to comply with this clause (ii). Such notice shall set forth (1) the amount of the Incremental Commitments being requested (which shall be in minimum increments of $1,000,000 and a minimum amount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942" w:right="339" w:bottom="1440" w:gutter="0" w:footer="0" w:header="0"/>
        </w:sectPr>
      </w:pPr>
    </w:p>
    <w:bookmarkStart w:id="676" w:name="page677"/>
    <w:bookmarkEnd w:id="676"/>
    <w:p>
      <w:pPr>
        <w:jc w:val="both"/>
        <w:spacing w:after="0" w:line="302" w:lineRule="auto"/>
        <w:rPr>
          <w:sz w:val="20"/>
          <w:szCs w:val="20"/>
          <w:color w:val="auto"/>
        </w:rPr>
      </w:pPr>
      <w:r>
        <w:rPr>
          <w:rFonts w:ascii="Arial" w:cs="Arial" w:eastAsia="Arial" w:hAnsi="Arial"/>
          <w:sz w:val="19"/>
          <w:szCs w:val="19"/>
          <w:color w:val="auto"/>
        </w:rPr>
        <w:t>$10,000,000 (or such lesser amount as the Administrative Agent may agree) or equal to the remaining Incremental Amount), (2) the aggregate amount of Incremental Commitments, which shall not exceed the Incremental Amount, and (3) the date on which such Incremental Commitments are requested to become effective (the “</w:t>
      </w:r>
      <w:r>
        <w:rPr>
          <w:rFonts w:ascii="Arial" w:cs="Arial" w:eastAsia="Arial" w:hAnsi="Arial"/>
          <w:sz w:val="19"/>
          <w:szCs w:val="19"/>
          <w:u w:val="single" w:color="auto"/>
          <w:color w:val="auto"/>
        </w:rPr>
        <w:t>Increased Amount Date</w:t>
      </w:r>
      <w:r>
        <w:rPr>
          <w:rFonts w:ascii="Arial" w:cs="Arial" w:eastAsia="Arial" w:hAnsi="Arial"/>
          <w:sz w:val="19"/>
          <w:szCs w:val="19"/>
          <w:color w:val="auto"/>
        </w:rPr>
        <w:t>”). The Borrower shall have no obligation to offer any Lender the opportunity to participate in any Incremental Commitments.</w:t>
      </w:r>
    </w:p>
    <w:p>
      <w:pPr>
        <w:spacing w:after="0" w:line="88" w:lineRule="exact"/>
        <w:rPr>
          <w:sz w:val="20"/>
          <w:szCs w:val="20"/>
          <w:color w:val="auto"/>
        </w:rPr>
      </w:pPr>
    </w:p>
    <w:p>
      <w:pPr>
        <w:jc w:val="both"/>
        <w:ind w:firstLine="1304"/>
        <w:spacing w:after="0" w:line="247" w:lineRule="auto"/>
        <w:tabs>
          <w:tab w:leader="none" w:pos="1928" w:val="left"/>
        </w:tabs>
        <w:numPr>
          <w:ilvl w:val="0"/>
          <w:numId w:val="491"/>
        </w:numPr>
        <w:rPr>
          <w:rFonts w:ascii="Arial" w:cs="Arial" w:eastAsia="Arial" w:hAnsi="Arial"/>
          <w:sz w:val="22"/>
          <w:szCs w:val="22"/>
          <w:color w:val="auto"/>
        </w:rPr>
      </w:pPr>
      <w:r>
        <w:rPr>
          <w:rFonts w:ascii="Arial" w:cs="Arial" w:eastAsia="Arial" w:hAnsi="Arial"/>
          <w:sz w:val="22"/>
          <w:szCs w:val="22"/>
          <w:color w:val="auto"/>
        </w:rPr>
        <w:t>The Borrower and each Incremental Lender shall execute and deliver to the Administrative Agent an Incremental Assumption Agreement. Each of the parties hereto hereby agrees that upon the effectiveness of any Incremental Assumption Agreement, this Agreement shall be deemed amended to the extent (but only to the extent) necessary to increase the Commitments by the amount of the Incremental Commitments evidenced thereby. Any such deemed amendment may be memorialized in writing by the Administrative Agent with the Borrower’s consent (not to be unreasonably withheld) and furnished to the other parties hereto.</w:t>
      </w:r>
    </w:p>
    <w:p>
      <w:pPr>
        <w:spacing w:after="0" w:line="138" w:lineRule="exact"/>
        <w:rPr>
          <w:rFonts w:ascii="Arial" w:cs="Arial" w:eastAsia="Arial" w:hAnsi="Arial"/>
          <w:sz w:val="22"/>
          <w:szCs w:val="22"/>
          <w:color w:val="auto"/>
        </w:rPr>
      </w:pPr>
    </w:p>
    <w:p>
      <w:pPr>
        <w:jc w:val="both"/>
        <w:ind w:firstLine="1304"/>
        <w:spacing w:after="0" w:line="259" w:lineRule="auto"/>
        <w:tabs>
          <w:tab w:leader="none" w:pos="1796" w:val="left"/>
        </w:tabs>
        <w:numPr>
          <w:ilvl w:val="0"/>
          <w:numId w:val="491"/>
        </w:numPr>
        <w:rPr>
          <w:rFonts w:ascii="Arial" w:cs="Arial" w:eastAsia="Arial" w:hAnsi="Arial"/>
          <w:sz w:val="21"/>
          <w:szCs w:val="21"/>
          <w:color w:val="auto"/>
        </w:rPr>
      </w:pPr>
      <w:r>
        <w:rPr>
          <w:rFonts w:ascii="Arial" w:cs="Arial" w:eastAsia="Arial" w:hAnsi="Arial"/>
          <w:sz w:val="21"/>
          <w:szCs w:val="21"/>
          <w:color w:val="auto"/>
        </w:rPr>
        <w:t>Notwithstanding the foregoing, no Incremental Commitment shall become effective under this Section 2.22 unless (i) on the date of such effectiveness, the conditions set forth in paragraphs (b) and (c) of Section 4.02 shall be satisfied and the Administrative Agent shall have received a certificate to that effect dated such date and executed by an Authorized Officer of the Borrower, and (ii) the Administrative Agent shall have received legal opinions, board resolutions and other closing certificates and documentation to the extent reasonably required by the Administrative Agent, in each case consistent with those delivered on the Effective Date under Section 4.01 and such additional documents and filings as the Administrative Agent may reasonably require to assure that the Loans in respect of Incremental Commitments are secured by the Collateral ratably with all other Loans.</w:t>
      </w:r>
    </w:p>
    <w:p>
      <w:pPr>
        <w:spacing w:after="0" w:line="129" w:lineRule="exact"/>
        <w:rPr>
          <w:rFonts w:ascii="Arial" w:cs="Arial" w:eastAsia="Arial" w:hAnsi="Arial"/>
          <w:sz w:val="21"/>
          <w:szCs w:val="21"/>
          <w:color w:val="auto"/>
        </w:rPr>
      </w:pPr>
    </w:p>
    <w:p>
      <w:pPr>
        <w:jc w:val="both"/>
        <w:ind w:firstLine="1304"/>
        <w:spacing w:after="0" w:line="253" w:lineRule="auto"/>
        <w:tabs>
          <w:tab w:leader="none" w:pos="1771" w:val="left"/>
        </w:tabs>
        <w:numPr>
          <w:ilvl w:val="0"/>
          <w:numId w:val="491"/>
        </w:numPr>
        <w:rPr>
          <w:rFonts w:ascii="Arial" w:cs="Arial" w:eastAsia="Arial" w:hAnsi="Arial"/>
          <w:sz w:val="22"/>
          <w:szCs w:val="22"/>
          <w:color w:val="auto"/>
        </w:rPr>
      </w:pPr>
      <w:r>
        <w:rPr>
          <w:rFonts w:ascii="Arial" w:cs="Arial" w:eastAsia="Arial" w:hAnsi="Arial"/>
          <w:sz w:val="22"/>
          <w:szCs w:val="22"/>
          <w:color w:val="auto"/>
        </w:rPr>
        <w:t>Each of the parties hereto hereby agrees that the Administrative Agent may take any and all action as may be reasonably necessary to ensure all Revolving Loans in respect of Incremental Commitments, when originally made, are included in each Borrowing of outstanding Revolving Loans on a pro rata basis.</w:t>
      </w:r>
    </w:p>
    <w:p>
      <w:pPr>
        <w:spacing w:after="0" w:line="13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III</w:t>
      </w:r>
    </w:p>
    <w:p>
      <w:pPr>
        <w:spacing w:after="0" w:line="166"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Representations and Warranties</w:t>
      </w:r>
    </w:p>
    <w:p>
      <w:pPr>
        <w:spacing w:after="0" w:line="166"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Representations and Warranties of the Borrower</w:t>
      </w:r>
      <w:r>
        <w:rPr>
          <w:rFonts w:ascii="Arial" w:cs="Arial" w:eastAsia="Arial" w:hAnsi="Arial"/>
          <w:sz w:val="19"/>
          <w:szCs w:val="19"/>
          <w:color w:val="auto"/>
        </w:rPr>
        <w:t>. The Borrower represents and warrants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48" w:lineRule="exact"/>
        <w:rPr>
          <w:sz w:val="20"/>
          <w:szCs w:val="20"/>
          <w:color w:val="auto"/>
        </w:rPr>
      </w:pPr>
    </w:p>
    <w:p>
      <w:pPr>
        <w:jc w:val="both"/>
        <w:ind w:firstLine="1304"/>
        <w:spacing w:after="0" w:line="292" w:lineRule="auto"/>
        <w:tabs>
          <w:tab w:leader="none" w:pos="1851" w:val="left"/>
        </w:tabs>
        <w:numPr>
          <w:ilvl w:val="0"/>
          <w:numId w:val="492"/>
        </w:numPr>
        <w:rPr>
          <w:rFonts w:ascii="Arial" w:cs="Arial" w:eastAsia="Arial" w:hAnsi="Arial"/>
          <w:sz w:val="19"/>
          <w:szCs w:val="19"/>
          <w:color w:val="auto"/>
        </w:rPr>
      </w:pPr>
      <w:r>
        <w:rPr>
          <w:rFonts w:ascii="Arial" w:cs="Arial" w:eastAsia="Arial" w:hAnsi="Arial"/>
          <w:sz w:val="19"/>
          <w:szCs w:val="19"/>
          <w:color w:val="auto"/>
        </w:rPr>
        <w:t>The Borrower and each of its Subsidiaries (i) is a duly organized or formed, validly existing and (to the extent applicable in the jurisdiction of its formation) in good standing under the laws of the jurisdiction of its organization, (ii) is duly qualified and in good standing (to the extent such concept exists) under the laws of each jurisdiction where its ownership, lease or operation of properties or the conduct of its business as currently conducted requires such qualification, (iii) has all requisite corporate, limited liability company, partnership or other organizational power and authority and has all requisite Governmental Authorizations (including with respect to FINRA), in each case, to own or lease and operate its properties and to carry on its business as currently conducted, (iv) in the case of the Borrower and each Broker-Dealer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942" w:right="339" w:bottom="1440" w:gutter="0" w:footer="0" w:header="0"/>
        </w:sectPr>
      </w:pPr>
    </w:p>
    <w:bookmarkStart w:id="677" w:name="page678"/>
    <w:bookmarkEnd w:id="677"/>
    <w:p>
      <w:pPr>
        <w:jc w:val="both"/>
        <w:spacing w:after="0" w:line="286" w:lineRule="auto"/>
        <w:rPr>
          <w:sz w:val="20"/>
          <w:szCs w:val="20"/>
          <w:color w:val="auto"/>
        </w:rPr>
      </w:pPr>
      <w:r>
        <w:rPr>
          <w:rFonts w:ascii="Arial" w:cs="Arial" w:eastAsia="Arial" w:hAnsi="Arial"/>
          <w:sz w:val="19"/>
          <w:szCs w:val="19"/>
          <w:color w:val="auto"/>
        </w:rPr>
        <w:t>Subsidiary, has obtained the Broker-Dealer Licenses and Memberships and Broker-Dealer Registrations that, in each case, are the licenses, memberships and registrations necessary in the normal conduct of its business and (v) is in compliance with all laws, regulations and orders of any Governmental Authority applicable to it or its property or to which the Borrower or such Subsidiary or any of its property is subject; except in each case referred to in clause (i) (other than with respect to the Borrower), (ii), (iii),</w:t>
      </w:r>
    </w:p>
    <w:p>
      <w:pPr>
        <w:spacing w:after="0" w:line="3" w:lineRule="exact"/>
        <w:rPr>
          <w:sz w:val="20"/>
          <w:szCs w:val="20"/>
          <w:color w:val="auto"/>
        </w:rPr>
      </w:pPr>
    </w:p>
    <w:p>
      <w:pPr>
        <w:ind w:firstLine="8"/>
        <w:spacing w:after="0" w:line="246" w:lineRule="auto"/>
        <w:tabs>
          <w:tab w:leader="none" w:pos="387" w:val="left"/>
        </w:tabs>
        <w:numPr>
          <w:ilvl w:val="0"/>
          <w:numId w:val="493"/>
        </w:numPr>
        <w:rPr>
          <w:rFonts w:ascii="Arial" w:cs="Arial" w:eastAsia="Arial" w:hAnsi="Arial"/>
          <w:sz w:val="22"/>
          <w:szCs w:val="22"/>
          <w:color w:val="auto"/>
        </w:rPr>
      </w:pPr>
      <w:r>
        <w:rPr>
          <w:rFonts w:ascii="Arial" w:cs="Arial" w:eastAsia="Arial" w:hAnsi="Arial"/>
          <w:sz w:val="22"/>
          <w:szCs w:val="22"/>
          <w:color w:val="auto"/>
        </w:rPr>
        <w:t>or (v) to the extent that the failure to do so would not reasonably be expected to have, individually or in the aggregate, a Material Adverse Effect.</w:t>
      </w:r>
    </w:p>
    <w:p>
      <w:pPr>
        <w:spacing w:after="0" w:line="138" w:lineRule="exact"/>
        <w:rPr>
          <w:rFonts w:ascii="Arial" w:cs="Arial" w:eastAsia="Arial" w:hAnsi="Arial"/>
          <w:sz w:val="22"/>
          <w:szCs w:val="22"/>
          <w:color w:val="auto"/>
        </w:rPr>
      </w:pPr>
    </w:p>
    <w:p>
      <w:pPr>
        <w:jc w:val="both"/>
        <w:ind w:firstLine="1304"/>
        <w:spacing w:after="0" w:line="287" w:lineRule="auto"/>
        <w:tabs>
          <w:tab w:leader="none" w:pos="1793" w:val="left"/>
        </w:tabs>
        <w:numPr>
          <w:ilvl w:val="1"/>
          <w:numId w:val="493"/>
        </w:numPr>
        <w:rPr>
          <w:rFonts w:ascii="Arial" w:cs="Arial" w:eastAsia="Arial" w:hAnsi="Arial"/>
          <w:sz w:val="19"/>
          <w:szCs w:val="19"/>
          <w:color w:val="auto"/>
        </w:rPr>
      </w:pPr>
      <w:r>
        <w:rPr>
          <w:rFonts w:ascii="Arial" w:cs="Arial" w:eastAsia="Arial" w:hAnsi="Arial"/>
          <w:sz w:val="19"/>
          <w:szCs w:val="19"/>
          <w:color w:val="auto"/>
        </w:rPr>
        <w:t>The execution, delivery and performance by the Borrower of each Credit Document, and the consummation of the financing transactions evidenced by each Credit Document to, are within the Borrower’s limited liability company powers, have been duly authorized by all necessary limited liability company or other organizational action, and do not (i) contravene the Borrower’s charter, limited liability company agreement, or other constituent documents, (ii) violate any law, rule, regulation, order, writ, judgment, injunction, decree, determination or award of any Governmental Authority to which the Borrower is a party or subject, (iii) conflict with or result in the breach of, or constitute a default or require any payment to be made under, any loan agreement, indenture, mortgage, deed of trust, material lease or other material contract or instrument binding on the Borrower, any of its Subsidiaries or any of their properties or (iv) result in or require the creation or imposition of any Lien upon or with respect to any of the properties of the Borrower or any of its Subsidiaries (other than any Liens created hereunder), except with respect to any violation, conflict, breach, default or requirement referred to in clauses (ii) or (iii) to the extent that such violation, conflict, breach, default or requirement would not reasonably be expected to have, individually or in the aggregate, a Material Adverse Effect.</w:t>
      </w:r>
    </w:p>
    <w:p>
      <w:pPr>
        <w:spacing w:after="0" w:line="365" w:lineRule="exact"/>
        <w:rPr>
          <w:rFonts w:ascii="Arial" w:cs="Arial" w:eastAsia="Arial" w:hAnsi="Arial"/>
          <w:sz w:val="19"/>
          <w:szCs w:val="19"/>
          <w:color w:val="auto"/>
        </w:rPr>
      </w:pPr>
    </w:p>
    <w:p>
      <w:pPr>
        <w:jc w:val="both"/>
        <w:ind w:firstLine="1304"/>
        <w:spacing w:after="0" w:line="261" w:lineRule="auto"/>
        <w:tabs>
          <w:tab w:leader="none" w:pos="1811" w:val="left"/>
        </w:tabs>
        <w:numPr>
          <w:ilvl w:val="1"/>
          <w:numId w:val="493"/>
        </w:numPr>
        <w:rPr>
          <w:rFonts w:ascii="Arial" w:cs="Arial" w:eastAsia="Arial" w:hAnsi="Arial"/>
          <w:sz w:val="21"/>
          <w:szCs w:val="21"/>
          <w:color w:val="auto"/>
        </w:rPr>
      </w:pPr>
      <w:r>
        <w:rPr>
          <w:rFonts w:ascii="Arial" w:cs="Arial" w:eastAsia="Arial" w:hAnsi="Arial"/>
          <w:sz w:val="21"/>
          <w:szCs w:val="21"/>
          <w:color w:val="auto"/>
        </w:rPr>
        <w:t>No Governmental Authorization, and no notice to or filing with, any Governmental Authority or any other third party is required for the due execution, delivery and performance by, or enforcement against, the Borrower of any Credit Document to which it is a party or any extension of credit hereunder, except for (i) those Governmental Authorizations, notices and filings that have been duly obtained, taken, given or made, as applicable, and are in full force and effect and (ii) those Governmental Authorizations, notices and filings the failure of which to obtain or make would not reasonably be expected to have, individually or in the aggregate, a Material Adverse Effect.</w:t>
      </w:r>
    </w:p>
    <w:p>
      <w:pPr>
        <w:spacing w:after="0" w:line="125" w:lineRule="exact"/>
        <w:rPr>
          <w:rFonts w:ascii="Arial" w:cs="Arial" w:eastAsia="Arial" w:hAnsi="Arial"/>
          <w:sz w:val="21"/>
          <w:szCs w:val="21"/>
          <w:color w:val="auto"/>
        </w:rPr>
      </w:pPr>
    </w:p>
    <w:p>
      <w:pPr>
        <w:jc w:val="both"/>
        <w:ind w:firstLine="1304"/>
        <w:spacing w:after="0" w:line="297" w:lineRule="auto"/>
        <w:tabs>
          <w:tab w:leader="none" w:pos="1811" w:val="left"/>
        </w:tabs>
        <w:numPr>
          <w:ilvl w:val="1"/>
          <w:numId w:val="493"/>
        </w:numPr>
        <w:rPr>
          <w:rFonts w:ascii="Arial" w:cs="Arial" w:eastAsia="Arial" w:hAnsi="Arial"/>
          <w:sz w:val="19"/>
          <w:szCs w:val="19"/>
          <w:color w:val="auto"/>
        </w:rPr>
      </w:pPr>
      <w:r>
        <w:rPr>
          <w:rFonts w:ascii="Arial" w:cs="Arial" w:eastAsia="Arial" w:hAnsi="Arial"/>
          <w:sz w:val="19"/>
          <w:szCs w:val="19"/>
          <w:color w:val="auto"/>
        </w:rPr>
        <w:t>This Agreement has been, and each other Credit Document when delivered hereunder will have been, duly executed and delivered by the Borrower. This Agreement is, and each other Credit Document when delivered hereunder will be, the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92" w:lineRule="exact"/>
        <w:rPr>
          <w:rFonts w:ascii="Arial" w:cs="Arial" w:eastAsia="Arial" w:hAnsi="Arial"/>
          <w:sz w:val="19"/>
          <w:szCs w:val="19"/>
          <w:color w:val="auto"/>
        </w:rPr>
      </w:pPr>
    </w:p>
    <w:p>
      <w:pPr>
        <w:jc w:val="both"/>
        <w:ind w:firstLine="1304"/>
        <w:spacing w:after="0" w:line="265" w:lineRule="auto"/>
        <w:tabs>
          <w:tab w:leader="none" w:pos="1967" w:val="left"/>
        </w:tabs>
        <w:numPr>
          <w:ilvl w:val="1"/>
          <w:numId w:val="493"/>
        </w:numPr>
        <w:rPr>
          <w:rFonts w:ascii="Arial" w:cs="Arial" w:eastAsia="Arial" w:hAnsi="Arial"/>
          <w:sz w:val="21"/>
          <w:szCs w:val="21"/>
          <w:color w:val="auto"/>
        </w:rPr>
      </w:pPr>
      <w:r>
        <w:rPr>
          <w:rFonts w:ascii="Arial" w:cs="Arial" w:eastAsia="Arial" w:hAnsi="Arial"/>
          <w:sz w:val="21"/>
          <w:szCs w:val="21"/>
          <w:color w:val="auto"/>
        </w:rPr>
        <w:t>There is no action, suit, investigation, litigation or proceeding affecting the Borrower or any of its Subsidiaries pending or, to the knowledge of the Borrower, threatened in writing before any Governmental Authority (including FINRA) or arbitrator that (i) has a reasonable probability of being determined adversely and, if determined adversely, would reasonably be expected to have a Material Adverse Effect or (ii) as of the date hereof, purports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942" w:right="339" w:bottom="1440" w:gutter="0" w:footer="0" w:header="0"/>
        </w:sectPr>
      </w:pPr>
    </w:p>
    <w:bookmarkStart w:id="678" w:name="page679"/>
    <w:bookmarkEnd w:id="678"/>
    <w:p>
      <w:pPr>
        <w:spacing w:after="0" w:line="263" w:lineRule="auto"/>
        <w:rPr>
          <w:sz w:val="20"/>
          <w:szCs w:val="20"/>
          <w:color w:val="auto"/>
        </w:rPr>
      </w:pPr>
      <w:r>
        <w:rPr>
          <w:rFonts w:ascii="Arial" w:cs="Arial" w:eastAsia="Arial" w:hAnsi="Arial"/>
          <w:sz w:val="22"/>
          <w:szCs w:val="22"/>
          <w:color w:val="auto"/>
        </w:rPr>
        <w:t>affect the legality, validity or enforceability of any Credit Document or the consummation of the financing transactions evidenced hereby and by the other Credit Documents.</w:t>
      </w:r>
    </w:p>
    <w:p>
      <w:pPr>
        <w:spacing w:after="0" w:line="121" w:lineRule="exact"/>
        <w:rPr>
          <w:sz w:val="20"/>
          <w:szCs w:val="20"/>
          <w:color w:val="auto"/>
        </w:rPr>
      </w:pPr>
    </w:p>
    <w:p>
      <w:pPr>
        <w:jc w:val="both"/>
        <w:ind w:firstLine="1304"/>
        <w:spacing w:after="0" w:line="286" w:lineRule="auto"/>
        <w:tabs>
          <w:tab w:leader="none" w:pos="1892" w:val="left"/>
        </w:tabs>
        <w:numPr>
          <w:ilvl w:val="0"/>
          <w:numId w:val="494"/>
        </w:numPr>
        <w:rPr>
          <w:rFonts w:ascii="Arial" w:cs="Arial" w:eastAsia="Arial" w:hAnsi="Arial"/>
          <w:sz w:val="19"/>
          <w:szCs w:val="19"/>
          <w:color w:val="auto"/>
        </w:rPr>
      </w:pPr>
      <w:r>
        <w:rPr>
          <w:rFonts w:ascii="Arial" w:cs="Arial" w:eastAsia="Arial" w:hAnsi="Arial"/>
          <w:sz w:val="19"/>
          <w:szCs w:val="19"/>
          <w:color w:val="auto"/>
        </w:rPr>
        <w:t>(i) The Annual Audited Report on Form X-17A-5 Part III of the Borrower for the fiscal years ended December 31, 2019, and December 31, 2020, including the audited statement of financial condition, statement of income, statement of cash flow and statement of changes in members’ equity (in each case including the related schedules and notes thereto) accompanied by an unqualified opinion of Ernst &amp; Young LLP, independent public accountants, copies of which have been made available to each Lender, fairly present in all material respects the Consolidated financial condition of the Borrower and its Subsidiaries as at such date and the Consolidated results of operations of the Borrower and its Subsidiaries for the period ended on such date, all in accordance with GAAP applied on a consistent basis (except as approved by the aforementioned firm of accountants and disclosed therein). The unaudited Financial and Operational Combined Uniform Single Reports on Form X-17A-5 of the Borrower as at January 31, 2021 and as at February 28, 2021, including the unaudited statement of financial condition, statement of income, and statement of changes in members’ equity for the fiscal period then ended fairly present in all material respects the Consolidated financial condition of the Borrower and its Subsidiaries as at such date and the Consolidated results of operations of the Borrower and its Subsidiaries for the period ended on such date (subject to normal year end audit adjustments and the absence of footnotes), all in accordance with GAAP applied on a consistent basis (except as approved by the aforementioned firm of accountants and disclosed therein).</w:t>
      </w:r>
    </w:p>
    <w:p>
      <w:pPr>
        <w:spacing w:after="0" w:line="368" w:lineRule="exact"/>
        <w:rPr>
          <w:rFonts w:ascii="Arial" w:cs="Arial" w:eastAsia="Arial" w:hAnsi="Arial"/>
          <w:sz w:val="19"/>
          <w:szCs w:val="19"/>
          <w:color w:val="auto"/>
        </w:rPr>
      </w:pPr>
    </w:p>
    <w:p>
      <w:pPr>
        <w:jc w:val="both"/>
        <w:ind w:left="660" w:firstLine="1292"/>
        <w:spacing w:after="0" w:line="297" w:lineRule="auto"/>
        <w:tabs>
          <w:tab w:leader="none" w:pos="2559" w:val="left"/>
        </w:tabs>
        <w:numPr>
          <w:ilvl w:val="1"/>
          <w:numId w:val="494"/>
        </w:numPr>
        <w:rPr>
          <w:rFonts w:ascii="Arial" w:cs="Arial" w:eastAsia="Arial" w:hAnsi="Arial"/>
          <w:sz w:val="19"/>
          <w:szCs w:val="19"/>
          <w:color w:val="auto"/>
        </w:rPr>
      </w:pPr>
      <w:r>
        <w:rPr>
          <w:rFonts w:ascii="Arial" w:cs="Arial" w:eastAsia="Arial" w:hAnsi="Arial"/>
          <w:sz w:val="19"/>
          <w:szCs w:val="19"/>
          <w:color w:val="auto"/>
        </w:rPr>
        <w:t>The Borrower’s Consolidated FOCUS-II Reports for each fiscal quarter of the fiscal year ended December 31, 2020, copies of which have been made available to each Lender, fairly present in all material respects the Consolidated financial condition of the Borrower and its Subsidiaries as at such date and the Consolidated results of operations of the Borrower and its Subsidiaries for the period ended on such date, all in accordance with GAAP applied on a consistent basis (except as approved by the aforementioned firm of accountants and disclosed therein).</w:t>
      </w:r>
    </w:p>
    <w:p>
      <w:pPr>
        <w:spacing w:after="0" w:line="92" w:lineRule="exact"/>
        <w:rPr>
          <w:rFonts w:ascii="Arial" w:cs="Arial" w:eastAsia="Arial" w:hAnsi="Arial"/>
          <w:sz w:val="19"/>
          <w:szCs w:val="19"/>
          <w:color w:val="auto"/>
        </w:rPr>
      </w:pPr>
    </w:p>
    <w:p>
      <w:pPr>
        <w:ind w:left="660" w:firstLine="1292"/>
        <w:spacing w:after="0" w:line="287" w:lineRule="auto"/>
        <w:tabs>
          <w:tab w:leader="none" w:pos="2499" w:val="left"/>
        </w:tabs>
        <w:numPr>
          <w:ilvl w:val="1"/>
          <w:numId w:val="494"/>
        </w:numPr>
        <w:rPr>
          <w:rFonts w:ascii="Arial" w:cs="Arial" w:eastAsia="Arial" w:hAnsi="Arial"/>
          <w:sz w:val="21"/>
          <w:szCs w:val="21"/>
          <w:color w:val="auto"/>
        </w:rPr>
      </w:pPr>
      <w:r>
        <w:rPr>
          <w:rFonts w:ascii="Arial" w:cs="Arial" w:eastAsia="Arial" w:hAnsi="Arial"/>
          <w:sz w:val="21"/>
          <w:szCs w:val="21"/>
          <w:color w:val="auto"/>
        </w:rPr>
        <w:t>Since December 31, 2020, no event, change or condition has occurred and is continuing that has had, or would reasonably be expected to have, a Material Adverse Effect with respect to the Borrower.</w:t>
      </w:r>
    </w:p>
    <w:p>
      <w:pPr>
        <w:spacing w:after="0" w:line="97" w:lineRule="exact"/>
        <w:rPr>
          <w:rFonts w:ascii="Arial" w:cs="Arial" w:eastAsia="Arial" w:hAnsi="Arial"/>
          <w:sz w:val="21"/>
          <w:szCs w:val="21"/>
          <w:color w:val="auto"/>
        </w:rPr>
      </w:pPr>
    </w:p>
    <w:p>
      <w:pPr>
        <w:jc w:val="both"/>
        <w:ind w:firstLine="1304"/>
        <w:spacing w:after="0" w:line="247" w:lineRule="auto"/>
        <w:tabs>
          <w:tab w:leader="none" w:pos="1860" w:val="left"/>
        </w:tabs>
        <w:numPr>
          <w:ilvl w:val="0"/>
          <w:numId w:val="494"/>
        </w:numPr>
        <w:rPr>
          <w:rFonts w:ascii="Arial" w:cs="Arial" w:eastAsia="Arial" w:hAnsi="Arial"/>
          <w:sz w:val="22"/>
          <w:szCs w:val="22"/>
          <w:color w:val="auto"/>
        </w:rPr>
      </w:pPr>
      <w:r>
        <w:rPr>
          <w:rFonts w:ascii="Arial" w:cs="Arial" w:eastAsia="Arial" w:hAnsi="Arial"/>
          <w:sz w:val="22"/>
          <w:szCs w:val="22"/>
          <w:color w:val="auto"/>
        </w:rPr>
        <w:t>The Borrower and each Broker-Dealer Subsidiary that (i) is a Domestic Subsidiary is a member in good standing of FINRA and is duly registered as a broker-dealer with the SEC and in each state where the conduct of a material portion of its business requires such registration and (ii) is not a Domestic Subsidiary is duly registered as a broker-dealer with the applicable governing body where the conduct of its business requires such registration. The Borrower is not subject to regulation under any Requirement of Law (other than Regulation X of the Board) that limits its ability to borrow Loans under the provisions hereof.</w:t>
      </w:r>
    </w:p>
    <w:p>
      <w:pPr>
        <w:spacing w:after="0" w:line="138" w:lineRule="exact"/>
        <w:rPr>
          <w:rFonts w:ascii="Arial" w:cs="Arial" w:eastAsia="Arial" w:hAnsi="Arial"/>
          <w:sz w:val="22"/>
          <w:szCs w:val="22"/>
          <w:color w:val="auto"/>
        </w:rPr>
      </w:pPr>
    </w:p>
    <w:p>
      <w:pPr>
        <w:jc w:val="both"/>
        <w:ind w:firstLine="1304"/>
        <w:spacing w:after="0" w:line="265" w:lineRule="auto"/>
        <w:tabs>
          <w:tab w:leader="none" w:pos="1798" w:val="left"/>
        </w:tabs>
        <w:numPr>
          <w:ilvl w:val="0"/>
          <w:numId w:val="494"/>
        </w:numPr>
        <w:rPr>
          <w:rFonts w:ascii="Arial" w:cs="Arial" w:eastAsia="Arial" w:hAnsi="Arial"/>
          <w:sz w:val="21"/>
          <w:szCs w:val="21"/>
          <w:color w:val="auto"/>
        </w:rPr>
      </w:pPr>
      <w:r>
        <w:rPr>
          <w:rFonts w:ascii="Arial" w:cs="Arial" w:eastAsia="Arial" w:hAnsi="Arial"/>
          <w:sz w:val="21"/>
          <w:szCs w:val="21"/>
          <w:color w:val="auto"/>
        </w:rPr>
        <w:t>The reports, financial statements, certificates or other written information, other than projections, pro forma financial information, financial estimates, forecasts, forward-looking information and information of a general economic or general industry nature, made available to the Administrative Agent, any Lead Arranger or any Lender by the Borrower or any of its representatives on the Borrower’s behalf in connection with the transactions contemplated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942" w:right="339" w:bottom="1440" w:gutter="0" w:footer="0" w:header="0"/>
        </w:sectPr>
      </w:pPr>
    </w:p>
    <w:bookmarkStart w:id="679" w:name="page680"/>
    <w:bookmarkEnd w:id="679"/>
    <w:p>
      <w:pPr>
        <w:jc w:val="both"/>
        <w:spacing w:after="0" w:line="265" w:lineRule="auto"/>
        <w:rPr>
          <w:sz w:val="20"/>
          <w:szCs w:val="20"/>
          <w:color w:val="auto"/>
        </w:rPr>
      </w:pPr>
      <w:r>
        <w:rPr>
          <w:rFonts w:ascii="Arial" w:cs="Arial" w:eastAsia="Arial" w:hAnsi="Arial"/>
          <w:sz w:val="21"/>
          <w:szCs w:val="21"/>
          <w:color w:val="auto"/>
        </w:rPr>
        <w:t>hereby on or prior to the date that was one Business Day prior to the Effective Date do not (as of the date so furnished and taken as a whole and giving effect to any supplements and updates thereto) contain any untrue statement of a material fact or omit to state a material fact necessary in order to make the statements contained therein, taken as a whole, not materially misleading in light of the circumstances under which such statements were made.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166" w:lineRule="exact"/>
        <w:rPr>
          <w:sz w:val="20"/>
          <w:szCs w:val="20"/>
          <w:color w:val="auto"/>
        </w:rPr>
      </w:pPr>
    </w:p>
    <w:p>
      <w:pPr>
        <w:ind w:left="660" w:right="20" w:firstLine="1292"/>
        <w:spacing w:after="0" w:line="263" w:lineRule="auto"/>
        <w:tabs>
          <w:tab w:leader="none" w:pos="2398" w:val="left"/>
        </w:tabs>
        <w:numPr>
          <w:ilvl w:val="1"/>
          <w:numId w:val="495"/>
        </w:numPr>
        <w:rPr>
          <w:rFonts w:ascii="Arial" w:cs="Arial" w:eastAsia="Arial" w:hAnsi="Arial"/>
          <w:sz w:val="22"/>
          <w:szCs w:val="22"/>
          <w:color w:val="auto"/>
        </w:rPr>
      </w:pPr>
      <w:r>
        <w:rPr>
          <w:rFonts w:ascii="Arial" w:cs="Arial" w:eastAsia="Arial" w:hAnsi="Arial"/>
          <w:sz w:val="22"/>
          <w:szCs w:val="22"/>
          <w:color w:val="auto"/>
        </w:rPr>
        <w:t>No proceeds of any Loan will be used for any purpose that violates the provisions of Regulation T, U or X, as in effect from time to time;</w:t>
      </w:r>
    </w:p>
    <w:p>
      <w:pPr>
        <w:spacing w:after="0" w:line="120" w:lineRule="exact"/>
        <w:rPr>
          <w:rFonts w:ascii="Arial" w:cs="Arial" w:eastAsia="Arial" w:hAnsi="Arial"/>
          <w:sz w:val="22"/>
          <w:szCs w:val="22"/>
          <w:color w:val="auto"/>
        </w:rPr>
      </w:pPr>
    </w:p>
    <w:p>
      <w:pPr>
        <w:jc w:val="both"/>
        <w:ind w:left="660" w:firstLine="1292"/>
        <w:spacing w:after="0" w:line="253" w:lineRule="auto"/>
        <w:tabs>
          <w:tab w:leader="none" w:pos="2468" w:val="left"/>
        </w:tabs>
        <w:numPr>
          <w:ilvl w:val="1"/>
          <w:numId w:val="495"/>
        </w:numPr>
        <w:rPr>
          <w:rFonts w:ascii="Arial" w:cs="Arial" w:eastAsia="Arial" w:hAnsi="Arial"/>
          <w:sz w:val="22"/>
          <w:szCs w:val="22"/>
          <w:color w:val="auto"/>
        </w:rPr>
      </w:pPr>
      <w:r>
        <w:rPr>
          <w:rFonts w:ascii="Arial" w:cs="Arial" w:eastAsia="Arial" w:hAnsi="Arial"/>
          <w:sz w:val="22"/>
          <w:szCs w:val="22"/>
          <w:color w:val="auto"/>
        </w:rPr>
        <w:t>The Borrower is an “exempted borrower” within the meaning of such quoted term under Regulation U, and no part of the proceeds of any Loans, and no other extensions of credit hereunder, will be used for any purpose that violates the provisions of the Regulations of the Board; and</w:t>
      </w:r>
    </w:p>
    <w:p>
      <w:pPr>
        <w:spacing w:after="0" w:line="131" w:lineRule="exact"/>
        <w:rPr>
          <w:rFonts w:ascii="Arial" w:cs="Arial" w:eastAsia="Arial" w:hAnsi="Arial"/>
          <w:sz w:val="22"/>
          <w:szCs w:val="22"/>
          <w:color w:val="auto"/>
        </w:rPr>
      </w:pPr>
    </w:p>
    <w:p>
      <w:pPr>
        <w:jc w:val="both"/>
        <w:ind w:left="660" w:firstLine="1292"/>
        <w:spacing w:after="0" w:line="289" w:lineRule="auto"/>
        <w:tabs>
          <w:tab w:leader="none" w:pos="2532" w:val="left"/>
        </w:tabs>
        <w:numPr>
          <w:ilvl w:val="1"/>
          <w:numId w:val="495"/>
        </w:numPr>
        <w:rPr>
          <w:rFonts w:ascii="Arial" w:cs="Arial" w:eastAsia="Arial" w:hAnsi="Arial"/>
          <w:sz w:val="19"/>
          <w:szCs w:val="19"/>
          <w:color w:val="auto"/>
        </w:rPr>
      </w:pPr>
      <w:r>
        <w:rPr>
          <w:rFonts w:ascii="Arial" w:cs="Arial" w:eastAsia="Arial" w:hAnsi="Arial"/>
          <w:sz w:val="19"/>
          <w:szCs w:val="19"/>
          <w:color w:val="auto"/>
        </w:rPr>
        <w:t>The Borrower shall use the proceeds of the Loans solely (A) to finance customer margin loans, (B) to fund clearing fund NSCC Margin Deposits requirements, (C) to address funding needs resulting from Rule 15c3-3 timing differences (including to avoid adding a “credit” for purposes of the Reserve Formula), (D) to facilitate settlements of securities of customers of the Borrower, (E) for financing the return of deposits received in connection with securities lending transactions, (F) to repay loans borrowed against customer re-hypothecated securities, (G) to meet liquidity needs associated with customer buying activity or customer withdrawal of credit balances and (H) to repay advances made, directly or indirectly, by Holdco with proceeds of loans or other extensions of credit under the Holdco Credit Agreement, in each case to the extent such loans or other extensions of credit under the Holdco Credit Agreement were used for a purpose described in the foregoing clauses (A) through (G).</w:t>
      </w:r>
    </w:p>
    <w:p>
      <w:pPr>
        <w:spacing w:after="0" w:line="102" w:lineRule="exact"/>
        <w:rPr>
          <w:rFonts w:ascii="Arial" w:cs="Arial" w:eastAsia="Arial" w:hAnsi="Arial"/>
          <w:sz w:val="19"/>
          <w:szCs w:val="19"/>
          <w:color w:val="auto"/>
        </w:rPr>
      </w:pPr>
    </w:p>
    <w:p>
      <w:pPr>
        <w:ind w:firstLine="1304"/>
        <w:spacing w:after="0" w:line="263" w:lineRule="auto"/>
        <w:tabs>
          <w:tab w:leader="none" w:pos="1781" w:val="left"/>
        </w:tabs>
        <w:numPr>
          <w:ilvl w:val="0"/>
          <w:numId w:val="496"/>
        </w:numPr>
        <w:rPr>
          <w:rFonts w:ascii="Arial" w:cs="Arial" w:eastAsia="Arial" w:hAnsi="Arial"/>
          <w:sz w:val="22"/>
          <w:szCs w:val="22"/>
          <w:color w:val="auto"/>
        </w:rPr>
      </w:pPr>
      <w:r>
        <w:rPr>
          <w:rFonts w:ascii="Arial" w:cs="Arial" w:eastAsia="Arial" w:hAnsi="Arial"/>
          <w:sz w:val="22"/>
          <w:szCs w:val="22"/>
          <w:color w:val="auto"/>
        </w:rPr>
        <w:t>The Borrower is not, nor is the Borrower required to be, registered as an “investment company” under the Investment Company Act of 1940, as amended.</w:t>
      </w:r>
    </w:p>
    <w:p>
      <w:pPr>
        <w:spacing w:after="0" w:line="120" w:lineRule="exact"/>
        <w:rPr>
          <w:rFonts w:ascii="Arial" w:cs="Arial" w:eastAsia="Arial" w:hAnsi="Arial"/>
          <w:sz w:val="22"/>
          <w:szCs w:val="22"/>
          <w:color w:val="auto"/>
        </w:rPr>
      </w:pPr>
    </w:p>
    <w:p>
      <w:pPr>
        <w:ind w:right="20" w:firstLine="1304"/>
        <w:spacing w:after="0" w:line="263" w:lineRule="auto"/>
        <w:tabs>
          <w:tab w:leader="none" w:pos="1779" w:val="left"/>
        </w:tabs>
        <w:numPr>
          <w:ilvl w:val="0"/>
          <w:numId w:val="496"/>
        </w:numPr>
        <w:rPr>
          <w:rFonts w:ascii="Arial" w:cs="Arial" w:eastAsia="Arial" w:hAnsi="Arial"/>
          <w:sz w:val="22"/>
          <w:szCs w:val="22"/>
          <w:color w:val="auto"/>
        </w:rPr>
      </w:pPr>
      <w:r>
        <w:rPr>
          <w:rFonts w:ascii="Arial" w:cs="Arial" w:eastAsia="Arial" w:hAnsi="Arial"/>
          <w:sz w:val="22"/>
          <w:szCs w:val="22"/>
          <w:color w:val="auto"/>
        </w:rPr>
        <w:t>(i) No ERISA Event has occurred or is reasonably expected to occur which would reasonably be expected to result in a Material Adverse Effect.</w:t>
      </w:r>
    </w:p>
    <w:p>
      <w:pPr>
        <w:spacing w:after="0" w:line="120" w:lineRule="exact"/>
        <w:rPr>
          <w:rFonts w:ascii="Arial" w:cs="Arial" w:eastAsia="Arial" w:hAnsi="Arial"/>
          <w:sz w:val="22"/>
          <w:szCs w:val="22"/>
          <w:color w:val="auto"/>
        </w:rPr>
      </w:pPr>
    </w:p>
    <w:p>
      <w:pPr>
        <w:jc w:val="both"/>
        <w:ind w:left="660" w:firstLine="1292"/>
        <w:spacing w:after="0" w:line="250" w:lineRule="auto"/>
        <w:tabs>
          <w:tab w:leader="none" w:pos="2535" w:val="left"/>
        </w:tabs>
        <w:numPr>
          <w:ilvl w:val="1"/>
          <w:numId w:val="496"/>
        </w:numPr>
        <w:rPr>
          <w:rFonts w:ascii="Arial" w:cs="Arial" w:eastAsia="Arial" w:hAnsi="Arial"/>
          <w:sz w:val="22"/>
          <w:szCs w:val="22"/>
          <w:color w:val="auto"/>
        </w:rPr>
      </w:pPr>
      <w:r>
        <w:rPr>
          <w:rFonts w:ascii="Arial" w:cs="Arial" w:eastAsia="Arial" w:hAnsi="Arial"/>
          <w:sz w:val="22"/>
          <w:szCs w:val="22"/>
          <w:color w:val="auto"/>
        </w:rPr>
        <w:t>Schedule B (Actuarial Information) to the most recent annual report (Form 5500 Series) for each Single Employer Plan, copies of which have been filed with the IRS and will be made available to the Lenders upon a written request to the Borrower, is complete and accurate in all material respects and fairly presents the funding status of such Single Employer Plan as of the date specified in such filing.</w:t>
      </w:r>
    </w:p>
    <w:p>
      <w:pPr>
        <w:spacing w:after="0" w:line="133" w:lineRule="exact"/>
        <w:rPr>
          <w:rFonts w:ascii="Arial" w:cs="Arial" w:eastAsia="Arial" w:hAnsi="Arial"/>
          <w:sz w:val="22"/>
          <w:szCs w:val="22"/>
          <w:color w:val="auto"/>
        </w:rPr>
      </w:pPr>
    </w:p>
    <w:p>
      <w:pPr>
        <w:ind w:left="660" w:firstLine="1292"/>
        <w:spacing w:after="0" w:line="263" w:lineRule="auto"/>
        <w:tabs>
          <w:tab w:leader="none" w:pos="2666" w:val="left"/>
        </w:tabs>
        <w:numPr>
          <w:ilvl w:val="1"/>
          <w:numId w:val="496"/>
        </w:numPr>
        <w:rPr>
          <w:rFonts w:ascii="Arial" w:cs="Arial" w:eastAsia="Arial" w:hAnsi="Arial"/>
          <w:sz w:val="22"/>
          <w:szCs w:val="22"/>
          <w:color w:val="auto"/>
        </w:rPr>
      </w:pPr>
      <w:r>
        <w:rPr>
          <w:rFonts w:ascii="Arial" w:cs="Arial" w:eastAsia="Arial" w:hAnsi="Arial"/>
          <w:sz w:val="22"/>
          <w:szCs w:val="22"/>
          <w:color w:val="auto"/>
        </w:rPr>
        <w:t>None of the Borrower, any Subsidiary or any ERISA Affiliate has contributed or has had an obligation to contribute to any Multiemployer Plan.</w:t>
      </w:r>
    </w:p>
    <w:p>
      <w:pPr>
        <w:spacing w:after="0" w:line="120" w:lineRule="exact"/>
        <w:rPr>
          <w:rFonts w:ascii="Arial" w:cs="Arial" w:eastAsia="Arial" w:hAnsi="Arial"/>
          <w:sz w:val="22"/>
          <w:szCs w:val="22"/>
          <w:color w:val="auto"/>
        </w:rPr>
      </w:pPr>
    </w:p>
    <w:p>
      <w:pPr>
        <w:jc w:val="both"/>
        <w:ind w:firstLine="1304"/>
        <w:spacing w:after="0" w:line="312" w:lineRule="auto"/>
        <w:tabs>
          <w:tab w:leader="none" w:pos="1862" w:val="left"/>
        </w:tabs>
        <w:numPr>
          <w:ilvl w:val="0"/>
          <w:numId w:val="496"/>
        </w:numPr>
        <w:rPr>
          <w:rFonts w:ascii="Arial" w:cs="Arial" w:eastAsia="Arial" w:hAnsi="Arial"/>
          <w:sz w:val="19"/>
          <w:szCs w:val="19"/>
          <w:color w:val="auto"/>
        </w:rPr>
      </w:pPr>
      <w:r>
        <w:rPr>
          <w:rFonts w:ascii="Arial" w:cs="Arial" w:eastAsia="Arial" w:hAnsi="Arial"/>
          <w:sz w:val="19"/>
          <w:szCs w:val="19"/>
          <w:color w:val="auto"/>
        </w:rPr>
        <w:t>Except, in each case, as would not reasonably be expected to have, individually or in the aggregate, a Material Adverse Effect, (i) the operations and properties of the Borrower and each of its Subsidiaries comply with all applicable Environmental Laws and Environmental Permits; and (ii) neither the Borrower nor any of its Subsidiaries has become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942" w:right="339" w:bottom="1440" w:gutter="0" w:footer="0" w:header="0"/>
        </w:sectPr>
      </w:pPr>
    </w:p>
    <w:bookmarkStart w:id="680" w:name="page681"/>
    <w:bookmarkEnd w:id="680"/>
    <w:p>
      <w:pPr>
        <w:spacing w:after="0" w:line="263" w:lineRule="auto"/>
        <w:rPr>
          <w:sz w:val="20"/>
          <w:szCs w:val="20"/>
          <w:color w:val="auto"/>
        </w:rPr>
      </w:pPr>
      <w:r>
        <w:rPr>
          <w:rFonts w:ascii="Arial" w:cs="Arial" w:eastAsia="Arial" w:hAnsi="Arial"/>
          <w:sz w:val="22"/>
          <w:szCs w:val="22"/>
          <w:color w:val="auto"/>
        </w:rPr>
        <w:t>subject to, has received notice of any claim with respect to, or knows of any fact, event or circumstance that would reasonably be expected to result in Environmental Liability.</w:t>
      </w:r>
    </w:p>
    <w:p>
      <w:pPr>
        <w:spacing w:after="0" w:line="121" w:lineRule="exact"/>
        <w:rPr>
          <w:sz w:val="20"/>
          <w:szCs w:val="20"/>
          <w:color w:val="auto"/>
        </w:rPr>
      </w:pPr>
    </w:p>
    <w:p>
      <w:pPr>
        <w:jc w:val="both"/>
        <w:ind w:firstLine="1304"/>
        <w:spacing w:after="0" w:line="260" w:lineRule="auto"/>
        <w:tabs>
          <w:tab w:leader="none" w:pos="1833" w:val="left"/>
        </w:tabs>
        <w:numPr>
          <w:ilvl w:val="0"/>
          <w:numId w:val="497"/>
        </w:numPr>
        <w:rPr>
          <w:rFonts w:ascii="Arial" w:cs="Arial" w:eastAsia="Arial" w:hAnsi="Arial"/>
          <w:sz w:val="21"/>
          <w:szCs w:val="21"/>
          <w:color w:val="auto"/>
        </w:rPr>
      </w:pPr>
      <w:r>
        <w:rPr>
          <w:rFonts w:ascii="Arial" w:cs="Arial" w:eastAsia="Arial" w:hAnsi="Arial"/>
          <w:sz w:val="21"/>
          <w:szCs w:val="21"/>
          <w:color w:val="auto"/>
        </w:rPr>
        <w:t>The Borrower is a single member limited liability company, which is treated as a disregarded entity for U.S. federal income tax purposes. All tax effects of the Borrower’s income or loss are included in the tax returns of Holdco and, except, in each case, as would not reasonably be expected to have, individually or in the aggregate, a Material Adverse Effect, the Borrower, Holdco and each of their respective Subsidiaries (i) has filed, has caused to be filed or has been included in all federal and state and other Tax returns required to be filed by it and (ii) has paid all Taxes due, except for Taxes that are being contested in good faith by appropriate proceedings and for which the Borrower, Holdco or such Subsidiary, as applicable, has set aside on its books adequate reserves.</w:t>
      </w:r>
    </w:p>
    <w:p>
      <w:pPr>
        <w:spacing w:after="0" w:line="126" w:lineRule="exact"/>
        <w:rPr>
          <w:rFonts w:ascii="Arial" w:cs="Arial" w:eastAsia="Arial" w:hAnsi="Arial"/>
          <w:sz w:val="21"/>
          <w:szCs w:val="21"/>
          <w:color w:val="auto"/>
        </w:rPr>
      </w:pPr>
    </w:p>
    <w:p>
      <w:pPr>
        <w:ind w:firstLine="1304"/>
        <w:spacing w:after="0" w:line="263" w:lineRule="auto"/>
        <w:tabs>
          <w:tab w:leader="none" w:pos="1776" w:val="left"/>
        </w:tabs>
        <w:numPr>
          <w:ilvl w:val="0"/>
          <w:numId w:val="497"/>
        </w:numPr>
        <w:rPr>
          <w:rFonts w:ascii="Arial" w:cs="Arial" w:eastAsia="Arial" w:hAnsi="Arial"/>
          <w:sz w:val="22"/>
          <w:szCs w:val="22"/>
          <w:color w:val="auto"/>
        </w:rPr>
      </w:pPr>
      <w:r>
        <w:rPr>
          <w:rFonts w:ascii="Arial" w:cs="Arial" w:eastAsia="Arial" w:hAnsi="Arial"/>
          <w:sz w:val="22"/>
          <w:szCs w:val="22"/>
          <w:color w:val="auto"/>
        </w:rPr>
        <w:t>The Borrower maintains procedures and internal controls reasonably designed to ensure compliance with the provisions of Regulation T.</w:t>
      </w:r>
    </w:p>
    <w:p>
      <w:pPr>
        <w:spacing w:after="0" w:line="120" w:lineRule="exact"/>
        <w:rPr>
          <w:rFonts w:ascii="Arial" w:cs="Arial" w:eastAsia="Arial" w:hAnsi="Arial"/>
          <w:sz w:val="22"/>
          <w:szCs w:val="22"/>
          <w:color w:val="auto"/>
        </w:rPr>
      </w:pPr>
    </w:p>
    <w:p>
      <w:pPr>
        <w:jc w:val="both"/>
        <w:ind w:firstLine="1304"/>
        <w:spacing w:after="0" w:line="289" w:lineRule="auto"/>
        <w:tabs>
          <w:tab w:leader="none" w:pos="1897" w:val="left"/>
        </w:tabs>
        <w:numPr>
          <w:ilvl w:val="0"/>
          <w:numId w:val="497"/>
        </w:numPr>
        <w:rPr>
          <w:rFonts w:ascii="Arial" w:cs="Arial" w:eastAsia="Arial" w:hAnsi="Arial"/>
          <w:sz w:val="19"/>
          <w:szCs w:val="19"/>
          <w:color w:val="auto"/>
        </w:rPr>
      </w:pPr>
      <w:r>
        <w:rPr>
          <w:rFonts w:ascii="Arial" w:cs="Arial" w:eastAsia="Arial" w:hAnsi="Arial"/>
          <w:sz w:val="19"/>
          <w:szCs w:val="19"/>
          <w:color w:val="auto"/>
        </w:rPr>
        <w:t>The Borrower has implemented and maintains in effect policies and procedures reasonably designed to ensure compliance by the Borrower, its Subsidiaries and their respective directors, officers, employees and agents with applicable Anti-Corruption/Anti-Money Laundering Laws and applicable Sanctions, and the Borrower, its Subsidiaries and their respective officers and directors and, to the knowledge of the Borrower, its employees and agents, are in compliance with applicable Anti-Corruption/Anti-Money Laundering Laws and applicable Sanctions in all material respects. None of (i) the Borrower, any of its Subsidiaries, any of their respective directors or officers or employees, or (ii) to the knowledge of the Borrower, any agent of the Borrower or any of its Subsidiaries that will act in any capacity in connection with or benefit from the credit facility established hereby, is a Sanctioned Person. The Borrower will not directly or indirectly use proceeds of any Loan in a manner that will violate any applicable Anti-Corruption/Anti-Money Laundering Laws or applicable Sanctions.</w:t>
      </w:r>
    </w:p>
    <w:p>
      <w:pPr>
        <w:spacing w:after="0" w:line="102" w:lineRule="exact"/>
        <w:rPr>
          <w:rFonts w:ascii="Arial" w:cs="Arial" w:eastAsia="Arial" w:hAnsi="Arial"/>
          <w:sz w:val="19"/>
          <w:szCs w:val="19"/>
          <w:color w:val="auto"/>
        </w:rPr>
      </w:pPr>
    </w:p>
    <w:p>
      <w:pPr>
        <w:ind w:left="1760" w:hanging="456"/>
        <w:spacing w:after="0"/>
        <w:tabs>
          <w:tab w:leader="none" w:pos="1760" w:val="left"/>
        </w:tabs>
        <w:numPr>
          <w:ilvl w:val="0"/>
          <w:numId w:val="497"/>
        </w:numPr>
        <w:rPr>
          <w:rFonts w:ascii="Arial" w:cs="Arial" w:eastAsia="Arial" w:hAnsi="Arial"/>
          <w:sz w:val="22"/>
          <w:szCs w:val="22"/>
          <w:color w:val="auto"/>
        </w:rPr>
      </w:pPr>
      <w:r>
        <w:rPr>
          <w:rFonts w:ascii="Arial" w:cs="Arial" w:eastAsia="Arial" w:hAnsi="Arial"/>
          <w:sz w:val="22"/>
          <w:szCs w:val="22"/>
          <w:color w:val="auto"/>
        </w:rPr>
        <w:t>The Borrower is not an Affected Financial Institution.</w:t>
      </w:r>
    </w:p>
    <w:p>
      <w:pPr>
        <w:spacing w:after="0" w:line="165" w:lineRule="exact"/>
        <w:rPr>
          <w:rFonts w:ascii="Arial" w:cs="Arial" w:eastAsia="Arial" w:hAnsi="Arial"/>
          <w:sz w:val="22"/>
          <w:szCs w:val="22"/>
          <w:color w:val="auto"/>
        </w:rPr>
      </w:pPr>
    </w:p>
    <w:p>
      <w:pPr>
        <w:ind w:firstLine="1304"/>
        <w:spacing w:after="0" w:line="263" w:lineRule="auto"/>
        <w:tabs>
          <w:tab w:leader="none" w:pos="1806" w:val="left"/>
        </w:tabs>
        <w:numPr>
          <w:ilvl w:val="0"/>
          <w:numId w:val="497"/>
        </w:numPr>
        <w:rPr>
          <w:rFonts w:ascii="Arial" w:cs="Arial" w:eastAsia="Arial" w:hAnsi="Arial"/>
          <w:sz w:val="22"/>
          <w:szCs w:val="22"/>
          <w:color w:val="auto"/>
        </w:rPr>
      </w:pPr>
      <w:r>
        <w:rPr>
          <w:rFonts w:ascii="Arial" w:cs="Arial" w:eastAsia="Arial" w:hAnsi="Arial"/>
          <w:sz w:val="22"/>
          <w:szCs w:val="22"/>
          <w:color w:val="auto"/>
        </w:rPr>
        <w:t>After giving effect to the Transactions, and the incurrence of any Obligations hereunder from time to time, the Borrower and its Subsidiaries on a Consolidated basis are Solvent.</w:t>
      </w:r>
    </w:p>
    <w:p>
      <w:pPr>
        <w:spacing w:after="0" w:line="120" w:lineRule="exact"/>
        <w:rPr>
          <w:rFonts w:ascii="Arial" w:cs="Arial" w:eastAsia="Arial" w:hAnsi="Arial"/>
          <w:sz w:val="22"/>
          <w:szCs w:val="22"/>
          <w:color w:val="auto"/>
        </w:rPr>
      </w:pPr>
    </w:p>
    <w:p>
      <w:pPr>
        <w:jc w:val="both"/>
        <w:ind w:firstLine="1304"/>
        <w:spacing w:after="0" w:line="253" w:lineRule="auto"/>
        <w:tabs>
          <w:tab w:leader="none" w:pos="1851" w:val="left"/>
        </w:tabs>
        <w:numPr>
          <w:ilvl w:val="0"/>
          <w:numId w:val="497"/>
        </w:numPr>
        <w:rPr>
          <w:rFonts w:ascii="Arial" w:cs="Arial" w:eastAsia="Arial" w:hAnsi="Arial"/>
          <w:sz w:val="22"/>
          <w:szCs w:val="22"/>
          <w:color w:val="auto"/>
        </w:rPr>
      </w:pPr>
      <w:r>
        <w:rPr>
          <w:rFonts w:ascii="Arial" w:cs="Arial" w:eastAsia="Arial" w:hAnsi="Arial"/>
          <w:sz w:val="22"/>
          <w:szCs w:val="22"/>
          <w:color w:val="auto"/>
        </w:rPr>
        <w:t>As of the Effective Date, to the knowledge of the Borrower, the information included in the Beneficial Ownership Certification provided on or prior to the Effective Date to any Lender in connection with this Agreement is true and correct in all respects.</w:t>
      </w:r>
    </w:p>
    <w:p>
      <w:pPr>
        <w:spacing w:after="0" w:line="131" w:lineRule="exact"/>
        <w:rPr>
          <w:rFonts w:ascii="Arial" w:cs="Arial" w:eastAsia="Arial" w:hAnsi="Arial"/>
          <w:sz w:val="22"/>
          <w:szCs w:val="22"/>
          <w:color w:val="auto"/>
        </w:rPr>
      </w:pPr>
    </w:p>
    <w:p>
      <w:pPr>
        <w:jc w:val="both"/>
        <w:ind w:firstLine="1304"/>
        <w:spacing w:after="0" w:line="294" w:lineRule="auto"/>
        <w:tabs>
          <w:tab w:leader="none" w:pos="1826" w:val="left"/>
        </w:tabs>
        <w:numPr>
          <w:ilvl w:val="0"/>
          <w:numId w:val="497"/>
        </w:numPr>
        <w:rPr>
          <w:rFonts w:ascii="Arial" w:cs="Arial" w:eastAsia="Arial" w:hAnsi="Arial"/>
          <w:sz w:val="19"/>
          <w:szCs w:val="19"/>
          <w:color w:val="auto"/>
        </w:rPr>
      </w:pPr>
      <w:r>
        <w:rPr>
          <w:rFonts w:ascii="Arial" w:cs="Arial" w:eastAsia="Arial" w:hAnsi="Arial"/>
          <w:sz w:val="19"/>
          <w:szCs w:val="19"/>
          <w:color w:val="auto"/>
        </w:rPr>
        <w:t>The Security Agreement is effective to create in favor of the Administrative Agent, for the benefit of the Lenders, a legal, valid and enforceable security interest in the Collateral described therein and proceeds thereof. In the case of the Collateral described in the Security Agreement, when financing statements and other filings specified on Schedule 3.01(s) in appropriate form are filed in the offices specified on Schedule 3.01(s), the Security Agreement shall create a fully perfected Lien on, and security interest in, all right, title and interest of the Borrower in such Collateral and the proceeds thereof, as security for the Obligations (as defined in the Security Agreement), in each case to the extent perfection can be obtained by filing Uniform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942" w:right="339" w:bottom="1440" w:gutter="0" w:footer="0" w:header="0"/>
        </w:sectPr>
      </w:pPr>
    </w:p>
    <w:bookmarkStart w:id="681" w:name="page682"/>
    <w:bookmarkEnd w:id="681"/>
    <w:p>
      <w:pPr>
        <w:jc w:val="both"/>
        <w:spacing w:after="0" w:line="247" w:lineRule="auto"/>
        <w:rPr>
          <w:sz w:val="20"/>
          <w:szCs w:val="20"/>
          <w:color w:val="auto"/>
        </w:rPr>
      </w:pPr>
      <w:r>
        <w:rPr>
          <w:rFonts w:ascii="Arial" w:cs="Arial" w:eastAsia="Arial" w:hAnsi="Arial"/>
          <w:sz w:val="22"/>
          <w:szCs w:val="22"/>
          <w:color w:val="auto"/>
        </w:rPr>
        <w:t>Commercial Code financing statements or such other filings specified on Schedule 3.01(s)), in each case prior and superior in right to any other person (other than Permitted Collateral Liens). In the case of the Collateral described in the Security Agreement a Lien on which can be perfected by control, when the Administrative Agent has control of such Collateral, the Security Agreement shall create a fully perfected Lien on, and security interest in such Collateral and the proceeds thereof, in each case prior and superior in right to any other Person (except for Permitted Collateral Liens), except to the extent otherwise provided in the Uniform Commercial Code.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Agreement and the obligations of the Lenders to make Loans hereunder shall not become effective until the date on which each of the following conditions is satisfied (or waived in accordance with Section 9.02):</w:t>
      </w:r>
    </w:p>
    <w:p>
      <w:pPr>
        <w:spacing w:after="0" w:line="131" w:lineRule="exact"/>
        <w:rPr>
          <w:sz w:val="20"/>
          <w:szCs w:val="20"/>
          <w:color w:val="auto"/>
        </w:rPr>
      </w:pPr>
    </w:p>
    <w:p>
      <w:pPr>
        <w:ind w:firstLine="1304"/>
        <w:spacing w:after="0" w:line="343" w:lineRule="auto"/>
        <w:tabs>
          <w:tab w:leader="none" w:pos="1766" w:val="left"/>
        </w:tabs>
        <w:numPr>
          <w:ilvl w:val="0"/>
          <w:numId w:val="498"/>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(i) from each party hereto a counterpart of this Agreement signed on behalf of such party and (ii) the Security Agreement, executed and delivered by the Borrower.</w:t>
      </w:r>
    </w:p>
    <w:p>
      <w:pPr>
        <w:spacing w:after="0" w:line="50" w:lineRule="exact"/>
        <w:rPr>
          <w:rFonts w:ascii="Arial" w:cs="Arial" w:eastAsia="Arial" w:hAnsi="Arial"/>
          <w:sz w:val="19"/>
          <w:szCs w:val="19"/>
          <w:color w:val="auto"/>
        </w:rPr>
      </w:pPr>
    </w:p>
    <w:p>
      <w:pPr>
        <w:jc w:val="both"/>
        <w:ind w:firstLine="1304"/>
        <w:spacing w:after="0" w:line="250" w:lineRule="auto"/>
        <w:tabs>
          <w:tab w:leader="none" w:pos="1792" w:val="left"/>
        </w:tabs>
        <w:numPr>
          <w:ilvl w:val="0"/>
          <w:numId w:val="498"/>
        </w:numPr>
        <w:rPr>
          <w:rFonts w:ascii="Arial" w:cs="Arial" w:eastAsia="Arial" w:hAnsi="Arial"/>
          <w:sz w:val="22"/>
          <w:szCs w:val="22"/>
          <w:color w:val="auto"/>
        </w:rPr>
      </w:pPr>
      <w:r>
        <w:rPr>
          <w:rFonts w:ascii="Arial" w:cs="Arial" w:eastAsia="Arial" w:hAnsi="Arial"/>
          <w:sz w:val="22"/>
          <w:szCs w:val="22"/>
          <w:color w:val="auto"/>
        </w:rPr>
        <w:t>The Administrative Agent shall have received a customary written opinion (addressed to the Administrative Agent and the Lenders and dated the Effective Date) of Sullivan &amp; Cromwell LLP, counsel for the Borrower, in form and substance reasonably acceptable to the Administrative Agent. The Borrower hereby requests such counsel to deliver such opinions.</w:t>
      </w:r>
    </w:p>
    <w:p>
      <w:pPr>
        <w:spacing w:after="0" w:line="133" w:lineRule="exact"/>
        <w:rPr>
          <w:rFonts w:ascii="Arial" w:cs="Arial" w:eastAsia="Arial" w:hAnsi="Arial"/>
          <w:sz w:val="22"/>
          <w:szCs w:val="22"/>
          <w:color w:val="auto"/>
        </w:rPr>
      </w:pPr>
    </w:p>
    <w:p>
      <w:pPr>
        <w:jc w:val="both"/>
        <w:ind w:firstLine="1304"/>
        <w:spacing w:after="0" w:line="302" w:lineRule="auto"/>
        <w:tabs>
          <w:tab w:leader="none" w:pos="1819" w:val="left"/>
        </w:tabs>
        <w:numPr>
          <w:ilvl w:val="0"/>
          <w:numId w:val="498"/>
        </w:numPr>
        <w:rPr>
          <w:rFonts w:ascii="Arial" w:cs="Arial" w:eastAsia="Arial" w:hAnsi="Arial"/>
          <w:sz w:val="19"/>
          <w:szCs w:val="19"/>
          <w:color w:val="auto"/>
        </w:rPr>
      </w:pPr>
      <w:r>
        <w:rPr>
          <w:rFonts w:ascii="Arial" w:cs="Arial" w:eastAsia="Arial" w:hAnsi="Arial"/>
          <w:sz w:val="19"/>
          <w:szCs w:val="19"/>
          <w:color w:val="auto"/>
        </w:rPr>
        <w:t>The Administrative Agent shall have received customary documents and certificates as the Administrative Agent shall reasonably request, relating to the organization, existence and good standing of the Borrower and the authorization of the Transactions and any other legal matters relating to the Borrower, this Agreement or the Transactions, all in form and substance customary for transactions of the type contemplated hereby and reasonably satisfactory to the Administrative Agent.</w:t>
      </w:r>
    </w:p>
    <w:p>
      <w:pPr>
        <w:spacing w:after="0" w:line="88" w:lineRule="exact"/>
        <w:rPr>
          <w:rFonts w:ascii="Arial" w:cs="Arial" w:eastAsia="Arial" w:hAnsi="Arial"/>
          <w:sz w:val="19"/>
          <w:szCs w:val="19"/>
          <w:color w:val="auto"/>
        </w:rPr>
      </w:pPr>
    </w:p>
    <w:p>
      <w:pPr>
        <w:jc w:val="both"/>
        <w:ind w:firstLine="1304"/>
        <w:spacing w:after="0" w:line="271" w:lineRule="auto"/>
        <w:tabs>
          <w:tab w:leader="none" w:pos="1784" w:val="left"/>
        </w:tabs>
        <w:numPr>
          <w:ilvl w:val="0"/>
          <w:numId w:val="498"/>
        </w:numPr>
        <w:rPr>
          <w:rFonts w:ascii="Arial" w:cs="Arial" w:eastAsia="Arial" w:hAnsi="Arial"/>
          <w:sz w:val="21"/>
          <w:szCs w:val="21"/>
          <w:color w:val="auto"/>
        </w:rPr>
      </w:pPr>
      <w:r>
        <w:rPr>
          <w:rFonts w:ascii="Arial" w:cs="Arial" w:eastAsia="Arial" w:hAnsi="Arial"/>
          <w:sz w:val="21"/>
          <w:szCs w:val="21"/>
          <w:color w:val="auto"/>
        </w:rPr>
        <w:t>As of the Effective Date, after giving effect to the transactions contemplated hereby, the conditions set forth in Section 4.02(b) and (c) shall have been satisfied and the Administrative Agent shall have received a certificate, dated the Effective Date and signed by a Financial Officer of the Borrower, confirming compliance with such conditions.</w:t>
      </w:r>
    </w:p>
    <w:p>
      <w:pPr>
        <w:spacing w:after="0" w:line="113" w:lineRule="exact"/>
        <w:rPr>
          <w:rFonts w:ascii="Arial" w:cs="Arial" w:eastAsia="Arial" w:hAnsi="Arial"/>
          <w:sz w:val="21"/>
          <w:szCs w:val="21"/>
          <w:color w:val="auto"/>
        </w:rPr>
      </w:pPr>
    </w:p>
    <w:p>
      <w:pPr>
        <w:jc w:val="both"/>
        <w:ind w:firstLine="1304"/>
        <w:spacing w:after="0" w:line="248" w:lineRule="auto"/>
        <w:tabs>
          <w:tab w:leader="none" w:pos="1891" w:val="left"/>
        </w:tabs>
        <w:numPr>
          <w:ilvl w:val="0"/>
          <w:numId w:val="498"/>
        </w:numPr>
        <w:rPr>
          <w:rFonts w:ascii="Arial" w:cs="Arial" w:eastAsia="Arial" w:hAnsi="Arial"/>
          <w:sz w:val="22"/>
          <w:szCs w:val="22"/>
          <w:color w:val="auto"/>
        </w:rPr>
      </w:pPr>
      <w:r>
        <w:rPr>
          <w:rFonts w:ascii="Arial" w:cs="Arial" w:eastAsia="Arial" w:hAnsi="Arial"/>
          <w:sz w:val="22"/>
          <w:szCs w:val="22"/>
          <w:color w:val="auto"/>
        </w:rPr>
        <w:t>The Lenders, the Administrative Agent and the Lead Arrangers shall have received, on or prior to the Effective Date, all fees and other amounts due and payable on or prior to the Effective Date, including, to the extent invoiced not less than three Business Days prior to the Effective Date, reimbursement or payment of all out of pocket expenses and other amounts required to be reimbursed or paid by the Borrower hereunder (including reasonable and documented fees and expenses of legal counsel).</w:t>
      </w:r>
    </w:p>
    <w:p>
      <w:pPr>
        <w:spacing w:after="0" w:line="137" w:lineRule="exact"/>
        <w:rPr>
          <w:rFonts w:ascii="Arial" w:cs="Arial" w:eastAsia="Arial" w:hAnsi="Arial"/>
          <w:sz w:val="22"/>
          <w:szCs w:val="22"/>
          <w:color w:val="auto"/>
        </w:rPr>
      </w:pPr>
    </w:p>
    <w:p>
      <w:pPr>
        <w:jc w:val="both"/>
        <w:ind w:firstLine="1304"/>
        <w:spacing w:after="0" w:line="250" w:lineRule="auto"/>
        <w:tabs>
          <w:tab w:leader="none" w:pos="1782" w:val="left"/>
        </w:tabs>
        <w:numPr>
          <w:ilvl w:val="0"/>
          <w:numId w:val="498"/>
        </w:numPr>
        <w:rPr>
          <w:rFonts w:ascii="Arial" w:cs="Arial" w:eastAsia="Arial" w:hAnsi="Arial"/>
          <w:sz w:val="22"/>
          <w:szCs w:val="22"/>
          <w:color w:val="010000"/>
        </w:rPr>
      </w:pPr>
      <w:r>
        <w:rPr>
          <w:rFonts w:ascii="Arial" w:cs="Arial" w:eastAsia="Arial" w:hAnsi="Arial"/>
          <w:sz w:val="22"/>
          <w:szCs w:val="22"/>
          <w:color w:val="010000"/>
        </w:rPr>
        <w:t xml:space="preserve">(x) </w:t>
      </w:r>
      <w:r>
        <w:rPr>
          <w:rFonts w:ascii="Arial" w:cs="Arial" w:eastAsia="Arial" w:hAnsi="Arial"/>
          <w:sz w:val="22"/>
          <w:szCs w:val="22"/>
          <w:color w:val="000000"/>
        </w:rPr>
        <w:t>The Lenders shall have received at least three Business Days prior to the Effective Date all Patriot Act</w:t>
      </w:r>
      <w:r>
        <w:rPr>
          <w:rFonts w:ascii="Arial" w:cs="Arial" w:eastAsia="Arial" w:hAnsi="Arial"/>
          <w:sz w:val="22"/>
          <w:szCs w:val="22"/>
          <w:color w:val="010000"/>
        </w:rPr>
        <w:t xml:space="preserve"> </w:t>
      </w:r>
      <w:r>
        <w:rPr>
          <w:rFonts w:ascii="Arial" w:cs="Arial" w:eastAsia="Arial" w:hAnsi="Arial"/>
          <w:sz w:val="22"/>
          <w:szCs w:val="22"/>
          <w:color w:val="000000"/>
        </w:rPr>
        <w:t>and “know your customer”/anti-money laundering documentation and information relating to the Borrower and its Subsidiaries reasonably requested by the Lenders in writing at least 10 Business Days prior to the Effective Date and (y) to the extent the Borrower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942" w:right="339" w:bottom="1440" w:gutter="0" w:footer="0" w:header="0"/>
        </w:sectPr>
      </w:pPr>
    </w:p>
    <w:bookmarkStart w:id="682" w:name="page683"/>
    <w:bookmarkEnd w:id="682"/>
    <w:p>
      <w:pPr>
        <w:jc w:val="both"/>
        <w:spacing w:after="0" w:line="253" w:lineRule="auto"/>
        <w:rPr>
          <w:sz w:val="20"/>
          <w:szCs w:val="20"/>
          <w:color w:val="auto"/>
        </w:rPr>
      </w:pPr>
      <w:r>
        <w:rPr>
          <w:rFonts w:ascii="Arial" w:cs="Arial" w:eastAsia="Arial" w:hAnsi="Arial"/>
          <w:sz w:val="22"/>
          <w:szCs w:val="22"/>
          <w:color w:val="auto"/>
        </w:rPr>
        <w:t>qualifies as a “legal entity customer” under the Beneficial Ownership Regulation, at least five days prior to the Effective Date, any Lender that has requested, at least ten days prior to the Effective Date, a Beneficial Ownership Certification in relation to the Borrower hall have received such Beneficial Ownership Certification.</w:t>
      </w:r>
    </w:p>
    <w:p>
      <w:pPr>
        <w:spacing w:after="0" w:line="13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The Administrative Agent shall have received the financial statements and reports set forth in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3.01(f).</w:t>
      </w:r>
    </w:p>
    <w:p>
      <w:pPr>
        <w:spacing w:after="0" w:line="148" w:lineRule="exact"/>
        <w:rPr>
          <w:sz w:val="20"/>
          <w:szCs w:val="20"/>
          <w:color w:val="auto"/>
        </w:rPr>
      </w:pPr>
    </w:p>
    <w:p>
      <w:pPr>
        <w:jc w:val="both"/>
        <w:ind w:firstLine="1304"/>
        <w:spacing w:after="0" w:line="253" w:lineRule="auto"/>
        <w:tabs>
          <w:tab w:leader="none" w:pos="1965" w:val="left"/>
        </w:tabs>
        <w:numPr>
          <w:ilvl w:val="0"/>
          <w:numId w:val="499"/>
        </w:numPr>
        <w:rPr>
          <w:rFonts w:ascii="Arial" w:cs="Arial" w:eastAsia="Arial" w:hAnsi="Arial"/>
          <w:sz w:val="22"/>
          <w:szCs w:val="22"/>
          <w:color w:val="auto"/>
        </w:rPr>
      </w:pPr>
      <w:r>
        <w:rPr>
          <w:rFonts w:ascii="Arial" w:cs="Arial" w:eastAsia="Arial" w:hAnsi="Arial"/>
          <w:sz w:val="22"/>
          <w:szCs w:val="22"/>
          <w:color w:val="auto"/>
        </w:rPr>
        <w:t>All governmental and third party approvals (including equity holder approvals, if any) necessary in connection with the continuing operations of the Borrower and the transactions contemplated hereby shall have been obtained on reasonably satisfactory terms and shall be in full force and effect.</w:t>
      </w:r>
    </w:p>
    <w:p>
      <w:pPr>
        <w:spacing w:after="0" w:line="131" w:lineRule="exact"/>
        <w:rPr>
          <w:rFonts w:ascii="Arial" w:cs="Arial" w:eastAsia="Arial" w:hAnsi="Arial"/>
          <w:sz w:val="22"/>
          <w:szCs w:val="22"/>
          <w:color w:val="auto"/>
        </w:rPr>
      </w:pPr>
    </w:p>
    <w:p>
      <w:pPr>
        <w:jc w:val="both"/>
        <w:ind w:firstLine="1304"/>
        <w:spacing w:after="0" w:line="302" w:lineRule="auto"/>
        <w:tabs>
          <w:tab w:leader="none" w:pos="1771" w:val="left"/>
        </w:tabs>
        <w:numPr>
          <w:ilvl w:val="0"/>
          <w:numId w:val="499"/>
        </w:numPr>
        <w:rPr>
          <w:rFonts w:ascii="Arial" w:cs="Arial" w:eastAsia="Arial" w:hAnsi="Arial"/>
          <w:sz w:val="19"/>
          <w:szCs w:val="19"/>
          <w:color w:val="auto"/>
        </w:rPr>
      </w:pPr>
      <w:r>
        <w:rPr>
          <w:rFonts w:ascii="Arial" w:cs="Arial" w:eastAsia="Arial" w:hAnsi="Arial"/>
          <w:sz w:val="19"/>
          <w:szCs w:val="19"/>
          <w:color w:val="auto"/>
        </w:rPr>
        <w:t>The Administrative Agent shall have received the results of a recent lien search in each of the jurisdictions and offices in the United States where liens on material assets of the Borrower are required to be filed or recorded, and such search shall reveal no liens on any of the assets of the Borrower except for Liens permitted herein or liens to be discharged on or prior to the Effective Date pursuant to documentation reasonably satisfactory to the Administrative Agent.</w:t>
      </w:r>
    </w:p>
    <w:p>
      <w:pPr>
        <w:spacing w:after="0" w:line="88" w:lineRule="exact"/>
        <w:rPr>
          <w:rFonts w:ascii="Arial" w:cs="Arial" w:eastAsia="Arial" w:hAnsi="Arial"/>
          <w:sz w:val="19"/>
          <w:szCs w:val="19"/>
          <w:color w:val="auto"/>
        </w:rPr>
      </w:pPr>
    </w:p>
    <w:p>
      <w:pPr>
        <w:jc w:val="both"/>
        <w:ind w:firstLine="1304"/>
        <w:spacing w:after="0" w:line="248" w:lineRule="auto"/>
        <w:tabs>
          <w:tab w:leader="none" w:pos="1834" w:val="left"/>
        </w:tabs>
        <w:numPr>
          <w:ilvl w:val="0"/>
          <w:numId w:val="499"/>
        </w:numPr>
        <w:rPr>
          <w:rFonts w:ascii="Arial" w:cs="Arial" w:eastAsia="Arial" w:hAnsi="Arial"/>
          <w:sz w:val="22"/>
          <w:szCs w:val="22"/>
          <w:color w:val="auto"/>
        </w:rPr>
      </w:pPr>
      <w:r>
        <w:rPr>
          <w:rFonts w:ascii="Arial" w:cs="Arial" w:eastAsia="Arial" w:hAnsi="Arial"/>
          <w:sz w:val="22"/>
          <w:szCs w:val="22"/>
          <w:color w:val="auto"/>
        </w:rPr>
        <w:t>Each document (including any Uniform Commercial Code financing statement) required by the Security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Permitted Collateral Liens), shall be in proper form for filing, registration or recordation.</w:t>
      </w:r>
    </w:p>
    <w:p>
      <w:pPr>
        <w:spacing w:after="0" w:line="137" w:lineRule="exact"/>
        <w:rPr>
          <w:rFonts w:ascii="Arial" w:cs="Arial" w:eastAsia="Arial" w:hAnsi="Arial"/>
          <w:sz w:val="22"/>
          <w:szCs w:val="22"/>
          <w:color w:val="auto"/>
        </w:rPr>
      </w:pPr>
    </w:p>
    <w:p>
      <w:pPr>
        <w:jc w:val="both"/>
        <w:ind w:firstLine="1304"/>
        <w:spacing w:after="0" w:line="250" w:lineRule="auto"/>
        <w:tabs>
          <w:tab w:leader="none" w:pos="1827" w:val="left"/>
        </w:tabs>
        <w:numPr>
          <w:ilvl w:val="0"/>
          <w:numId w:val="499"/>
        </w:numPr>
        <w:rPr>
          <w:rFonts w:ascii="Arial" w:cs="Arial" w:eastAsia="Arial" w:hAnsi="Arial"/>
          <w:sz w:val="22"/>
          <w:szCs w:val="22"/>
          <w:color w:val="auto"/>
        </w:rPr>
      </w:pPr>
      <w:r>
        <w:rPr>
          <w:rFonts w:ascii="Arial" w:cs="Arial" w:eastAsia="Arial" w:hAnsi="Arial"/>
          <w:sz w:val="22"/>
          <w:szCs w:val="22"/>
          <w:color w:val="auto"/>
        </w:rPr>
        <w:t>The Administrative Agent shall have received satisfactory evidence that (i) the Existing Credit Agreement shall have been terminated and all amounts thereunder (other than contingent indemnification obligations for which no claim has been made) shall have been paid in full and (ii) satisfactory arrangements shall have been made for the termination of all Liens granted in connection therewith.</w:t>
      </w:r>
    </w:p>
    <w:p>
      <w:pPr>
        <w:spacing w:after="0" w:line="133" w:lineRule="exact"/>
        <w:rPr>
          <w:rFonts w:ascii="Arial" w:cs="Arial" w:eastAsia="Arial" w:hAnsi="Arial"/>
          <w:sz w:val="22"/>
          <w:szCs w:val="22"/>
          <w:color w:val="auto"/>
        </w:rPr>
      </w:pPr>
    </w:p>
    <w:p>
      <w:pPr>
        <w:ind w:firstLine="1304"/>
        <w:spacing w:after="0" w:line="263" w:lineRule="auto"/>
        <w:tabs>
          <w:tab w:leader="none" w:pos="1763" w:val="left"/>
        </w:tabs>
        <w:numPr>
          <w:ilvl w:val="0"/>
          <w:numId w:val="499"/>
        </w:numPr>
        <w:rPr>
          <w:rFonts w:ascii="Arial" w:cs="Arial" w:eastAsia="Arial" w:hAnsi="Arial"/>
          <w:sz w:val="22"/>
          <w:szCs w:val="22"/>
          <w:color w:val="auto"/>
        </w:rPr>
      </w:pPr>
      <w:r>
        <w:rPr>
          <w:rFonts w:ascii="Arial" w:cs="Arial" w:eastAsia="Arial" w:hAnsi="Arial"/>
          <w:sz w:val="22"/>
          <w:szCs w:val="22"/>
          <w:color w:val="auto"/>
        </w:rPr>
        <w:t>The Administrative Agent shall have received satisfactory evidence that the Holdco Credit Agreement shall have been amended to permit the Borrower’s entry into this Agreement.</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Administrative Agent shall notify the Borrower and the Lenders of the Effective Date, and such notice shall be conclusive and binding.</w:t>
      </w:r>
    </w:p>
    <w:p>
      <w:pPr>
        <w:spacing w:after="0" w:line="121"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 Loan on the occasion of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Borrowing is subject to the satisfaction of the following conditions:</w:t>
      </w:r>
    </w:p>
    <w:p>
      <w:pPr>
        <w:spacing w:after="0" w:line="148" w:lineRule="exact"/>
        <w:rPr>
          <w:sz w:val="20"/>
          <w:szCs w:val="20"/>
          <w:color w:val="auto"/>
        </w:rPr>
      </w:pPr>
    </w:p>
    <w:p>
      <w:pPr>
        <w:ind w:firstLine="1304"/>
        <w:spacing w:after="0" w:line="263" w:lineRule="auto"/>
        <w:tabs>
          <w:tab w:leader="none" w:pos="1867"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and a Tranche B Limit Notice or a Tranche C Limit Notice, as applicable.</w:t>
      </w:r>
    </w:p>
    <w:p>
      <w:pPr>
        <w:spacing w:after="0" w:line="120" w:lineRule="exact"/>
        <w:rPr>
          <w:rFonts w:ascii="Arial" w:cs="Arial" w:eastAsia="Arial" w:hAnsi="Arial"/>
          <w:sz w:val="22"/>
          <w:szCs w:val="22"/>
          <w:color w:val="auto"/>
        </w:rPr>
      </w:pPr>
    </w:p>
    <w:p>
      <w:pPr>
        <w:ind w:firstLine="1304"/>
        <w:spacing w:after="0" w:line="263" w:lineRule="auto"/>
        <w:tabs>
          <w:tab w:leader="none" w:pos="1962" w:val="left"/>
        </w:tabs>
        <w:numPr>
          <w:ilvl w:val="0"/>
          <w:numId w:val="500"/>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this Agreement or any other Credit Document, other than (with respect to any such Loan made after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942" w:right="339" w:bottom="1440" w:gutter="0" w:footer="0" w:header="0"/>
        </w:sectPr>
      </w:pPr>
    </w:p>
    <w:bookmarkStart w:id="683" w:name="page684"/>
    <w:bookmarkEnd w:id="683"/>
    <w:p>
      <w:pPr>
        <w:jc w:val="both"/>
        <w:spacing w:after="0" w:line="260" w:lineRule="auto"/>
        <w:rPr>
          <w:sz w:val="20"/>
          <w:szCs w:val="20"/>
          <w:color w:val="auto"/>
        </w:rPr>
      </w:pPr>
      <w:r>
        <w:rPr>
          <w:rFonts w:ascii="Arial" w:cs="Arial" w:eastAsia="Arial" w:hAnsi="Arial"/>
          <w:sz w:val="21"/>
          <w:szCs w:val="21"/>
          <w:color w:val="auto"/>
        </w:rPr>
        <w:t>the Effective Date) the representations and warranties contained in Section 3.01(f)(iii), shall be true and correct in all material respects on and as of such date (except those representations and warranties that are qualified by “materiality”, “Material Adverse Effect” or similar language, in which case such representation or warranty shall be true and correct in all respects), and except to the extent any such representation or warranty is stated to relate solely to an earlier date, in which case such representation or warranty shall be true and correct in all material respects on and as of such earlier date (except those representations and warranties that are qualified by “materiality”, “Material Adverse Effect” or similar language, in which case such representation or warranty shall be true and correct in all respects as of such earlier date).</w:t>
      </w:r>
    </w:p>
    <w:p>
      <w:pPr>
        <w:spacing w:after="0" w:line="126" w:lineRule="exact"/>
        <w:rPr>
          <w:sz w:val="20"/>
          <w:szCs w:val="20"/>
          <w:color w:val="auto"/>
        </w:rPr>
      </w:pPr>
    </w:p>
    <w:p>
      <w:pPr>
        <w:ind w:firstLine="1304"/>
        <w:spacing w:after="0" w:line="263" w:lineRule="auto"/>
        <w:tabs>
          <w:tab w:leader="none" w:pos="1799" w:val="left"/>
        </w:tabs>
        <w:numPr>
          <w:ilvl w:val="0"/>
          <w:numId w:val="501"/>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Loan, no Default or Event of Default shall have occurred and be continuing.</w:t>
      </w:r>
    </w:p>
    <w:p>
      <w:pPr>
        <w:spacing w:after="0" w:line="120" w:lineRule="exact"/>
        <w:rPr>
          <w:rFonts w:ascii="Arial" w:cs="Arial" w:eastAsia="Arial" w:hAnsi="Arial"/>
          <w:sz w:val="22"/>
          <w:szCs w:val="22"/>
          <w:color w:val="auto"/>
        </w:rPr>
      </w:pPr>
    </w:p>
    <w:p>
      <w:pPr>
        <w:jc w:val="both"/>
        <w:ind w:firstLine="1304"/>
        <w:spacing w:after="0" w:line="250" w:lineRule="auto"/>
        <w:tabs>
          <w:tab w:leader="none" w:pos="1780" w:val="left"/>
        </w:tabs>
        <w:numPr>
          <w:ilvl w:val="0"/>
          <w:numId w:val="501"/>
        </w:numPr>
        <w:rPr>
          <w:rFonts w:ascii="Arial" w:cs="Arial" w:eastAsia="Arial" w:hAnsi="Arial"/>
          <w:sz w:val="22"/>
          <w:szCs w:val="22"/>
          <w:color w:val="auto"/>
        </w:rPr>
      </w:pPr>
      <w:r>
        <w:rPr>
          <w:rFonts w:ascii="Arial" w:cs="Arial" w:eastAsia="Arial" w:hAnsi="Arial"/>
          <w:sz w:val="22"/>
          <w:szCs w:val="22"/>
          <w:color w:val="auto"/>
        </w:rPr>
        <w:t>Immediately after giving effect to such Loan, (i) the aggregate amount of outstanding Tranche A Loans shall not exceeding the aggregate Loan Value of the Pledged Eligible Assets, (ii) the aggregate amount of outstanding Tranche B Loans shall not exceed the Tranche B Limit and (iii) the aggregate amount of outstanding Tranche C Loans shall not exceed the Tranche C Limit.</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Each borrowing of Loans shall be deemed to constitute a representation and warranty by the Borrower on the date thereof as to the matters specified in paragraphs (b), (c) and (d) of this Section.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Covenants of the Borrower</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Affirmative Covenants</w:t>
      </w:r>
      <w:r>
        <w:rPr>
          <w:rFonts w:ascii="Arial" w:cs="Arial" w:eastAsia="Arial" w:hAnsi="Arial"/>
          <w:sz w:val="22"/>
          <w:szCs w:val="22"/>
          <w:color w:val="auto"/>
        </w:rPr>
        <w:t>. Until the Commitments have expired or been terminated and the principal of and interest on each Loan and all other Obligations of the Borrower under the Credit Documents (other than contingent obligations as to which no claim has been asserted and expense reimbursement not yet due and payable) have been paid in full, the Borrower will:</w:t>
      </w:r>
    </w:p>
    <w:p>
      <w:pPr>
        <w:spacing w:after="0" w:line="134" w:lineRule="exact"/>
        <w:rPr>
          <w:sz w:val="20"/>
          <w:szCs w:val="20"/>
          <w:color w:val="auto"/>
        </w:rPr>
      </w:pPr>
    </w:p>
    <w:p>
      <w:pPr>
        <w:ind w:firstLine="1304"/>
        <w:spacing w:after="0" w:line="343" w:lineRule="auto"/>
        <w:tabs>
          <w:tab w:leader="none" w:pos="1819" w:val="left"/>
        </w:tabs>
        <w:numPr>
          <w:ilvl w:val="0"/>
          <w:numId w:val="502"/>
        </w:numPr>
        <w:rPr>
          <w:rFonts w:ascii="Arial" w:cs="Arial" w:eastAsia="Arial" w:hAnsi="Arial"/>
          <w:sz w:val="19"/>
          <w:szCs w:val="19"/>
          <w:color w:val="auto"/>
        </w:rPr>
      </w:pPr>
      <w:r>
        <w:rPr>
          <w:rFonts w:ascii="Arial" w:cs="Arial" w:eastAsia="Arial" w:hAnsi="Arial"/>
          <w:sz w:val="19"/>
          <w:szCs w:val="19"/>
          <w:u w:val="single" w:color="auto"/>
          <w:color w:val="auto"/>
        </w:rPr>
        <w:t>Reporting Requirements</w:t>
      </w:r>
      <w:r>
        <w:rPr>
          <w:rFonts w:ascii="Arial" w:cs="Arial" w:eastAsia="Arial" w:hAnsi="Arial"/>
          <w:sz w:val="19"/>
          <w:szCs w:val="19"/>
          <w:color w:val="auto"/>
        </w:rPr>
        <w:t>. Furnish to the Administrative Agent (who shall promptly make such information available to the Lenders (or, in the case of clause (vii) below, the applicable Lender) in accordance with customary practice):</w:t>
      </w:r>
    </w:p>
    <w:p>
      <w:pPr>
        <w:spacing w:after="0" w:line="50" w:lineRule="exact"/>
        <w:rPr>
          <w:rFonts w:ascii="Arial" w:cs="Arial" w:eastAsia="Arial" w:hAnsi="Arial"/>
          <w:sz w:val="19"/>
          <w:szCs w:val="19"/>
          <w:color w:val="auto"/>
        </w:rPr>
      </w:pPr>
    </w:p>
    <w:p>
      <w:pPr>
        <w:jc w:val="both"/>
        <w:ind w:left="660" w:firstLine="1292"/>
        <w:spacing w:after="0" w:line="250" w:lineRule="auto"/>
        <w:tabs>
          <w:tab w:leader="none" w:pos="2376" w:val="left"/>
        </w:tabs>
        <w:numPr>
          <w:ilvl w:val="1"/>
          <w:numId w:val="502"/>
        </w:numPr>
        <w:rPr>
          <w:rFonts w:ascii="Arial" w:cs="Arial" w:eastAsia="Arial" w:hAnsi="Arial"/>
          <w:sz w:val="22"/>
          <w:szCs w:val="22"/>
          <w:color w:val="auto"/>
        </w:rPr>
      </w:pPr>
      <w:r>
        <w:rPr>
          <w:rFonts w:ascii="Arial" w:cs="Arial" w:eastAsia="Arial" w:hAnsi="Arial"/>
          <w:sz w:val="22"/>
          <w:szCs w:val="22"/>
          <w:u w:val="single" w:color="auto"/>
          <w:color w:val="auto"/>
        </w:rPr>
        <w:t>Default Notice</w:t>
      </w:r>
      <w:r>
        <w:rPr>
          <w:rFonts w:ascii="Arial" w:cs="Arial" w:eastAsia="Arial" w:hAnsi="Arial"/>
          <w:sz w:val="22"/>
          <w:szCs w:val="22"/>
          <w:color w:val="auto"/>
        </w:rPr>
        <w:t>. Promptly and in any event within three Business Days after any Authorized Officer of the Borrower has actual knowledge of the occurrence of each Default continuing on the date of such statement, a statement of the Financial Officer of the Borrower setting forth details of such Default and the action that the Borrower has taken and proposes to take with respect thereto.</w:t>
      </w:r>
    </w:p>
    <w:p>
      <w:pPr>
        <w:spacing w:after="0" w:line="133" w:lineRule="exact"/>
        <w:rPr>
          <w:rFonts w:ascii="Arial" w:cs="Arial" w:eastAsia="Arial" w:hAnsi="Arial"/>
          <w:sz w:val="22"/>
          <w:szCs w:val="22"/>
          <w:color w:val="auto"/>
        </w:rPr>
      </w:pPr>
    </w:p>
    <w:p>
      <w:pPr>
        <w:jc w:val="both"/>
        <w:ind w:left="660" w:firstLine="1292"/>
        <w:spacing w:after="0" w:line="302" w:lineRule="auto"/>
        <w:tabs>
          <w:tab w:leader="none" w:pos="2503" w:val="left"/>
        </w:tabs>
        <w:numPr>
          <w:ilvl w:val="1"/>
          <w:numId w:val="502"/>
        </w:numPr>
        <w:rPr>
          <w:rFonts w:ascii="Arial" w:cs="Arial" w:eastAsia="Arial" w:hAnsi="Arial"/>
          <w:sz w:val="19"/>
          <w:szCs w:val="19"/>
          <w:color w:val="auto"/>
        </w:rPr>
      </w:pPr>
      <w:r>
        <w:rPr>
          <w:rFonts w:ascii="Arial" w:cs="Arial" w:eastAsia="Arial" w:hAnsi="Arial"/>
          <w:sz w:val="19"/>
          <w:szCs w:val="19"/>
          <w:u w:val="single" w:color="auto"/>
          <w:color w:val="auto"/>
        </w:rPr>
        <w:t>Annual Financials</w:t>
      </w:r>
      <w:r>
        <w:rPr>
          <w:rFonts w:ascii="Arial" w:cs="Arial" w:eastAsia="Arial" w:hAnsi="Arial"/>
          <w:sz w:val="19"/>
          <w:szCs w:val="19"/>
          <w:color w:val="auto"/>
        </w:rPr>
        <w:t>. Not later than the date the Borrower must submit such report to FINRA and in any event within 60 days after the end of each Fiscal Year, a copy of (x) the Annual Audited Report on Form X-17A-5 Part III of the Borrower and its Subsidiaries for the such Fiscal Year, including the audited Consolidated statement of financial condition, statement of income, statement of cash flow and statement of changes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942" w:right="339" w:bottom="1440" w:gutter="0" w:footer="0" w:header="0"/>
        </w:sectPr>
      </w:pPr>
    </w:p>
    <w:bookmarkStart w:id="684" w:name="page685"/>
    <w:bookmarkEnd w:id="684"/>
    <w:p>
      <w:pPr>
        <w:jc w:val="both"/>
        <w:spacing w:after="0" w:line="287" w:lineRule="auto"/>
        <w:rPr>
          <w:sz w:val="20"/>
          <w:szCs w:val="20"/>
          <w:color w:val="auto"/>
        </w:rPr>
      </w:pPr>
      <w:r>
        <w:rPr>
          <w:rFonts w:ascii="Arial" w:cs="Arial" w:eastAsia="Arial" w:hAnsi="Arial"/>
          <w:sz w:val="19"/>
          <w:szCs w:val="19"/>
          <w:color w:val="auto"/>
        </w:rPr>
        <w:t>in members’ equity (in each case including the related schedules and notes thereto), accompanied by the audit report of Ernst &amp; Young LLP and an opinion as to such audit report of Ernst &amp; Young LLP or other independent public accountants of nationally recognized standing, in each case certified by such accountants without a “going concern” or like qualification or exception (other than any qualification or exception that is expressed solely with respect to, or resulting solely from, (i) an upcoming maturity date under any Debt or (ii) any actual or potential inability to satisfy a financial maintenance covenant at such time or on a future date or in a future period) and without any qualification or exception as to the scope of such audit; together with (A) a certificate of a Financial Officer of the Borrower stating that no Default has occurred and is continuing or, if a Default has occurred and is continuing, a statement as to the nature thereof and the action that the Borrower has taken and proposes to take with respect thereto and (B) a schedule in substantially the form of Exhibit B of the computations used by a Financial Officer of the Borrower in determining, as of the end of such Fiscal Year, compliance with the covenants contained in Section 5.04.</w:t>
      </w:r>
    </w:p>
    <w:p>
      <w:pPr>
        <w:spacing w:after="0" w:line="109" w:lineRule="exact"/>
        <w:rPr>
          <w:sz w:val="20"/>
          <w:szCs w:val="20"/>
          <w:color w:val="auto"/>
        </w:rPr>
      </w:pPr>
    </w:p>
    <w:p>
      <w:pPr>
        <w:jc w:val="both"/>
        <w:ind w:firstLine="1292"/>
        <w:spacing w:after="0" w:line="288" w:lineRule="auto"/>
        <w:tabs>
          <w:tab w:leader="none" w:pos="1849" w:val="left"/>
        </w:tabs>
        <w:numPr>
          <w:ilvl w:val="0"/>
          <w:numId w:val="503"/>
        </w:numPr>
        <w:rPr>
          <w:rFonts w:ascii="Arial" w:cs="Arial" w:eastAsia="Arial" w:hAnsi="Arial"/>
          <w:sz w:val="19"/>
          <w:szCs w:val="19"/>
          <w:color w:val="auto"/>
        </w:rPr>
      </w:pPr>
      <w:r>
        <w:rPr>
          <w:rFonts w:ascii="Arial" w:cs="Arial" w:eastAsia="Arial" w:hAnsi="Arial"/>
          <w:sz w:val="19"/>
          <w:szCs w:val="19"/>
          <w:u w:val="single" w:color="auto"/>
          <w:color w:val="auto"/>
        </w:rPr>
        <w:t>Quarterly Financials</w:t>
      </w:r>
      <w:r>
        <w:rPr>
          <w:rFonts w:ascii="Arial" w:cs="Arial" w:eastAsia="Arial" w:hAnsi="Arial"/>
          <w:sz w:val="19"/>
          <w:szCs w:val="19"/>
          <w:color w:val="auto"/>
        </w:rPr>
        <w:t>. Not later than the date the Borrower must submit such report to FINRA and in any event within 45 days after the end of each fiscal quarter of each Fiscal Year, a copy of the Borrower’s unaudited FOCUS-II Report, including the unaudited Consolidated statement of financial condition, statement of income and statement of changes in members’ equity for such quarter, which report shall fairly present in all material respects the financial condition of the Borrower at such date and the results of operations for the period ended on such date, and duly certified by a Financial Officer of the Borrower; together with (A) a certificate of a Financial Officer of the Borrower stating that no Default has occurred and is continuing or, if a Default has occurred and is continuing, a statement as to the nature thereof and the action that the Borrower has taken and proposes to take with respect thereto and (B) a schedule in substantially the form of Exhibit B of the computations used by a Financial Officer of the Borrower in determining compliance with the covenants contained in Section 5.04.</w:t>
      </w:r>
    </w:p>
    <w:p>
      <w:pPr>
        <w:spacing w:after="0" w:line="105" w:lineRule="exact"/>
        <w:rPr>
          <w:rFonts w:ascii="Arial" w:cs="Arial" w:eastAsia="Arial" w:hAnsi="Arial"/>
          <w:sz w:val="19"/>
          <w:szCs w:val="19"/>
          <w:color w:val="auto"/>
        </w:rPr>
      </w:pPr>
    </w:p>
    <w:p>
      <w:pPr>
        <w:jc w:val="both"/>
        <w:ind w:firstLine="1292"/>
        <w:spacing w:after="0" w:line="248" w:lineRule="auto"/>
        <w:tabs>
          <w:tab w:leader="none" w:pos="1824"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Monthly Financials</w:t>
      </w:r>
      <w:r>
        <w:rPr>
          <w:rFonts w:ascii="Arial" w:cs="Arial" w:eastAsia="Arial" w:hAnsi="Arial"/>
          <w:sz w:val="22"/>
          <w:szCs w:val="22"/>
          <w:color w:val="auto"/>
        </w:rPr>
        <w:t>. If the Borrower is required to submit monthly FOCUS-II Reports to FINRA, not later than the date the Borrower must submit such report to FINRA, a copy of the Borrower’s unaudited FOCUS-II Report for such month, which reports shall fairly present in all material respects the financial condition of each of the Borrower at such date and the results of operations for the period ended on such date, and be duly certified by a Financial Officer of the Borrower.</w:t>
      </w:r>
    </w:p>
    <w:p>
      <w:pPr>
        <w:spacing w:after="0" w:line="137" w:lineRule="exact"/>
        <w:rPr>
          <w:rFonts w:ascii="Arial" w:cs="Arial" w:eastAsia="Arial" w:hAnsi="Arial"/>
          <w:sz w:val="22"/>
          <w:szCs w:val="22"/>
          <w:color w:val="auto"/>
        </w:rPr>
      </w:pPr>
    </w:p>
    <w:p>
      <w:pPr>
        <w:jc w:val="both"/>
        <w:ind w:firstLine="1292"/>
        <w:spacing w:after="0" w:line="294" w:lineRule="auto"/>
        <w:tabs>
          <w:tab w:leader="none" w:pos="1872" w:val="left"/>
        </w:tabs>
        <w:numPr>
          <w:ilvl w:val="0"/>
          <w:numId w:val="503"/>
        </w:numPr>
        <w:rPr>
          <w:rFonts w:ascii="Arial" w:cs="Arial" w:eastAsia="Arial" w:hAnsi="Arial"/>
          <w:sz w:val="19"/>
          <w:szCs w:val="19"/>
          <w:color w:val="auto"/>
        </w:rPr>
      </w:pPr>
      <w:r>
        <w:rPr>
          <w:rFonts w:ascii="Arial" w:cs="Arial" w:eastAsia="Arial" w:hAnsi="Arial"/>
          <w:sz w:val="19"/>
          <w:szCs w:val="19"/>
          <w:u w:val="single" w:color="auto"/>
          <w:color w:val="auto"/>
        </w:rPr>
        <w:t>Litigation; Material Adverse Effect</w:t>
      </w:r>
      <w:r>
        <w:rPr>
          <w:rFonts w:ascii="Arial" w:cs="Arial" w:eastAsia="Arial" w:hAnsi="Arial"/>
          <w:sz w:val="19"/>
          <w:szCs w:val="19"/>
          <w:color w:val="auto"/>
        </w:rPr>
        <w:t>. Promptly (1) after the commencement thereof, notice of any action, suit, litigation or proceeding before any Governmental Authority affecting the Borrower or any of its Subsidiaries, including any Environmental Liability, in each case, that has a reasonable probability of being determined adversely and, if determined adversely, would reasonably be expected to have a Material Adverse Effect and (2) and in any event within three Business Days after any Financial Officer of the Borrower has actual knowledge thereof, any other event, development or occurrence, in each case, that would reasonably be expected to have a Material Adverse Effect.</w:t>
      </w:r>
    </w:p>
    <w:p>
      <w:pPr>
        <w:spacing w:after="0" w:line="200" w:lineRule="exact"/>
        <w:rPr>
          <w:sz w:val="20"/>
          <w:szCs w:val="20"/>
          <w:color w:val="auto"/>
        </w:rPr>
      </w:pPr>
    </w:p>
    <w:p>
      <w:pPr>
        <w:spacing w:after="0" w:line="28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580"/>
          </w:cols>
          <w:pgMar w:left="980" w:top="942" w:right="339" w:bottom="1440" w:gutter="0" w:footer="0" w:header="0"/>
        </w:sectPr>
      </w:pPr>
    </w:p>
    <w:bookmarkStart w:id="685" w:name="page686"/>
    <w:bookmarkEnd w:id="685"/>
    <w:p>
      <w:pPr>
        <w:jc w:val="both"/>
        <w:ind w:left="660" w:firstLine="1292"/>
        <w:spacing w:after="0" w:line="302" w:lineRule="auto"/>
        <w:tabs>
          <w:tab w:leader="none" w:pos="2497" w:val="left"/>
        </w:tabs>
        <w:numPr>
          <w:ilvl w:val="1"/>
          <w:numId w:val="504"/>
        </w:numPr>
        <w:rPr>
          <w:rFonts w:ascii="Arial" w:cs="Arial" w:eastAsia="Arial" w:hAnsi="Arial"/>
          <w:sz w:val="19"/>
          <w:szCs w:val="19"/>
          <w:color w:val="auto"/>
        </w:rPr>
      </w:pPr>
      <w:r>
        <w:rPr>
          <w:rFonts w:ascii="Arial" w:cs="Arial" w:eastAsia="Arial" w:hAnsi="Arial"/>
          <w:sz w:val="19"/>
          <w:szCs w:val="19"/>
          <w:u w:val="single" w:color="auto"/>
          <w:color w:val="auto"/>
        </w:rPr>
        <w:t>ERISA Events and ERISA Reports</w:t>
      </w:r>
      <w:r>
        <w:rPr>
          <w:rFonts w:ascii="Arial" w:cs="Arial" w:eastAsia="Arial" w:hAnsi="Arial"/>
          <w:sz w:val="19"/>
          <w:szCs w:val="19"/>
          <w:color w:val="auto"/>
        </w:rPr>
        <w:t>. Promptly and in any event within 10 days after the Borrower or any ERISA Affiliate knows or has reason to know that any ERISA Event has occurred, which would reasonably be expected to result in a Material Adverse Effect, a statement of a Financial Officer of the Borrower describing such ERISA Event and the action, if any, the Borrower or such ERISA Affiliate has taken and proposes to take with respect thereto.</w:t>
      </w:r>
    </w:p>
    <w:p>
      <w:pPr>
        <w:spacing w:after="0" w:line="88" w:lineRule="exact"/>
        <w:rPr>
          <w:rFonts w:ascii="Arial" w:cs="Arial" w:eastAsia="Arial" w:hAnsi="Arial"/>
          <w:sz w:val="19"/>
          <w:szCs w:val="19"/>
          <w:color w:val="auto"/>
        </w:rPr>
      </w:pPr>
    </w:p>
    <w:p>
      <w:pPr>
        <w:jc w:val="both"/>
        <w:ind w:left="660" w:firstLine="1292"/>
        <w:spacing w:after="0" w:line="294" w:lineRule="auto"/>
        <w:tabs>
          <w:tab w:leader="none" w:pos="2598" w:val="left"/>
        </w:tabs>
        <w:numPr>
          <w:ilvl w:val="1"/>
          <w:numId w:val="504"/>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Promptly following any request therefor, (x) such other information respecting the business, financial condition or results of operations of the Borrower or any of its Subsidiaries as the Administrative Agent, or any Lender through the Administrative Agent, may from time to time reasonably request and as is permitted to be furnished under applicable law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95" w:lineRule="exact"/>
        <w:rPr>
          <w:rFonts w:ascii="Arial" w:cs="Arial" w:eastAsia="Arial" w:hAnsi="Arial"/>
          <w:sz w:val="19"/>
          <w:szCs w:val="19"/>
          <w:color w:val="auto"/>
        </w:rPr>
      </w:pPr>
    </w:p>
    <w:p>
      <w:pPr>
        <w:jc w:val="both"/>
        <w:ind w:left="660" w:firstLine="1292"/>
        <w:spacing w:after="0" w:line="253" w:lineRule="auto"/>
        <w:tabs>
          <w:tab w:leader="none" w:pos="2658" w:val="left"/>
        </w:tabs>
        <w:numPr>
          <w:ilvl w:val="1"/>
          <w:numId w:val="504"/>
        </w:numPr>
        <w:rPr>
          <w:rFonts w:ascii="Arial" w:cs="Arial" w:eastAsia="Arial" w:hAnsi="Arial"/>
          <w:sz w:val="22"/>
          <w:szCs w:val="22"/>
          <w:color w:val="auto"/>
        </w:rPr>
      </w:pPr>
      <w:r>
        <w:rPr>
          <w:rFonts w:ascii="Arial" w:cs="Arial" w:eastAsia="Arial" w:hAnsi="Arial"/>
          <w:sz w:val="22"/>
          <w:szCs w:val="22"/>
          <w:u w:val="single" w:color="auto"/>
          <w:color w:val="auto"/>
        </w:rPr>
        <w:t>15c3-3 Reserve Calculations</w:t>
      </w:r>
      <w:r>
        <w:rPr>
          <w:rFonts w:ascii="Arial" w:cs="Arial" w:eastAsia="Arial" w:hAnsi="Arial"/>
          <w:sz w:val="22"/>
          <w:szCs w:val="22"/>
          <w:color w:val="auto"/>
        </w:rPr>
        <w:t>. Promptly following any filing with the SEC or FINRA, all Reserve Formula or other Rule 15c3-3 reserve calculations that are filed with the SEC or FINRA (in addition to pro forma 15c3-3 reserve calculations in connection with each Borrowing of Tranche C Loans).</w:t>
      </w:r>
    </w:p>
    <w:p>
      <w:pPr>
        <w:spacing w:after="0" w:line="131" w:lineRule="exact"/>
        <w:rPr>
          <w:rFonts w:ascii="Arial" w:cs="Arial" w:eastAsia="Arial" w:hAnsi="Arial"/>
          <w:sz w:val="22"/>
          <w:szCs w:val="22"/>
          <w:color w:val="auto"/>
        </w:rPr>
      </w:pPr>
    </w:p>
    <w:p>
      <w:pPr>
        <w:jc w:val="both"/>
        <w:ind w:firstLine="1304"/>
        <w:spacing w:after="0" w:line="250" w:lineRule="auto"/>
        <w:tabs>
          <w:tab w:leader="none" w:pos="1966"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Comply, and cause each of its Subsidiaries to comply with all laws, rules, regulations and orders of any Governmental Authority applicable to it (including Environmental Laws and ERISA, and permits required thereunder), in each case, except if the failure to comply therewith would not reasonably be expected individually or in the aggregate to have a Material Adverse Effect.</w:t>
      </w:r>
    </w:p>
    <w:p>
      <w:pPr>
        <w:spacing w:after="0" w:line="133" w:lineRule="exact"/>
        <w:rPr>
          <w:rFonts w:ascii="Arial" w:cs="Arial" w:eastAsia="Arial" w:hAnsi="Arial"/>
          <w:sz w:val="22"/>
          <w:szCs w:val="22"/>
          <w:color w:val="auto"/>
        </w:rPr>
      </w:pPr>
    </w:p>
    <w:p>
      <w:pPr>
        <w:jc w:val="both"/>
        <w:ind w:firstLine="1304"/>
        <w:spacing w:after="0" w:line="265" w:lineRule="auto"/>
        <w:tabs>
          <w:tab w:leader="none" w:pos="1752" w:val="left"/>
        </w:tabs>
        <w:numPr>
          <w:ilvl w:val="0"/>
          <w:numId w:val="505"/>
        </w:numPr>
        <w:rPr>
          <w:rFonts w:ascii="Arial" w:cs="Arial" w:eastAsia="Arial" w:hAnsi="Arial"/>
          <w:sz w:val="21"/>
          <w:szCs w:val="21"/>
          <w:color w:val="auto"/>
        </w:rPr>
      </w:pPr>
      <w:r>
        <w:rPr>
          <w:rFonts w:ascii="Arial" w:cs="Arial" w:eastAsia="Arial" w:hAnsi="Arial"/>
          <w:sz w:val="21"/>
          <w:szCs w:val="21"/>
          <w:u w:val="single" w:color="auto"/>
          <w:color w:val="auto"/>
        </w:rPr>
        <w:t>Payment of Taxes, Etc</w:t>
      </w:r>
      <w:r>
        <w:rPr>
          <w:rFonts w:ascii="Arial" w:cs="Arial" w:eastAsia="Arial" w:hAnsi="Arial"/>
          <w:sz w:val="21"/>
          <w:szCs w:val="21"/>
          <w:color w:val="auto"/>
        </w:rPr>
        <w:t>. Pay and discharge, and cause each of its Subsidiaries to pay and discharge, before the same shall become delinquent all Taxes imposed upon it or upon its property, other than (i) any such Tax that is being contested in good faith and by proper proceedings and as to which appropriate reserves are being maintained or (ii) to the extent the failure to do so would not reasonably be expected to result in a Material Adverse Effect.</w:t>
      </w:r>
    </w:p>
    <w:p>
      <w:pPr>
        <w:spacing w:after="0" w:line="121" w:lineRule="exact"/>
        <w:rPr>
          <w:rFonts w:ascii="Arial" w:cs="Arial" w:eastAsia="Arial" w:hAnsi="Arial"/>
          <w:sz w:val="21"/>
          <w:szCs w:val="21"/>
          <w:color w:val="auto"/>
        </w:rPr>
      </w:pPr>
    </w:p>
    <w:p>
      <w:pPr>
        <w:jc w:val="both"/>
        <w:ind w:firstLine="1304"/>
        <w:spacing w:after="0" w:line="263" w:lineRule="auto"/>
        <w:tabs>
          <w:tab w:leader="none" w:pos="1831" w:val="left"/>
        </w:tabs>
        <w:numPr>
          <w:ilvl w:val="0"/>
          <w:numId w:val="505"/>
        </w:numPr>
        <w:rPr>
          <w:rFonts w:ascii="Arial" w:cs="Arial" w:eastAsia="Arial" w:hAnsi="Arial"/>
          <w:sz w:val="21"/>
          <w:szCs w:val="21"/>
          <w:color w:val="auto"/>
        </w:rPr>
      </w:pPr>
      <w:r>
        <w:rPr>
          <w:rFonts w:ascii="Arial" w:cs="Arial" w:eastAsia="Arial" w:hAnsi="Arial"/>
          <w:sz w:val="21"/>
          <w:szCs w:val="21"/>
          <w:u w:val="single" w:color="auto"/>
          <w:color w:val="auto"/>
        </w:rPr>
        <w:t>Maintenance of Insurance</w:t>
      </w:r>
      <w:r>
        <w:rPr>
          <w:rFonts w:ascii="Arial" w:cs="Arial" w:eastAsia="Arial" w:hAnsi="Arial"/>
          <w:sz w:val="21"/>
          <w:szCs w:val="21"/>
          <w:color w:val="auto"/>
        </w:rPr>
        <w:t>. Maintain, and cause each of its Subsidiaries to maintain with financially sound and reputable insurance companies (after giving effect to self-insurance), insurance in such amounts and covering such risks (but including in any event general liability, product liability and business interruption), and with such deductibles or self-insurance retentions, as is usually carried by companies of similar size and engaged in similar businesses and owning similar properties in the same general areas in which the Borrower or such Subsidiary operates.</w:t>
      </w:r>
    </w:p>
    <w:p>
      <w:pPr>
        <w:spacing w:after="0" w:line="121" w:lineRule="exact"/>
        <w:rPr>
          <w:rFonts w:ascii="Arial" w:cs="Arial" w:eastAsia="Arial" w:hAnsi="Arial"/>
          <w:sz w:val="21"/>
          <w:szCs w:val="21"/>
          <w:color w:val="auto"/>
        </w:rPr>
      </w:pPr>
    </w:p>
    <w:p>
      <w:pPr>
        <w:jc w:val="both"/>
        <w:ind w:firstLine="1304"/>
        <w:spacing w:after="0" w:line="263" w:lineRule="auto"/>
        <w:tabs>
          <w:tab w:leader="none" w:pos="1968" w:val="left"/>
        </w:tabs>
        <w:numPr>
          <w:ilvl w:val="0"/>
          <w:numId w:val="505"/>
        </w:numPr>
        <w:rPr>
          <w:rFonts w:ascii="Arial" w:cs="Arial" w:eastAsia="Arial" w:hAnsi="Arial"/>
          <w:sz w:val="21"/>
          <w:szCs w:val="21"/>
          <w:color w:val="auto"/>
        </w:rPr>
      </w:pPr>
      <w:r>
        <w:rPr>
          <w:rFonts w:ascii="Arial" w:cs="Arial" w:eastAsia="Arial" w:hAnsi="Arial"/>
          <w:sz w:val="21"/>
          <w:szCs w:val="21"/>
          <w:u w:val="single" w:color="auto"/>
          <w:color w:val="auto"/>
        </w:rPr>
        <w:t>Preservation of Corporate Existence, Etc</w:t>
      </w:r>
      <w:r>
        <w:rPr>
          <w:rFonts w:ascii="Arial" w:cs="Arial" w:eastAsia="Arial" w:hAnsi="Arial"/>
          <w:sz w:val="21"/>
          <w:szCs w:val="21"/>
          <w:color w:val="auto"/>
        </w:rPr>
        <w:t>. (i) Preserve and maintain, and cause each of its Material Subsidiaries as of the Effective Date (and any such Material Subsidiary’s successors) to preserve and maintain, its legal existence and (ii) take all reasonable action to preserve and maintain, to the extent necessary to the conduct of the business of the Borrower or any Broker-Dealer Subsidiary, its permits, licenses, approvals, and franchises (including Broker-Dealer Licenses and Memberships and Broker-Dealer Registrations), except in the case of clause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942" w:right="339" w:bottom="1440" w:gutter="0" w:footer="0" w:header="0"/>
        </w:sectPr>
      </w:pPr>
    </w:p>
    <w:bookmarkStart w:id="686" w:name="page687"/>
    <w:bookmarkEnd w:id="686"/>
    <w:p>
      <w:pPr>
        <w:jc w:val="both"/>
        <w:ind w:firstLine="8"/>
        <w:spacing w:after="0" w:line="250" w:lineRule="auto"/>
        <w:tabs>
          <w:tab w:leader="none" w:pos="261" w:val="left"/>
        </w:tabs>
        <w:numPr>
          <w:ilvl w:val="0"/>
          <w:numId w:val="506"/>
        </w:numPr>
        <w:rPr>
          <w:rFonts w:ascii="Arial" w:cs="Arial" w:eastAsia="Arial" w:hAnsi="Arial"/>
          <w:sz w:val="22"/>
          <w:szCs w:val="22"/>
          <w:color w:val="auto"/>
        </w:rPr>
      </w:pPr>
      <w:r>
        <w:rPr>
          <w:rFonts w:ascii="Arial" w:cs="Arial" w:eastAsia="Arial" w:hAnsi="Arial"/>
          <w:sz w:val="22"/>
          <w:szCs w:val="22"/>
          <w:color w:val="auto"/>
        </w:rPr>
        <w:t xml:space="preserve">or (ii) to the extent (other than with respect to the preservation of the existence of the Borrower) the failure to do so would not reasonably be expected to have a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Borrower and its Subsidiaries may consummate any merger, consolidation, liquidation, dissolution, sale, lease, transfer or other disposition not prohibited by Section 5.03 hereof.</w:t>
      </w:r>
    </w:p>
    <w:p>
      <w:pPr>
        <w:spacing w:after="0" w:line="133" w:lineRule="exact"/>
        <w:rPr>
          <w:rFonts w:ascii="Arial" w:cs="Arial" w:eastAsia="Arial" w:hAnsi="Arial"/>
          <w:sz w:val="22"/>
          <w:szCs w:val="22"/>
          <w:color w:val="auto"/>
        </w:rPr>
      </w:pPr>
    </w:p>
    <w:p>
      <w:pPr>
        <w:jc w:val="both"/>
        <w:ind w:firstLine="1304"/>
        <w:spacing w:after="0" w:line="285" w:lineRule="auto"/>
        <w:tabs>
          <w:tab w:leader="none" w:pos="1795" w:val="left"/>
        </w:tabs>
        <w:numPr>
          <w:ilvl w:val="1"/>
          <w:numId w:val="506"/>
        </w:numPr>
        <w:rPr>
          <w:rFonts w:ascii="Arial" w:cs="Arial" w:eastAsia="Arial" w:hAnsi="Arial"/>
          <w:sz w:val="19"/>
          <w:szCs w:val="19"/>
          <w:color w:val="auto"/>
        </w:rPr>
      </w:pPr>
      <w:r>
        <w:rPr>
          <w:rFonts w:ascii="Arial" w:cs="Arial" w:eastAsia="Arial" w:hAnsi="Arial"/>
          <w:sz w:val="19"/>
          <w:szCs w:val="19"/>
          <w:u w:val="single" w:color="auto"/>
          <w:color w:val="auto"/>
        </w:rPr>
        <w:t>Visitation Rights</w:t>
      </w:r>
      <w:r>
        <w:rPr>
          <w:rFonts w:ascii="Arial" w:cs="Arial" w:eastAsia="Arial" w:hAnsi="Arial"/>
          <w:sz w:val="19"/>
          <w:szCs w:val="19"/>
          <w:color w:val="auto"/>
        </w:rPr>
        <w:t xml:space="preserve">. During normal business hours upon reasonable prior written notice (including by email) and from time to time, to the extent permitted by applicable law and without unreasonably interfering with the Borrower or its businesses, permit the Administrative Agent to examine and make copies of and abstracts from the records and books of account of, and visit the properties of, the Borrower and any of its Subsidiaries, and to discuss the affairs, finances and accounts of the Borrower and any of its Subsidiaries with any of their respective officers and with their respective independent certified public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representatives of the Borrower shall have the opportunity to be present at any meeting with its independent accountants;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unless an Event of Default has occurred and is continuing (i) the exercise of visitation and inspection rights under this Section 5.01(f) shall be limited to one visit per Fiscal Year and (ii) neither the Borrower and nor any of its Subsidiaries shall be required to pay or reimburse any costs and expenses incurred by the Administrative Agent in connection with any additional visitations or inspections;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during the occurrence and continuation of an Event of Default, there shall be no limitation on the frequency of such visits or inspections or the obligations of the Borrower to reimburse Administrative Agent for all reasonable, documented out-of-pocket costs and expenses related to such visits and inspections. Notwithstanding anything to the contrary in this Section 5.01(f), neither the Borrower nor any Subsidiary will be required to disclose or permit the inspection or discussion of any document, information or other matter (i) in respect of which disclosure to the Administrative Agent or any Lender (or their respective representatives) would be in breach of any confidentiality obligations, customer data protection rules or other applicable laws or (ii) that is subject to attorney client or similar privilege or constitutes attorney work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Borrower does not provide information in reliance on the exclusions in this sentence, it shall use commercially reasonable efforts to communicate, to the extent permitted, the applicable information in a way that would not violate such restrictions.</w:t>
      </w:r>
    </w:p>
    <w:p>
      <w:pPr>
        <w:spacing w:after="0" w:line="105" w:lineRule="exact"/>
        <w:rPr>
          <w:rFonts w:ascii="Arial" w:cs="Arial" w:eastAsia="Arial" w:hAnsi="Arial"/>
          <w:sz w:val="19"/>
          <w:szCs w:val="19"/>
          <w:color w:val="auto"/>
        </w:rPr>
      </w:pPr>
    </w:p>
    <w:p>
      <w:pPr>
        <w:jc w:val="both"/>
        <w:ind w:firstLine="1304"/>
        <w:spacing w:after="0" w:line="246" w:lineRule="auto"/>
        <w:tabs>
          <w:tab w:leader="none" w:pos="1791" w:val="left"/>
        </w:tabs>
        <w:numPr>
          <w:ilvl w:val="1"/>
          <w:numId w:val="506"/>
        </w:numPr>
        <w:rPr>
          <w:rFonts w:ascii="Arial" w:cs="Arial" w:eastAsia="Arial" w:hAnsi="Arial"/>
          <w:sz w:val="22"/>
          <w:szCs w:val="22"/>
          <w:color w:val="auto"/>
        </w:rPr>
      </w:pPr>
      <w:r>
        <w:rPr>
          <w:rFonts w:ascii="Arial" w:cs="Arial" w:eastAsia="Arial" w:hAnsi="Arial"/>
          <w:sz w:val="22"/>
          <w:szCs w:val="22"/>
          <w:u w:val="single" w:color="auto"/>
          <w:color w:val="auto"/>
        </w:rPr>
        <w:t>Keeping of Books</w:t>
      </w:r>
      <w:r>
        <w:rPr>
          <w:rFonts w:ascii="Arial" w:cs="Arial" w:eastAsia="Arial" w:hAnsi="Arial"/>
          <w:sz w:val="22"/>
          <w:szCs w:val="22"/>
          <w:color w:val="auto"/>
        </w:rPr>
        <w:t>. (i) Keep, and cause each of its Subsidiaries to keep, proper books of record and account, in which true and correct entries (in all material respects) shall be made of all material financial transactions and the assets and business of the Borrower and each of its Subsidiaries and (ii) maintain, and cause each of its Subsidiaries to maintain, a system of accounting established and maintained in conformity, in all material respects, with GAAP in effect from time to time (other than for Foreign Subsidiaries, in which case in conformity, in all material respects, with the applicable accounting requirements in their respective jurisdictions (for the avoidance of doubt, any such Foreign Subsidiary’s financial statements shall be reconciled to GAAP for the purposes of preparing the consolidated financial statements delivered pursuant to Section 5.01(a)(ii), (iii) or (iv)).</w:t>
      </w:r>
    </w:p>
    <w:p>
      <w:pPr>
        <w:spacing w:after="0" w:line="139" w:lineRule="exact"/>
        <w:rPr>
          <w:rFonts w:ascii="Arial" w:cs="Arial" w:eastAsia="Arial" w:hAnsi="Arial"/>
          <w:sz w:val="22"/>
          <w:szCs w:val="22"/>
          <w:color w:val="auto"/>
        </w:rPr>
      </w:pPr>
    </w:p>
    <w:p>
      <w:pPr>
        <w:jc w:val="both"/>
        <w:ind w:firstLine="1304"/>
        <w:spacing w:after="0" w:line="253" w:lineRule="auto"/>
        <w:tabs>
          <w:tab w:leader="none" w:pos="1804" w:val="left"/>
        </w:tabs>
        <w:numPr>
          <w:ilvl w:val="1"/>
          <w:numId w:val="506"/>
        </w:numPr>
        <w:rPr>
          <w:rFonts w:ascii="Arial" w:cs="Arial" w:eastAsia="Arial" w:hAnsi="Arial"/>
          <w:sz w:val="22"/>
          <w:szCs w:val="22"/>
          <w:color w:val="auto"/>
        </w:rPr>
      </w:pPr>
      <w:r>
        <w:rPr>
          <w:rFonts w:ascii="Arial" w:cs="Arial" w:eastAsia="Arial" w:hAnsi="Arial"/>
          <w:sz w:val="22"/>
          <w:szCs w:val="22"/>
          <w:u w:val="single" w:color="auto"/>
          <w:color w:val="auto"/>
        </w:rPr>
        <w:t>Maintenance of Material Properties, Etc</w:t>
      </w:r>
      <w:r>
        <w:rPr>
          <w:rFonts w:ascii="Arial" w:cs="Arial" w:eastAsia="Arial" w:hAnsi="Arial"/>
          <w:sz w:val="22"/>
          <w:szCs w:val="22"/>
          <w:color w:val="auto"/>
        </w:rPr>
        <w:t>. Maintain all material property useful and necessary in its business (including material software licenses and other material intellectual property) in good working order and condition, casualty, condemnation and ordinary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942" w:right="339" w:bottom="1440" w:gutter="0" w:footer="0" w:header="0"/>
        </w:sectPr>
      </w:pPr>
    </w:p>
    <w:bookmarkStart w:id="687" w:name="page688"/>
    <w:bookmarkEnd w:id="687"/>
    <w:p>
      <w:pPr>
        <w:spacing w:after="0"/>
        <w:rPr>
          <w:sz w:val="20"/>
          <w:szCs w:val="20"/>
          <w:color w:val="auto"/>
        </w:rPr>
      </w:pPr>
      <w:r>
        <w:rPr>
          <w:rFonts w:ascii="Arial" w:cs="Arial" w:eastAsia="Arial" w:hAnsi="Arial"/>
          <w:sz w:val="19"/>
          <w:szCs w:val="19"/>
          <w:color w:val="auto"/>
        </w:rPr>
        <w:t>wear and tear excepted, except where the failure to do so would not reasonably be expected to have a Material Adverse Effect.</w:t>
      </w:r>
    </w:p>
    <w:p>
      <w:pPr>
        <w:spacing w:after="0" w:line="200" w:lineRule="exact"/>
        <w:rPr>
          <w:sz w:val="20"/>
          <w:szCs w:val="20"/>
          <w:color w:val="auto"/>
        </w:rPr>
      </w:pPr>
    </w:p>
    <w:p>
      <w:pPr>
        <w:jc w:val="both"/>
        <w:ind w:firstLine="1304"/>
        <w:spacing w:after="0" w:line="265" w:lineRule="auto"/>
        <w:tabs>
          <w:tab w:leader="none" w:pos="1716" w:val="left"/>
        </w:tabs>
        <w:numPr>
          <w:ilvl w:val="0"/>
          <w:numId w:val="507"/>
        </w:numPr>
        <w:rPr>
          <w:rFonts w:ascii="Arial" w:cs="Arial" w:eastAsia="Arial" w:hAnsi="Arial"/>
          <w:sz w:val="21"/>
          <w:szCs w:val="21"/>
          <w:color w:val="auto"/>
        </w:rPr>
      </w:pPr>
      <w:r>
        <w:rPr>
          <w:rFonts w:ascii="Arial" w:cs="Arial" w:eastAsia="Arial" w:hAnsi="Arial"/>
          <w:sz w:val="21"/>
          <w:szCs w:val="21"/>
          <w:u w:val="single" w:color="auto"/>
          <w:color w:val="auto"/>
        </w:rPr>
        <w:t>Anti-Corruption/Anti-Money Laundering Laws and Sanctions</w:t>
      </w:r>
      <w:r>
        <w:rPr>
          <w:rFonts w:ascii="Arial" w:cs="Arial" w:eastAsia="Arial" w:hAnsi="Arial"/>
          <w:sz w:val="21"/>
          <w:szCs w:val="21"/>
          <w:color w:val="auto"/>
        </w:rPr>
        <w:t>. Maintain in effect and enforce, and cause each of its Subsidiaries to maintain in effect and enforce, policies and procedures reasonably designed to ensure compliance by the Borrower, its Subsidiaries and their respective directors, officers, employees and agents with any applicable Anti-Corruption/Anti-Money Laundering Laws and applicable Sanctions, in each case, in all material respects.</w:t>
      </w:r>
    </w:p>
    <w:p>
      <w:pPr>
        <w:spacing w:after="0" w:line="121" w:lineRule="exact"/>
        <w:rPr>
          <w:rFonts w:ascii="Arial" w:cs="Arial" w:eastAsia="Arial" w:hAnsi="Arial"/>
          <w:sz w:val="21"/>
          <w:szCs w:val="21"/>
          <w:color w:val="auto"/>
        </w:rPr>
      </w:pPr>
    </w:p>
    <w:p>
      <w:pPr>
        <w:jc w:val="both"/>
        <w:ind w:firstLine="1304"/>
        <w:spacing w:after="0" w:line="259" w:lineRule="auto"/>
        <w:tabs>
          <w:tab w:leader="none" w:pos="1824" w:val="left"/>
        </w:tabs>
        <w:numPr>
          <w:ilvl w:val="0"/>
          <w:numId w:val="507"/>
        </w:numPr>
        <w:rPr>
          <w:rFonts w:ascii="Arial" w:cs="Arial" w:eastAsia="Arial" w:hAnsi="Arial"/>
          <w:sz w:val="21"/>
          <w:szCs w:val="21"/>
          <w:color w:val="auto"/>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Use the proceeds of the Loans solely (i) to finance customer margin loans, (ii) to fund clearing fund NSCC Margin Deposits requirements, (iii) to address funding needs resulting from Rule 15c3-3 timing differences (including to avoid adding a “credit” for purposes of the Reserve Formula), (iv) to facilitate settlements of securities of customers of the Borrower, (v) for financing the return of deposits received in connection with securities lending transactions, (vi) to repay loans borrowed against customer re-hypothecated securities, (vii) to meet liquidity needs associated with customer buying activity or customer withdrawal of credit balances and (viii) to repay advances made, directly or indirectly, by Holdco with proceeds of loans or other extensions of credit under the Holdco Credit Agreement, in each case to the extent such loans or other extensions of credit under the Holdco Credit Agreement were used for a purpose described in the foregoing clauses (i) through (vii).</w:t>
      </w:r>
    </w:p>
    <w:p>
      <w:pPr>
        <w:spacing w:after="0" w:line="125" w:lineRule="exact"/>
        <w:rPr>
          <w:rFonts w:ascii="Arial" w:cs="Arial" w:eastAsia="Arial" w:hAnsi="Arial"/>
          <w:sz w:val="21"/>
          <w:szCs w:val="21"/>
          <w:color w:val="auto"/>
        </w:rPr>
      </w:pPr>
    </w:p>
    <w:p>
      <w:pPr>
        <w:jc w:val="both"/>
        <w:ind w:firstLine="1304"/>
        <w:spacing w:after="0" w:line="250" w:lineRule="auto"/>
        <w:tabs>
          <w:tab w:leader="none" w:pos="1831" w:val="left"/>
        </w:tabs>
        <w:numPr>
          <w:ilvl w:val="0"/>
          <w:numId w:val="507"/>
        </w:numPr>
        <w:rPr>
          <w:rFonts w:ascii="Arial" w:cs="Arial" w:eastAsia="Arial" w:hAnsi="Arial"/>
          <w:sz w:val="22"/>
          <w:szCs w:val="22"/>
          <w:color w:val="auto"/>
        </w:rPr>
      </w:pPr>
      <w:r>
        <w:rPr>
          <w:rFonts w:ascii="Arial" w:cs="Arial" w:eastAsia="Arial" w:hAnsi="Arial"/>
          <w:sz w:val="22"/>
          <w:szCs w:val="22"/>
          <w:u w:val="single" w:color="auto"/>
          <w:color w:val="auto"/>
        </w:rPr>
        <w:t>Beneficial Ownership</w:t>
      </w:r>
      <w:r>
        <w:rPr>
          <w:rFonts w:ascii="Arial" w:cs="Arial" w:eastAsia="Arial" w:hAnsi="Arial"/>
          <w:sz w:val="22"/>
          <w:szCs w:val="22"/>
          <w:color w:val="auto"/>
        </w:rPr>
        <w:t>. If the Borrower constitutes a legal entity customer and any information included in the Beneficial Ownership Certification provided to any Lender in connection with this Agreement is no longer true and correct in all material respects, promptly and in any event within 10 days after the Borrower obtains knowledge thereof, provide an updated Beneficial Ownership Certification that is true and correct in all respects.</w:t>
      </w:r>
    </w:p>
    <w:p>
      <w:pPr>
        <w:spacing w:after="0" w:line="134"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Negative Covenants</w:t>
      </w:r>
      <w:r>
        <w:rPr>
          <w:rFonts w:ascii="Arial" w:cs="Arial" w:eastAsia="Arial" w:hAnsi="Arial"/>
          <w:sz w:val="22"/>
          <w:szCs w:val="22"/>
          <w:color w:val="auto"/>
        </w:rPr>
        <w:t>. Until the Commitments have expired or been terminated and the principal of and interest on each Loan and all other Obligations of the Borrower under the Credit Documents (other than contingent indemnification obligations as to which no claim has been asserted and expense reimbursement not yet due and payable) have been paid in full, the Borrower will not, at any time:</w:t>
      </w:r>
    </w:p>
    <w:p>
      <w:pPr>
        <w:spacing w:after="0" w:line="134" w:lineRule="exact"/>
        <w:rPr>
          <w:sz w:val="20"/>
          <w:szCs w:val="20"/>
          <w:color w:val="auto"/>
        </w:rPr>
      </w:pPr>
    </w:p>
    <w:p>
      <w:pPr>
        <w:jc w:val="both"/>
        <w:ind w:firstLine="1304"/>
        <w:spacing w:after="0" w:line="253" w:lineRule="auto"/>
        <w:tabs>
          <w:tab w:leader="none" w:pos="1779"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Liens, Etc</w:t>
      </w:r>
      <w:r>
        <w:rPr>
          <w:rFonts w:ascii="Arial" w:cs="Arial" w:eastAsia="Arial" w:hAnsi="Arial"/>
          <w:sz w:val="22"/>
          <w:szCs w:val="22"/>
          <w:color w:val="auto"/>
        </w:rPr>
        <w:t>. Create, incur, assume or suffer to exist, or permit any of its Subsidiaries to create, incur, assume or suffer to exist, any Lien on or with respect to any of its properties of any character whether now owned or hereafter acquired except:</w:t>
      </w:r>
    </w:p>
    <w:p>
      <w:pPr>
        <w:spacing w:after="0" w:line="131" w:lineRule="exact"/>
        <w:rPr>
          <w:rFonts w:ascii="Arial" w:cs="Arial" w:eastAsia="Arial" w:hAnsi="Arial"/>
          <w:sz w:val="22"/>
          <w:szCs w:val="22"/>
          <w:color w:val="auto"/>
        </w:rPr>
      </w:pPr>
    </w:p>
    <w:p>
      <w:pPr>
        <w:ind w:left="2380" w:hanging="428"/>
        <w:spacing w:after="0"/>
        <w:tabs>
          <w:tab w:leader="none" w:pos="2380" w:val="left"/>
        </w:tabs>
        <w:numPr>
          <w:ilvl w:val="1"/>
          <w:numId w:val="508"/>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165" w:lineRule="exact"/>
        <w:rPr>
          <w:rFonts w:ascii="Arial" w:cs="Arial" w:eastAsia="Arial" w:hAnsi="Arial"/>
          <w:sz w:val="22"/>
          <w:szCs w:val="22"/>
          <w:color w:val="auto"/>
        </w:rPr>
      </w:pPr>
    </w:p>
    <w:p>
      <w:pPr>
        <w:ind w:left="2440" w:hanging="488"/>
        <w:spacing w:after="0"/>
        <w:tabs>
          <w:tab w:leader="none" w:pos="2440" w:val="left"/>
        </w:tabs>
        <w:numPr>
          <w:ilvl w:val="1"/>
          <w:numId w:val="508"/>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165" w:lineRule="exact"/>
        <w:rPr>
          <w:rFonts w:ascii="Arial" w:cs="Arial" w:eastAsia="Arial" w:hAnsi="Arial"/>
          <w:sz w:val="22"/>
          <w:szCs w:val="22"/>
          <w:color w:val="auto"/>
        </w:rPr>
      </w:pPr>
    </w:p>
    <w:p>
      <w:pPr>
        <w:jc w:val="both"/>
        <w:ind w:left="660" w:firstLine="1292"/>
        <w:spacing w:after="0" w:line="312" w:lineRule="auto"/>
        <w:tabs>
          <w:tab w:leader="none" w:pos="2699" w:val="left"/>
        </w:tabs>
        <w:numPr>
          <w:ilvl w:val="1"/>
          <w:numId w:val="508"/>
        </w:numPr>
        <w:rPr>
          <w:rFonts w:ascii="Arial" w:cs="Arial" w:eastAsia="Arial" w:hAnsi="Arial"/>
          <w:sz w:val="19"/>
          <w:szCs w:val="19"/>
          <w:color w:val="auto"/>
        </w:rPr>
      </w:pPr>
      <w:r>
        <w:rPr>
          <w:rFonts w:ascii="Arial" w:cs="Arial" w:eastAsia="Arial" w:hAnsi="Arial"/>
          <w:sz w:val="19"/>
          <w:szCs w:val="19"/>
          <w:color w:val="auto"/>
        </w:rPr>
        <w:t>Liens created, incurred, assumed or suffered to exist by the Borrower or any Broker-Dealer Subsidiary in the ordinary course of business upon assets owned by such Broker-Dealer Subsidiary or as to which such Broker-Dealer Subsidiary has rights to create Liens thereon or held for its account to secure liabilities or obligations,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942" w:right="339" w:bottom="1440" w:gutter="0" w:footer="0" w:header="0"/>
        </w:sectPr>
      </w:pPr>
    </w:p>
    <w:bookmarkStart w:id="688" w:name="page689"/>
    <w:bookmarkEnd w:id="688"/>
    <w:p>
      <w:pPr>
        <w:jc w:val="both"/>
        <w:spacing w:after="0" w:line="253" w:lineRule="auto"/>
        <w:rPr>
          <w:sz w:val="20"/>
          <w:szCs w:val="20"/>
          <w:color w:val="auto"/>
        </w:rPr>
      </w:pPr>
      <w:r>
        <w:rPr>
          <w:rFonts w:ascii="Arial" w:cs="Arial" w:eastAsia="Arial" w:hAnsi="Arial"/>
          <w:sz w:val="22"/>
          <w:szCs w:val="22"/>
          <w:color w:val="auto"/>
        </w:rPr>
        <w:t>actual or contingent, incurred in the ordinary course of business, including Liens in favor of clearing houses, clearing brokers or other entities providing clearing services and borrowings collateralized by client assets in the ordinary course of business;</w:t>
      </w:r>
    </w:p>
    <w:p>
      <w:pPr>
        <w:spacing w:after="0" w:line="131" w:lineRule="exact"/>
        <w:rPr>
          <w:sz w:val="20"/>
          <w:szCs w:val="20"/>
          <w:color w:val="auto"/>
        </w:rPr>
      </w:pPr>
    </w:p>
    <w:p>
      <w:pPr>
        <w:ind w:left="1820" w:hanging="528"/>
        <w:spacing w:after="0"/>
        <w:tabs>
          <w:tab w:leader="none" w:pos="182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right="20" w:firstLine="1292"/>
        <w:spacing w:after="0" w:line="263" w:lineRule="auto"/>
        <w:tabs>
          <w:tab w:leader="none" w:pos="1853" w:val="left"/>
        </w:tabs>
        <w:numPr>
          <w:ilvl w:val="0"/>
          <w:numId w:val="509"/>
        </w:numPr>
        <w:rPr>
          <w:rFonts w:ascii="Arial" w:cs="Arial" w:eastAsia="Arial" w:hAnsi="Arial"/>
          <w:sz w:val="22"/>
          <w:szCs w:val="22"/>
          <w:color w:val="auto"/>
        </w:rPr>
      </w:pPr>
      <w:r>
        <w:rPr>
          <w:rFonts w:ascii="Arial" w:cs="Arial" w:eastAsia="Arial" w:hAnsi="Arial"/>
          <w:sz w:val="22"/>
          <w:szCs w:val="22"/>
          <w:color w:val="auto"/>
        </w:rPr>
        <w:t>Liens in respect of Hedge Agreements entered into in the ordinary course of business and not for speculative purposes;</w:t>
      </w:r>
    </w:p>
    <w:p>
      <w:pPr>
        <w:spacing w:after="0" w:line="120" w:lineRule="exact"/>
        <w:rPr>
          <w:rFonts w:ascii="Arial" w:cs="Arial" w:eastAsia="Arial" w:hAnsi="Arial"/>
          <w:sz w:val="22"/>
          <w:szCs w:val="22"/>
          <w:color w:val="auto"/>
        </w:rPr>
      </w:pPr>
    </w:p>
    <w:p>
      <w:pPr>
        <w:ind w:firstLine="1292"/>
        <w:spacing w:after="0" w:line="263" w:lineRule="auto"/>
        <w:tabs>
          <w:tab w:leader="none" w:pos="1901" w:val="left"/>
        </w:tabs>
        <w:numPr>
          <w:ilvl w:val="0"/>
          <w:numId w:val="509"/>
        </w:numPr>
        <w:rPr>
          <w:rFonts w:ascii="Arial" w:cs="Arial" w:eastAsia="Arial" w:hAnsi="Arial"/>
          <w:sz w:val="22"/>
          <w:szCs w:val="22"/>
          <w:color w:val="auto"/>
        </w:rPr>
      </w:pPr>
      <w:r>
        <w:rPr>
          <w:rFonts w:ascii="Arial" w:cs="Arial" w:eastAsia="Arial" w:hAnsi="Arial"/>
          <w:sz w:val="22"/>
          <w:szCs w:val="22"/>
          <w:color w:val="auto"/>
        </w:rPr>
        <w:t>Liens in favor of the Borrower and, with respect to Liens on property of any Subsidiary, Liens in favor of any wholly-owned Subsidiary of the Borrower;</w:t>
      </w:r>
    </w:p>
    <w:p>
      <w:pPr>
        <w:spacing w:after="0" w:line="120" w:lineRule="exact"/>
        <w:rPr>
          <w:rFonts w:ascii="Arial" w:cs="Arial" w:eastAsia="Arial" w:hAnsi="Arial"/>
          <w:sz w:val="22"/>
          <w:szCs w:val="22"/>
          <w:color w:val="auto"/>
        </w:rPr>
      </w:pPr>
    </w:p>
    <w:p>
      <w:pPr>
        <w:jc w:val="both"/>
        <w:ind w:firstLine="1292"/>
        <w:spacing w:after="0" w:line="290" w:lineRule="auto"/>
        <w:tabs>
          <w:tab w:leader="none" w:pos="2003" w:val="left"/>
        </w:tabs>
        <w:numPr>
          <w:ilvl w:val="0"/>
          <w:numId w:val="509"/>
        </w:numPr>
        <w:rPr>
          <w:rFonts w:ascii="Arial" w:cs="Arial" w:eastAsia="Arial" w:hAnsi="Arial"/>
          <w:sz w:val="19"/>
          <w:szCs w:val="19"/>
          <w:color w:val="auto"/>
        </w:rPr>
      </w:pPr>
      <w:r>
        <w:rPr>
          <w:rFonts w:ascii="Arial" w:cs="Arial" w:eastAsia="Arial" w:hAnsi="Arial"/>
          <w:sz w:val="19"/>
          <w:szCs w:val="19"/>
          <w:color w:val="auto"/>
        </w:rPr>
        <w:t xml:space="preserve">Liens existing on any property or asset prior to the acquisition thereof by the Borrower or any Subsidiary thereof or existing on any property or asset of any Person that becomes a Subsidiary of the Borrower prior to the time such Person becomes a Subsidiary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(1) such Lien is not created in contemplation of or in connection with such acquisition or such Person becoming a Subsidiary of the Borrower, (2) such Lien shall not apply to any other property or assets of the Borrower or any Subsidiary thereof (other than after acquired property that is affixed or incorporated into the property covered by such Lien) and (3) such Lien shall secure only those obligations which it secured on the date of such acquisition or the date such Person becomes a Subsidiary of the Borrower and any Debt or other obligations not prohibited hereunder extending the maturity of, or refunding or refinancing such obligations;</w:t>
      </w:r>
    </w:p>
    <w:p>
      <w:pPr>
        <w:spacing w:after="0" w:line="101" w:lineRule="exact"/>
        <w:rPr>
          <w:rFonts w:ascii="Arial" w:cs="Arial" w:eastAsia="Arial" w:hAnsi="Arial"/>
          <w:sz w:val="19"/>
          <w:szCs w:val="19"/>
          <w:color w:val="auto"/>
        </w:rPr>
      </w:pPr>
    </w:p>
    <w:p>
      <w:pPr>
        <w:jc w:val="both"/>
        <w:ind w:firstLine="1292"/>
        <w:spacing w:after="0" w:line="259" w:lineRule="auto"/>
        <w:tabs>
          <w:tab w:leader="none" w:pos="2052" w:val="left"/>
        </w:tabs>
        <w:numPr>
          <w:ilvl w:val="0"/>
          <w:numId w:val="509"/>
        </w:numPr>
        <w:rPr>
          <w:rFonts w:ascii="Arial" w:cs="Arial" w:eastAsia="Arial" w:hAnsi="Arial"/>
          <w:sz w:val="21"/>
          <w:szCs w:val="21"/>
          <w:color w:val="auto"/>
        </w:rPr>
      </w:pPr>
      <w:r>
        <w:rPr>
          <w:rFonts w:ascii="Arial" w:cs="Arial" w:eastAsia="Arial" w:hAnsi="Arial"/>
          <w:sz w:val="21"/>
          <w:szCs w:val="21"/>
          <w:color w:val="auto"/>
        </w:rPr>
        <w:t xml:space="preserve">Liens securing Debt permitted pursuant to Section 5.03(b)(xiv)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such Liens shall not extend to or cover any property or assets of any character other than the property or equipment being financed and the proceeds and products and extensions thereof and (2) such Liens shall be created within 180 days of the acquisition of the related asset;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the event that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pacing w:after="0" w:line="125" w:lineRule="exact"/>
        <w:rPr>
          <w:rFonts w:ascii="Arial" w:cs="Arial" w:eastAsia="Arial" w:hAnsi="Arial"/>
          <w:sz w:val="21"/>
          <w:szCs w:val="21"/>
          <w:color w:val="auto"/>
        </w:rPr>
      </w:pPr>
    </w:p>
    <w:p>
      <w:pPr>
        <w:jc w:val="both"/>
        <w:ind w:firstLine="1292"/>
        <w:spacing w:after="0" w:line="253" w:lineRule="auto"/>
        <w:tabs>
          <w:tab w:leader="none" w:pos="1971" w:val="left"/>
        </w:tabs>
        <w:numPr>
          <w:ilvl w:val="0"/>
          <w:numId w:val="509"/>
        </w:numPr>
        <w:rPr>
          <w:rFonts w:ascii="Arial" w:cs="Arial" w:eastAsia="Arial" w:hAnsi="Arial"/>
          <w:sz w:val="22"/>
          <w:szCs w:val="22"/>
          <w:color w:val="auto"/>
        </w:rPr>
      </w:pPr>
      <w:r>
        <w:rPr>
          <w:rFonts w:ascii="Arial" w:cs="Arial" w:eastAsia="Arial" w:hAnsi="Arial"/>
          <w:sz w:val="22"/>
          <w:szCs w:val="22"/>
          <w:color w:val="auto"/>
        </w:rPr>
        <w:t xml:space="preserve">customary restrictions on transfers of assets contained in agreements related to the sale by the Borrower or any of its Subsidiaries of such assets pending their sale,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restrictions apply only to the assets to be sold and such sale is permitted hereunder;</w:t>
      </w:r>
    </w:p>
    <w:p>
      <w:pPr>
        <w:spacing w:after="0" w:line="131" w:lineRule="exact"/>
        <w:rPr>
          <w:rFonts w:ascii="Arial" w:cs="Arial" w:eastAsia="Arial" w:hAnsi="Arial"/>
          <w:sz w:val="22"/>
          <w:szCs w:val="22"/>
          <w:color w:val="auto"/>
        </w:rPr>
      </w:pPr>
    </w:p>
    <w:p>
      <w:pPr>
        <w:ind w:firstLine="1292"/>
        <w:spacing w:after="0" w:line="343" w:lineRule="auto"/>
        <w:tabs>
          <w:tab w:leader="none" w:pos="1850" w:val="left"/>
        </w:tabs>
        <w:numPr>
          <w:ilvl w:val="0"/>
          <w:numId w:val="509"/>
        </w:numPr>
        <w:rPr>
          <w:rFonts w:ascii="Arial" w:cs="Arial" w:eastAsia="Arial" w:hAnsi="Arial"/>
          <w:sz w:val="19"/>
          <w:szCs w:val="19"/>
          <w:color w:val="auto"/>
        </w:rPr>
      </w:pPr>
      <w:r>
        <w:rPr>
          <w:rFonts w:ascii="Arial" w:cs="Arial" w:eastAsia="Arial" w:hAnsi="Arial"/>
          <w:sz w:val="19"/>
          <w:szCs w:val="19"/>
          <w:color w:val="auto"/>
        </w:rPr>
        <w:t xml:space="preserve">Liens existing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Liens securing Debt in excess of (x) $1,000,000 individually or (y) $5,000,000 in the aggregate for all such Liens shall be described in </w:t>
      </w:r>
      <w:r>
        <w:rPr>
          <w:rFonts w:ascii="Arial" w:cs="Arial" w:eastAsia="Arial" w:hAnsi="Arial"/>
          <w:sz w:val="19"/>
          <w:szCs w:val="19"/>
          <w:u w:val="single" w:color="auto"/>
          <w:color w:val="auto"/>
        </w:rPr>
        <w:t>Schedule 5.03(a))</w:t>
      </w:r>
      <w:r>
        <w:rPr>
          <w:rFonts w:ascii="Arial" w:cs="Arial" w:eastAsia="Arial" w:hAnsi="Arial"/>
          <w:sz w:val="19"/>
          <w:szCs w:val="19"/>
          <w:color w:val="auto"/>
        </w:rPr>
        <w:t>;</w:t>
      </w:r>
    </w:p>
    <w:p>
      <w:pPr>
        <w:spacing w:after="0" w:line="50" w:lineRule="exact"/>
        <w:rPr>
          <w:rFonts w:ascii="Arial" w:cs="Arial" w:eastAsia="Arial" w:hAnsi="Arial"/>
          <w:sz w:val="19"/>
          <w:szCs w:val="19"/>
          <w:color w:val="auto"/>
        </w:rPr>
      </w:pPr>
    </w:p>
    <w:p>
      <w:pPr>
        <w:ind w:left="1820" w:hanging="528"/>
        <w:spacing w:after="0"/>
        <w:tabs>
          <w:tab w:leader="none" w:pos="1820" w:val="left"/>
        </w:tabs>
        <w:numPr>
          <w:ilvl w:val="0"/>
          <w:numId w:val="5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35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0580"/>
          </w:cols>
          <w:pgMar w:left="980" w:top="942" w:right="339" w:bottom="1440" w:gutter="0" w:footer="0" w:header="0"/>
        </w:sectPr>
      </w:pPr>
    </w:p>
    <w:bookmarkStart w:id="689" w:name="page690"/>
    <w:bookmarkEnd w:id="689"/>
    <w:p>
      <w:pPr>
        <w:ind w:left="660" w:firstLine="1292"/>
        <w:spacing w:after="0" w:line="287" w:lineRule="auto"/>
        <w:tabs>
          <w:tab w:leader="none" w:pos="2678" w:val="left"/>
        </w:tabs>
        <w:numPr>
          <w:ilvl w:val="0"/>
          <w:numId w:val="510"/>
        </w:numPr>
        <w:rPr>
          <w:rFonts w:ascii="Arial" w:cs="Arial" w:eastAsia="Arial" w:hAnsi="Arial"/>
          <w:sz w:val="21"/>
          <w:szCs w:val="21"/>
          <w:color w:val="auto"/>
        </w:rPr>
      </w:pPr>
      <w:r>
        <w:rPr>
          <w:rFonts w:ascii="Arial" w:cs="Arial" w:eastAsia="Arial" w:hAnsi="Arial"/>
          <w:sz w:val="21"/>
          <w:szCs w:val="21"/>
          <w:color w:val="auto"/>
        </w:rPr>
        <w:t>Liens on cash advances in favor of the seller of any property to be acquired in an Investment permitted pursuant to Section 5.03(g) to be applied against the purchase price for such Investment;</w:t>
      </w:r>
    </w:p>
    <w:p>
      <w:pPr>
        <w:spacing w:after="0" w:line="97" w:lineRule="exact"/>
        <w:rPr>
          <w:rFonts w:ascii="Arial" w:cs="Arial" w:eastAsia="Arial" w:hAnsi="Arial"/>
          <w:sz w:val="21"/>
          <w:szCs w:val="21"/>
          <w:color w:val="auto"/>
        </w:rPr>
      </w:pPr>
    </w:p>
    <w:p>
      <w:pPr>
        <w:jc w:val="both"/>
        <w:ind w:left="660" w:firstLine="1292"/>
        <w:spacing w:after="0" w:line="253" w:lineRule="auto"/>
        <w:tabs>
          <w:tab w:leader="none" w:pos="2735" w:val="left"/>
        </w:tabs>
        <w:numPr>
          <w:ilvl w:val="0"/>
          <w:numId w:val="510"/>
        </w:numPr>
        <w:rPr>
          <w:rFonts w:ascii="Arial" w:cs="Arial" w:eastAsia="Arial" w:hAnsi="Arial"/>
          <w:sz w:val="22"/>
          <w:szCs w:val="22"/>
          <w:color w:val="auto"/>
        </w:rPr>
      </w:pPr>
      <w:r>
        <w:rPr>
          <w:rFonts w:ascii="Arial" w:cs="Arial" w:eastAsia="Arial" w:hAnsi="Arial"/>
          <w:sz w:val="22"/>
          <w:szCs w:val="22"/>
          <w:color w:val="auto"/>
        </w:rPr>
        <w:t xml:space="preserve">Liens on property purportedly rented to, or leased by, the Borrower or any of its Subsidiaries pursuant to a Permitted Sale Leaseback;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encumber any other property of the Borrower or its Subsidiaries;</w:t>
      </w:r>
    </w:p>
    <w:p>
      <w:pPr>
        <w:spacing w:after="0" w:line="131" w:lineRule="exact"/>
        <w:rPr>
          <w:rFonts w:ascii="Arial" w:cs="Arial" w:eastAsia="Arial" w:hAnsi="Arial"/>
          <w:sz w:val="22"/>
          <w:szCs w:val="22"/>
          <w:color w:val="auto"/>
        </w:rPr>
      </w:pPr>
    </w:p>
    <w:p>
      <w:pPr>
        <w:ind w:left="2580" w:hanging="628"/>
        <w:spacing w:after="0"/>
        <w:tabs>
          <w:tab w:leader="none" w:pos="2580" w:val="left"/>
        </w:tabs>
        <w:numPr>
          <w:ilvl w:val="0"/>
          <w:numId w:val="510"/>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2520" w:hanging="568"/>
        <w:spacing w:after="0"/>
        <w:tabs>
          <w:tab w:leader="none" w:pos="2520" w:val="left"/>
        </w:tabs>
        <w:numPr>
          <w:ilvl w:val="0"/>
          <w:numId w:val="510"/>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65" w:lineRule="exact"/>
        <w:rPr>
          <w:rFonts w:ascii="Arial" w:cs="Arial" w:eastAsia="Arial" w:hAnsi="Arial"/>
          <w:sz w:val="22"/>
          <w:szCs w:val="22"/>
          <w:color w:val="auto"/>
        </w:rPr>
      </w:pPr>
    </w:p>
    <w:p>
      <w:pPr>
        <w:jc w:val="both"/>
        <w:ind w:left="660" w:firstLine="1292"/>
        <w:spacing w:after="0" w:line="312" w:lineRule="auto"/>
        <w:tabs>
          <w:tab w:leader="none" w:pos="2652" w:val="left"/>
        </w:tabs>
        <w:numPr>
          <w:ilvl w:val="0"/>
          <w:numId w:val="510"/>
        </w:numPr>
        <w:rPr>
          <w:rFonts w:ascii="Arial" w:cs="Arial" w:eastAsia="Arial" w:hAnsi="Arial"/>
          <w:sz w:val="19"/>
          <w:szCs w:val="19"/>
          <w:color w:val="auto"/>
        </w:rPr>
      </w:pPr>
      <w:r>
        <w:rPr>
          <w:rFonts w:ascii="Arial" w:cs="Arial" w:eastAsia="Arial" w:hAnsi="Arial"/>
          <w:sz w:val="19"/>
          <w:szCs w:val="19"/>
          <w:color w:val="auto"/>
        </w:rPr>
        <w:t xml:space="preserve">the replacement, extension or renewal of any Lien permitted by clauses (vii), (viii) and (x) above upon or on the same property subject thereto arising out of the replacement, extension or renewal of the Debt secured thereby (to the extent such replacement, extension or renewal of such Debt is not prohibited under </w:t>
      </w:r>
      <w:r>
        <w:rPr>
          <w:rFonts w:ascii="Arial" w:cs="Arial" w:eastAsia="Arial" w:hAnsi="Arial"/>
          <w:sz w:val="19"/>
          <w:szCs w:val="19"/>
          <w:u w:val="single" w:color="auto"/>
          <w:color w:val="auto"/>
        </w:rPr>
        <w:t>Section 5.03(b))</w:t>
      </w:r>
      <w:r>
        <w:rPr>
          <w:rFonts w:ascii="Arial" w:cs="Arial" w:eastAsia="Arial" w:hAnsi="Arial"/>
          <w:sz w:val="19"/>
          <w:szCs w:val="19"/>
          <w:color w:val="auto"/>
        </w:rPr>
        <w:t>.</w:t>
      </w:r>
    </w:p>
    <w:p>
      <w:pPr>
        <w:spacing w:after="0" w:line="7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Notwithstanding any other provision of this Section 5.03, (i) voluntary Liens on the following items with respect to the Borrower or any Broker-Dealer Subsidiary shall not be permitted by this Section 5.03(a): (w) any assets carried in or credited to an account for the exclusive benefit of customers of the Borrower or any of its Subsidiaries pursuant to Securities Exchange Act rule 15c3-3, (x) the right to receive back either (A) funds from a program bank to which funds had previously been transferred for credit to an account for the benefit of a customer of the Borrower or any of its Subsidiaries in connection with the Borrower’s or any of its Subsidiaries’ bank cash sweep program or (B) proceeds from the sale of money market funds, not otherwise included in the Reserve Formula, previously purchased for credit to a customer’s account at the Borrower or any of its Subsidiaries in connection with the Borrower’s or any of its Subsidiaries’ money market sweep program, in either the case of (A) or (B), in connection with funds advanced to a customer by the Borrower or any of its Subsidiaries to settle transactions in advance of the return of such funds or sale proceeds, as applicable (or, for the avoidance of doubt, in the case of this clause (x), Liens directly on any such funds or proceeds), (y) the right to any return of any funds, financial instruments or other collateral (or, for the avoidance of doubt, Liens directly on any such funds, financial instruments or collateral) provided to a clearing agency registered under the Securities Exchange Act to secure the Borrower’s or any of its Subsidiaries’ obligations to such clearing agency, other than those liens arising out of membership in any such clearing agency, and (z) any general intangibles associated with, or proceeds of, any of the foregoing and (ii) no Liens other than Permitted Collateral Liens shall be permitted on or with respect to any Collateral.</w:t>
      </w:r>
    </w:p>
    <w:p>
      <w:pPr>
        <w:spacing w:after="0" w:line="361" w:lineRule="exact"/>
        <w:rPr>
          <w:sz w:val="20"/>
          <w:szCs w:val="20"/>
          <w:color w:val="auto"/>
        </w:rPr>
      </w:pPr>
    </w:p>
    <w:p>
      <w:pPr>
        <w:ind w:firstLine="1304"/>
        <w:spacing w:after="0" w:line="263" w:lineRule="auto"/>
        <w:tabs>
          <w:tab w:leader="none" w:pos="1831" w:val="left"/>
        </w:tabs>
        <w:numPr>
          <w:ilvl w:val="1"/>
          <w:numId w:val="511"/>
        </w:numPr>
        <w:rPr>
          <w:rFonts w:ascii="Arial" w:cs="Arial" w:eastAsia="Arial" w:hAnsi="Arial"/>
          <w:sz w:val="22"/>
          <w:szCs w:val="22"/>
          <w:color w:val="auto"/>
        </w:rPr>
      </w:pPr>
      <w:r>
        <w:rPr>
          <w:rFonts w:ascii="Arial" w:cs="Arial" w:eastAsia="Arial" w:hAnsi="Arial"/>
          <w:sz w:val="22"/>
          <w:szCs w:val="22"/>
          <w:u w:val="single" w:color="auto"/>
          <w:color w:val="auto"/>
        </w:rPr>
        <w:t>Debt</w:t>
      </w:r>
      <w:r>
        <w:rPr>
          <w:rFonts w:ascii="Arial" w:cs="Arial" w:eastAsia="Arial" w:hAnsi="Arial"/>
          <w:sz w:val="22"/>
          <w:szCs w:val="22"/>
          <w:color w:val="auto"/>
        </w:rPr>
        <w:t>. Create, incur, assume or suffer to exist, or permit any of its Subsidiaries to create, incur, assume or suffer to exist, any Debt, except, in each case:</w:t>
      </w:r>
    </w:p>
    <w:p>
      <w:pPr>
        <w:spacing w:after="0" w:line="120" w:lineRule="exact"/>
        <w:rPr>
          <w:rFonts w:ascii="Arial" w:cs="Arial" w:eastAsia="Arial" w:hAnsi="Arial"/>
          <w:sz w:val="22"/>
          <w:szCs w:val="22"/>
          <w:color w:val="auto"/>
        </w:rPr>
      </w:pPr>
    </w:p>
    <w:p>
      <w:pPr>
        <w:ind w:left="2380" w:hanging="428"/>
        <w:spacing w:after="0"/>
        <w:tabs>
          <w:tab w:leader="none" w:pos="2380" w:val="left"/>
        </w:tabs>
        <w:numPr>
          <w:ilvl w:val="2"/>
          <w:numId w:val="511"/>
        </w:numPr>
        <w:rPr>
          <w:rFonts w:ascii="Arial" w:cs="Arial" w:eastAsia="Arial" w:hAnsi="Arial"/>
          <w:sz w:val="22"/>
          <w:szCs w:val="22"/>
          <w:color w:val="auto"/>
        </w:rPr>
      </w:pPr>
      <w:r>
        <w:rPr>
          <w:rFonts w:ascii="Arial" w:cs="Arial" w:eastAsia="Arial" w:hAnsi="Arial"/>
          <w:sz w:val="22"/>
          <w:szCs w:val="22"/>
          <w:color w:val="auto"/>
        </w:rPr>
        <w:t>Debt under the Credit Documents;</w:t>
      </w:r>
    </w:p>
    <w:p>
      <w:pPr>
        <w:spacing w:after="0" w:line="165" w:lineRule="exact"/>
        <w:rPr>
          <w:rFonts w:ascii="Arial" w:cs="Arial" w:eastAsia="Arial" w:hAnsi="Arial"/>
          <w:sz w:val="22"/>
          <w:szCs w:val="22"/>
          <w:color w:val="auto"/>
        </w:rPr>
      </w:pPr>
    </w:p>
    <w:p>
      <w:pPr>
        <w:ind w:left="2480" w:hanging="528"/>
        <w:spacing w:after="0"/>
        <w:tabs>
          <w:tab w:leader="none" w:pos="2480" w:val="left"/>
        </w:tabs>
        <w:numPr>
          <w:ilvl w:val="2"/>
          <w:numId w:val="511"/>
        </w:numPr>
        <w:rPr>
          <w:rFonts w:ascii="Arial" w:cs="Arial" w:eastAsia="Arial" w:hAnsi="Arial"/>
          <w:sz w:val="19"/>
          <w:szCs w:val="19"/>
          <w:color w:val="auto"/>
        </w:rPr>
      </w:pPr>
      <w:r>
        <w:rPr>
          <w:rFonts w:ascii="Arial" w:cs="Arial" w:eastAsia="Arial" w:hAnsi="Arial"/>
          <w:sz w:val="19"/>
          <w:szCs w:val="19"/>
          <w:color w:val="auto"/>
        </w:rPr>
        <w:t xml:space="preserve">Surviving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Surviving Debt in excess of (x) $1,000,000 individually or</w:t>
      </w:r>
    </w:p>
    <w:p>
      <w:pPr>
        <w:spacing w:after="0" w:line="55" w:lineRule="exact"/>
        <w:rPr>
          <w:rFonts w:ascii="Arial" w:cs="Arial" w:eastAsia="Arial" w:hAnsi="Arial"/>
          <w:sz w:val="19"/>
          <w:szCs w:val="19"/>
          <w:color w:val="auto"/>
        </w:rPr>
      </w:pPr>
    </w:p>
    <w:p>
      <w:pPr>
        <w:ind w:left="660" w:hanging="4"/>
        <w:spacing w:after="0" w:line="269" w:lineRule="auto"/>
        <w:tabs>
          <w:tab w:leader="none" w:pos="1005" w:val="left"/>
        </w:tabs>
        <w:numPr>
          <w:ilvl w:val="0"/>
          <w:numId w:val="512"/>
        </w:numPr>
        <w:rPr>
          <w:rFonts w:ascii="Arial" w:cs="Arial" w:eastAsia="Arial" w:hAnsi="Arial"/>
          <w:sz w:val="21"/>
          <w:szCs w:val="21"/>
          <w:color w:val="auto"/>
        </w:rPr>
      </w:pPr>
      <w:r>
        <w:rPr>
          <w:rFonts w:ascii="Arial" w:cs="Arial" w:eastAsia="Arial" w:hAnsi="Arial"/>
          <w:sz w:val="21"/>
          <w:szCs w:val="21"/>
          <w:color w:val="auto"/>
        </w:rPr>
        <w:t xml:space="preserve">$5,000,000 in the aggregate shall be described in </w:t>
      </w:r>
      <w:r>
        <w:rPr>
          <w:rFonts w:ascii="Arial" w:cs="Arial" w:eastAsia="Arial" w:hAnsi="Arial"/>
          <w:sz w:val="21"/>
          <w:szCs w:val="21"/>
          <w:u w:val="single" w:color="auto"/>
          <w:color w:val="auto"/>
        </w:rPr>
        <w:t>Schedule 5.03(b))</w:t>
      </w:r>
      <w:r>
        <w:rPr>
          <w:rFonts w:ascii="Arial" w:cs="Arial" w:eastAsia="Arial" w:hAnsi="Arial"/>
          <w:sz w:val="21"/>
          <w:szCs w:val="21"/>
          <w:color w:val="auto"/>
        </w:rPr>
        <w:t xml:space="preserve"> and any Debt extending the maturity of, or refunding, modifying, replacing, renewing or refinancing, in whole or in part, any such Debt;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942" w:right="339" w:bottom="1440" w:gutter="0" w:footer="0" w:header="0"/>
        </w:sectPr>
      </w:pPr>
    </w:p>
    <w:bookmarkStart w:id="690" w:name="page691"/>
    <w:bookmarkEnd w:id="690"/>
    <w:p>
      <w:pPr>
        <w:jc w:val="both"/>
        <w:spacing w:after="0" w:line="285" w:lineRule="auto"/>
        <w:rPr>
          <w:sz w:val="20"/>
          <w:szCs w:val="20"/>
          <w:color w:val="auto"/>
        </w:rPr>
      </w:pPr>
      <w:r>
        <w:rPr>
          <w:rFonts w:ascii="Arial" w:cs="Arial" w:eastAsia="Arial" w:hAnsi="Arial"/>
          <w:sz w:val="19"/>
          <w:szCs w:val="19"/>
          <w:color w:val="auto"/>
        </w:rPr>
        <w:t xml:space="preserve">terms of any such extending, refunding, modifying, replacing, renewing or refinancing Debt, and of any agreement entered into and of any instrument issued in connection therewith, are otherwise not prohibited by the Credit Documents;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principal amount (or accreted value, if applicable) of the Surviving Debt being extended, refunded, modified, replaced, renewed or refinanced shall not be increased above the principal amount (or accreted value, if applicable) thereof outstanding immediately prior to such extension, refunding, modification, replacement, renewal or refinancing plus accrued interest and premium (including make-whole premiums, prepayment premiums and amounts required to be paid in connection with defeasance and satisfaction and discharge) thereon and reasonable expenses and fees incurred in connection therewith (including upfront fees and original issue discount), and neither the Borrower nor any Subsidiary thereof shall be added as an additional direct or contingent obligor with respect thereto, as a result of or in connection with such extension, refunding, modification, replacement, renewal or refinancing;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terms relating to principal amount, amortization, maturity, collateral (if any) and subordination (if any), taken as a whole, of any such extending, refunding, modifying, replacing, renewing or refinancing Debt, and of any agreement entered into and of any instrument issued in connection therewith, (x) are no less favorable as determined in good faith by the Borrower in any material respect to the Borrower and its Subsidiaries than the terms of any agreement or instrument governing the Surviving Debt being extended, refunded, modified, replaced, renewed or refinanced or (y) reflect market terms and conditions at the time of incurrence or issuance, as determined by the Borrower in good faith;</w:t>
      </w:r>
    </w:p>
    <w:p>
      <w:pPr>
        <w:spacing w:after="0" w:line="115" w:lineRule="exact"/>
        <w:rPr>
          <w:sz w:val="20"/>
          <w:szCs w:val="20"/>
          <w:color w:val="auto"/>
        </w:rPr>
      </w:pPr>
    </w:p>
    <w:p>
      <w:pPr>
        <w:ind w:left="1980" w:hanging="688"/>
        <w:spacing w:after="0"/>
        <w:tabs>
          <w:tab w:leader="none" w:pos="1980" w:val="left"/>
        </w:tabs>
        <w:numPr>
          <w:ilvl w:val="0"/>
          <w:numId w:val="513"/>
        </w:numPr>
        <w:rPr>
          <w:rFonts w:ascii="Arial" w:cs="Arial" w:eastAsia="Arial" w:hAnsi="Arial"/>
          <w:sz w:val="21"/>
          <w:szCs w:val="21"/>
          <w:color w:val="auto"/>
        </w:rPr>
      </w:pPr>
      <w:r>
        <w:rPr>
          <w:rFonts w:ascii="Arial" w:cs="Arial" w:eastAsia="Arial" w:hAnsi="Arial"/>
          <w:sz w:val="21"/>
          <w:szCs w:val="21"/>
          <w:color w:val="auto"/>
        </w:rPr>
        <w:t>Debt in respect of Hedge Agreements incurred in the ordinary course of business and not for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speculative purposes;</w:t>
      </w:r>
    </w:p>
    <w:p>
      <w:pPr>
        <w:spacing w:after="0" w:line="147" w:lineRule="exact"/>
        <w:rPr>
          <w:rFonts w:ascii="Arial" w:cs="Arial" w:eastAsia="Arial" w:hAnsi="Arial"/>
          <w:sz w:val="21"/>
          <w:szCs w:val="21"/>
          <w:color w:val="auto"/>
        </w:rPr>
      </w:pPr>
    </w:p>
    <w:p>
      <w:pPr>
        <w:ind w:firstLine="1292"/>
        <w:spacing w:after="0" w:line="263" w:lineRule="auto"/>
        <w:tabs>
          <w:tab w:leader="none" w:pos="1940" w:val="left"/>
        </w:tabs>
        <w:numPr>
          <w:ilvl w:val="0"/>
          <w:numId w:val="513"/>
        </w:numPr>
        <w:rPr>
          <w:rFonts w:ascii="Arial" w:cs="Arial" w:eastAsia="Arial" w:hAnsi="Arial"/>
          <w:sz w:val="22"/>
          <w:szCs w:val="22"/>
          <w:color w:val="auto"/>
        </w:rPr>
      </w:pPr>
      <w:r>
        <w:rPr>
          <w:rFonts w:ascii="Arial" w:cs="Arial" w:eastAsia="Arial" w:hAnsi="Arial"/>
          <w:sz w:val="22"/>
          <w:szCs w:val="22"/>
          <w:color w:val="auto"/>
        </w:rPr>
        <w:t>Debt owed by (1) any wholly owned Subsidiary to the Borrower and (2) any Subsidiary to any wholly owned Subsidiary;</w:t>
      </w:r>
    </w:p>
    <w:p>
      <w:pPr>
        <w:spacing w:after="0" w:line="120" w:lineRule="exact"/>
        <w:rPr>
          <w:rFonts w:ascii="Arial" w:cs="Arial" w:eastAsia="Arial" w:hAnsi="Arial"/>
          <w:sz w:val="22"/>
          <w:szCs w:val="22"/>
          <w:color w:val="auto"/>
        </w:rPr>
      </w:pPr>
    </w:p>
    <w:p>
      <w:pPr>
        <w:jc w:val="both"/>
        <w:ind w:firstLine="1292"/>
        <w:spacing w:after="0" w:line="286" w:lineRule="auto"/>
        <w:tabs>
          <w:tab w:leader="none" w:pos="1977" w:val="left"/>
        </w:tabs>
        <w:numPr>
          <w:ilvl w:val="0"/>
          <w:numId w:val="513"/>
        </w:numPr>
        <w:rPr>
          <w:rFonts w:ascii="Arial" w:cs="Arial" w:eastAsia="Arial" w:hAnsi="Arial"/>
          <w:sz w:val="19"/>
          <w:szCs w:val="19"/>
          <w:color w:val="auto"/>
        </w:rPr>
      </w:pPr>
      <w:r>
        <w:rPr>
          <w:rFonts w:ascii="Arial" w:cs="Arial" w:eastAsia="Arial" w:hAnsi="Arial"/>
          <w:sz w:val="19"/>
          <w:szCs w:val="19"/>
          <w:color w:val="auto"/>
        </w:rPr>
        <w:t xml:space="preserve">Debt of any Person that becomes a Subsidiary of the Borrower after the date hereof not in contravention of this Agreement, which Debt is existing at the time such Person becomes a Subsidiary of the Borrower (other than Debt incurred solely in contemplation of such Person becoming a Subsidiary of the Borrower), and any Debt extending the maturity of, or refunding, modifying, replacing, renewing or refinancing, in whole or in part, any such Debt under this clause (v);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of any such extending, refunding, modifying, replacing, renewing or refinancing Debt, and of any agreement entered into and of any instrument issued in connection therewith, are otherwise not prohibited by the Credit Documents;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principal amount (or accreted value, if applicable) of the Debt being extended, refunded, modified, replaced, renewed or refinanced shall not be increased above the principal amount (or accreted value, if applicable) thereof outstanding immediately prior to such extension, refunding, modification, replacement, renewal or refinancing plus accrued interest and premium (including make-whole premiums, prepayment premiums and amounts required to be paid in connection with defeasance and satisfaction and discharge) thereon and reasonable expenses and fees incurred in connection therewith (including upfront fees and original issue discount), and neither the Borrower nor any Subsidiary shall be added as an additional direct or contingent obligor with respect thereto, as a result of or in connection with such</w:t>
      </w: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580"/>
          </w:cols>
          <w:pgMar w:left="980" w:top="942" w:right="339" w:bottom="1440" w:gutter="0" w:footer="0" w:header="0"/>
        </w:sectPr>
      </w:pPr>
    </w:p>
    <w:bookmarkStart w:id="691" w:name="page692"/>
    <w:bookmarkEnd w:id="691"/>
    <w:p>
      <w:pPr>
        <w:jc w:val="both"/>
        <w:spacing w:after="0" w:line="292" w:lineRule="auto"/>
        <w:rPr>
          <w:sz w:val="20"/>
          <w:szCs w:val="20"/>
          <w:color w:val="auto"/>
        </w:rPr>
      </w:pPr>
      <w:r>
        <w:rPr>
          <w:rFonts w:ascii="Arial" w:cs="Arial" w:eastAsia="Arial" w:hAnsi="Arial"/>
          <w:sz w:val="19"/>
          <w:szCs w:val="19"/>
          <w:color w:val="auto"/>
        </w:rPr>
        <w:t xml:space="preserve">extension, refunding, modification, replacement, renewal or refinancing;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terms relating to principal amount, amortization, maturity, collateral (if any) and subordination (if any), taken as a whole, of any such extending, refunding, modifying, replacing, renewing or refinancing Debt, and of any agreement entered into and of any instrument issued in connection therewith, (x) are no less favorable as determined in good faith by the Borrower in any material respect to the Borrower and its Subsidiaries than the terms of any agreement or instrument governing the Debt being extended, refunded, modified, replaced, renewed or refinanced or (y) reflect market terms and conditions at the time of incurrence or issuance, as determined by the Borrower in good faith;</w:t>
      </w:r>
    </w:p>
    <w:p>
      <w:pPr>
        <w:spacing w:after="0" w:line="97" w:lineRule="exact"/>
        <w:rPr>
          <w:sz w:val="20"/>
          <w:szCs w:val="20"/>
          <w:color w:val="auto"/>
        </w:rPr>
      </w:pPr>
    </w:p>
    <w:p>
      <w:pPr>
        <w:ind w:firstLine="1292"/>
        <w:spacing w:after="0" w:line="263" w:lineRule="auto"/>
        <w:tabs>
          <w:tab w:leader="none" w:pos="194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Subordinated Debt so long as no Default or Event of Default has occurred and is continuing or would result from the incurrence thereof;</w:t>
      </w:r>
    </w:p>
    <w:p>
      <w:pPr>
        <w:spacing w:after="0" w:line="120" w:lineRule="exact"/>
        <w:rPr>
          <w:rFonts w:ascii="Arial" w:cs="Arial" w:eastAsia="Arial" w:hAnsi="Arial"/>
          <w:sz w:val="22"/>
          <w:szCs w:val="22"/>
          <w:color w:val="auto"/>
        </w:rPr>
      </w:pPr>
    </w:p>
    <w:p>
      <w:pPr>
        <w:jc w:val="both"/>
        <w:ind w:firstLine="1292"/>
        <w:spacing w:after="0" w:line="250" w:lineRule="auto"/>
        <w:tabs>
          <w:tab w:leader="none" w:pos="1975" w:val="left"/>
        </w:tabs>
        <w:numPr>
          <w:ilvl w:val="0"/>
          <w:numId w:val="514"/>
        </w:numPr>
        <w:rPr>
          <w:rFonts w:ascii="Arial" w:cs="Arial" w:eastAsia="Arial" w:hAnsi="Arial"/>
          <w:sz w:val="22"/>
          <w:szCs w:val="22"/>
          <w:color w:val="auto"/>
        </w:rPr>
      </w:pPr>
      <w:r>
        <w:rPr>
          <w:rFonts w:ascii="Arial" w:cs="Arial" w:eastAsia="Arial" w:hAnsi="Arial"/>
          <w:sz w:val="22"/>
          <w:szCs w:val="22"/>
          <w:color w:val="auto"/>
        </w:rPr>
        <w:t>Debt that may be deemed to exist pursuant to any performance, surety, statutory, bid and appeal bonds, prepayment guarantee, payment or completion of performance guarantees, bonds or similar obligations in respect thereto and letter of credit obligations to provide security for worker’s compensation claims, in each case, incurred in the ordinary course of business;</w:t>
      </w:r>
    </w:p>
    <w:p>
      <w:pPr>
        <w:spacing w:after="0" w:line="133" w:lineRule="exact"/>
        <w:rPr>
          <w:rFonts w:ascii="Arial" w:cs="Arial" w:eastAsia="Arial" w:hAnsi="Arial"/>
          <w:sz w:val="22"/>
          <w:szCs w:val="22"/>
          <w:color w:val="auto"/>
        </w:rPr>
      </w:pPr>
    </w:p>
    <w:p>
      <w:pPr>
        <w:jc w:val="both"/>
        <w:ind w:firstLine="1292"/>
        <w:spacing w:after="0" w:line="247" w:lineRule="auto"/>
        <w:tabs>
          <w:tab w:leader="none" w:pos="2112" w:val="left"/>
        </w:tabs>
        <w:numPr>
          <w:ilvl w:val="0"/>
          <w:numId w:val="514"/>
        </w:numPr>
        <w:rPr>
          <w:rFonts w:ascii="Arial" w:cs="Arial" w:eastAsia="Arial" w:hAnsi="Arial"/>
          <w:sz w:val="22"/>
          <w:szCs w:val="22"/>
          <w:color w:val="auto"/>
        </w:rPr>
      </w:pPr>
      <w:r>
        <w:rPr>
          <w:rFonts w:ascii="Arial" w:cs="Arial" w:eastAsia="Arial" w:hAnsi="Arial"/>
          <w:sz w:val="22"/>
          <w:szCs w:val="22"/>
          <w:color w:val="auto"/>
        </w:rPr>
        <w:t>to the extent the same constitutes Debt, obligations in respect of purchase price adjustments (including in respect of working capital), earn out agreements, deferred compensation, indemnification obligations and other arrangements representing acquisition consideration or deferred payments of a similar nature incurred in connection with any disposition or purchase or acquisition;</w:t>
      </w:r>
    </w:p>
    <w:p>
      <w:pPr>
        <w:spacing w:after="0" w:line="2" w:lineRule="exact"/>
        <w:rPr>
          <w:rFonts w:ascii="Arial" w:cs="Arial" w:eastAsia="Arial" w:hAnsi="Arial"/>
          <w:sz w:val="22"/>
          <w:szCs w:val="22"/>
          <w:color w:val="auto"/>
        </w:rPr>
      </w:pPr>
    </w:p>
    <w:p>
      <w:pPr>
        <w:ind w:left="1820" w:hanging="528"/>
        <w:spacing w:after="0"/>
        <w:tabs>
          <w:tab w:leader="none" w:pos="182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Ordinary Course Payment Obligations;</w:t>
      </w:r>
    </w:p>
    <w:p>
      <w:pPr>
        <w:spacing w:after="0" w:line="147" w:lineRule="exact"/>
        <w:rPr>
          <w:rFonts w:ascii="Arial" w:cs="Arial" w:eastAsia="Arial" w:hAnsi="Arial"/>
          <w:sz w:val="22"/>
          <w:szCs w:val="22"/>
          <w:color w:val="auto"/>
        </w:rPr>
      </w:pPr>
    </w:p>
    <w:p>
      <w:pPr>
        <w:jc w:val="both"/>
        <w:ind w:firstLine="1292"/>
        <w:spacing w:after="0" w:line="253" w:lineRule="auto"/>
        <w:tabs>
          <w:tab w:leader="none" w:pos="1796" w:val="left"/>
        </w:tabs>
        <w:numPr>
          <w:ilvl w:val="0"/>
          <w:numId w:val="514"/>
        </w:numPr>
        <w:rPr>
          <w:rFonts w:ascii="Arial" w:cs="Arial" w:eastAsia="Arial" w:hAnsi="Arial"/>
          <w:sz w:val="22"/>
          <w:szCs w:val="22"/>
          <w:color w:val="auto"/>
        </w:rPr>
      </w:pPr>
      <w:r>
        <w:rPr>
          <w:rFonts w:ascii="Arial" w:cs="Arial" w:eastAsia="Arial" w:hAnsi="Arial"/>
          <w:sz w:val="22"/>
          <w:szCs w:val="22"/>
          <w:color w:val="auto"/>
        </w:rPr>
        <w:t>to the extent constituting Guaranteed Debt, indemnification obligations and other similar obligations of the Borrower and its Subsidiaries in favor of partners, directors, officers, employees, consultants or agents of the Borrower or any of its Subsidiaries extended in the ordinary course of business;</w:t>
      </w:r>
    </w:p>
    <w:p>
      <w:pPr>
        <w:spacing w:after="0" w:line="131" w:lineRule="exact"/>
        <w:rPr>
          <w:rFonts w:ascii="Arial" w:cs="Arial" w:eastAsia="Arial" w:hAnsi="Arial"/>
          <w:sz w:val="22"/>
          <w:szCs w:val="22"/>
          <w:color w:val="auto"/>
        </w:rPr>
      </w:pPr>
    </w:p>
    <w:p>
      <w:pPr>
        <w:ind w:left="1820" w:hanging="528"/>
        <w:spacing w:after="0"/>
        <w:tabs>
          <w:tab w:leader="none" w:pos="1820" w:val="left"/>
        </w:tabs>
        <w:numPr>
          <w:ilvl w:val="0"/>
          <w:numId w:val="514"/>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firstLine="1292"/>
        <w:spacing w:after="0" w:line="263" w:lineRule="auto"/>
        <w:tabs>
          <w:tab w:leader="none" w:pos="1989" w:val="left"/>
        </w:tabs>
        <w:numPr>
          <w:ilvl w:val="0"/>
          <w:numId w:val="514"/>
        </w:numPr>
        <w:rPr>
          <w:rFonts w:ascii="Arial" w:cs="Arial" w:eastAsia="Arial" w:hAnsi="Arial"/>
          <w:sz w:val="22"/>
          <w:szCs w:val="22"/>
          <w:color w:val="auto"/>
        </w:rPr>
      </w:pPr>
      <w:r>
        <w:rPr>
          <w:rFonts w:ascii="Arial" w:cs="Arial" w:eastAsia="Arial" w:hAnsi="Arial"/>
          <w:sz w:val="22"/>
          <w:szCs w:val="22"/>
          <w:color w:val="auto"/>
        </w:rPr>
        <w:t>contingent liabilities arising out of endorsements of checks and other negotiable instruments for deposit or collection in the ordinary course of business;</w:t>
      </w:r>
    </w:p>
    <w:p>
      <w:pPr>
        <w:spacing w:after="0" w:line="120" w:lineRule="exact"/>
        <w:rPr>
          <w:rFonts w:ascii="Arial" w:cs="Arial" w:eastAsia="Arial" w:hAnsi="Arial"/>
          <w:sz w:val="22"/>
          <w:szCs w:val="22"/>
          <w:color w:val="auto"/>
        </w:rPr>
      </w:pPr>
    </w:p>
    <w:p>
      <w:pPr>
        <w:ind w:right="20" w:firstLine="1292"/>
        <w:spacing w:after="0" w:line="263" w:lineRule="auto"/>
        <w:tabs>
          <w:tab w:leader="none" w:pos="2136" w:val="left"/>
        </w:tabs>
        <w:numPr>
          <w:ilvl w:val="0"/>
          <w:numId w:val="514"/>
        </w:numPr>
        <w:rPr>
          <w:rFonts w:ascii="Arial" w:cs="Arial" w:eastAsia="Arial" w:hAnsi="Arial"/>
          <w:sz w:val="22"/>
          <w:szCs w:val="22"/>
          <w:color w:val="auto"/>
        </w:rPr>
      </w:pPr>
      <w:r>
        <w:rPr>
          <w:rFonts w:ascii="Arial" w:cs="Arial" w:eastAsia="Arial" w:hAnsi="Arial"/>
          <w:sz w:val="22"/>
          <w:szCs w:val="22"/>
          <w:color w:val="auto"/>
        </w:rPr>
        <w:t>Debt consisting of the financing of insurance premiums or self-insurance obligations in the ordinary course of business;</w:t>
      </w:r>
    </w:p>
    <w:p>
      <w:pPr>
        <w:spacing w:after="0" w:line="120" w:lineRule="exact"/>
        <w:rPr>
          <w:rFonts w:ascii="Arial" w:cs="Arial" w:eastAsia="Arial" w:hAnsi="Arial"/>
          <w:sz w:val="22"/>
          <w:szCs w:val="22"/>
          <w:color w:val="auto"/>
        </w:rPr>
      </w:pPr>
    </w:p>
    <w:p>
      <w:pPr>
        <w:jc w:val="both"/>
        <w:ind w:firstLine="1292"/>
        <w:spacing w:after="0" w:line="294" w:lineRule="auto"/>
        <w:tabs>
          <w:tab w:leader="none" w:pos="2107" w:val="left"/>
        </w:tabs>
        <w:numPr>
          <w:ilvl w:val="0"/>
          <w:numId w:val="514"/>
        </w:numPr>
        <w:rPr>
          <w:rFonts w:ascii="Arial" w:cs="Arial" w:eastAsia="Arial" w:hAnsi="Arial"/>
          <w:sz w:val="19"/>
          <w:szCs w:val="19"/>
          <w:color w:val="auto"/>
        </w:rPr>
      </w:pPr>
      <w:r>
        <w:rPr>
          <w:rFonts w:ascii="Arial" w:cs="Arial" w:eastAsia="Arial" w:hAnsi="Arial"/>
          <w:sz w:val="19"/>
          <w:szCs w:val="19"/>
          <w:color w:val="auto"/>
        </w:rPr>
        <w:t>Debt of the Borrower or any Subsidiary incurred to finance, the acquisition, construction or improvement of any fixed or capital assets in the ordinary course of business, including Capital Leases and any Debt assumed in connection with the acquisition of any such assets or secured by a Lien on any such assets prior to the acquisition thereof, and extensions, renewals, modifications, refundings, refinancings and replacements of any such Debt to the extent not increasing the outstanding principal amount (or accreted value, if applicable) thereof plus accrued interest and premium (including make-whole premiums, prepayment premiums and amounts required to be paid</w:t>
      </w:r>
    </w:p>
    <w:p>
      <w:pPr>
        <w:spacing w:after="0" w:line="200" w:lineRule="exact"/>
        <w:rPr>
          <w:sz w:val="20"/>
          <w:szCs w:val="20"/>
          <w:color w:val="auto"/>
        </w:rPr>
      </w:pPr>
    </w:p>
    <w:p>
      <w:pPr>
        <w:spacing w:after="0" w:line="28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580"/>
          </w:cols>
          <w:pgMar w:left="980" w:top="942" w:right="339" w:bottom="1440" w:gutter="0" w:footer="0" w:header="0"/>
        </w:sectPr>
      </w:pPr>
    </w:p>
    <w:bookmarkStart w:id="692" w:name="page693"/>
    <w:bookmarkEnd w:id="692"/>
    <w:p>
      <w:pPr>
        <w:jc w:val="both"/>
        <w:ind w:left="660"/>
        <w:spacing w:after="0" w:line="246" w:lineRule="auto"/>
        <w:rPr>
          <w:sz w:val="20"/>
          <w:szCs w:val="20"/>
          <w:color w:val="auto"/>
        </w:rPr>
      </w:pPr>
      <w:r>
        <w:rPr>
          <w:rFonts w:ascii="Arial" w:cs="Arial" w:eastAsia="Arial" w:hAnsi="Arial"/>
          <w:sz w:val="22"/>
          <w:szCs w:val="22"/>
          <w:color w:val="auto"/>
        </w:rPr>
        <w:t xml:space="preserve">in connection with defeasance and satisfaction and discharge) thereon and reasonable expenses and fees incurred in connection therewith (including upfront fees and original issue discount) or resulting in an earlier maturity date or decreasing the weighted average life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Debt is incurred prior to or within 180 days after such acquisition or the completion of such construction or improvement;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for the avoidance of doubt, notwithstanding the restriction herein on extensions, renewals, modifications, refundings, refinancings and replacements of any such Debt that result in an earlier maturity date, the Borrower or any Subsidiary may prepay such Debt at any time;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the aggregate principal amount of Debt incurred pursuant to this Section 5.03(b)(xiv) shall not exceed $5,000,000;</w:t>
      </w:r>
    </w:p>
    <w:p>
      <w:pPr>
        <w:spacing w:after="0" w:line="140" w:lineRule="exact"/>
        <w:rPr>
          <w:sz w:val="20"/>
          <w:szCs w:val="20"/>
          <w:color w:val="auto"/>
        </w:rPr>
      </w:pPr>
    </w:p>
    <w:p>
      <w:pPr>
        <w:ind w:left="2520" w:hanging="568"/>
        <w:spacing w:after="0"/>
        <w:tabs>
          <w:tab w:leader="none" w:pos="252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unsecured Debt owing from the Borrower to Holdco;</w:t>
      </w:r>
    </w:p>
    <w:p>
      <w:pPr>
        <w:spacing w:after="0" w:line="165" w:lineRule="exact"/>
        <w:rPr>
          <w:rFonts w:ascii="Arial" w:cs="Arial" w:eastAsia="Arial" w:hAnsi="Arial"/>
          <w:sz w:val="22"/>
          <w:szCs w:val="22"/>
          <w:color w:val="auto"/>
        </w:rPr>
      </w:pPr>
    </w:p>
    <w:p>
      <w:pPr>
        <w:ind w:left="2580" w:hanging="628"/>
        <w:spacing w:after="0"/>
        <w:tabs>
          <w:tab w:leader="none" w:pos="258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660" w:firstLine="1292"/>
        <w:spacing w:after="0" w:line="263" w:lineRule="auto"/>
        <w:tabs>
          <w:tab w:leader="none" w:pos="2831" w:val="left"/>
        </w:tabs>
        <w:numPr>
          <w:ilvl w:val="0"/>
          <w:numId w:val="515"/>
        </w:numPr>
        <w:rPr>
          <w:rFonts w:ascii="Arial" w:cs="Arial" w:eastAsia="Arial" w:hAnsi="Arial"/>
          <w:sz w:val="22"/>
          <w:szCs w:val="22"/>
          <w:color w:val="auto"/>
        </w:rPr>
      </w:pPr>
      <w:r>
        <w:rPr>
          <w:rFonts w:ascii="Arial" w:cs="Arial" w:eastAsia="Arial" w:hAnsi="Arial"/>
          <w:sz w:val="22"/>
          <w:szCs w:val="22"/>
          <w:color w:val="auto"/>
        </w:rPr>
        <w:t>Debt in respect of bank overdrafts not overdue for more than five Business Days after the Borrower or any Subsidiary thereof had knowledge of such overdraft;</w:t>
      </w:r>
    </w:p>
    <w:p>
      <w:pPr>
        <w:spacing w:after="0" w:line="120" w:lineRule="exact"/>
        <w:rPr>
          <w:rFonts w:ascii="Arial" w:cs="Arial" w:eastAsia="Arial" w:hAnsi="Arial"/>
          <w:sz w:val="22"/>
          <w:szCs w:val="22"/>
          <w:color w:val="auto"/>
        </w:rPr>
      </w:pPr>
    </w:p>
    <w:p>
      <w:pPr>
        <w:ind w:left="2700" w:hanging="748"/>
        <w:spacing w:after="0"/>
        <w:tabs>
          <w:tab w:leader="none" w:pos="270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 w:lineRule="exact"/>
        <w:rPr>
          <w:rFonts w:ascii="Arial" w:cs="Arial" w:eastAsia="Arial" w:hAnsi="Arial"/>
          <w:sz w:val="22"/>
          <w:szCs w:val="22"/>
          <w:color w:val="auto"/>
        </w:rPr>
      </w:pPr>
    </w:p>
    <w:p>
      <w:pPr>
        <w:jc w:val="both"/>
        <w:ind w:left="660" w:firstLine="1292"/>
        <w:spacing w:after="0" w:line="245" w:lineRule="auto"/>
        <w:tabs>
          <w:tab w:leader="none" w:pos="2653" w:val="left"/>
        </w:tabs>
        <w:numPr>
          <w:ilvl w:val="0"/>
          <w:numId w:val="515"/>
        </w:numPr>
        <w:rPr>
          <w:rFonts w:ascii="Arial" w:cs="Arial" w:eastAsia="Arial" w:hAnsi="Arial"/>
          <w:sz w:val="22"/>
          <w:szCs w:val="22"/>
          <w:color w:val="auto"/>
        </w:rPr>
      </w:pPr>
      <w:r>
        <w:rPr>
          <w:rFonts w:ascii="Arial" w:cs="Arial" w:eastAsia="Arial" w:hAnsi="Arial"/>
          <w:sz w:val="22"/>
          <w:szCs w:val="22"/>
          <w:color w:val="auto"/>
        </w:rPr>
        <w:t>Debt in respect of workers’ compensation claims, payment obligations in connection with health, disability or other types of social security benefits, unemployment or other insurance obligations, reclamation and statutory obligations, in each case in the ordinary course of business;</w:t>
      </w:r>
    </w:p>
    <w:p>
      <w:pPr>
        <w:spacing w:after="0" w:line="138" w:lineRule="exact"/>
        <w:rPr>
          <w:rFonts w:ascii="Arial" w:cs="Arial" w:eastAsia="Arial" w:hAnsi="Arial"/>
          <w:sz w:val="22"/>
          <w:szCs w:val="22"/>
          <w:color w:val="auto"/>
        </w:rPr>
      </w:pPr>
    </w:p>
    <w:p>
      <w:pPr>
        <w:ind w:left="2520" w:hanging="568"/>
        <w:spacing w:after="0"/>
        <w:tabs>
          <w:tab w:leader="none" w:pos="252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660" w:right="20" w:firstLine="1292"/>
        <w:spacing w:after="0" w:line="263" w:lineRule="auto"/>
        <w:tabs>
          <w:tab w:leader="none" w:pos="261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Debt in an aggregate principal amount not to exceed at any one time the greater of (x) $25,000,000 and (y) 5% of the Borrower’s Total Regulatory Capital as then determined and computed;</w:t>
      </w:r>
    </w:p>
    <w:p>
      <w:pPr>
        <w:spacing w:after="0" w:line="120" w:lineRule="exact"/>
        <w:rPr>
          <w:rFonts w:ascii="Arial" w:cs="Arial" w:eastAsia="Arial" w:hAnsi="Arial"/>
          <w:sz w:val="22"/>
          <w:szCs w:val="22"/>
          <w:color w:val="auto"/>
        </w:rPr>
      </w:pPr>
    </w:p>
    <w:p>
      <w:pPr>
        <w:ind w:left="2640" w:hanging="688"/>
        <w:spacing w:after="0"/>
        <w:tabs>
          <w:tab w:leader="none" w:pos="264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660" w:firstLine="1292"/>
        <w:spacing w:after="0" w:line="263" w:lineRule="auto"/>
        <w:tabs>
          <w:tab w:leader="none" w:pos="2749" w:val="left"/>
        </w:tabs>
        <w:numPr>
          <w:ilvl w:val="0"/>
          <w:numId w:val="515"/>
        </w:numPr>
        <w:rPr>
          <w:rFonts w:ascii="Arial" w:cs="Arial" w:eastAsia="Arial" w:hAnsi="Arial"/>
          <w:sz w:val="22"/>
          <w:szCs w:val="22"/>
          <w:color w:val="auto"/>
        </w:rPr>
      </w:pPr>
      <w:r>
        <w:rPr>
          <w:rFonts w:ascii="Arial" w:cs="Arial" w:eastAsia="Arial" w:hAnsi="Arial"/>
          <w:sz w:val="22"/>
          <w:szCs w:val="22"/>
          <w:color w:val="auto"/>
        </w:rPr>
        <w:t>Debt representing deferred compensation to employees, officers or directors of the Borrower and its Subsidiaries incurred in the ordinary course of business;</w:t>
      </w:r>
    </w:p>
    <w:p>
      <w:pPr>
        <w:spacing w:after="0" w:line="120" w:lineRule="exact"/>
        <w:rPr>
          <w:rFonts w:ascii="Arial" w:cs="Arial" w:eastAsia="Arial" w:hAnsi="Arial"/>
          <w:sz w:val="22"/>
          <w:szCs w:val="22"/>
          <w:color w:val="auto"/>
        </w:rPr>
      </w:pPr>
    </w:p>
    <w:p>
      <w:pPr>
        <w:jc w:val="both"/>
        <w:ind w:left="660" w:firstLine="1292"/>
        <w:spacing w:after="0" w:line="312" w:lineRule="auto"/>
        <w:tabs>
          <w:tab w:leader="none" w:pos="2703" w:val="left"/>
        </w:tabs>
        <w:numPr>
          <w:ilvl w:val="0"/>
          <w:numId w:val="515"/>
        </w:numPr>
        <w:rPr>
          <w:rFonts w:ascii="Arial" w:cs="Arial" w:eastAsia="Arial" w:hAnsi="Arial"/>
          <w:sz w:val="19"/>
          <w:szCs w:val="19"/>
          <w:color w:val="auto"/>
        </w:rPr>
      </w:pPr>
      <w:r>
        <w:rPr>
          <w:rFonts w:ascii="Arial" w:cs="Arial" w:eastAsia="Arial" w:hAnsi="Arial"/>
          <w:sz w:val="19"/>
          <w:szCs w:val="19"/>
          <w:color w:val="auto"/>
        </w:rPr>
        <w:t>financing of securities and other financial instruments held in the normal day to day conduct of the Borrower’s business, including but not limited to any Repo Agreements incidental to servicing customers and any margin facility or other margin-related Indebtedness incurred to finance such securities or instruments; and</w:t>
      </w:r>
    </w:p>
    <w:p>
      <w:pPr>
        <w:spacing w:after="0" w:line="79" w:lineRule="exact"/>
        <w:rPr>
          <w:rFonts w:ascii="Arial" w:cs="Arial" w:eastAsia="Arial" w:hAnsi="Arial"/>
          <w:sz w:val="19"/>
          <w:szCs w:val="19"/>
          <w:color w:val="auto"/>
        </w:rPr>
      </w:pPr>
    </w:p>
    <w:p>
      <w:pPr>
        <w:jc w:val="both"/>
        <w:ind w:left="660" w:firstLine="1292"/>
        <w:spacing w:after="0" w:line="253" w:lineRule="auto"/>
        <w:tabs>
          <w:tab w:leader="none" w:pos="2789" w:val="left"/>
        </w:tabs>
        <w:numPr>
          <w:ilvl w:val="0"/>
          <w:numId w:val="515"/>
        </w:numPr>
        <w:rPr>
          <w:rFonts w:ascii="Arial" w:cs="Arial" w:eastAsia="Arial" w:hAnsi="Arial"/>
          <w:sz w:val="22"/>
          <w:szCs w:val="22"/>
          <w:color w:val="auto"/>
        </w:rPr>
      </w:pPr>
      <w:r>
        <w:rPr>
          <w:rFonts w:ascii="Arial" w:cs="Arial" w:eastAsia="Arial" w:hAnsi="Arial"/>
          <w:sz w:val="22"/>
          <w:szCs w:val="22"/>
          <w:color w:val="auto"/>
        </w:rPr>
        <w:t>to the extent constituting Debt, liabilities or obligations, actual or contingent, incurred in the ordinary course of business in favor of clearing houses and borrowings collateralized by client assets in the ordinary course of business.</w:t>
      </w:r>
    </w:p>
    <w:p>
      <w:pPr>
        <w:spacing w:after="0" w:line="13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Notwithstanding any other provision of this Section 5.03, neither the Borrower nor any Subsidiary shall be permitted to guarantee any Debt;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may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942" w:right="339" w:bottom="1440" w:gutter="0" w:footer="0" w:header="0"/>
        </w:sectPr>
      </w:pPr>
    </w:p>
    <w:bookmarkStart w:id="693" w:name="page694"/>
    <w:bookmarkEnd w:id="693"/>
    <w:p>
      <w:pPr>
        <w:spacing w:after="0"/>
        <w:rPr>
          <w:sz w:val="20"/>
          <w:szCs w:val="20"/>
          <w:color w:val="auto"/>
        </w:rPr>
      </w:pPr>
      <w:r>
        <w:rPr>
          <w:rFonts w:ascii="Arial" w:cs="Arial" w:eastAsia="Arial" w:hAnsi="Arial"/>
          <w:sz w:val="22"/>
          <w:szCs w:val="22"/>
          <w:color w:val="auto"/>
        </w:rPr>
        <w:t>guarantee Debt of any Subsidiary and any Subsidiary may guarantee Debt of the Borrower or any other Subsidiary.</w:t>
      </w:r>
    </w:p>
    <w:p>
      <w:pPr>
        <w:spacing w:after="0" w:line="166" w:lineRule="exact"/>
        <w:rPr>
          <w:sz w:val="20"/>
          <w:szCs w:val="20"/>
          <w:color w:val="auto"/>
        </w:rPr>
      </w:pPr>
    </w:p>
    <w:p>
      <w:pPr>
        <w:jc w:val="both"/>
        <w:ind w:firstLine="1304"/>
        <w:spacing w:after="0" w:line="297" w:lineRule="auto"/>
        <w:tabs>
          <w:tab w:leader="none" w:pos="1873" w:val="left"/>
        </w:tabs>
        <w:numPr>
          <w:ilvl w:val="0"/>
          <w:numId w:val="516"/>
        </w:numPr>
        <w:rPr>
          <w:rFonts w:ascii="Arial" w:cs="Arial" w:eastAsia="Arial" w:hAnsi="Arial"/>
          <w:sz w:val="19"/>
          <w:szCs w:val="19"/>
          <w:color w:val="auto"/>
        </w:rPr>
      </w:pP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xml:space="preserve">. Engage, or permit any of its Subsidiaries to engage, at any time in any business or business activity other than the business and business activities conducted by the Borrower or any Subsidiary on the Effective Date and any similar, corollary, related, incidental or complementary business or business activities or a reasonable extension, development or expansion thereof or ancillary thereto (in each case, as determined by the Borrower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Borrower or any of its Subsidiaries be permitted to engage, at any time, in Proprietary Trading.</w:t>
      </w:r>
    </w:p>
    <w:p>
      <w:pPr>
        <w:spacing w:after="0" w:line="92" w:lineRule="exact"/>
        <w:rPr>
          <w:rFonts w:ascii="Arial" w:cs="Arial" w:eastAsia="Arial" w:hAnsi="Arial"/>
          <w:sz w:val="19"/>
          <w:szCs w:val="19"/>
          <w:color w:val="auto"/>
        </w:rPr>
      </w:pPr>
    </w:p>
    <w:p>
      <w:pPr>
        <w:ind w:firstLine="1304"/>
        <w:spacing w:after="0" w:line="263" w:lineRule="auto"/>
        <w:tabs>
          <w:tab w:leader="none" w:pos="1791" w:val="left"/>
        </w:tabs>
        <w:numPr>
          <w:ilvl w:val="0"/>
          <w:numId w:val="516"/>
        </w:numPr>
        <w:rPr>
          <w:rFonts w:ascii="Arial" w:cs="Arial" w:eastAsia="Arial" w:hAnsi="Arial"/>
          <w:sz w:val="22"/>
          <w:szCs w:val="22"/>
          <w:color w:val="auto"/>
        </w:rPr>
      </w:pPr>
      <w:r>
        <w:rPr>
          <w:rFonts w:ascii="Arial" w:cs="Arial" w:eastAsia="Arial" w:hAnsi="Arial"/>
          <w:sz w:val="22"/>
          <w:szCs w:val="22"/>
          <w:u w:val="single" w:color="auto"/>
          <w:color w:val="auto"/>
        </w:rPr>
        <w:t>Mergers, Etc</w:t>
      </w:r>
      <w:r>
        <w:rPr>
          <w:rFonts w:ascii="Arial" w:cs="Arial" w:eastAsia="Arial" w:hAnsi="Arial"/>
          <w:sz w:val="22"/>
          <w:szCs w:val="22"/>
          <w:color w:val="auto"/>
        </w:rPr>
        <w:t>. Merge into or consolidate with any Person or permit any Person to merge into it, or liquidate, divide or dissolve, or permit any of its Subsidiaries to do any of the foregoing, except that:</w:t>
      </w:r>
    </w:p>
    <w:p>
      <w:pPr>
        <w:spacing w:after="0" w:line="120" w:lineRule="exact"/>
        <w:rPr>
          <w:rFonts w:ascii="Arial" w:cs="Arial" w:eastAsia="Arial" w:hAnsi="Arial"/>
          <w:sz w:val="22"/>
          <w:szCs w:val="22"/>
          <w:color w:val="auto"/>
        </w:rPr>
      </w:pPr>
    </w:p>
    <w:p>
      <w:pPr>
        <w:jc w:val="both"/>
        <w:ind w:left="660" w:firstLine="1292"/>
        <w:spacing w:after="0" w:line="253" w:lineRule="auto"/>
        <w:tabs>
          <w:tab w:leader="none" w:pos="2529" w:val="left"/>
        </w:tabs>
        <w:numPr>
          <w:ilvl w:val="1"/>
          <w:numId w:val="516"/>
        </w:numPr>
        <w:rPr>
          <w:rFonts w:ascii="Arial" w:cs="Arial" w:eastAsia="Arial" w:hAnsi="Arial"/>
          <w:sz w:val="22"/>
          <w:szCs w:val="22"/>
          <w:color w:val="auto"/>
        </w:rPr>
      </w:pPr>
      <w:r>
        <w:rPr>
          <w:rFonts w:ascii="Arial" w:cs="Arial" w:eastAsia="Arial" w:hAnsi="Arial"/>
          <w:sz w:val="22"/>
          <w:szCs w:val="22"/>
          <w:color w:val="auto"/>
        </w:rPr>
        <w:t xml:space="preserve">any Subsidiary of the Borrower may merge into or consolidate with the Borrower or any other Subsidiary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such merger or consolidation to which the Borrower is a party, the Borrower shall be the surviving entity;</w:t>
      </w:r>
    </w:p>
    <w:p>
      <w:pPr>
        <w:spacing w:after="0" w:line="131" w:lineRule="exact"/>
        <w:rPr>
          <w:rFonts w:ascii="Arial" w:cs="Arial" w:eastAsia="Arial" w:hAnsi="Arial"/>
          <w:sz w:val="22"/>
          <w:szCs w:val="22"/>
          <w:color w:val="auto"/>
        </w:rPr>
      </w:pPr>
    </w:p>
    <w:p>
      <w:pPr>
        <w:jc w:val="both"/>
        <w:ind w:left="660" w:firstLine="1292"/>
        <w:spacing w:after="0" w:line="286" w:lineRule="auto"/>
        <w:tabs>
          <w:tab w:leader="none" w:pos="2456" w:val="left"/>
        </w:tabs>
        <w:numPr>
          <w:ilvl w:val="1"/>
          <w:numId w:val="516"/>
        </w:numPr>
        <w:rPr>
          <w:rFonts w:ascii="Arial" w:cs="Arial" w:eastAsia="Arial" w:hAnsi="Arial"/>
          <w:sz w:val="19"/>
          <w:szCs w:val="19"/>
          <w:color w:val="auto"/>
        </w:rPr>
      </w:pPr>
      <w:r>
        <w:rPr>
          <w:rFonts w:ascii="Arial" w:cs="Arial" w:eastAsia="Arial" w:hAnsi="Arial"/>
          <w:sz w:val="19"/>
          <w:szCs w:val="19"/>
          <w:color w:val="auto"/>
        </w:rPr>
        <w:t xml:space="preserve">the Borrower or any of its Subsidiary may merge into or consolidate with any other Person or permit any other Person to merge into or consolidate with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any such merger or consolidation to which the Borrower is a party, the Borrower shall be the surviving entity and (ii) immediately before and after giving effect to such merger or consolidation, no Event of Default shall have occurred and be continuing;</w:t>
      </w:r>
    </w:p>
    <w:p>
      <w:pPr>
        <w:spacing w:after="0" w:line="2" w:lineRule="exact"/>
        <w:rPr>
          <w:rFonts w:ascii="Arial" w:cs="Arial" w:eastAsia="Arial" w:hAnsi="Arial"/>
          <w:sz w:val="19"/>
          <w:szCs w:val="19"/>
          <w:color w:val="auto"/>
        </w:rPr>
      </w:pPr>
    </w:p>
    <w:p>
      <w:pPr>
        <w:jc w:val="both"/>
        <w:ind w:left="660" w:firstLine="1292"/>
        <w:spacing w:after="0" w:line="244" w:lineRule="auto"/>
        <w:tabs>
          <w:tab w:leader="none" w:pos="2666" w:val="left"/>
        </w:tabs>
        <w:numPr>
          <w:ilvl w:val="1"/>
          <w:numId w:val="516"/>
        </w:numPr>
        <w:rPr>
          <w:rFonts w:ascii="Arial" w:cs="Arial" w:eastAsia="Arial" w:hAnsi="Arial"/>
          <w:sz w:val="22"/>
          <w:szCs w:val="22"/>
          <w:color w:val="auto"/>
        </w:rPr>
      </w:pPr>
      <w:r>
        <w:rPr>
          <w:rFonts w:ascii="Arial" w:cs="Arial" w:eastAsia="Arial" w:hAnsi="Arial"/>
          <w:sz w:val="22"/>
          <w:szCs w:val="22"/>
          <w:color w:val="auto"/>
        </w:rPr>
        <w:t xml:space="preserve">as part of any sale, lease, transfer or other disposition not prohibited by Section 5.03(e), any Subsidiary of the Borrower may merge into or consolidate with any other Person or permit any other Person to merge into or consolidate with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immediately before and after giving effect to such merger or consolidation, no Event of Default shall have occurred and be continuing; and</w:t>
      </w:r>
    </w:p>
    <w:p>
      <w:pPr>
        <w:spacing w:after="0" w:line="141" w:lineRule="exact"/>
        <w:rPr>
          <w:rFonts w:ascii="Arial" w:cs="Arial" w:eastAsia="Arial" w:hAnsi="Arial"/>
          <w:sz w:val="22"/>
          <w:szCs w:val="22"/>
          <w:color w:val="auto"/>
        </w:rPr>
      </w:pPr>
    </w:p>
    <w:p>
      <w:pPr>
        <w:jc w:val="both"/>
        <w:ind w:left="660" w:firstLine="1292"/>
        <w:spacing w:after="0" w:line="250" w:lineRule="auto"/>
        <w:tabs>
          <w:tab w:leader="none" w:pos="2538" w:val="left"/>
        </w:tabs>
        <w:numPr>
          <w:ilvl w:val="1"/>
          <w:numId w:val="516"/>
        </w:numPr>
        <w:rPr>
          <w:rFonts w:ascii="Arial" w:cs="Arial" w:eastAsia="Arial" w:hAnsi="Arial"/>
          <w:sz w:val="22"/>
          <w:szCs w:val="22"/>
          <w:color w:val="auto"/>
        </w:rPr>
      </w:pPr>
      <w:r>
        <w:rPr>
          <w:rFonts w:ascii="Arial" w:cs="Arial" w:eastAsia="Arial" w:hAnsi="Arial"/>
          <w:sz w:val="22"/>
          <w:szCs w:val="22"/>
          <w:color w:val="auto"/>
        </w:rPr>
        <w:t xml:space="preserve">any Subsidiary of the Borrower may liquidate or dissolve if the Borrower determines in good faith that such liquidation or dissolution is in the best interest of the Borrower and is not materially disadvantageous to the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each case, immediately before and after giving effect thereto, no Event of Default shall have occurred and be continuing.</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 other provision of this Section 5.03, the Borrower will not merge with or into, consolidate with, or liquidate or dissolve into any Person other than any other Broker-Dealer Subsidiary or any Person that becomes a Broker-Dealer Subsidiary upon consummation of such transaction.</w:t>
      </w:r>
    </w:p>
    <w:p>
      <w:pPr>
        <w:spacing w:after="0" w:line="131" w:lineRule="exact"/>
        <w:rPr>
          <w:sz w:val="20"/>
          <w:szCs w:val="20"/>
          <w:color w:val="auto"/>
        </w:rPr>
      </w:pPr>
    </w:p>
    <w:p>
      <w:pPr>
        <w:jc w:val="both"/>
        <w:ind w:right="20" w:firstLine="1304"/>
        <w:spacing w:after="0" w:line="253" w:lineRule="auto"/>
        <w:tabs>
          <w:tab w:leader="none" w:pos="1819" w:val="left"/>
        </w:tabs>
        <w:numPr>
          <w:ilvl w:val="0"/>
          <w:numId w:val="517"/>
        </w:numPr>
        <w:rPr>
          <w:rFonts w:ascii="Arial" w:cs="Arial" w:eastAsia="Arial" w:hAnsi="Arial"/>
          <w:sz w:val="22"/>
          <w:szCs w:val="22"/>
          <w:color w:val="auto"/>
        </w:rPr>
      </w:pPr>
      <w:r>
        <w:rPr>
          <w:rFonts w:ascii="Arial" w:cs="Arial" w:eastAsia="Arial" w:hAnsi="Arial"/>
          <w:sz w:val="22"/>
          <w:szCs w:val="22"/>
          <w:u w:val="single" w:color="auto"/>
          <w:color w:val="auto"/>
        </w:rPr>
        <w:t>Sales, Etc. of Assets</w:t>
      </w:r>
      <w:r>
        <w:rPr>
          <w:rFonts w:ascii="Arial" w:cs="Arial" w:eastAsia="Arial" w:hAnsi="Arial"/>
          <w:sz w:val="22"/>
          <w:szCs w:val="22"/>
          <w:color w:val="auto"/>
        </w:rPr>
        <w:t>. Sell, lease, transfer or otherwise dispose of, or permit any of its Subsidiaries to sell, lease, transfer or otherwise dispose of (including by division), all or substantially all of the assets of the Borrower and its Subsidiaries, taken as a whole.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942" w:right="339" w:bottom="1440" w:gutter="0" w:footer="0" w:header="0"/>
        </w:sectPr>
      </w:pPr>
    </w:p>
    <w:bookmarkStart w:id="694" w:name="page695"/>
    <w:bookmarkEnd w:id="694"/>
    <w:p>
      <w:pPr>
        <w:jc w:val="both"/>
        <w:ind w:firstLine="1304"/>
        <w:spacing w:after="0" w:line="292" w:lineRule="auto"/>
        <w:tabs>
          <w:tab w:leader="none" w:pos="1768" w:val="left"/>
        </w:tabs>
        <w:numPr>
          <w:ilvl w:val="0"/>
          <w:numId w:val="518"/>
        </w:numPr>
        <w:rPr>
          <w:rFonts w:ascii="Arial" w:cs="Arial" w:eastAsia="Arial" w:hAnsi="Arial"/>
          <w:sz w:val="19"/>
          <w:szCs w:val="19"/>
          <w:color w:val="auto"/>
        </w:rPr>
      </w:pPr>
      <w:r>
        <w:rPr>
          <w:rFonts w:ascii="Arial" w:cs="Arial" w:eastAsia="Arial" w:hAnsi="Arial"/>
          <w:sz w:val="19"/>
          <w:szCs w:val="19"/>
          <w:u w:val="single" w:color="auto"/>
          <w:color w:val="auto"/>
        </w:rPr>
        <w:t>Restricted Payments</w:t>
      </w:r>
      <w:r>
        <w:rPr>
          <w:rFonts w:ascii="Arial" w:cs="Arial" w:eastAsia="Arial" w:hAnsi="Arial"/>
          <w:sz w:val="19"/>
          <w:szCs w:val="19"/>
          <w:color w:val="auto"/>
        </w:rPr>
        <w:t>. Pay any dividend (other than dividends payable solely in common stock of the Person making such dividend) on, or make any payment on account of, or set apart assets for a sinking or other analogous fund for, the purchase, redemption, defeasance, retirement or other acquisition of, any Equity Interests of the Borrower, whether now or hereafter outstanding, or make any other distribution in respect thereof, either directly or indirectly, whether in cash or property or in obligations of the Borrower, or permit any Subsidiary to do any of the foregoing (collectively,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except that that the Borrower or any Subsidiary may make Restricted Payments so long as no Default or Event of Default shall have occurred and be continuing or would exist after giving effect thereto.</w:t>
      </w:r>
    </w:p>
    <w:p>
      <w:pPr>
        <w:spacing w:after="0" w:line="96" w:lineRule="exact"/>
        <w:rPr>
          <w:rFonts w:ascii="Arial" w:cs="Arial" w:eastAsia="Arial" w:hAnsi="Arial"/>
          <w:sz w:val="19"/>
          <w:szCs w:val="19"/>
          <w:color w:val="auto"/>
        </w:rPr>
      </w:pPr>
    </w:p>
    <w:p>
      <w:pPr>
        <w:jc w:val="both"/>
        <w:ind w:firstLine="1304"/>
        <w:spacing w:after="0" w:line="250" w:lineRule="auto"/>
        <w:tabs>
          <w:tab w:leader="none" w:pos="1885" w:val="left"/>
        </w:tabs>
        <w:numPr>
          <w:ilvl w:val="0"/>
          <w:numId w:val="518"/>
        </w:numPr>
        <w:rPr>
          <w:rFonts w:ascii="Arial" w:cs="Arial" w:eastAsia="Arial" w:hAnsi="Arial"/>
          <w:sz w:val="22"/>
          <w:szCs w:val="22"/>
          <w:color w:val="auto"/>
        </w:rPr>
      </w:pPr>
      <w:r>
        <w:rPr>
          <w:rFonts w:ascii="Arial" w:cs="Arial" w:eastAsia="Arial" w:hAnsi="Arial"/>
          <w:sz w:val="22"/>
          <w:szCs w:val="22"/>
          <w:u w:val="single" w:color="auto"/>
          <w:color w:val="auto"/>
        </w:rPr>
        <w:t>Investments</w:t>
      </w:r>
      <w:r>
        <w:rPr>
          <w:rFonts w:ascii="Arial" w:cs="Arial" w:eastAsia="Arial" w:hAnsi="Arial"/>
          <w:sz w:val="22"/>
          <w:szCs w:val="22"/>
          <w:color w:val="auto"/>
        </w:rPr>
        <w:t>. Make any advance, loan, extension of credit (by way of guaranty or otherwise) or capital contribution to, or purchase any Equity Interests, bonds, notes, debentures or other debt securities of, or any assets constituting a business unit of, or make any other investment in, any other Person or permit any Subsidiary to do any of the foregoing (all of the foregoing, “</w:t>
      </w:r>
      <w:r>
        <w:rPr>
          <w:rFonts w:ascii="Arial" w:cs="Arial" w:eastAsia="Arial" w:hAnsi="Arial"/>
          <w:sz w:val="22"/>
          <w:szCs w:val="22"/>
          <w:u w:val="single" w:color="auto"/>
          <w:color w:val="auto"/>
        </w:rPr>
        <w:t>Investments</w:t>
      </w:r>
      <w:r>
        <w:rPr>
          <w:rFonts w:ascii="Arial" w:cs="Arial" w:eastAsia="Arial" w:hAnsi="Arial"/>
          <w:sz w:val="22"/>
          <w:szCs w:val="22"/>
          <w:color w:val="auto"/>
        </w:rPr>
        <w:t>”), except:</w:t>
      </w:r>
    </w:p>
    <w:p>
      <w:pPr>
        <w:spacing w:after="0" w:line="133" w:lineRule="exact"/>
        <w:rPr>
          <w:rFonts w:ascii="Arial" w:cs="Arial" w:eastAsia="Arial" w:hAnsi="Arial"/>
          <w:sz w:val="22"/>
          <w:szCs w:val="22"/>
          <w:color w:val="auto"/>
        </w:rPr>
      </w:pPr>
    </w:p>
    <w:p>
      <w:pPr>
        <w:ind w:left="2380" w:hanging="428"/>
        <w:spacing w:after="0"/>
        <w:tabs>
          <w:tab w:leader="none" w:pos="2380" w:val="left"/>
        </w:tabs>
        <w:numPr>
          <w:ilvl w:val="1"/>
          <w:numId w:val="518"/>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w:t>
      </w:r>
    </w:p>
    <w:p>
      <w:pPr>
        <w:spacing w:after="0" w:line="165" w:lineRule="exact"/>
        <w:rPr>
          <w:rFonts w:ascii="Arial" w:cs="Arial" w:eastAsia="Arial" w:hAnsi="Arial"/>
          <w:sz w:val="22"/>
          <w:szCs w:val="22"/>
          <w:color w:val="auto"/>
        </w:rPr>
      </w:pPr>
    </w:p>
    <w:p>
      <w:pPr>
        <w:ind w:left="660" w:firstLine="1292"/>
        <w:spacing w:after="0" w:line="263" w:lineRule="auto"/>
        <w:tabs>
          <w:tab w:leader="none" w:pos="2464" w:val="left"/>
        </w:tabs>
        <w:numPr>
          <w:ilvl w:val="1"/>
          <w:numId w:val="518"/>
        </w:numPr>
        <w:rPr>
          <w:rFonts w:ascii="Arial" w:cs="Arial" w:eastAsia="Arial" w:hAnsi="Arial"/>
          <w:sz w:val="22"/>
          <w:szCs w:val="22"/>
          <w:color w:val="auto"/>
        </w:rPr>
      </w:pPr>
      <w:r>
        <w:rPr>
          <w:rFonts w:ascii="Arial" w:cs="Arial" w:eastAsia="Arial" w:hAnsi="Arial"/>
          <w:sz w:val="22"/>
          <w:szCs w:val="22"/>
          <w:color w:val="auto"/>
        </w:rPr>
        <w:t>investments in cash and Cash Equivalents (and other Investments in the ordinary course of a broker-dealer business (including by the Borrower or any Broker-</w:t>
      </w:r>
    </w:p>
    <w:p>
      <w:pPr>
        <w:spacing w:after="0" w:line="121"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Dealer Subsidiary made in the ordinary course of business in accordance with Rule 15c3-3 of the General Rules and Regulations promulgated by the SEC under the Securities Exchange Act));</w:t>
      </w:r>
    </w:p>
    <w:p>
      <w:pPr>
        <w:spacing w:after="0" w:line="2" w:lineRule="exact"/>
        <w:rPr>
          <w:sz w:val="20"/>
          <w:szCs w:val="20"/>
          <w:color w:val="auto"/>
        </w:rPr>
      </w:pPr>
    </w:p>
    <w:p>
      <w:pPr>
        <w:jc w:val="both"/>
        <w:ind w:left="660" w:firstLine="1292"/>
        <w:spacing w:after="0" w:line="244" w:lineRule="auto"/>
        <w:tabs>
          <w:tab w:leader="none" w:pos="2504" w:val="left"/>
        </w:tabs>
        <w:numPr>
          <w:ilvl w:val="0"/>
          <w:numId w:val="519"/>
        </w:numPr>
        <w:rPr>
          <w:rFonts w:ascii="Arial" w:cs="Arial" w:eastAsia="Arial" w:hAnsi="Arial"/>
          <w:sz w:val="22"/>
          <w:szCs w:val="22"/>
          <w:color w:val="auto"/>
        </w:rPr>
      </w:pPr>
      <w:r>
        <w:rPr>
          <w:rFonts w:ascii="Arial" w:cs="Arial" w:eastAsia="Arial" w:hAnsi="Arial"/>
          <w:sz w:val="22"/>
          <w:szCs w:val="22"/>
          <w:color w:val="auto"/>
        </w:rPr>
        <w:t>loans and advances to (i) directors, officers and employees of the Borrower or any of its Subsidiaries in the ordinary course of business (including for travel, entertainment and relocation expenses) in an aggregate amount for the Borrower and its Subsidiaries not to exceed $15,000,000 at any one time outstanding and (ii) employees of the Borrower or any of its Subsidiaries in the ordinary course of business pursuant to health savings accounts or other employee benefit plans;</w:t>
      </w:r>
    </w:p>
    <w:p>
      <w:pPr>
        <w:spacing w:after="0" w:line="140" w:lineRule="exact"/>
        <w:rPr>
          <w:rFonts w:ascii="Arial" w:cs="Arial" w:eastAsia="Arial" w:hAnsi="Arial"/>
          <w:sz w:val="22"/>
          <w:szCs w:val="22"/>
          <w:color w:val="auto"/>
        </w:rPr>
      </w:pPr>
    </w:p>
    <w:p>
      <w:pPr>
        <w:jc w:val="both"/>
        <w:ind w:left="660" w:firstLine="1292"/>
        <w:spacing w:after="0" w:line="257" w:lineRule="auto"/>
        <w:tabs>
          <w:tab w:leader="none" w:pos="2584" w:val="left"/>
        </w:tabs>
        <w:numPr>
          <w:ilvl w:val="0"/>
          <w:numId w:val="519"/>
        </w:numPr>
        <w:rPr>
          <w:rFonts w:ascii="Arial" w:cs="Arial" w:eastAsia="Arial" w:hAnsi="Arial"/>
          <w:sz w:val="21"/>
          <w:szCs w:val="21"/>
          <w:color w:val="auto"/>
        </w:rPr>
      </w:pPr>
      <w:r>
        <w:rPr>
          <w:rFonts w:ascii="Arial" w:cs="Arial" w:eastAsia="Arial" w:hAnsi="Arial"/>
          <w:sz w:val="21"/>
          <w:szCs w:val="21"/>
          <w:color w:val="auto"/>
        </w:rPr>
        <w:t>the Borrower and any of its Subsidiaries may acquire, in a single transaction or series of related transactions (A) all or substantially all of the assets or a majority of the outstanding Securities entitled to vote in an election of members of the Governing Body of a Person or (B) any division, line of business or other business unit of a Person (such Person or such division, line of business or other business unit of such Person being referred to herein as the “</w:t>
      </w:r>
      <w:r>
        <w:rPr>
          <w:rFonts w:ascii="Arial" w:cs="Arial" w:eastAsia="Arial" w:hAnsi="Arial"/>
          <w:sz w:val="21"/>
          <w:szCs w:val="21"/>
          <w:u w:val="single" w:color="auto"/>
          <w:color w:val="auto"/>
        </w:rPr>
        <w:t>Target</w:t>
      </w:r>
      <w:r>
        <w:rPr>
          <w:rFonts w:ascii="Arial" w:cs="Arial" w:eastAsia="Arial" w:hAnsi="Arial"/>
          <w:sz w:val="21"/>
          <w:szCs w:val="21"/>
          <w:color w:val="auto"/>
        </w:rPr>
        <w:t>”), in each case that is a type of business (or assets used in a type of business) permitted to be engaged in by the Borrower and its Subsidiaries pursuant to Section 5.03(c), so long as (1) no Event of Default or Default shall then exist or would exist after giving effect thereto and (2) the Borrower delivers an officer’s certificate of an Authorized Officer attaching a schedule in substantially the form of Exhibit B of the computations used by the Borrower in determining compliance with the covenants contained in Section 5.04, demonstrating that, after giving effect to such acquisition and any financing thereof on a pro forma basis as if such acquisition had been completed on the first day of the four fiscal quarter period ending on the last day of the most recent fiscal quarter for which financial statements have been delivered pursuant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942" w:right="339" w:bottom="1440" w:gutter="0" w:footer="0" w:header="0"/>
        </w:sectPr>
      </w:pPr>
    </w:p>
    <w:bookmarkStart w:id="695" w:name="page696"/>
    <w:bookmarkEnd w:id="695"/>
    <w:p>
      <w:pPr>
        <w:spacing w:after="0" w:line="263" w:lineRule="auto"/>
        <w:rPr>
          <w:sz w:val="20"/>
          <w:szCs w:val="20"/>
          <w:color w:val="auto"/>
        </w:rPr>
      </w:pPr>
      <w:r>
        <w:rPr>
          <w:rFonts w:ascii="Arial" w:cs="Arial" w:eastAsia="Arial" w:hAnsi="Arial"/>
          <w:sz w:val="22"/>
          <w:szCs w:val="22"/>
          <w:color w:val="auto"/>
        </w:rPr>
        <w:t>Section 5.01(a)(ii) or (iii), as applicable, the Borrower would have been in compliance with each of the financial covenants set forth in Section 5.04;</w:t>
      </w:r>
    </w:p>
    <w:p>
      <w:pPr>
        <w:spacing w:after="0" w:line="121" w:lineRule="exact"/>
        <w:rPr>
          <w:sz w:val="20"/>
          <w:szCs w:val="20"/>
          <w:color w:val="auto"/>
        </w:rPr>
      </w:pPr>
    </w:p>
    <w:p>
      <w:pPr>
        <w:jc w:val="both"/>
        <w:ind w:firstLine="1292"/>
        <w:spacing w:after="0" w:line="253" w:lineRule="auto"/>
        <w:tabs>
          <w:tab w:leader="none" w:pos="1831" w:val="left"/>
        </w:tabs>
        <w:numPr>
          <w:ilvl w:val="0"/>
          <w:numId w:val="520"/>
        </w:numPr>
        <w:rPr>
          <w:rFonts w:ascii="Arial" w:cs="Arial" w:eastAsia="Arial" w:hAnsi="Arial"/>
          <w:sz w:val="22"/>
          <w:szCs w:val="22"/>
          <w:color w:val="auto"/>
        </w:rPr>
      </w:pPr>
      <w:r>
        <w:rPr>
          <w:rFonts w:ascii="Arial" w:cs="Arial" w:eastAsia="Arial" w:hAnsi="Arial"/>
          <w:sz w:val="22"/>
          <w:szCs w:val="22"/>
          <w:color w:val="auto"/>
        </w:rPr>
        <w:t xml:space="preserve">intercompany Investments by the Borrower or any of its Subsidiaries in the Borrower or any of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such Investments constitute Debt, the Investments are permitted under Section 5.03(b)(iv);</w:t>
      </w:r>
    </w:p>
    <w:p>
      <w:pPr>
        <w:spacing w:after="0" w:line="131" w:lineRule="exact"/>
        <w:rPr>
          <w:rFonts w:ascii="Arial" w:cs="Arial" w:eastAsia="Arial" w:hAnsi="Arial"/>
          <w:sz w:val="22"/>
          <w:szCs w:val="22"/>
          <w:color w:val="auto"/>
        </w:rPr>
      </w:pPr>
    </w:p>
    <w:p>
      <w:pPr>
        <w:ind w:firstLine="1292"/>
        <w:spacing w:after="0" w:line="287" w:lineRule="auto"/>
        <w:tabs>
          <w:tab w:leader="none" w:pos="1975" w:val="left"/>
        </w:tabs>
        <w:numPr>
          <w:ilvl w:val="0"/>
          <w:numId w:val="520"/>
        </w:numPr>
        <w:rPr>
          <w:rFonts w:ascii="Arial" w:cs="Arial" w:eastAsia="Arial" w:hAnsi="Arial"/>
          <w:sz w:val="21"/>
          <w:szCs w:val="21"/>
          <w:color w:val="auto"/>
        </w:rPr>
      </w:pPr>
      <w:r>
        <w:rPr>
          <w:rFonts w:ascii="Arial" w:cs="Arial" w:eastAsia="Arial" w:hAnsi="Arial"/>
          <w:sz w:val="21"/>
          <w:szCs w:val="21"/>
          <w:color w:val="auto"/>
        </w:rPr>
        <w:t>Investments consisting of extensions of credit entered into or made or that are received in the ordinary course of business in accordance with normal practice and Investments in Hedge Agreements;</w:t>
      </w:r>
    </w:p>
    <w:p>
      <w:pPr>
        <w:spacing w:after="0" w:line="97" w:lineRule="exact"/>
        <w:rPr>
          <w:rFonts w:ascii="Arial" w:cs="Arial" w:eastAsia="Arial" w:hAnsi="Arial"/>
          <w:sz w:val="21"/>
          <w:szCs w:val="21"/>
          <w:color w:val="auto"/>
        </w:rPr>
      </w:pPr>
    </w:p>
    <w:p>
      <w:pPr>
        <w:jc w:val="both"/>
        <w:ind w:firstLine="1292"/>
        <w:spacing w:after="0" w:line="248" w:lineRule="auto"/>
        <w:tabs>
          <w:tab w:leader="none" w:pos="2019" w:val="left"/>
        </w:tabs>
        <w:numPr>
          <w:ilvl w:val="0"/>
          <w:numId w:val="520"/>
        </w:numPr>
        <w:rPr>
          <w:rFonts w:ascii="Arial" w:cs="Arial" w:eastAsia="Arial" w:hAnsi="Arial"/>
          <w:sz w:val="22"/>
          <w:szCs w:val="22"/>
          <w:color w:val="auto"/>
        </w:rPr>
      </w:pPr>
      <w:r>
        <w:rPr>
          <w:rFonts w:ascii="Arial" w:cs="Arial" w:eastAsia="Arial" w:hAnsi="Arial"/>
          <w:sz w:val="22"/>
          <w:szCs w:val="22"/>
          <w:color w:val="auto"/>
        </w:rPr>
        <w:t xml:space="preserve">Investments existing on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Investments in an outstanding amount in excess of (x) $500,000 individually or (y) $5,000,000 in the aggregate shall be set forth on </w:t>
      </w:r>
      <w:r>
        <w:rPr>
          <w:rFonts w:ascii="Arial" w:cs="Arial" w:eastAsia="Arial" w:hAnsi="Arial"/>
          <w:sz w:val="22"/>
          <w:szCs w:val="22"/>
          <w:u w:val="single" w:color="auto"/>
          <w:color w:val="auto"/>
        </w:rPr>
        <w:t>Schedule 5.03(g))</w:t>
      </w:r>
      <w:r>
        <w:rPr>
          <w:rFonts w:ascii="Arial" w:cs="Arial" w:eastAsia="Arial" w:hAnsi="Arial"/>
          <w:sz w:val="22"/>
          <w:szCs w:val="22"/>
          <w:color w:val="auto"/>
        </w:rPr>
        <w:t xml:space="preserve"> and any modification, replacement, renewal, reinvestment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the original Investment is not increased except by the terms of such Investment as in effect on the date hereof or as otherwise permitted by this Section 5.03(g);</w:t>
      </w:r>
    </w:p>
    <w:p>
      <w:pPr>
        <w:spacing w:after="0" w:line="137" w:lineRule="exact"/>
        <w:rPr>
          <w:rFonts w:ascii="Arial" w:cs="Arial" w:eastAsia="Arial" w:hAnsi="Arial"/>
          <w:sz w:val="22"/>
          <w:szCs w:val="22"/>
          <w:color w:val="auto"/>
        </w:rPr>
      </w:pPr>
    </w:p>
    <w:p>
      <w:pPr>
        <w:ind w:left="2000" w:hanging="708"/>
        <w:spacing w:after="0"/>
        <w:tabs>
          <w:tab w:leader="none" w:pos="2000" w:val="left"/>
        </w:tabs>
        <w:numPr>
          <w:ilvl w:val="0"/>
          <w:numId w:val="520"/>
        </w:numPr>
        <w:rPr>
          <w:rFonts w:ascii="Arial" w:cs="Arial" w:eastAsia="Arial" w:hAnsi="Arial"/>
          <w:sz w:val="19"/>
          <w:szCs w:val="19"/>
          <w:color w:val="auto"/>
        </w:rPr>
      </w:pPr>
      <w:r>
        <w:rPr>
          <w:rFonts w:ascii="Arial" w:cs="Arial" w:eastAsia="Arial" w:hAnsi="Arial"/>
          <w:sz w:val="19"/>
          <w:szCs w:val="19"/>
          <w:color w:val="auto"/>
        </w:rPr>
        <w:t>Investments existing on the Effective Date in any Subsidiaries of the Borrower in existence as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Effective Date;</w:t>
      </w:r>
    </w:p>
    <w:p>
      <w:pPr>
        <w:spacing w:after="0" w:line="147" w:lineRule="exact"/>
        <w:rPr>
          <w:rFonts w:ascii="Arial" w:cs="Arial" w:eastAsia="Arial" w:hAnsi="Arial"/>
          <w:sz w:val="19"/>
          <w:szCs w:val="19"/>
          <w:color w:val="auto"/>
        </w:rPr>
      </w:pPr>
    </w:p>
    <w:p>
      <w:pPr>
        <w:jc w:val="both"/>
        <w:ind w:firstLine="1292"/>
        <w:spacing w:after="0" w:line="253" w:lineRule="auto"/>
        <w:tabs>
          <w:tab w:leader="none" w:pos="1973" w:val="left"/>
        </w:tabs>
        <w:numPr>
          <w:ilvl w:val="0"/>
          <w:numId w:val="520"/>
        </w:numPr>
        <w:rPr>
          <w:rFonts w:ascii="Arial" w:cs="Arial" w:eastAsia="Arial" w:hAnsi="Arial"/>
          <w:sz w:val="22"/>
          <w:szCs w:val="22"/>
          <w:color w:val="auto"/>
        </w:rPr>
      </w:pPr>
      <w:r>
        <w:rPr>
          <w:rFonts w:ascii="Arial" w:cs="Arial" w:eastAsia="Arial" w:hAnsi="Arial"/>
          <w:sz w:val="22"/>
          <w:szCs w:val="22"/>
          <w:color w:val="auto"/>
        </w:rPr>
        <w:t>Investments in the form of promissory notes and other non-cash consideration received by the Borrower or any of its Subsidiaries in connection with any conveyances, sales, leases or sub-leases, assignments, transfers and dispositions permitted by Section 5.03(e);</w:t>
      </w:r>
    </w:p>
    <w:p>
      <w:pPr>
        <w:spacing w:after="0" w:line="131" w:lineRule="exact"/>
        <w:rPr>
          <w:rFonts w:ascii="Arial" w:cs="Arial" w:eastAsia="Arial" w:hAnsi="Arial"/>
          <w:sz w:val="22"/>
          <w:szCs w:val="22"/>
          <w:color w:val="auto"/>
        </w:rPr>
      </w:pPr>
    </w:p>
    <w:p>
      <w:pPr>
        <w:ind w:left="2040" w:hanging="748"/>
        <w:spacing w:after="0"/>
        <w:tabs>
          <w:tab w:leader="none" w:pos="2040" w:val="left"/>
        </w:tabs>
        <w:numPr>
          <w:ilvl w:val="0"/>
          <w:numId w:val="520"/>
        </w:numPr>
        <w:rPr>
          <w:rFonts w:ascii="Arial" w:cs="Arial" w:eastAsia="Arial" w:hAnsi="Arial"/>
          <w:sz w:val="21"/>
          <w:szCs w:val="21"/>
          <w:color w:val="auto"/>
        </w:rPr>
      </w:pPr>
      <w:r>
        <w:rPr>
          <w:rFonts w:ascii="Arial" w:cs="Arial" w:eastAsia="Arial" w:hAnsi="Arial"/>
          <w:sz w:val="21"/>
          <w:szCs w:val="21"/>
          <w:color w:val="auto"/>
        </w:rPr>
        <w:t>Securities purchased under agreements to resell (to the extent such transactions constitute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Investments);</w:t>
      </w:r>
    </w:p>
    <w:p>
      <w:pPr>
        <w:spacing w:after="0" w:line="147" w:lineRule="exact"/>
        <w:rPr>
          <w:rFonts w:ascii="Arial" w:cs="Arial" w:eastAsia="Arial" w:hAnsi="Arial"/>
          <w:sz w:val="21"/>
          <w:szCs w:val="21"/>
          <w:color w:val="auto"/>
        </w:rPr>
      </w:pPr>
    </w:p>
    <w:p>
      <w:pPr>
        <w:jc w:val="both"/>
        <w:ind w:firstLine="1292"/>
        <w:spacing w:after="0" w:line="250" w:lineRule="auto"/>
        <w:tabs>
          <w:tab w:leader="none" w:pos="1861" w:val="left"/>
        </w:tabs>
        <w:numPr>
          <w:ilvl w:val="0"/>
          <w:numId w:val="520"/>
        </w:numPr>
        <w:rPr>
          <w:rFonts w:ascii="Arial" w:cs="Arial" w:eastAsia="Arial" w:hAnsi="Arial"/>
          <w:sz w:val="22"/>
          <w:szCs w:val="22"/>
          <w:color w:val="auto"/>
        </w:rPr>
      </w:pPr>
      <w:r>
        <w:rPr>
          <w:rFonts w:ascii="Arial" w:cs="Arial" w:eastAsia="Arial" w:hAnsi="Arial"/>
          <w:sz w:val="22"/>
          <w:szCs w:val="22"/>
          <w:color w:val="auto"/>
        </w:rPr>
        <w:t>to the extent not constituting Proprietary Trading, Investments in Securities, whether purchased and held for resale to customers, in each case, either to account for fractional shares purchased by customers or to fund deferred compensation liabilities for employees or partners, in each case, in the ordinary course of business and consistent with past practice;</w:t>
      </w:r>
    </w:p>
    <w:p>
      <w:pPr>
        <w:spacing w:after="0" w:line="133" w:lineRule="exact"/>
        <w:rPr>
          <w:rFonts w:ascii="Arial" w:cs="Arial" w:eastAsia="Arial" w:hAnsi="Arial"/>
          <w:sz w:val="22"/>
          <w:szCs w:val="22"/>
          <w:color w:val="auto"/>
        </w:rPr>
      </w:pPr>
    </w:p>
    <w:p>
      <w:pPr>
        <w:ind w:left="1880" w:hanging="588"/>
        <w:spacing w:after="0"/>
        <w:tabs>
          <w:tab w:leader="none" w:pos="1880" w:val="left"/>
        </w:tabs>
        <w:numPr>
          <w:ilvl w:val="0"/>
          <w:numId w:val="520"/>
        </w:numPr>
        <w:rPr>
          <w:rFonts w:ascii="Arial" w:cs="Arial" w:eastAsia="Arial" w:hAnsi="Arial"/>
          <w:sz w:val="22"/>
          <w:szCs w:val="22"/>
          <w:color w:val="auto"/>
        </w:rPr>
      </w:pPr>
      <w:r>
        <w:rPr>
          <w:rFonts w:ascii="Arial" w:cs="Arial" w:eastAsia="Arial" w:hAnsi="Arial"/>
          <w:sz w:val="22"/>
          <w:szCs w:val="22"/>
          <w:color w:val="auto"/>
        </w:rPr>
        <w:t>Investments in margin loans to customers in the ordinary course of business;</w:t>
      </w:r>
    </w:p>
    <w:p>
      <w:pPr>
        <w:spacing w:after="0" w:line="165" w:lineRule="exact"/>
        <w:rPr>
          <w:rFonts w:ascii="Arial" w:cs="Arial" w:eastAsia="Arial" w:hAnsi="Arial"/>
          <w:sz w:val="22"/>
          <w:szCs w:val="22"/>
          <w:color w:val="auto"/>
        </w:rPr>
      </w:pPr>
    </w:p>
    <w:p>
      <w:pPr>
        <w:ind w:left="1940" w:hanging="648"/>
        <w:spacing w:after="0"/>
        <w:tabs>
          <w:tab w:leader="none" w:pos="1940" w:val="left"/>
        </w:tabs>
        <w:numPr>
          <w:ilvl w:val="0"/>
          <w:numId w:val="520"/>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1920" w:hanging="628"/>
        <w:spacing w:after="0"/>
        <w:tabs>
          <w:tab w:leader="none" w:pos="1920" w:val="left"/>
        </w:tabs>
        <w:numPr>
          <w:ilvl w:val="0"/>
          <w:numId w:val="520"/>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1292"/>
        <w:spacing w:after="0" w:line="312" w:lineRule="auto"/>
        <w:tabs>
          <w:tab w:leader="none" w:pos="2034" w:val="left"/>
        </w:tabs>
        <w:numPr>
          <w:ilvl w:val="0"/>
          <w:numId w:val="520"/>
        </w:numPr>
        <w:rPr>
          <w:rFonts w:ascii="Arial" w:cs="Arial" w:eastAsia="Arial" w:hAnsi="Arial"/>
          <w:sz w:val="19"/>
          <w:szCs w:val="19"/>
          <w:color w:val="auto"/>
        </w:rPr>
      </w:pPr>
      <w:r>
        <w:rPr>
          <w:rFonts w:ascii="Arial" w:cs="Arial" w:eastAsia="Arial" w:hAnsi="Arial"/>
          <w:sz w:val="19"/>
          <w:szCs w:val="19"/>
          <w:color w:val="auto"/>
        </w:rPr>
        <w:t xml:space="preserve">Investments acquired as a result of the purchase or other acquisition by the Borrower or any Subsidiary in connection with an acquisition not in contravention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Investments were not made in contemplation of such acquisition and were in existence at the time of such acquisition;</w:t>
      </w: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580"/>
          </w:cols>
          <w:pgMar w:left="980" w:top="942" w:right="339" w:bottom="1440" w:gutter="0" w:footer="0" w:header="0"/>
        </w:sectPr>
      </w:pPr>
    </w:p>
    <w:bookmarkStart w:id="696" w:name="page697"/>
    <w:bookmarkEnd w:id="696"/>
    <w:p>
      <w:pPr>
        <w:ind w:left="660" w:firstLine="1292"/>
        <w:spacing w:after="0" w:line="287" w:lineRule="auto"/>
        <w:tabs>
          <w:tab w:leader="none" w:pos="2737" w:val="left"/>
        </w:tabs>
        <w:numPr>
          <w:ilvl w:val="1"/>
          <w:numId w:val="521"/>
        </w:numPr>
        <w:rPr>
          <w:rFonts w:ascii="Arial" w:cs="Arial" w:eastAsia="Arial" w:hAnsi="Arial"/>
          <w:sz w:val="21"/>
          <w:szCs w:val="21"/>
          <w:color w:val="auto"/>
        </w:rPr>
      </w:pPr>
      <w:r>
        <w:rPr>
          <w:rFonts w:ascii="Arial" w:cs="Arial" w:eastAsia="Arial" w:hAnsi="Arial"/>
          <w:sz w:val="21"/>
          <w:szCs w:val="21"/>
          <w:color w:val="auto"/>
        </w:rPr>
        <w:t>Investments received in connection with the bankruptcy or reorganization of, or settlement of delinquent and disputes with, customers and suppliers, in each case in the ordinary course of business;</w:t>
      </w:r>
    </w:p>
    <w:p>
      <w:pPr>
        <w:spacing w:after="0" w:line="97" w:lineRule="exact"/>
        <w:rPr>
          <w:rFonts w:ascii="Arial" w:cs="Arial" w:eastAsia="Arial" w:hAnsi="Arial"/>
          <w:sz w:val="21"/>
          <w:szCs w:val="21"/>
          <w:color w:val="auto"/>
        </w:rPr>
      </w:pPr>
    </w:p>
    <w:p>
      <w:pPr>
        <w:jc w:val="both"/>
        <w:ind w:left="660" w:firstLine="1292"/>
        <w:spacing w:after="0" w:line="250" w:lineRule="auto"/>
        <w:tabs>
          <w:tab w:leader="none" w:pos="2695" w:val="left"/>
        </w:tabs>
        <w:numPr>
          <w:ilvl w:val="1"/>
          <w:numId w:val="521"/>
        </w:numPr>
        <w:rPr>
          <w:rFonts w:ascii="Arial" w:cs="Arial" w:eastAsia="Arial" w:hAnsi="Arial"/>
          <w:sz w:val="22"/>
          <w:szCs w:val="22"/>
          <w:color w:val="auto"/>
        </w:rPr>
      </w:pPr>
      <w:r>
        <w:rPr>
          <w:rFonts w:ascii="Arial" w:cs="Arial" w:eastAsia="Arial" w:hAnsi="Arial"/>
          <w:sz w:val="22"/>
          <w:szCs w:val="22"/>
          <w:color w:val="auto"/>
        </w:rPr>
        <w:t>Investments of any Person that becomes a Subsidiary of the Borrower after the date hereof not in contravention of this Agreement, to the extent that such Investments are existing at the time such Person becomes a Subsidiary of the Borrower and were not made solely in contemplation of such Person becoming a Subsidiary of the Borrower;</w:t>
      </w:r>
    </w:p>
    <w:p>
      <w:pPr>
        <w:spacing w:after="0" w:line="133" w:lineRule="exact"/>
        <w:rPr>
          <w:rFonts w:ascii="Arial" w:cs="Arial" w:eastAsia="Arial" w:hAnsi="Arial"/>
          <w:sz w:val="22"/>
          <w:szCs w:val="22"/>
          <w:color w:val="auto"/>
        </w:rPr>
      </w:pPr>
    </w:p>
    <w:p>
      <w:pPr>
        <w:ind w:left="2700" w:hanging="748"/>
        <w:spacing w:after="0"/>
        <w:tabs>
          <w:tab w:leader="none" w:pos="2700" w:val="left"/>
        </w:tabs>
        <w:numPr>
          <w:ilvl w:val="1"/>
          <w:numId w:val="521"/>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2580" w:hanging="628"/>
        <w:spacing w:after="0"/>
        <w:tabs>
          <w:tab w:leader="none" w:pos="2580" w:val="left"/>
        </w:tabs>
        <w:numPr>
          <w:ilvl w:val="1"/>
          <w:numId w:val="521"/>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left="660" w:firstLine="1292"/>
        <w:spacing w:after="0" w:line="312" w:lineRule="auto"/>
        <w:tabs>
          <w:tab w:leader="none" w:pos="2532" w:val="left"/>
        </w:tabs>
        <w:numPr>
          <w:ilvl w:val="1"/>
          <w:numId w:val="521"/>
        </w:numPr>
        <w:rPr>
          <w:rFonts w:ascii="Arial" w:cs="Arial" w:eastAsia="Arial" w:hAnsi="Arial"/>
          <w:sz w:val="19"/>
          <w:szCs w:val="19"/>
          <w:color w:val="auto"/>
        </w:rPr>
      </w:pPr>
      <w:r>
        <w:rPr>
          <w:rFonts w:ascii="Arial" w:cs="Arial" w:eastAsia="Arial" w:hAnsi="Arial"/>
          <w:sz w:val="19"/>
          <w:szCs w:val="19"/>
          <w:color w:val="auto"/>
        </w:rPr>
        <w:t>Investments by the Borrower or any Subsidiary that result solely from the receipt by the Borrower or such Subsidiary from any of its Subsidiaries of a dividend or other Restricted Payment in the form of Equity Interests, evidences of Debt or other securities (but not any additions thereto made after the date of the receipt thereto);</w:t>
      </w:r>
    </w:p>
    <w:p>
      <w:pPr>
        <w:spacing w:after="0" w:line="79" w:lineRule="exact"/>
        <w:rPr>
          <w:rFonts w:ascii="Arial" w:cs="Arial" w:eastAsia="Arial" w:hAnsi="Arial"/>
          <w:sz w:val="19"/>
          <w:szCs w:val="19"/>
          <w:color w:val="auto"/>
        </w:rPr>
      </w:pPr>
    </w:p>
    <w:p>
      <w:pPr>
        <w:ind w:left="2620" w:hanging="668"/>
        <w:spacing w:after="0"/>
        <w:tabs>
          <w:tab w:leader="none" w:pos="2620" w:val="left"/>
        </w:tabs>
        <w:numPr>
          <w:ilvl w:val="1"/>
          <w:numId w:val="521"/>
        </w:numPr>
        <w:rPr>
          <w:rFonts w:ascii="Arial" w:cs="Arial" w:eastAsia="Arial" w:hAnsi="Arial"/>
          <w:sz w:val="19"/>
          <w:szCs w:val="19"/>
          <w:color w:val="auto"/>
        </w:rPr>
      </w:pPr>
      <w:r>
        <w:rPr>
          <w:rFonts w:ascii="Arial" w:cs="Arial" w:eastAsia="Arial" w:hAnsi="Arial"/>
          <w:sz w:val="19"/>
          <w:szCs w:val="19"/>
          <w:color w:val="auto"/>
        </w:rPr>
        <w:t>Investments resulting from the pledges and deposits described in, and permitted under, clauses (d),</w:t>
      </w:r>
    </w:p>
    <w:p>
      <w:pPr>
        <w:spacing w:after="0" w:line="55" w:lineRule="exact"/>
        <w:rPr>
          <w:rFonts w:ascii="Arial" w:cs="Arial" w:eastAsia="Arial" w:hAnsi="Arial"/>
          <w:sz w:val="19"/>
          <w:szCs w:val="19"/>
          <w:color w:val="auto"/>
        </w:rPr>
      </w:pPr>
    </w:p>
    <w:p>
      <w:pPr>
        <w:ind w:left="960" w:hanging="304"/>
        <w:spacing w:after="0"/>
        <w:tabs>
          <w:tab w:leader="none" w:pos="960" w:val="left"/>
        </w:tabs>
        <w:numPr>
          <w:ilvl w:val="0"/>
          <w:numId w:val="522"/>
        </w:numPr>
        <w:rPr>
          <w:rFonts w:ascii="Arial" w:cs="Arial" w:eastAsia="Arial" w:hAnsi="Arial"/>
          <w:sz w:val="22"/>
          <w:szCs w:val="22"/>
          <w:color w:val="auto"/>
        </w:rPr>
      </w:pPr>
      <w:r>
        <w:rPr>
          <w:rFonts w:ascii="Arial" w:cs="Arial" w:eastAsia="Arial" w:hAnsi="Arial"/>
          <w:sz w:val="22"/>
          <w:szCs w:val="22"/>
          <w:color w:val="auto"/>
        </w:rPr>
        <w:t>and (t) of the definition of “Permitted Encumbrances”;</w:t>
      </w:r>
    </w:p>
    <w:p>
      <w:pPr>
        <w:spacing w:after="0" w:line="147" w:lineRule="exact"/>
        <w:rPr>
          <w:rFonts w:ascii="Arial" w:cs="Arial" w:eastAsia="Arial" w:hAnsi="Arial"/>
          <w:sz w:val="22"/>
          <w:szCs w:val="22"/>
          <w:color w:val="auto"/>
        </w:rPr>
      </w:pPr>
    </w:p>
    <w:p>
      <w:pPr>
        <w:ind w:left="660" w:firstLine="1292"/>
        <w:spacing w:after="0" w:line="263" w:lineRule="auto"/>
        <w:tabs>
          <w:tab w:leader="none" w:pos="2706" w:val="left"/>
        </w:tabs>
        <w:numPr>
          <w:ilvl w:val="1"/>
          <w:numId w:val="522"/>
        </w:numPr>
        <w:rPr>
          <w:rFonts w:ascii="Arial" w:cs="Arial" w:eastAsia="Arial" w:hAnsi="Arial"/>
          <w:sz w:val="22"/>
          <w:szCs w:val="22"/>
          <w:color w:val="auto"/>
        </w:rPr>
      </w:pPr>
      <w:r>
        <w:rPr>
          <w:rFonts w:ascii="Arial" w:cs="Arial" w:eastAsia="Arial" w:hAnsi="Arial"/>
          <w:sz w:val="22"/>
          <w:szCs w:val="22"/>
          <w:color w:val="auto"/>
        </w:rPr>
        <w:t>mergers and consolidations permitted under Section 5.03(d) that do not involve any Person other than the Borrower and Subsidiaries that are wholly-owned Subsidiaries; and</w:t>
      </w:r>
    </w:p>
    <w:p>
      <w:pPr>
        <w:spacing w:after="0" w:line="120" w:lineRule="exact"/>
        <w:rPr>
          <w:rFonts w:ascii="Arial" w:cs="Arial" w:eastAsia="Arial" w:hAnsi="Arial"/>
          <w:sz w:val="22"/>
          <w:szCs w:val="22"/>
          <w:color w:val="auto"/>
        </w:rPr>
      </w:pPr>
    </w:p>
    <w:p>
      <w:pPr>
        <w:jc w:val="both"/>
        <w:ind w:left="660" w:firstLine="1292"/>
        <w:spacing w:after="0" w:line="248" w:lineRule="auto"/>
        <w:tabs>
          <w:tab w:leader="none" w:pos="2775" w:val="left"/>
        </w:tabs>
        <w:numPr>
          <w:ilvl w:val="1"/>
          <w:numId w:val="522"/>
        </w:numPr>
        <w:rPr>
          <w:rFonts w:ascii="Arial" w:cs="Arial" w:eastAsia="Arial" w:hAnsi="Arial"/>
          <w:sz w:val="22"/>
          <w:szCs w:val="22"/>
          <w:color w:val="auto"/>
        </w:rPr>
      </w:pPr>
      <w:r>
        <w:rPr>
          <w:rFonts w:ascii="Arial" w:cs="Arial" w:eastAsia="Arial" w:hAnsi="Arial"/>
          <w:sz w:val="22"/>
          <w:szCs w:val="22"/>
          <w:color w:val="auto"/>
        </w:rPr>
        <w:t>in addition to Investments otherwise expressly permitted by this Section, any Investment by the Borrower or any of its Subsidiaries so long as at the time the Borrower or Subsidiary makes such Investment, (x) no Default or Event of Default shall have occurred and be continuing or would exist after giving effect thereto and (y) the Borrower shall be in compliance, on a pro forma basis after giving effect to such Investment, with the covenants contained in Section 5.04.</w:t>
      </w:r>
    </w:p>
    <w:p>
      <w:pPr>
        <w:spacing w:after="0" w:line="138"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For purposes of determining the amount of any Investment outstanding for purposes of this Section 5.03(g), such amount shall be deemed to be the amount of such Investment when made, purchased or acquired less any amount realized in respect of such Investment upon the sale, collection or return of capital (not to exceed the original amount invested).</w:t>
      </w:r>
    </w:p>
    <w:p>
      <w:pPr>
        <w:spacing w:after="0" w:line="79" w:lineRule="exact"/>
        <w:rPr>
          <w:sz w:val="20"/>
          <w:szCs w:val="20"/>
          <w:color w:val="auto"/>
        </w:rPr>
      </w:pPr>
    </w:p>
    <w:p>
      <w:pPr>
        <w:ind w:left="1780" w:hanging="476"/>
        <w:spacing w:after="0"/>
        <w:tabs>
          <w:tab w:leader="none" w:pos="1780" w:val="left"/>
        </w:tabs>
        <w:numPr>
          <w:ilvl w:val="1"/>
          <w:numId w:val="52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86" w:lineRule="auto"/>
        <w:tabs>
          <w:tab w:leader="none" w:pos="1743" w:val="left"/>
        </w:tabs>
        <w:numPr>
          <w:ilvl w:val="1"/>
          <w:numId w:val="523"/>
        </w:numPr>
        <w:rPr>
          <w:rFonts w:ascii="Arial" w:cs="Arial" w:eastAsia="Arial" w:hAnsi="Arial"/>
          <w:sz w:val="19"/>
          <w:szCs w:val="19"/>
          <w:color w:val="auto"/>
        </w:rPr>
      </w:pP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Conduct, or permit any of its Subsidiaries to conduct, any transaction involving consideration in excess of $5,000,000 with any of its Affiliates except (i) on terms that are (1) in, or not inconsistent with, the best interests of the Borrower or (2) not materially less favorable (taken as a whole) to the Borrower or such Subsidiary as it would obtain in a comparable arm’s length transaction with a Person that is not an Affiliate of the Borrower or such Subsidiary,</w:t>
      </w:r>
    </w:p>
    <w:p>
      <w:pPr>
        <w:spacing w:after="0" w:line="2" w:lineRule="exact"/>
        <w:rPr>
          <w:rFonts w:ascii="Arial" w:cs="Arial" w:eastAsia="Arial" w:hAnsi="Arial"/>
          <w:sz w:val="19"/>
          <w:szCs w:val="19"/>
          <w:color w:val="auto"/>
        </w:rPr>
      </w:pPr>
    </w:p>
    <w:p>
      <w:pPr>
        <w:ind w:right="20" w:firstLine="8"/>
        <w:spacing w:after="0" w:line="323" w:lineRule="auto"/>
        <w:tabs>
          <w:tab w:leader="none" w:pos="322" w:val="left"/>
        </w:tabs>
        <w:numPr>
          <w:ilvl w:val="0"/>
          <w:numId w:val="524"/>
        </w:numPr>
        <w:rPr>
          <w:rFonts w:ascii="Arial" w:cs="Arial" w:eastAsia="Arial" w:hAnsi="Arial"/>
          <w:sz w:val="19"/>
          <w:szCs w:val="19"/>
          <w:color w:val="auto"/>
        </w:rPr>
      </w:pPr>
      <w:r>
        <w:rPr>
          <w:rFonts w:ascii="Arial" w:cs="Arial" w:eastAsia="Arial" w:hAnsi="Arial"/>
          <w:sz w:val="19"/>
          <w:szCs w:val="19"/>
          <w:color w:val="auto"/>
        </w:rPr>
        <w:t>any Affiliate who is an individual may serve as partner, director, officer, employee or consultant of the Borrower or any of its Subsidiaries and may receive compensation, insurance, employee benefits, severance, expense reimbursement and customary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942" w:right="339" w:bottom="1440" w:gutter="0" w:footer="0" w:header="0"/>
        </w:sectPr>
      </w:pPr>
    </w:p>
    <w:bookmarkStart w:id="697" w:name="page698"/>
    <w:bookmarkEnd w:id="697"/>
    <w:p>
      <w:pPr>
        <w:jc w:val="both"/>
        <w:spacing w:after="0" w:line="257" w:lineRule="auto"/>
        <w:rPr>
          <w:sz w:val="20"/>
          <w:szCs w:val="20"/>
          <w:color w:val="auto"/>
        </w:rPr>
      </w:pPr>
      <w:r>
        <w:rPr>
          <w:rFonts w:ascii="Arial" w:cs="Arial" w:eastAsia="Arial" w:hAnsi="Arial"/>
          <w:sz w:val="21"/>
          <w:szCs w:val="21"/>
          <w:color w:val="auto"/>
        </w:rPr>
        <w:t>indemnification for his or her services in such capacity, in each case, in the ordinary course of business, (iii) nonexclusive licenses of patents, copyrights, trademarks, trade secrets and other intellectual property by the Borrower or any of its Subsidiaries to any other Affiliate of the Borrower or any of its Subsidiaries, (iv) any transaction between or among the Borrower and/or any of its Subsidiaries not involving any other Affiliate of the Borrower (unless such transaction with such other Affiliate of the Borrower is otherwise permitted pursuant to this Section 5.03(i)), (v) Restricted Payments permitted by Section 5.03(f), (vi) [reserved], (vii) intercompany transactions undertaken in good faith for the purpose of improving the consolidated tax efficiency of the Borrower and its Subsidiaries, (viii) any transaction with any Person who is not an Affiliate immediately before the consummation of such transaction that becomes an Affiliate as a result of such transactions, (ix) payroll, travel, business entertainment and similar advances to officers, directors, employees and consultants of the Borrower or any Subsidiary to cover matters that are expected at the time of such advances to be treated as expenses of the Borrower or such Subsidiary for accounting purposes and that are made in the ordinary course of business and (x) transactions existing on the date hereof identified on Schedule 5.03(i).</w:t>
      </w:r>
    </w:p>
    <w:p>
      <w:pPr>
        <w:spacing w:after="0" w:line="137" w:lineRule="exact"/>
        <w:rPr>
          <w:sz w:val="20"/>
          <w:szCs w:val="20"/>
          <w:color w:val="auto"/>
        </w:rPr>
      </w:pPr>
    </w:p>
    <w:p>
      <w:pPr>
        <w:ind w:right="20" w:firstLine="1304"/>
        <w:spacing w:after="0" w:line="343" w:lineRule="auto"/>
        <w:tabs>
          <w:tab w:leader="none" w:pos="1770" w:val="left"/>
        </w:tabs>
        <w:numPr>
          <w:ilvl w:val="1"/>
          <w:numId w:val="525"/>
        </w:numPr>
        <w:rPr>
          <w:rFonts w:ascii="Arial" w:cs="Arial" w:eastAsia="Arial" w:hAnsi="Arial"/>
          <w:sz w:val="19"/>
          <w:szCs w:val="19"/>
          <w:color w:val="auto"/>
        </w:rPr>
      </w:pPr>
      <w:r>
        <w:rPr>
          <w:rFonts w:ascii="Arial" w:cs="Arial" w:eastAsia="Arial" w:hAnsi="Arial"/>
          <w:sz w:val="19"/>
          <w:szCs w:val="19"/>
          <w:u w:val="single" w:color="auto"/>
          <w:color w:val="auto"/>
        </w:rPr>
        <w:t>Changes in Fiscal Year</w:t>
      </w:r>
      <w:r>
        <w:rPr>
          <w:rFonts w:ascii="Arial" w:cs="Arial" w:eastAsia="Arial" w:hAnsi="Arial"/>
          <w:sz w:val="19"/>
          <w:szCs w:val="19"/>
          <w:color w:val="auto"/>
        </w:rPr>
        <w:t>. Permit the fiscal year of the Borrower to end on a day other than December 31 or change the Borrower’s method of determining fiscal quarters, in each case without the consent of the Administrative Agent.</w:t>
      </w:r>
    </w:p>
    <w:p>
      <w:pPr>
        <w:spacing w:after="0" w:line="50" w:lineRule="exact"/>
        <w:rPr>
          <w:rFonts w:ascii="Arial" w:cs="Arial" w:eastAsia="Arial" w:hAnsi="Arial"/>
          <w:sz w:val="19"/>
          <w:szCs w:val="19"/>
          <w:color w:val="auto"/>
        </w:rPr>
      </w:pPr>
    </w:p>
    <w:p>
      <w:pPr>
        <w:jc w:val="both"/>
        <w:ind w:firstLine="1304"/>
        <w:spacing w:after="0" w:line="260" w:lineRule="auto"/>
        <w:tabs>
          <w:tab w:leader="none" w:pos="1899" w:val="left"/>
        </w:tabs>
        <w:numPr>
          <w:ilvl w:val="1"/>
          <w:numId w:val="525"/>
        </w:numPr>
        <w:rPr>
          <w:rFonts w:ascii="Arial" w:cs="Arial" w:eastAsia="Arial" w:hAnsi="Arial"/>
          <w:sz w:val="21"/>
          <w:szCs w:val="21"/>
          <w:color w:val="auto"/>
        </w:rPr>
      </w:pPr>
      <w:r>
        <w:rPr>
          <w:rFonts w:ascii="Arial" w:cs="Arial" w:eastAsia="Arial" w:hAnsi="Arial"/>
          <w:sz w:val="21"/>
          <w:szCs w:val="21"/>
          <w:u w:val="single" w:color="auto"/>
          <w:color w:val="auto"/>
        </w:rPr>
        <w:t>Anti-Corruption/Anti-Money Laundering Laws and Sanctions</w:t>
      </w:r>
      <w:r>
        <w:rPr>
          <w:rFonts w:ascii="Arial" w:cs="Arial" w:eastAsia="Arial" w:hAnsi="Arial"/>
          <w:sz w:val="21"/>
          <w:szCs w:val="21"/>
          <w:color w:val="auto"/>
        </w:rPr>
        <w:t>. Use, and its Subsidiaries and its or their respective directors, officers, employees and agents shall not use, the proceeds of any Borrowing (i) in furtherance of an offer, payment, promise to pay, or authorization of the payment or giving of money, or anything else of value, to any Person in violation of any applicable Anti- Corruption/Anti-Money Laundering Laws, (ii) for the purpose of funding, financing or facilitating any activities, business or transaction of or with any Sanctioned Person, or in any Sanctioned Country, except to the extent permitted for a Person required to comply with Sanctions , or (iii) in any manner that reasonably would be expected to result in the violation of any Sanctions applicable to any party hereto.</w:t>
      </w:r>
    </w:p>
    <w:p>
      <w:pPr>
        <w:spacing w:after="0" w:line="126" w:lineRule="exact"/>
        <w:rPr>
          <w:rFonts w:ascii="Arial" w:cs="Arial" w:eastAsia="Arial" w:hAnsi="Arial"/>
          <w:sz w:val="21"/>
          <w:szCs w:val="21"/>
          <w:color w:val="auto"/>
        </w:rPr>
      </w:pPr>
    </w:p>
    <w:p>
      <w:pPr>
        <w:ind w:left="1720" w:hanging="416"/>
        <w:spacing w:after="0"/>
        <w:tabs>
          <w:tab w:leader="none" w:pos="1720" w:val="left"/>
        </w:tabs>
        <w:numPr>
          <w:ilvl w:val="1"/>
          <w:numId w:val="52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91" w:lineRule="auto"/>
        <w:tabs>
          <w:tab w:leader="none" w:pos="1851" w:val="left"/>
        </w:tabs>
        <w:numPr>
          <w:ilvl w:val="1"/>
          <w:numId w:val="525"/>
        </w:numPr>
        <w:rPr>
          <w:rFonts w:ascii="Arial" w:cs="Arial" w:eastAsia="Arial" w:hAnsi="Arial"/>
          <w:sz w:val="19"/>
          <w:szCs w:val="19"/>
          <w:color w:val="auto"/>
        </w:rPr>
      </w:pPr>
      <w:r>
        <w:rPr>
          <w:rFonts w:ascii="Arial" w:cs="Arial" w:eastAsia="Arial" w:hAnsi="Arial"/>
          <w:sz w:val="19"/>
          <w:szCs w:val="19"/>
          <w:u w:val="single" w:color="auto"/>
          <w:color w:val="auto"/>
        </w:rPr>
        <w:t>Restrictive Agreements</w:t>
      </w:r>
      <w:r>
        <w:rPr>
          <w:rFonts w:ascii="Arial" w:cs="Arial" w:eastAsia="Arial" w:hAnsi="Arial"/>
          <w:sz w:val="19"/>
          <w:szCs w:val="19"/>
          <w:color w:val="auto"/>
        </w:rPr>
        <w:t>. Enter into, incur or permit to exist (or permit any Subsidiary to enter into, incur or permit to exist) any agreement or other arrangement that, directly or indirectly, prohibits, restricts or imposes any condition upon</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526"/>
        </w:numPr>
        <w:rPr>
          <w:rFonts w:ascii="Arial" w:cs="Arial" w:eastAsia="Arial" w:hAnsi="Arial"/>
          <w:sz w:val="19"/>
          <w:szCs w:val="19"/>
          <w:color w:val="auto"/>
        </w:rPr>
      </w:pPr>
      <w:r>
        <w:rPr>
          <w:rFonts w:ascii="Arial" w:cs="Arial" w:eastAsia="Arial" w:hAnsi="Arial"/>
          <w:sz w:val="19"/>
          <w:szCs w:val="19"/>
          <w:color w:val="auto"/>
        </w:rPr>
        <w:t>the ability of the Borrower or any Subsidiary to create, incur or permit to exist any Lien upon any of its property or assets, or</w:t>
      </w:r>
    </w:p>
    <w:p>
      <w:pPr>
        <w:spacing w:after="0" w:line="38" w:lineRule="exact"/>
        <w:rPr>
          <w:rFonts w:ascii="Arial" w:cs="Arial" w:eastAsia="Arial" w:hAnsi="Arial"/>
          <w:sz w:val="19"/>
          <w:szCs w:val="19"/>
          <w:color w:val="auto"/>
        </w:rPr>
      </w:pPr>
    </w:p>
    <w:p>
      <w:pPr>
        <w:jc w:val="both"/>
        <w:ind w:firstLine="8"/>
        <w:spacing w:after="0" w:line="281" w:lineRule="auto"/>
        <w:tabs>
          <w:tab w:leader="none" w:pos="306" w:val="left"/>
        </w:tabs>
        <w:numPr>
          <w:ilvl w:val="0"/>
          <w:numId w:val="526"/>
        </w:numPr>
        <w:rPr>
          <w:rFonts w:ascii="Arial" w:cs="Arial" w:eastAsia="Arial" w:hAnsi="Arial"/>
          <w:sz w:val="19"/>
          <w:szCs w:val="19"/>
          <w:color w:val="auto"/>
        </w:rPr>
      </w:pPr>
      <w:r>
        <w:rPr>
          <w:rFonts w:ascii="Arial" w:cs="Arial" w:eastAsia="Arial" w:hAnsi="Arial"/>
          <w:sz w:val="19"/>
          <w:szCs w:val="19"/>
          <w:color w:val="auto"/>
        </w:rPr>
        <w:t xml:space="preserve">the ability of any Subsidiary to pay dividends or other distributions with respect to any shares of its capital stock or to make or repay loans or advances to the Borrower or any other Subsidiary or to guarantee Debt of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law or regulation or by this Agreement,</w:t>
      </w:r>
    </w:p>
    <w:p>
      <w:pPr>
        <w:spacing w:after="0" w:line="2" w:lineRule="exact"/>
        <w:rPr>
          <w:rFonts w:ascii="Arial" w:cs="Arial" w:eastAsia="Arial" w:hAnsi="Arial"/>
          <w:sz w:val="19"/>
          <w:szCs w:val="19"/>
          <w:color w:val="auto"/>
        </w:rPr>
      </w:pPr>
    </w:p>
    <w:p>
      <w:pPr>
        <w:jc w:val="both"/>
        <w:ind w:firstLine="8"/>
        <w:spacing w:after="0" w:line="244" w:lineRule="auto"/>
        <w:tabs>
          <w:tab w:leader="none" w:pos="329" w:val="left"/>
        </w:tabs>
        <w:numPr>
          <w:ilvl w:val="0"/>
          <w:numId w:val="527"/>
        </w:numPr>
        <w:rPr>
          <w:rFonts w:ascii="Arial" w:cs="Arial" w:eastAsia="Arial" w:hAnsi="Arial"/>
          <w:sz w:val="22"/>
          <w:szCs w:val="22"/>
          <w:color w:val="auto"/>
        </w:rPr>
      </w:pPr>
      <w:r>
        <w:rPr>
          <w:rFonts w:ascii="Arial" w:cs="Arial" w:eastAsia="Arial" w:hAnsi="Arial"/>
          <w:sz w:val="22"/>
          <w:szCs w:val="22"/>
          <w:color w:val="auto"/>
        </w:rPr>
        <w:t>the foregoing shall not apply to restrictions and conditions contained in agreements existing on the date hereof identified on Schedule 5.03(m) and any extension, renewal, amendment, modification, supplement or replacement of any such agreements, so long as such extension, renewal, amendment, modification, supplement or replacement does not expand in any material respect the scope of any restriction or condition contemplated by this Section 5.03(m) contained therein, (iii) the foregoing shall not apply to restrictions and conditions contained in any agreement in effect at the time any Subsidiary becomes a Subsidiary of the Borrower, so long as such restriction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942" w:right="339" w:bottom="1440" w:gutter="0" w:footer="0" w:header="0"/>
        </w:sectPr>
      </w:pPr>
    </w:p>
    <w:bookmarkStart w:id="698" w:name="page699"/>
    <w:bookmarkEnd w:id="698"/>
    <w:p>
      <w:pPr>
        <w:jc w:val="both"/>
        <w:spacing w:after="0" w:line="283" w:lineRule="auto"/>
        <w:rPr>
          <w:sz w:val="20"/>
          <w:szCs w:val="20"/>
          <w:color w:val="auto"/>
        </w:rPr>
      </w:pPr>
      <w:r>
        <w:rPr>
          <w:rFonts w:ascii="Arial" w:cs="Arial" w:eastAsia="Arial" w:hAnsi="Arial"/>
          <w:sz w:val="19"/>
          <w:szCs w:val="19"/>
          <w:color w:val="auto"/>
        </w:rPr>
        <w:t xml:space="preserve">condition applies only to such Subsidiary (and, if applicable, its Subsidiaries) and such agreement was not entered into in contemplation of such Person becoming a Subsidiary of the Borrower, as such agreement may be extended, renewed, amended, modified, supplemented or replaced, so long as such extension, renewal, amendment, modification, supplement or replacement does not expand in any material respect the scope of any restriction or condition contemplated by this Section 5.03(m) contained therein, (iv) the foregoing shall not apply to customary restrictions and conditions contained in agreements relating to the sale of a Subsidiary pending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apply only to the Subsidiary that is to be sold and such sale is permitted hereunder, (v) the foregoing shall not apply to customary restrictions and conditions in joint venture agreements and other similar agreements entered into in the ordinary course of business relating to such joint venture and any Equity Interests issued by such joint venture, (vi) the foregoing shall not apply to customary restrictions and conditions restricting assignment of any agreement entered into in the ordinary course of business, (vii) the foregoing shall not apply to customary net worth provisions contained in real property leases entered into by the Borrower or any of its Subsidiaries, so long as the Borrower has determined in good faith that such net worth provisions would not reasonably be expected to impair the ability of the Borrower or any of its Subsidiaries to meet their ongoing obligations, (viii) the foregoing shall not apply to restrictions or conditions on cash or other deposits imposed by customers under contracts entered into in the ordinary course of business, (ix) the foregoing shall not apply to restrictions or conditions imposed by any agreement relating to Debt permitted by this Agreement to the extent such restrictions or conditions are customary in agreements governing Debt of such type and in any event so long as such agreement is not materially more restrictive (taken as a whole) than the Credit Documents (as determined by the Borrower in good faith), (x) the foregoing shall not apply to restrictions or conditions imposed by any agreement relating to any extension, refunding, modification, replacement, renewal or refinancing of Debt permitted by this Agreement to the extent such restrictions or conditions are not materially more restrictive (taken as a whole) than the Debt being extended, refunded, modified, replaced, renewed or refinanced, as applicable (as determined by the Borrower in good faith), (xi) the foregoing shall not apply to restrictions or conditions on assignments, subletting, sublicensing, pledging or other transfers contained in leases, subleases, licenses or sublicenses, so long as such restrictions and conditions are limited to the property or assets subject to such leases, subleases, licenses or sublicenses, as the case may be, (xii) clause (a) of the foregoing shall not apply to restrictions or conditions imposed by any agreement relating to secured Debt permitted by this Agreement if such restrictions or conditions apply only to the property or assets securing such Debt, (xiii) clause (a) of the foregoing shall not apply to customary restrictions and conditions contained in the document relating to any Lien other than relating to Debt, so long as (A) such Lien is a Lien permitted by Section 5.03(a) and such restrictions or conditions relate only to the specific asset subject to such Lien and (B) such restrictions and conditions are not created for the purpose of avoiding the restrictions imposed by this Section 5.03(m), and (xiv) the foregoing shall not apply to restrictions or conditions imposed by the Holdco Credit Agreement as of the Effective Date or as refinanced or replaced, in each case so long as such restrictions and conditions in the Holdco Credit Agreement as refinanced or replaced are not materially more restrictive (taken as a whole) on the Borrower and its Subsidiaries than those in the Holdco Credit Agreement as in effect on the Effective Date.</w:t>
      </w:r>
    </w:p>
    <w:p>
      <w:pPr>
        <w:spacing w:after="0" w:line="382" w:lineRule="exact"/>
        <w:rPr>
          <w:sz w:val="20"/>
          <w:szCs w:val="20"/>
          <w:color w:val="auto"/>
        </w:rPr>
      </w:pPr>
    </w:p>
    <w:p>
      <w:pPr>
        <w:ind w:left="1780" w:hanging="476"/>
        <w:spacing w:after="0"/>
        <w:tabs>
          <w:tab w:leader="none" w:pos="1780" w:val="left"/>
        </w:tabs>
        <w:numPr>
          <w:ilvl w:val="0"/>
          <w:numId w:val="528"/>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942" w:right="339" w:bottom="1440" w:gutter="0" w:footer="0" w:header="0"/>
        </w:sectPr>
      </w:pPr>
    </w:p>
    <w:bookmarkStart w:id="699" w:name="page700"/>
    <w:bookmarkEnd w:id="699"/>
    <w:p>
      <w:pPr>
        <w:ind w:firstLine="1304"/>
        <w:spacing w:after="0" w:line="263" w:lineRule="auto"/>
        <w:tabs>
          <w:tab w:leader="none" w:pos="1804" w:val="left"/>
        </w:tabs>
        <w:numPr>
          <w:ilvl w:val="0"/>
          <w:numId w:val="529"/>
        </w:numPr>
        <w:rPr>
          <w:rFonts w:ascii="Arial" w:cs="Arial" w:eastAsia="Arial" w:hAnsi="Arial"/>
          <w:sz w:val="22"/>
          <w:szCs w:val="22"/>
          <w:color w:val="auto"/>
        </w:rPr>
      </w:pPr>
      <w:r>
        <w:rPr>
          <w:rFonts w:ascii="Arial" w:cs="Arial" w:eastAsia="Arial" w:hAnsi="Arial"/>
          <w:sz w:val="22"/>
          <w:szCs w:val="22"/>
          <w:u w:val="single" w:color="auto"/>
          <w:color w:val="auto"/>
        </w:rPr>
        <w:t>Sale-Leasebacks</w:t>
      </w:r>
      <w:r>
        <w:rPr>
          <w:rFonts w:ascii="Arial" w:cs="Arial" w:eastAsia="Arial" w:hAnsi="Arial"/>
          <w:sz w:val="22"/>
          <w:szCs w:val="22"/>
          <w:color w:val="auto"/>
        </w:rPr>
        <w:t>. The Borrower will not, and will not permit any of the Subsidiaries to, enter into or effect any Sale Leasebacks, other than Permitted Sale Leasebacks.</w:t>
      </w:r>
    </w:p>
    <w:p>
      <w:pPr>
        <w:spacing w:after="0" w:line="12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Financial Covenants</w:t>
      </w:r>
      <w:r>
        <w:rPr>
          <w:rFonts w:ascii="Arial" w:cs="Arial" w:eastAsia="Arial" w:hAnsi="Arial"/>
          <w:sz w:val="22"/>
          <w:szCs w:val="22"/>
          <w:color w:val="auto"/>
        </w:rPr>
        <w:t>. Until the Commitments have expired or been terminated and the principal of and interest on each Loan and all other Obligations of the Borrower under the Credit Documents (other than contingent indemnification obligations as to which no claim has been asserted and expense reimbursement not yet due and payable) have been paid in full, the Borrower will:</w:t>
      </w:r>
    </w:p>
    <w:p>
      <w:pPr>
        <w:spacing w:after="0" w:line="134" w:lineRule="exact"/>
        <w:rPr>
          <w:sz w:val="20"/>
          <w:szCs w:val="20"/>
          <w:color w:val="auto"/>
        </w:rPr>
      </w:pPr>
    </w:p>
    <w:p>
      <w:pPr>
        <w:ind w:left="1780" w:hanging="476"/>
        <w:spacing w:after="0"/>
        <w:tabs>
          <w:tab w:leader="none" w:pos="1780" w:val="left"/>
        </w:tabs>
        <w:numPr>
          <w:ilvl w:val="0"/>
          <w:numId w:val="530"/>
        </w:numPr>
        <w:rPr>
          <w:rFonts w:ascii="Arial" w:cs="Arial" w:eastAsia="Arial" w:hAnsi="Arial"/>
          <w:sz w:val="19"/>
          <w:szCs w:val="19"/>
          <w:color w:val="auto"/>
        </w:rPr>
      </w:pPr>
      <w:r>
        <w:rPr>
          <w:rFonts w:ascii="Arial" w:cs="Arial" w:eastAsia="Arial" w:hAnsi="Arial"/>
          <w:sz w:val="19"/>
          <w:szCs w:val="19"/>
          <w:u w:val="single" w:color="auto"/>
          <w:color w:val="auto"/>
        </w:rPr>
        <w:t>Minimum Excess Net Capital</w:t>
      </w:r>
      <w:r>
        <w:rPr>
          <w:rFonts w:ascii="Arial" w:cs="Arial" w:eastAsia="Arial" w:hAnsi="Arial"/>
          <w:sz w:val="19"/>
          <w:szCs w:val="19"/>
          <w:color w:val="auto"/>
        </w:rPr>
        <w:t>. Maintain at all times in the aggregate minimum Excess Net Capital of at least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$1,714,628,825.</w:t>
      </w:r>
    </w:p>
    <w:p>
      <w:pPr>
        <w:spacing w:after="0" w:line="147" w:lineRule="exact"/>
        <w:rPr>
          <w:rFonts w:ascii="Arial" w:cs="Arial" w:eastAsia="Arial" w:hAnsi="Arial"/>
          <w:sz w:val="19"/>
          <w:szCs w:val="19"/>
          <w:color w:val="auto"/>
        </w:rPr>
      </w:pPr>
    </w:p>
    <w:p>
      <w:pPr>
        <w:ind w:firstLine="1304"/>
        <w:spacing w:after="0" w:line="263" w:lineRule="auto"/>
        <w:tabs>
          <w:tab w:leader="none" w:pos="1777" w:val="left"/>
        </w:tabs>
        <w:numPr>
          <w:ilvl w:val="0"/>
          <w:numId w:val="530"/>
        </w:numPr>
        <w:rPr>
          <w:rFonts w:ascii="Arial" w:cs="Arial" w:eastAsia="Arial" w:hAnsi="Arial"/>
          <w:sz w:val="22"/>
          <w:szCs w:val="22"/>
          <w:color w:val="auto"/>
        </w:rPr>
      </w:pPr>
      <w:r>
        <w:rPr>
          <w:rFonts w:ascii="Arial" w:cs="Arial" w:eastAsia="Arial" w:hAnsi="Arial"/>
          <w:sz w:val="22"/>
          <w:szCs w:val="22"/>
          <w:u w:val="single" w:color="auto"/>
          <w:color w:val="auto"/>
        </w:rPr>
        <w:t>Minimum Net Capital to Aggregate Debit Items</w:t>
      </w:r>
      <w:r>
        <w:rPr>
          <w:rFonts w:ascii="Arial" w:cs="Arial" w:eastAsia="Arial" w:hAnsi="Arial"/>
          <w:sz w:val="22"/>
          <w:szCs w:val="22"/>
          <w:color w:val="auto"/>
        </w:rPr>
        <w:t>. Maintain at all times a Net Capital to aggregate debit items calculated using the alternative standard for net capital calculation of at least 10.0%.</w:t>
      </w:r>
    </w:p>
    <w:p>
      <w:pPr>
        <w:spacing w:after="0" w:line="120" w:lineRule="exact"/>
        <w:rPr>
          <w:rFonts w:ascii="Arial" w:cs="Arial" w:eastAsia="Arial" w:hAnsi="Arial"/>
          <w:sz w:val="22"/>
          <w:szCs w:val="22"/>
          <w:color w:val="auto"/>
        </w:rPr>
      </w:pPr>
    </w:p>
    <w:p>
      <w:pPr>
        <w:ind w:firstLine="1304"/>
        <w:spacing w:after="0" w:line="263" w:lineRule="auto"/>
        <w:tabs>
          <w:tab w:leader="none" w:pos="1765" w:val="left"/>
        </w:tabs>
        <w:numPr>
          <w:ilvl w:val="0"/>
          <w:numId w:val="530"/>
        </w:numPr>
        <w:rPr>
          <w:rFonts w:ascii="Arial" w:cs="Arial" w:eastAsia="Arial" w:hAnsi="Arial"/>
          <w:sz w:val="22"/>
          <w:szCs w:val="22"/>
          <w:color w:val="auto"/>
        </w:rPr>
      </w:pPr>
      <w:r>
        <w:rPr>
          <w:rFonts w:ascii="Arial" w:cs="Arial" w:eastAsia="Arial" w:hAnsi="Arial"/>
          <w:sz w:val="22"/>
          <w:szCs w:val="22"/>
          <w:u w:val="single" w:color="auto"/>
          <w:color w:val="auto"/>
        </w:rPr>
        <w:t>Minimum Consolidated Tangible Net Worth.</w:t>
      </w:r>
      <w:r>
        <w:rPr>
          <w:rFonts w:ascii="Arial" w:cs="Arial" w:eastAsia="Arial" w:hAnsi="Arial"/>
          <w:sz w:val="22"/>
          <w:szCs w:val="22"/>
          <w:color w:val="auto"/>
        </w:rPr>
        <w:t xml:space="preserve"> Maintain at all times a Consolidated Tangible Net Worth of not less than the Minimum TNW.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Events of Default</w:t>
      </w:r>
    </w:p>
    <w:p>
      <w:pPr>
        <w:spacing w:after="0" w:line="148"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If any of the following events (“</w:t>
      </w:r>
      <w:r>
        <w:rPr>
          <w:rFonts w:ascii="Arial" w:cs="Arial" w:eastAsia="Arial" w:hAnsi="Arial"/>
          <w:sz w:val="21"/>
          <w:szCs w:val="21"/>
          <w:u w:val="single" w:color="auto"/>
          <w:color w:val="auto"/>
        </w:rPr>
        <w:t>Events of Default</w:t>
      </w:r>
      <w:r>
        <w:rPr>
          <w:rFonts w:ascii="Arial" w:cs="Arial" w:eastAsia="Arial" w:hAnsi="Arial"/>
          <w:sz w:val="21"/>
          <w:szCs w:val="21"/>
          <w:color w:val="auto"/>
        </w:rPr>
        <w:t>”) shall occur and be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continuing:</w:t>
      </w:r>
    </w:p>
    <w:p>
      <w:pPr>
        <w:spacing w:after="0" w:line="148" w:lineRule="exact"/>
        <w:rPr>
          <w:sz w:val="20"/>
          <w:szCs w:val="20"/>
          <w:color w:val="auto"/>
        </w:rPr>
      </w:pPr>
    </w:p>
    <w:p>
      <w:pPr>
        <w:ind w:left="1780" w:hanging="476"/>
        <w:spacing w:after="0"/>
        <w:tabs>
          <w:tab w:leader="none" w:pos="1780" w:val="left"/>
        </w:tabs>
        <w:numPr>
          <w:ilvl w:val="1"/>
          <w:numId w:val="531"/>
        </w:numPr>
        <w:rPr>
          <w:rFonts w:ascii="Arial" w:cs="Arial" w:eastAsia="Arial" w:hAnsi="Arial"/>
          <w:sz w:val="19"/>
          <w:szCs w:val="19"/>
          <w:color w:val="auto"/>
        </w:rPr>
      </w:pPr>
      <w:r>
        <w:rPr>
          <w:rFonts w:ascii="Arial" w:cs="Arial" w:eastAsia="Arial" w:hAnsi="Arial"/>
          <w:sz w:val="19"/>
          <w:szCs w:val="19"/>
          <w:color w:val="auto"/>
        </w:rPr>
        <w:t>the Borrower shall fail to pay (i) any principal of any Loan when the same shall become due and payable or</w:t>
      </w:r>
    </w:p>
    <w:p>
      <w:pPr>
        <w:spacing w:after="0" w:line="55" w:lineRule="exact"/>
        <w:rPr>
          <w:rFonts w:ascii="Arial" w:cs="Arial" w:eastAsia="Arial" w:hAnsi="Arial"/>
          <w:sz w:val="19"/>
          <w:szCs w:val="19"/>
          <w:color w:val="auto"/>
        </w:rPr>
      </w:pPr>
    </w:p>
    <w:p>
      <w:pPr>
        <w:ind w:firstLine="8"/>
        <w:spacing w:after="0" w:line="246" w:lineRule="auto"/>
        <w:tabs>
          <w:tab w:leader="none" w:pos="342" w:val="left"/>
        </w:tabs>
        <w:numPr>
          <w:ilvl w:val="0"/>
          <w:numId w:val="532"/>
        </w:numPr>
        <w:rPr>
          <w:rFonts w:ascii="Arial" w:cs="Arial" w:eastAsia="Arial" w:hAnsi="Arial"/>
          <w:sz w:val="22"/>
          <w:szCs w:val="22"/>
          <w:color w:val="auto"/>
        </w:rPr>
      </w:pPr>
      <w:r>
        <w:rPr>
          <w:rFonts w:ascii="Arial" w:cs="Arial" w:eastAsia="Arial" w:hAnsi="Arial"/>
          <w:sz w:val="22"/>
          <w:szCs w:val="22"/>
          <w:color w:val="auto"/>
        </w:rPr>
        <w:t>any interest on any Loan or any other payment obligation under any Credit Document, in each case under this clause (ii) within five Business Days after the same shall become due and payable; or</w:t>
      </w:r>
    </w:p>
    <w:p>
      <w:pPr>
        <w:spacing w:after="0" w:line="138" w:lineRule="exact"/>
        <w:rPr>
          <w:rFonts w:ascii="Arial" w:cs="Arial" w:eastAsia="Arial" w:hAnsi="Arial"/>
          <w:sz w:val="22"/>
          <w:szCs w:val="22"/>
          <w:color w:val="auto"/>
        </w:rPr>
      </w:pPr>
    </w:p>
    <w:p>
      <w:pPr>
        <w:jc w:val="both"/>
        <w:ind w:firstLine="1304"/>
        <w:spacing w:after="0" w:line="253" w:lineRule="auto"/>
        <w:tabs>
          <w:tab w:leader="none" w:pos="1923" w:val="left"/>
        </w:tabs>
        <w:numPr>
          <w:ilvl w:val="1"/>
          <w:numId w:val="532"/>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or on behalf of the Borrower in any Credit Document or in any document required to be delivered in connection therewith shall prove to have been incorrect in any material respect when made; or</w:t>
      </w:r>
    </w:p>
    <w:p>
      <w:pPr>
        <w:spacing w:after="0" w:line="131" w:lineRule="exact"/>
        <w:rPr>
          <w:rFonts w:ascii="Arial" w:cs="Arial" w:eastAsia="Arial" w:hAnsi="Arial"/>
          <w:sz w:val="22"/>
          <w:szCs w:val="22"/>
          <w:color w:val="auto"/>
        </w:rPr>
      </w:pPr>
    </w:p>
    <w:p>
      <w:pPr>
        <w:ind w:firstLine="1304"/>
        <w:spacing w:after="0" w:line="343" w:lineRule="auto"/>
        <w:tabs>
          <w:tab w:leader="none" w:pos="1795" w:val="left"/>
        </w:tabs>
        <w:numPr>
          <w:ilvl w:val="1"/>
          <w:numId w:val="532"/>
        </w:numPr>
        <w:rPr>
          <w:rFonts w:ascii="Arial" w:cs="Arial" w:eastAsia="Arial" w:hAnsi="Arial"/>
          <w:sz w:val="19"/>
          <w:szCs w:val="19"/>
          <w:color w:val="auto"/>
        </w:rPr>
      </w:pPr>
      <w:r>
        <w:rPr>
          <w:rFonts w:ascii="Arial" w:cs="Arial" w:eastAsia="Arial" w:hAnsi="Arial"/>
          <w:sz w:val="19"/>
          <w:szCs w:val="19"/>
          <w:color w:val="auto"/>
        </w:rPr>
        <w:t>the Borrower shall fail to perform or observe any term, covenant or agreement contained in Section 5.01(a) (i), 5.01(e) (solely with respect to the existence of the Borrower), 5.03 (other than Section 5.03(j)) or Section 5.04; or</w:t>
      </w:r>
    </w:p>
    <w:p>
      <w:pPr>
        <w:spacing w:after="0" w:line="50" w:lineRule="exact"/>
        <w:rPr>
          <w:rFonts w:ascii="Arial" w:cs="Arial" w:eastAsia="Arial" w:hAnsi="Arial"/>
          <w:sz w:val="19"/>
          <w:szCs w:val="19"/>
          <w:color w:val="auto"/>
        </w:rPr>
      </w:pPr>
    </w:p>
    <w:p>
      <w:pPr>
        <w:jc w:val="both"/>
        <w:ind w:firstLine="1304"/>
        <w:spacing w:after="0" w:line="250" w:lineRule="auto"/>
        <w:tabs>
          <w:tab w:leader="none" w:pos="1787" w:val="left"/>
        </w:tabs>
        <w:numPr>
          <w:ilvl w:val="1"/>
          <w:numId w:val="532"/>
        </w:numPr>
        <w:rPr>
          <w:rFonts w:ascii="Arial" w:cs="Arial" w:eastAsia="Arial" w:hAnsi="Arial"/>
          <w:sz w:val="22"/>
          <w:szCs w:val="22"/>
          <w:color w:val="auto"/>
        </w:rPr>
      </w:pPr>
      <w:r>
        <w:rPr>
          <w:rFonts w:ascii="Arial" w:cs="Arial" w:eastAsia="Arial" w:hAnsi="Arial"/>
          <w:sz w:val="22"/>
          <w:szCs w:val="22"/>
          <w:color w:val="auto"/>
        </w:rPr>
        <w:t>the Borrower shall fail to perform or observe any other term, covenant or agreement contained in any Credit Document (other than described in Section 6.01(a), (b) or (c)) on its part to be performed or observed and such failure shall remain unremedied for 30 days after the date on which written notice thereof shall have been given to the Borrower by the Administrative Agent or any Lender; or</w:t>
      </w:r>
    </w:p>
    <w:p>
      <w:pPr>
        <w:spacing w:after="0" w:line="133" w:lineRule="exact"/>
        <w:rPr>
          <w:rFonts w:ascii="Arial" w:cs="Arial" w:eastAsia="Arial" w:hAnsi="Arial"/>
          <w:sz w:val="22"/>
          <w:szCs w:val="22"/>
          <w:color w:val="auto"/>
        </w:rPr>
      </w:pPr>
    </w:p>
    <w:p>
      <w:pPr>
        <w:jc w:val="both"/>
        <w:ind w:firstLine="1304"/>
        <w:spacing w:after="0" w:line="253" w:lineRule="auto"/>
        <w:tabs>
          <w:tab w:leader="none" w:pos="1774" w:val="left"/>
        </w:tabs>
        <w:numPr>
          <w:ilvl w:val="1"/>
          <w:numId w:val="532"/>
        </w:numPr>
        <w:rPr>
          <w:rFonts w:ascii="Arial" w:cs="Arial" w:eastAsia="Arial" w:hAnsi="Arial"/>
          <w:sz w:val="22"/>
          <w:szCs w:val="22"/>
          <w:color w:val="auto"/>
        </w:rPr>
      </w:pPr>
      <w:r>
        <w:rPr>
          <w:rFonts w:ascii="Arial" w:cs="Arial" w:eastAsia="Arial" w:hAnsi="Arial"/>
          <w:sz w:val="22"/>
          <w:szCs w:val="22"/>
          <w:color w:val="auto"/>
        </w:rPr>
        <w:t>the Borrower or any of its Subsidiaries shall fail to pay any principal of, premium or interest on or any other amount payable in respect of any Debt of the Borrower or such Subsidiary (as the case may be) that is outstanding in a principal amount (or, in the case of any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942" w:right="339" w:bottom="1440" w:gutter="0" w:footer="0" w:header="0"/>
        </w:sectPr>
      </w:pPr>
    </w:p>
    <w:bookmarkStart w:id="700" w:name="page701"/>
    <w:bookmarkEnd w:id="700"/>
    <w:p>
      <w:pPr>
        <w:jc w:val="both"/>
        <w:spacing w:after="0" w:line="288" w:lineRule="auto"/>
        <w:rPr>
          <w:sz w:val="20"/>
          <w:szCs w:val="20"/>
          <w:color w:val="auto"/>
        </w:rPr>
      </w:pPr>
      <w:r>
        <w:rPr>
          <w:rFonts w:ascii="Arial" w:cs="Arial" w:eastAsia="Arial" w:hAnsi="Arial"/>
          <w:sz w:val="19"/>
          <w:szCs w:val="19"/>
          <w:color w:val="auto"/>
        </w:rPr>
        <w:t>Hedge Agreement, an Agreement Value) of at least $30,000,000 either individually or in the aggregate for the Borrower and its Subsidiaries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otherwise to cause, or to permit the holder thereof to cause, such Debt to mature;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105" w:lineRule="exact"/>
        <w:rPr>
          <w:sz w:val="20"/>
          <w:szCs w:val="20"/>
          <w:color w:val="auto"/>
        </w:rPr>
      </w:pPr>
    </w:p>
    <w:p>
      <w:pPr>
        <w:jc w:val="both"/>
        <w:ind w:firstLine="1304"/>
        <w:spacing w:after="0" w:line="287" w:lineRule="auto"/>
        <w:tabs>
          <w:tab w:leader="none" w:pos="1878" w:val="left"/>
        </w:tabs>
        <w:numPr>
          <w:ilvl w:val="0"/>
          <w:numId w:val="533"/>
        </w:numPr>
        <w:rPr>
          <w:rFonts w:ascii="Arial" w:cs="Arial" w:eastAsia="Arial" w:hAnsi="Arial"/>
          <w:sz w:val="19"/>
          <w:szCs w:val="19"/>
          <w:color w:val="auto"/>
        </w:rPr>
      </w:pPr>
      <w:r>
        <w:rPr>
          <w:rFonts w:ascii="Arial" w:cs="Arial" w:eastAsia="Arial" w:hAnsi="Arial"/>
          <w:sz w:val="19"/>
          <w:szCs w:val="19"/>
          <w:color w:val="auto"/>
        </w:rPr>
        <w:t>(i) an involuntary proceeding shall be commenced or an involuntary petition shall be filed seeking (1) liquidation, reorganization or other relief in respect of the Borrower or any of its Subsidiaries that are Material Subsidiaries or its debts, or of a substantial part of its assets, under any Bankruptcy Law now or hereafter in effect or (2) the appointment of a receiver, trustee, custodian, sequestrator, conservator or similar official for the Borrower or any of its Subsidiaries that are Material Subsidiaries or for a substantial part of its assets, and, in any such case, such proceeding or petition shall continue undismissed for 60 days or an order or decree approving or ordering any of the foregoing shall be entered or (ii) the Borrower or any of its Subsidiaries that are Material Subsidiaries shall (A) voluntarily commence any proceeding or file any petition seeking liquidation, reorganization or other relief under any Bankruptcy Law now or hereafter in effect, (B) consent to the institution of, or fail to contest in a timely manner, any proceeding or petition described in clause (f)(i) of this Article, (C) apply for or consent to the appointment of a receiver, trustee, custodian, sequestrator, conservator or similar official for the Borrower or any of its Subsidiaries (other than any Immaterial Subsidiaries) or for a substantial part of its assets, (D) file an answer admitting the material allegations of a petition filed against it in any such proceeding, (E) make a general assignment for the benefit of creditors or (F) take any corporate board action to authorize any of the foregoing; or</w:t>
      </w:r>
    </w:p>
    <w:p>
      <w:pPr>
        <w:spacing w:after="0" w:line="361" w:lineRule="exact"/>
        <w:rPr>
          <w:rFonts w:ascii="Arial" w:cs="Arial" w:eastAsia="Arial" w:hAnsi="Arial"/>
          <w:sz w:val="19"/>
          <w:szCs w:val="19"/>
          <w:color w:val="auto"/>
        </w:rPr>
      </w:pPr>
    </w:p>
    <w:p>
      <w:pPr>
        <w:jc w:val="both"/>
        <w:ind w:firstLine="1304"/>
        <w:spacing w:after="0" w:line="290" w:lineRule="auto"/>
        <w:tabs>
          <w:tab w:leader="none" w:pos="1874" w:val="left"/>
        </w:tabs>
        <w:numPr>
          <w:ilvl w:val="0"/>
          <w:numId w:val="533"/>
        </w:numPr>
        <w:rPr>
          <w:rFonts w:ascii="Arial" w:cs="Arial" w:eastAsia="Arial" w:hAnsi="Arial"/>
          <w:sz w:val="19"/>
          <w:szCs w:val="19"/>
          <w:color w:val="auto"/>
        </w:rPr>
      </w:pPr>
      <w:r>
        <w:rPr>
          <w:rFonts w:ascii="Arial" w:cs="Arial" w:eastAsia="Arial" w:hAnsi="Arial"/>
          <w:sz w:val="19"/>
          <w:szCs w:val="19"/>
          <w:color w:val="auto"/>
        </w:rPr>
        <w:t xml:space="preserve">any judgments or orders, either individually or in the aggregate, for the payment of money in excess of $30,000,000 shall be rendered against the Borrower or any of its Subsidiaries and there shall be any period of 60 consecutive days during which the payment for such judgment or order shall remain unsatisfied and a stay of enforcement of such judgment or order, by reason of a pending appeal or otherwise, shall not be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amount shall be calculated after deducting from the sum so payable any amount of such judgment or order that is fully covered by a valid and binding policy of insurance in favor of the Borrower or Subsidiary from an insurer that is rated at least “A” by A.M. Best Company or is in the Borrower’s reasonable determination otherwise credit-worthy and which insurer has been notified, and has not disputed the claim made for payment, of such amount of such judgment or order; or</w:t>
      </w:r>
    </w:p>
    <w:p>
      <w:pPr>
        <w:spacing w:after="0" w:line="101" w:lineRule="exact"/>
        <w:rPr>
          <w:rFonts w:ascii="Arial" w:cs="Arial" w:eastAsia="Arial" w:hAnsi="Arial"/>
          <w:sz w:val="19"/>
          <w:szCs w:val="19"/>
          <w:color w:val="auto"/>
        </w:rPr>
      </w:pPr>
    </w:p>
    <w:p>
      <w:pPr>
        <w:jc w:val="both"/>
        <w:ind w:firstLine="1304"/>
        <w:spacing w:after="0" w:line="253" w:lineRule="auto"/>
        <w:tabs>
          <w:tab w:leader="none" w:pos="1878" w:val="left"/>
        </w:tabs>
        <w:numPr>
          <w:ilvl w:val="0"/>
          <w:numId w:val="533"/>
        </w:numPr>
        <w:rPr>
          <w:rFonts w:ascii="Arial" w:cs="Arial" w:eastAsia="Arial" w:hAnsi="Arial"/>
          <w:sz w:val="22"/>
          <w:szCs w:val="22"/>
          <w:color w:val="auto"/>
        </w:rPr>
      </w:pPr>
      <w:r>
        <w:rPr>
          <w:rFonts w:ascii="Arial" w:cs="Arial" w:eastAsia="Arial" w:hAnsi="Arial"/>
          <w:sz w:val="22"/>
          <w:szCs w:val="22"/>
          <w:color w:val="auto"/>
        </w:rPr>
        <w:t>any material provision of any Credit Document (including any Security Document) shall for any reason cease to be valid and binding on or enforceable against the Borrower, or the Borrower or any of its Subsidiaries shall so state in writing except to the extent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942" w:right="339" w:bottom="1440" w:gutter="0" w:footer="0" w:header="0"/>
        </w:sectPr>
      </w:pPr>
    </w:p>
    <w:bookmarkStart w:id="701" w:name="page702"/>
    <w:bookmarkEnd w:id="701"/>
    <w:p>
      <w:pPr>
        <w:spacing w:after="0" w:line="263" w:lineRule="auto"/>
        <w:rPr>
          <w:sz w:val="20"/>
          <w:szCs w:val="20"/>
          <w:color w:val="auto"/>
        </w:rPr>
      </w:pPr>
      <w:r>
        <w:rPr>
          <w:rFonts w:ascii="Arial" w:cs="Arial" w:eastAsia="Arial" w:hAnsi="Arial"/>
          <w:sz w:val="22"/>
          <w:szCs w:val="22"/>
          <w:color w:val="auto"/>
        </w:rPr>
        <w:t>the Borrower has been released from its obligations thereunder in accordance with this Agreement or such other Credit Document or such Credit Document has expired or terminated in accordance with its terms; or</w:t>
      </w:r>
    </w:p>
    <w:p>
      <w:pPr>
        <w:spacing w:after="0" w:line="121" w:lineRule="exact"/>
        <w:rPr>
          <w:sz w:val="20"/>
          <w:szCs w:val="20"/>
          <w:color w:val="auto"/>
        </w:rPr>
      </w:pPr>
    </w:p>
    <w:p>
      <w:pPr>
        <w:ind w:left="1720" w:hanging="416"/>
        <w:spacing w:after="0"/>
        <w:tabs>
          <w:tab w:leader="none" w:pos="1720" w:val="left"/>
        </w:tabs>
        <w:numPr>
          <w:ilvl w:val="0"/>
          <w:numId w:val="534"/>
        </w:numPr>
        <w:rPr>
          <w:rFonts w:ascii="Arial" w:cs="Arial" w:eastAsia="Arial" w:hAnsi="Arial"/>
          <w:sz w:val="22"/>
          <w:szCs w:val="22"/>
          <w:color w:val="auto"/>
        </w:rPr>
      </w:pPr>
      <w:r>
        <w:rPr>
          <w:rFonts w:ascii="Arial" w:cs="Arial" w:eastAsia="Arial" w:hAnsi="Arial"/>
          <w:sz w:val="22"/>
          <w:szCs w:val="22"/>
          <w:color w:val="auto"/>
        </w:rPr>
        <w:t>a Change of Control shall occur;</w:t>
      </w:r>
    </w:p>
    <w:p>
      <w:pPr>
        <w:spacing w:after="0" w:line="165" w:lineRule="exact"/>
        <w:rPr>
          <w:rFonts w:ascii="Arial" w:cs="Arial" w:eastAsia="Arial" w:hAnsi="Arial"/>
          <w:sz w:val="22"/>
          <w:szCs w:val="22"/>
          <w:color w:val="auto"/>
        </w:rPr>
      </w:pPr>
    </w:p>
    <w:p>
      <w:pPr>
        <w:ind w:firstLine="1304"/>
        <w:spacing w:after="0" w:line="343" w:lineRule="auto"/>
        <w:tabs>
          <w:tab w:leader="none" w:pos="1864" w:val="left"/>
        </w:tabs>
        <w:numPr>
          <w:ilvl w:val="0"/>
          <w:numId w:val="534"/>
        </w:numPr>
        <w:rPr>
          <w:rFonts w:ascii="Arial" w:cs="Arial" w:eastAsia="Arial" w:hAnsi="Arial"/>
          <w:sz w:val="19"/>
          <w:szCs w:val="19"/>
          <w:color w:val="auto"/>
        </w:rPr>
      </w:pPr>
      <w:r>
        <w:rPr>
          <w:rFonts w:ascii="Arial" w:cs="Arial" w:eastAsia="Arial" w:hAnsi="Arial"/>
          <w:sz w:val="19"/>
          <w:szCs w:val="19"/>
          <w:color w:val="auto"/>
        </w:rPr>
        <w:t>any ERISA Event shall have occurred which would reasonably be expected to result in liability to the Borrower and/or any ERISA Affiliate in an amount that would reasonably be expected to have a Material Adverse Effect; or</w:t>
      </w:r>
    </w:p>
    <w:p>
      <w:pPr>
        <w:spacing w:after="0" w:line="50" w:lineRule="exact"/>
        <w:rPr>
          <w:rFonts w:ascii="Arial" w:cs="Arial" w:eastAsia="Arial" w:hAnsi="Arial"/>
          <w:sz w:val="19"/>
          <w:szCs w:val="19"/>
          <w:color w:val="auto"/>
        </w:rPr>
      </w:pPr>
    </w:p>
    <w:p>
      <w:pPr>
        <w:jc w:val="both"/>
        <w:ind w:firstLine="1304"/>
        <w:spacing w:after="0" w:line="253" w:lineRule="auto"/>
        <w:tabs>
          <w:tab w:leader="none" w:pos="1826" w:val="left"/>
        </w:tabs>
        <w:numPr>
          <w:ilvl w:val="0"/>
          <w:numId w:val="534"/>
        </w:numPr>
        <w:rPr>
          <w:rFonts w:ascii="Arial" w:cs="Arial" w:eastAsia="Arial" w:hAnsi="Arial"/>
          <w:sz w:val="22"/>
          <w:szCs w:val="22"/>
          <w:color w:val="auto"/>
        </w:rPr>
      </w:pPr>
      <w:r>
        <w:rPr>
          <w:rFonts w:ascii="Arial" w:cs="Arial" w:eastAsia="Arial" w:hAnsi="Arial"/>
          <w:sz w:val="22"/>
          <w:szCs w:val="22"/>
          <w:color w:val="auto"/>
        </w:rPr>
        <w:t>except as expressly permitted hereunder or thereunder, any of the Security Documents shall cease, for any reason, to be in full force and effect, or any Lien created by any of the Security Documents shall cease to be enforceable and of the same effect and priority purported to be created thereby,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then, and in every such event (other than an event with respect to the Borrower or any Material Subsidiary described in clause (f) of this Article), and at any time thereafter during the continuance of such event, the Administrative Agent may with the consent of the Required Lenders,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by the Borrower, together with accrued interest thereon and all fees and other obligations of the Borrower accrued hereunder and under any other Credit Document, shall become due and payable immediately, without presentment, demand, protest or further notice of any kind, all of which are hereby waived by the Borrower; and in case of any event with respect to the Borrower or any Material Subsidiary described in clause (f) of this Article, the Commitments shall automatically terminate and the principal of the Loans then outstanding, together with accrued interest thereon and all fees and other obligations of the Borrower accrued hereunder and under any other Credit Document, shall automatically become due and payable, in each case, without presentment, demand, protest or other notice of any kind, all of which are hereby waived by the Borrower.</w:t>
      </w:r>
    </w:p>
    <w:p>
      <w:pPr>
        <w:spacing w:after="0" w:line="1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Application of Payments</w:t>
      </w:r>
      <w:r>
        <w:rPr>
          <w:rFonts w:ascii="Arial" w:cs="Arial" w:eastAsia="Arial" w:hAnsi="Arial"/>
          <w:sz w:val="22"/>
          <w:szCs w:val="22"/>
          <w:color w:val="auto"/>
        </w:rPr>
        <w:t>. Notwithstanding anything herein to the contrary, following the occurrence and during the continuance of an Event of Default, and notice thereof to the Administrative Agent by the Borrower or the Required Lenders:</w:t>
      </w:r>
    </w:p>
    <w:p>
      <w:pPr>
        <w:spacing w:after="0" w:line="131" w:lineRule="exact"/>
        <w:rPr>
          <w:sz w:val="20"/>
          <w:szCs w:val="20"/>
          <w:color w:val="auto"/>
        </w:rPr>
      </w:pPr>
    </w:p>
    <w:p>
      <w:pPr>
        <w:ind w:firstLine="1304"/>
        <w:spacing w:after="0" w:line="263" w:lineRule="auto"/>
        <w:tabs>
          <w:tab w:leader="none" w:pos="1922" w:val="left"/>
        </w:tabs>
        <w:numPr>
          <w:ilvl w:val="0"/>
          <w:numId w:val="535"/>
        </w:numPr>
        <w:rPr>
          <w:rFonts w:ascii="Arial" w:cs="Arial" w:eastAsia="Arial" w:hAnsi="Arial"/>
          <w:sz w:val="22"/>
          <w:szCs w:val="22"/>
          <w:color w:val="auto"/>
        </w:rPr>
      </w:pPr>
      <w:r>
        <w:rPr>
          <w:rFonts w:ascii="Arial" w:cs="Arial" w:eastAsia="Arial" w:hAnsi="Arial"/>
          <w:sz w:val="22"/>
          <w:szCs w:val="22"/>
          <w:color w:val="auto"/>
        </w:rPr>
        <w:t>all payments received on account of the Obligations shall, subject to Section 2.21, be applied by the Administrative Agent as follows:</w:t>
      </w:r>
    </w:p>
    <w:p>
      <w:pPr>
        <w:spacing w:after="0" w:line="120" w:lineRule="exact"/>
        <w:rPr>
          <w:rFonts w:ascii="Arial" w:cs="Arial" w:eastAsia="Arial" w:hAnsi="Arial"/>
          <w:sz w:val="22"/>
          <w:szCs w:val="22"/>
          <w:color w:val="auto"/>
        </w:rPr>
      </w:pPr>
    </w:p>
    <w:p>
      <w:pPr>
        <w:jc w:val="both"/>
        <w:ind w:left="660" w:firstLine="1292"/>
        <w:spacing w:after="0" w:line="250" w:lineRule="auto"/>
        <w:tabs>
          <w:tab w:leader="none" w:pos="2416" w:val="left"/>
        </w:tabs>
        <w:numPr>
          <w:ilvl w:val="1"/>
          <w:numId w:val="535"/>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2.13(c) payable to the Administrative Agent solely in its capacity as such);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942" w:right="339" w:bottom="1440" w:gutter="0" w:footer="0" w:header="0"/>
        </w:sectPr>
      </w:pPr>
    </w:p>
    <w:bookmarkStart w:id="702" w:name="page703"/>
    <w:bookmarkEnd w:id="702"/>
    <w:p>
      <w:pPr>
        <w:jc w:val="both"/>
        <w:ind w:left="660" w:firstLine="1292"/>
        <w:spacing w:after="0" w:line="265" w:lineRule="auto"/>
        <w:tabs>
          <w:tab w:leader="none" w:pos="2517" w:val="left"/>
        </w:tabs>
        <w:numPr>
          <w:ilvl w:val="0"/>
          <w:numId w:val="536"/>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to payment of that portion of the Obligations constituting fees, expenses, indemnities and other amounts (other than principal and interest) payable to the Lenders (including fees and disbursements and other charges of counsel to the Lenders payable under Section 9.03) arising under the Credit Documents, ratably among them in proportion to the respective amounts described in this clause (ii) payable to them;</w:t>
      </w:r>
    </w:p>
    <w:p>
      <w:pPr>
        <w:spacing w:after="0" w:line="121" w:lineRule="exact"/>
        <w:rPr>
          <w:rFonts w:ascii="Arial" w:cs="Arial" w:eastAsia="Arial" w:hAnsi="Arial"/>
          <w:sz w:val="21"/>
          <w:szCs w:val="21"/>
          <w:color w:val="auto"/>
        </w:rPr>
      </w:pPr>
    </w:p>
    <w:p>
      <w:pPr>
        <w:ind w:left="660" w:firstLine="1292"/>
        <w:spacing w:after="0" w:line="343" w:lineRule="auto"/>
        <w:tabs>
          <w:tab w:leader="none" w:pos="2550" w:val="left"/>
        </w:tabs>
        <w:numPr>
          <w:ilvl w:val="0"/>
          <w:numId w:val="536"/>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payment of that portion of the Obligations constituting accrued and unpaid interest on the Loans, ratably among the Lenders in proportion to the respective amounts described in this clause (iii) payable to them;</w:t>
      </w:r>
    </w:p>
    <w:p>
      <w:pPr>
        <w:spacing w:after="0" w:line="50" w:lineRule="exact"/>
        <w:rPr>
          <w:rFonts w:ascii="Arial" w:cs="Arial" w:eastAsia="Arial" w:hAnsi="Arial"/>
          <w:sz w:val="19"/>
          <w:szCs w:val="19"/>
          <w:color w:val="auto"/>
        </w:rPr>
      </w:pPr>
    </w:p>
    <w:p>
      <w:pPr>
        <w:jc w:val="both"/>
        <w:ind w:left="660" w:firstLine="1292"/>
        <w:spacing w:after="0" w:line="253" w:lineRule="auto"/>
        <w:tabs>
          <w:tab w:leader="none" w:pos="2605" w:val="left"/>
        </w:tabs>
        <w:numPr>
          <w:ilvl w:val="0"/>
          <w:numId w:val="536"/>
        </w:numPr>
        <w:rPr>
          <w:rFonts w:ascii="Arial" w:cs="Arial" w:eastAsia="Arial" w:hAnsi="Arial"/>
          <w:sz w:val="22"/>
          <w:szCs w:val="22"/>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payment of that portion of the Obligations constituting unpaid principal of the Loans ratably among the Lenders based upon the respective aggregate amounts of the Loans described in this clause (iv) payable to them;</w:t>
      </w:r>
    </w:p>
    <w:p>
      <w:pPr>
        <w:spacing w:after="0" w:line="131" w:lineRule="exact"/>
        <w:rPr>
          <w:rFonts w:ascii="Arial" w:cs="Arial" w:eastAsia="Arial" w:hAnsi="Arial"/>
          <w:sz w:val="22"/>
          <w:szCs w:val="22"/>
          <w:color w:val="auto"/>
        </w:rPr>
      </w:pPr>
    </w:p>
    <w:p>
      <w:pPr>
        <w:jc w:val="both"/>
        <w:ind w:left="660" w:firstLine="1292"/>
        <w:spacing w:after="0" w:line="253" w:lineRule="auto"/>
        <w:tabs>
          <w:tab w:leader="none" w:pos="2478" w:val="left"/>
        </w:tabs>
        <w:numPr>
          <w:ilvl w:val="0"/>
          <w:numId w:val="536"/>
        </w:numPr>
        <w:rPr>
          <w:rFonts w:ascii="Arial" w:cs="Arial" w:eastAsia="Arial" w:hAnsi="Arial"/>
          <w:sz w:val="22"/>
          <w:szCs w:val="22"/>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131" w:lineRule="exact"/>
        <w:rPr>
          <w:rFonts w:ascii="Arial" w:cs="Arial" w:eastAsia="Arial" w:hAnsi="Arial"/>
          <w:sz w:val="22"/>
          <w:szCs w:val="22"/>
          <w:color w:val="auto"/>
        </w:rPr>
      </w:pPr>
    </w:p>
    <w:p>
      <w:pPr>
        <w:ind w:left="660" w:right="20" w:firstLine="1292"/>
        <w:spacing w:after="0" w:line="251" w:lineRule="auto"/>
        <w:tabs>
          <w:tab w:leader="none" w:pos="2511" w:val="left"/>
        </w:tabs>
        <w:numPr>
          <w:ilvl w:val="0"/>
          <w:numId w:val="536"/>
        </w:numPr>
        <w:rPr>
          <w:rFonts w:ascii="Arial" w:cs="Arial" w:eastAsia="Arial" w:hAnsi="Arial"/>
          <w:sz w:val="22"/>
          <w:szCs w:val="22"/>
          <w:color w:val="auto"/>
        </w:rPr>
      </w:pPr>
      <w:r>
        <w:rPr>
          <w:rFonts w:ascii="Arial" w:cs="Arial" w:eastAsia="Arial" w:hAnsi="Arial"/>
          <w:sz w:val="22"/>
          <w:szCs w:val="22"/>
          <w:u w:val="single" w:color="auto"/>
          <w:color w:val="auto"/>
        </w:rPr>
        <w:t>finally</w:t>
      </w:r>
      <w:r>
        <w:rPr>
          <w:rFonts w:ascii="Arial" w:cs="Arial" w:eastAsia="Arial" w:hAnsi="Arial"/>
          <w:sz w:val="22"/>
          <w:szCs w:val="22"/>
          <w:color w:val="auto"/>
        </w:rPr>
        <w:t>, the balance, if any, after all Obligations have been indefeasibly paid in full, to the Borrower or as otherwise required by law.</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[Reserved]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 and the Syndication Agent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Authorization and Action</w:t>
      </w:r>
      <w:r>
        <w:rPr>
          <w:rFonts w:ascii="Arial" w:cs="Arial" w:eastAsia="Arial" w:hAnsi="Arial"/>
          <w:sz w:val="21"/>
          <w:szCs w:val="21"/>
          <w:color w:val="auto"/>
        </w:rPr>
        <w:t>. (a) Each Lender hereby irrevocably appoints the entity named as Administrative Agent in the heading of this Agreement and its successors and assigns to serve as the administrative agent under the Credit Documents and each Lender authorizes the Administrative Agent to take such actions as agent on its behalf and to exercise such powers under this Agreement and the other Credit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Credit Documents to which the Administrative Agent is a party, and to exercise all rights, powers and remedies that the Administrative Agent may have under such Credit Documents.</w:t>
      </w:r>
    </w:p>
    <w:p>
      <w:pPr>
        <w:spacing w:after="0" w:line="129" w:lineRule="exact"/>
        <w:rPr>
          <w:sz w:val="20"/>
          <w:szCs w:val="20"/>
          <w:color w:val="auto"/>
        </w:rPr>
      </w:pPr>
    </w:p>
    <w:p>
      <w:pPr>
        <w:jc w:val="both"/>
        <w:ind w:firstLine="1304"/>
        <w:spacing w:after="0" w:line="261" w:lineRule="auto"/>
        <w:tabs>
          <w:tab w:leader="none" w:pos="1974" w:val="left"/>
        </w:tabs>
        <w:numPr>
          <w:ilvl w:val="0"/>
          <w:numId w:val="537"/>
        </w:numPr>
        <w:rPr>
          <w:rFonts w:ascii="Arial" w:cs="Arial" w:eastAsia="Arial" w:hAnsi="Arial"/>
          <w:sz w:val="21"/>
          <w:szCs w:val="21"/>
          <w:color w:val="auto"/>
        </w:rPr>
      </w:pPr>
      <w:r>
        <w:rPr>
          <w:rFonts w:ascii="Arial" w:cs="Arial" w:eastAsia="Arial" w:hAnsi="Arial"/>
          <w:sz w:val="21"/>
          <w:szCs w:val="21"/>
          <w:color w:val="auto"/>
        </w:rPr>
        <w:t xml:space="preserve">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Credit Documents), and, unless and until revoked in writing, such instructions shall be binding upon each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Administrative Agent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942" w:right="339" w:bottom="1440" w:gutter="0" w:footer="0" w:header="0"/>
        </w:sectPr>
      </w:pPr>
    </w:p>
    <w:bookmarkStart w:id="703" w:name="page704"/>
    <w:bookmarkEnd w:id="703"/>
    <w:p>
      <w:pPr>
        <w:jc w:val="both"/>
        <w:spacing w:after="0" w:line="286" w:lineRule="auto"/>
        <w:rPr>
          <w:sz w:val="20"/>
          <w:szCs w:val="20"/>
          <w:color w:val="auto"/>
        </w:rPr>
      </w:pPr>
      <w:r>
        <w:rPr>
          <w:rFonts w:ascii="Arial" w:cs="Arial" w:eastAsia="Arial" w:hAnsi="Arial"/>
          <w:sz w:val="19"/>
          <w:szCs w:val="19"/>
          <w:color w:val="auto"/>
        </w:rPr>
        <w:t xml:space="preserve">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Credit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08" w:lineRule="exact"/>
        <w:rPr>
          <w:sz w:val="20"/>
          <w:szCs w:val="20"/>
          <w:color w:val="auto"/>
        </w:rPr>
      </w:pPr>
    </w:p>
    <w:p>
      <w:pPr>
        <w:jc w:val="both"/>
        <w:ind w:firstLine="1304"/>
        <w:spacing w:after="0" w:line="250" w:lineRule="auto"/>
        <w:tabs>
          <w:tab w:leader="none" w:pos="1800" w:val="left"/>
        </w:tabs>
        <w:numPr>
          <w:ilvl w:val="0"/>
          <w:numId w:val="538"/>
        </w:numPr>
        <w:rPr>
          <w:rFonts w:ascii="Arial" w:cs="Arial" w:eastAsia="Arial" w:hAnsi="Arial"/>
          <w:sz w:val="22"/>
          <w:szCs w:val="22"/>
          <w:color w:val="auto"/>
        </w:rPr>
      </w:pPr>
      <w:r>
        <w:rPr>
          <w:rFonts w:ascii="Arial" w:cs="Arial" w:eastAsia="Arial" w:hAnsi="Arial"/>
          <w:sz w:val="22"/>
          <w:szCs w:val="22"/>
          <w:color w:val="auto"/>
        </w:rPr>
        <w:t>In performing its functions and duties hereunder and under the other Credit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33" w:lineRule="exact"/>
        <w:rPr>
          <w:rFonts w:ascii="Arial" w:cs="Arial" w:eastAsia="Arial" w:hAnsi="Arial"/>
          <w:sz w:val="22"/>
          <w:szCs w:val="22"/>
          <w:color w:val="auto"/>
        </w:rPr>
      </w:pPr>
    </w:p>
    <w:p>
      <w:pPr>
        <w:jc w:val="both"/>
        <w:ind w:left="660" w:firstLine="1292"/>
        <w:spacing w:after="0" w:line="258" w:lineRule="auto"/>
        <w:tabs>
          <w:tab w:leader="none" w:pos="2384" w:val="left"/>
        </w:tabs>
        <w:numPr>
          <w:ilvl w:val="1"/>
          <w:numId w:val="538"/>
        </w:numPr>
        <w:rPr>
          <w:rFonts w:ascii="Arial" w:cs="Arial" w:eastAsia="Arial" w:hAnsi="Arial"/>
          <w:sz w:val="21"/>
          <w:szCs w:val="21"/>
          <w:color w:val="auto"/>
        </w:rPr>
      </w:pPr>
      <w:r>
        <w:rPr>
          <w:rFonts w:ascii="Arial" w:cs="Arial" w:eastAsia="Arial" w:hAnsi="Arial"/>
          <w:sz w:val="21"/>
          <w:szCs w:val="21"/>
          <w:color w:val="auto"/>
        </w:rPr>
        <w:t>the Administrative Agent does not assume and shall not be deemed to have assumed any obligation or duty or any other relationship as the agent, fiduciary or trustee of or for any Lender or holder of any other obligation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31" w:lineRule="exact"/>
        <w:rPr>
          <w:rFonts w:ascii="Arial" w:cs="Arial" w:eastAsia="Arial" w:hAnsi="Arial"/>
          <w:sz w:val="21"/>
          <w:szCs w:val="21"/>
          <w:color w:val="auto"/>
        </w:rPr>
      </w:pPr>
    </w:p>
    <w:p>
      <w:pPr>
        <w:ind w:left="660" w:firstLine="1292"/>
        <w:spacing w:after="0" w:line="343" w:lineRule="auto"/>
        <w:tabs>
          <w:tab w:leader="none" w:pos="2451" w:val="left"/>
        </w:tabs>
        <w:numPr>
          <w:ilvl w:val="1"/>
          <w:numId w:val="538"/>
        </w:numPr>
        <w:rPr>
          <w:rFonts w:ascii="Arial" w:cs="Arial" w:eastAsia="Arial" w:hAnsi="Arial"/>
          <w:sz w:val="19"/>
          <w:szCs w:val="19"/>
          <w:color w:val="auto"/>
        </w:rPr>
      </w:pPr>
      <w:r>
        <w:rPr>
          <w:rFonts w:ascii="Arial" w:cs="Arial" w:eastAsia="Arial" w:hAnsi="Arial"/>
          <w:sz w:val="19"/>
          <w:szCs w:val="19"/>
          <w:color w:val="auto"/>
        </w:rPr>
        <w:t>nothing in this Agreement or any Credit Document shall require the Administrative Agent to account to any Lender for any sum or the profit element of any sum received by the Administrative Agent for its own account;</w:t>
      </w:r>
    </w:p>
    <w:p>
      <w:pPr>
        <w:spacing w:after="0" w:line="50" w:lineRule="exact"/>
        <w:rPr>
          <w:rFonts w:ascii="Arial" w:cs="Arial" w:eastAsia="Arial" w:hAnsi="Arial"/>
          <w:sz w:val="19"/>
          <w:szCs w:val="19"/>
          <w:color w:val="auto"/>
        </w:rPr>
      </w:pPr>
    </w:p>
    <w:p>
      <w:pPr>
        <w:jc w:val="both"/>
        <w:ind w:firstLine="1304"/>
        <w:spacing w:after="0" w:line="253" w:lineRule="auto"/>
        <w:tabs>
          <w:tab w:leader="none" w:pos="1854" w:val="left"/>
        </w:tabs>
        <w:numPr>
          <w:ilvl w:val="0"/>
          <w:numId w:val="538"/>
        </w:numPr>
        <w:rPr>
          <w:rFonts w:ascii="Arial" w:cs="Arial" w:eastAsia="Arial" w:hAnsi="Arial"/>
          <w:sz w:val="22"/>
          <w:szCs w:val="22"/>
          <w:color w:val="auto"/>
        </w:rPr>
      </w:pPr>
      <w:r>
        <w:rPr>
          <w:rFonts w:ascii="Arial" w:cs="Arial" w:eastAsia="Arial" w:hAnsi="Arial"/>
          <w:sz w:val="22"/>
          <w:szCs w:val="22"/>
          <w:color w:val="auto"/>
        </w:rPr>
        <w:t>The Administrative Agent may perform any of its duties and exercise its rights and powers hereunder or under any other Credit Document by or through any one or more sub-agents appointed by the Administrative Agent. The Administrative Agent and any such sub-</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942" w:right="339" w:bottom="1440" w:gutter="0" w:footer="0" w:header="0"/>
        </w:sectPr>
      </w:pPr>
    </w:p>
    <w:bookmarkStart w:id="704" w:name="page705"/>
    <w:bookmarkEnd w:id="704"/>
    <w:p>
      <w:pPr>
        <w:jc w:val="both"/>
        <w:spacing w:after="0" w:line="261" w:lineRule="auto"/>
        <w:rPr>
          <w:sz w:val="20"/>
          <w:szCs w:val="20"/>
          <w:color w:val="auto"/>
        </w:rPr>
      </w:pPr>
      <w:r>
        <w:rPr>
          <w:rFonts w:ascii="Arial" w:cs="Arial" w:eastAsia="Arial" w:hAnsi="Arial"/>
          <w:sz w:val="21"/>
          <w:szCs w:val="21"/>
          <w:color w:val="auto"/>
        </w:rPr>
        <w:t>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25" w:lineRule="exact"/>
        <w:rPr>
          <w:sz w:val="20"/>
          <w:szCs w:val="20"/>
          <w:color w:val="auto"/>
        </w:rPr>
      </w:pPr>
    </w:p>
    <w:p>
      <w:pPr>
        <w:jc w:val="both"/>
        <w:ind w:firstLine="1304"/>
        <w:spacing w:after="0" w:line="271" w:lineRule="auto"/>
        <w:tabs>
          <w:tab w:leader="none" w:pos="1827" w:val="left"/>
        </w:tabs>
        <w:numPr>
          <w:ilvl w:val="0"/>
          <w:numId w:val="539"/>
        </w:numPr>
        <w:rPr>
          <w:rFonts w:ascii="Arial" w:cs="Arial" w:eastAsia="Arial" w:hAnsi="Arial"/>
          <w:sz w:val="21"/>
          <w:szCs w:val="21"/>
          <w:color w:val="auto"/>
        </w:rPr>
      </w:pPr>
      <w:r>
        <w:rPr>
          <w:rFonts w:ascii="Arial" w:cs="Arial" w:eastAsia="Arial" w:hAnsi="Arial"/>
          <w:sz w:val="21"/>
          <w:szCs w:val="21"/>
          <w:color w:val="auto"/>
        </w:rPr>
        <w:t>None of the Syndication Agent or the Lead Arrangers shall have obligations or duties whatsoever in such capacity under this Agreement or any other Credit Document and shall incur no liability hereunder or thereunder in such capacity, but all such persons shall have the benefit of the indemnities provided for hereunder.</w:t>
      </w:r>
    </w:p>
    <w:p>
      <w:pPr>
        <w:spacing w:after="0" w:line="113" w:lineRule="exact"/>
        <w:rPr>
          <w:rFonts w:ascii="Arial" w:cs="Arial" w:eastAsia="Arial" w:hAnsi="Arial"/>
          <w:sz w:val="21"/>
          <w:szCs w:val="21"/>
          <w:color w:val="auto"/>
        </w:rPr>
      </w:pPr>
    </w:p>
    <w:p>
      <w:pPr>
        <w:jc w:val="both"/>
        <w:ind w:firstLine="1304"/>
        <w:spacing w:after="0" w:line="247" w:lineRule="auto"/>
        <w:tabs>
          <w:tab w:leader="none" w:pos="1782" w:val="left"/>
        </w:tabs>
        <w:numPr>
          <w:ilvl w:val="0"/>
          <w:numId w:val="539"/>
        </w:numPr>
        <w:rPr>
          <w:rFonts w:ascii="Arial" w:cs="Arial" w:eastAsia="Arial" w:hAnsi="Arial"/>
          <w:sz w:val="22"/>
          <w:szCs w:val="22"/>
          <w:color w:val="auto"/>
        </w:rPr>
      </w:pPr>
      <w:r>
        <w:rPr>
          <w:rFonts w:ascii="Arial" w:cs="Arial" w:eastAsia="Arial" w:hAnsi="Arial"/>
          <w:sz w:val="22"/>
          <w:szCs w:val="22"/>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any Reimbursement Obligation or other Obligation of the Borrower under the Credit Documents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38" w:lineRule="exact"/>
        <w:rPr>
          <w:rFonts w:ascii="Arial" w:cs="Arial" w:eastAsia="Arial" w:hAnsi="Arial"/>
          <w:sz w:val="22"/>
          <w:szCs w:val="22"/>
          <w:color w:val="auto"/>
        </w:rPr>
      </w:pPr>
    </w:p>
    <w:p>
      <w:pPr>
        <w:jc w:val="both"/>
        <w:ind w:left="660" w:firstLine="1292"/>
        <w:spacing w:after="0" w:line="265" w:lineRule="auto"/>
        <w:tabs>
          <w:tab w:leader="none" w:pos="2484" w:val="left"/>
        </w:tabs>
        <w:numPr>
          <w:ilvl w:val="1"/>
          <w:numId w:val="539"/>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2.13, 2.14, 2.16, 2.18 and 9.03) allowed in such judicial proceeding; and</w:t>
      </w:r>
    </w:p>
    <w:p>
      <w:pPr>
        <w:spacing w:after="0" w:line="121" w:lineRule="exact"/>
        <w:rPr>
          <w:rFonts w:ascii="Arial" w:cs="Arial" w:eastAsia="Arial" w:hAnsi="Arial"/>
          <w:sz w:val="21"/>
          <w:szCs w:val="21"/>
          <w:color w:val="auto"/>
        </w:rPr>
      </w:pPr>
    </w:p>
    <w:p>
      <w:pPr>
        <w:ind w:left="2460" w:hanging="508"/>
        <w:spacing w:after="0"/>
        <w:tabs>
          <w:tab w:leader="none" w:pos="2460" w:val="left"/>
        </w:tabs>
        <w:numPr>
          <w:ilvl w:val="1"/>
          <w:numId w:val="539"/>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Credit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of the Borrower under the Credit Documents or the rights of any Lender or to authorize the Administrative Agent to vote in respect of the claim of any Lender in any such proceeding.</w:t>
      </w:r>
    </w:p>
    <w:p>
      <w:pPr>
        <w:spacing w:after="0" w:line="129" w:lineRule="exact"/>
        <w:rPr>
          <w:sz w:val="20"/>
          <w:szCs w:val="20"/>
          <w:color w:val="auto"/>
        </w:rPr>
      </w:pPr>
    </w:p>
    <w:p>
      <w:pPr>
        <w:jc w:val="both"/>
        <w:ind w:firstLine="1304"/>
        <w:spacing w:after="0" w:line="265" w:lineRule="auto"/>
        <w:tabs>
          <w:tab w:leader="none" w:pos="1829" w:val="left"/>
        </w:tabs>
        <w:numPr>
          <w:ilvl w:val="0"/>
          <w:numId w:val="540"/>
        </w:numPr>
        <w:rPr>
          <w:rFonts w:ascii="Arial" w:cs="Arial" w:eastAsia="Arial" w:hAnsi="Arial"/>
          <w:sz w:val="21"/>
          <w:szCs w:val="21"/>
          <w:color w:val="auto"/>
        </w:rPr>
      </w:pPr>
      <w:r>
        <w:rPr>
          <w:rFonts w:ascii="Arial" w:cs="Arial" w:eastAsia="Arial" w:hAnsi="Arial"/>
          <w:sz w:val="21"/>
          <w:szCs w:val="21"/>
          <w:color w:val="auto"/>
        </w:rPr>
        <w:t>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942" w:right="339" w:bottom="1440" w:gutter="0" w:footer="0" w:header="0"/>
        </w:sectPr>
      </w:pPr>
    </w:p>
    <w:bookmarkStart w:id="705" w:name="page706"/>
    <w:bookmarkEnd w:id="705"/>
    <w:p>
      <w:pPr>
        <w:spacing w:after="0"/>
        <w:rPr>
          <w:sz w:val="20"/>
          <w:szCs w:val="20"/>
          <w:color w:val="auto"/>
        </w:rPr>
      </w:pPr>
      <w:r>
        <w:rPr>
          <w:rFonts w:ascii="Arial" w:cs="Arial" w:eastAsia="Arial" w:hAnsi="Arial"/>
          <w:sz w:val="19"/>
          <w:szCs w:val="19"/>
          <w:color w:val="auto"/>
        </w:rPr>
        <w:t>acceptance of the benefits of the Collateral provided under the Credit Documents, to have agreed to the provisions of this Article.</w:t>
      </w:r>
    </w:p>
    <w:p>
      <w:pPr>
        <w:spacing w:after="0" w:line="20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Administrative Agent’s Reliance, Indemnification, Etc.</w:t>
      </w:r>
      <w:r>
        <w:rPr>
          <w:rFonts w:ascii="Arial" w:cs="Arial" w:eastAsia="Arial" w:hAnsi="Arial"/>
          <w:sz w:val="19"/>
          <w:szCs w:val="19"/>
          <w:color w:val="auto"/>
        </w:rPr>
        <w:t xml:space="preserve"> (a) Neither the Administrative Agent nor any of its Related Parties shall be (i) liable for any action taken or omitted to be taken by such party, the Administrative Agent or any of its Related Parties under or in connection with this Agreement or the other Credit Documents (x) with the consent of or at the request of the Required Lenders (or such other number or percentage of the Lenders as shall be necessary, or as the Administrative Agent shall believe in good faith to be necessary, under the circumstances as provided in the Credit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Credit Document or in any certificate, report, statement or other document referred to or provided for in, or received by the Administrative Agent under or in connection with, this Agreement or any other Credit Document or for the value, validity, effectiveness, genuineness, enforceability or sufficiency of this Agreement or any other Credit Document or for any failure of the Borrower to perform its obligations hereunder or thereunder.</w:t>
      </w:r>
    </w:p>
    <w:p>
      <w:pPr>
        <w:spacing w:after="0" w:line="105" w:lineRule="exact"/>
        <w:rPr>
          <w:sz w:val="20"/>
          <w:szCs w:val="20"/>
          <w:color w:val="auto"/>
        </w:rPr>
      </w:pPr>
    </w:p>
    <w:p>
      <w:pPr>
        <w:jc w:val="both"/>
        <w:ind w:firstLine="1304"/>
        <w:spacing w:after="0" w:line="283" w:lineRule="auto"/>
        <w:tabs>
          <w:tab w:leader="none" w:pos="1833" w:val="left"/>
        </w:tabs>
        <w:numPr>
          <w:ilvl w:val="1"/>
          <w:numId w:val="541"/>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Default unless and until written notice thereof (stating that it is a “notice of default”) is given to the Administrative Agent by the Borrower, or a Lender, and the Administrative Agent shall not be responsible for or have any duty to ascertain or inquire into (i) any statement, warranty or representation made in or in connection with any Credit Document, (ii) the contents of any certificate, report or other document delivered thereunder or in connection therewith, (iii) the performance or observance of any of the covenants, agreements or other terms or conditions set forth in any Credit Document or the occurrence of any Default, (iv) the sufficiency, validity, enforceability, effectiveness or genuineness of any Credit Document or any other agreement, instrument or document, (v) the 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w:t>
      </w:r>
    </w:p>
    <w:p>
      <w:pPr>
        <w:spacing w:after="0" w:line="6" w:lineRule="exact"/>
        <w:rPr>
          <w:rFonts w:ascii="Arial" w:cs="Arial" w:eastAsia="Arial" w:hAnsi="Arial"/>
          <w:sz w:val="19"/>
          <w:szCs w:val="19"/>
          <w:color w:val="auto"/>
        </w:rPr>
      </w:pPr>
    </w:p>
    <w:p>
      <w:pPr>
        <w:ind w:left="380" w:hanging="372"/>
        <w:spacing w:after="0"/>
        <w:tabs>
          <w:tab w:leader="none" w:pos="380" w:val="left"/>
        </w:tabs>
        <w:numPr>
          <w:ilvl w:val="0"/>
          <w:numId w:val="542"/>
        </w:numPr>
        <w:rPr>
          <w:rFonts w:ascii="Arial" w:cs="Arial" w:eastAsia="Arial" w:hAnsi="Arial"/>
          <w:sz w:val="22"/>
          <w:szCs w:val="22"/>
          <w:color w:val="auto"/>
        </w:rPr>
      </w:pPr>
      <w:r>
        <w:rPr>
          <w:rFonts w:ascii="Arial" w:cs="Arial" w:eastAsia="Arial" w:hAnsi="Arial"/>
          <w:sz w:val="22"/>
          <w:szCs w:val="22"/>
          <w:color w:val="auto"/>
        </w:rPr>
        <w:t>the creation, perfection or priority of Liens on the Collateral.</w:t>
      </w:r>
    </w:p>
    <w:p>
      <w:pPr>
        <w:spacing w:after="0" w:line="147" w:lineRule="exact"/>
        <w:rPr>
          <w:rFonts w:ascii="Arial" w:cs="Arial" w:eastAsia="Arial" w:hAnsi="Arial"/>
          <w:sz w:val="22"/>
          <w:szCs w:val="22"/>
          <w:color w:val="auto"/>
        </w:rPr>
      </w:pPr>
    </w:p>
    <w:p>
      <w:pPr>
        <w:jc w:val="both"/>
        <w:ind w:firstLine="1304"/>
        <w:spacing w:after="0" w:line="258" w:lineRule="auto"/>
        <w:tabs>
          <w:tab w:leader="none" w:pos="1796" w:val="left"/>
        </w:tabs>
        <w:numPr>
          <w:ilvl w:val="1"/>
          <w:numId w:val="542"/>
        </w:numPr>
        <w:rPr>
          <w:rFonts w:ascii="Arial" w:cs="Arial" w:eastAsia="Arial" w:hAnsi="Arial"/>
          <w:sz w:val="21"/>
          <w:szCs w:val="21"/>
          <w:color w:val="auto"/>
        </w:rPr>
      </w:pPr>
      <w:r>
        <w:rPr>
          <w:rFonts w:ascii="Arial" w:cs="Arial" w:eastAsia="Arial" w:hAnsi="Arial"/>
          <w:sz w:val="21"/>
          <w:szCs w:val="21"/>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Credit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942" w:right="339" w:bottom="1440" w:gutter="0" w:footer="0" w:header="0"/>
        </w:sectPr>
      </w:pPr>
    </w:p>
    <w:bookmarkStart w:id="706" w:name="page707"/>
    <w:bookmarkEnd w:id="706"/>
    <w:p>
      <w:pPr>
        <w:jc w:val="both"/>
        <w:spacing w:after="0" w:line="297" w:lineRule="auto"/>
        <w:rPr>
          <w:sz w:val="20"/>
          <w:szCs w:val="20"/>
          <w:color w:val="auto"/>
        </w:rPr>
      </w:pPr>
      <w:r>
        <w:rPr>
          <w:rFonts w:ascii="Arial" w:cs="Arial" w:eastAsia="Arial" w:hAnsi="Arial"/>
          <w:sz w:val="19"/>
          <w:szCs w:val="19"/>
          <w:color w:val="auto"/>
        </w:rPr>
        <w:t>advance of the making of such Loan and (vi) shall be entitled to rely on, and shall incur no liability under or in respect of this Agreement or any other Credit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Credit Documents for being the maker thereof).</w:t>
      </w:r>
    </w:p>
    <w:p>
      <w:pPr>
        <w:spacing w:after="0" w:line="9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Posting of Communications</w:t>
      </w:r>
      <w:r>
        <w:rPr>
          <w:rFonts w:ascii="Arial" w:cs="Arial" w:eastAsia="Arial" w:hAnsi="Arial"/>
          <w:sz w:val="22"/>
          <w:szCs w:val="22"/>
          <w:color w:val="auto"/>
        </w:rPr>
        <w:t>. (a) 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w:t>
      </w:r>
    </w:p>
    <w:p>
      <w:pPr>
        <w:spacing w:after="0" w:line="134" w:lineRule="exact"/>
        <w:rPr>
          <w:sz w:val="20"/>
          <w:szCs w:val="20"/>
          <w:color w:val="auto"/>
        </w:rPr>
      </w:pPr>
    </w:p>
    <w:p>
      <w:pPr>
        <w:jc w:val="both"/>
        <w:ind w:firstLine="1304"/>
        <w:spacing w:after="0" w:line="289" w:lineRule="auto"/>
        <w:tabs>
          <w:tab w:leader="none" w:pos="1765" w:val="left"/>
        </w:tabs>
        <w:numPr>
          <w:ilvl w:val="0"/>
          <w:numId w:val="543"/>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02" w:lineRule="exact"/>
        <w:rPr>
          <w:rFonts w:ascii="Arial" w:cs="Arial" w:eastAsia="Arial" w:hAnsi="Arial"/>
          <w:sz w:val="19"/>
          <w:szCs w:val="19"/>
          <w:color w:val="auto"/>
        </w:rPr>
      </w:pPr>
    </w:p>
    <w:p>
      <w:pPr>
        <w:jc w:val="both"/>
        <w:ind w:firstLine="1304"/>
        <w:spacing w:after="0" w:line="257" w:lineRule="auto"/>
        <w:tabs>
          <w:tab w:leader="none" w:pos="1806" w:val="left"/>
        </w:tabs>
        <w:numPr>
          <w:ilvl w:val="0"/>
          <w:numId w:val="543"/>
        </w:numPr>
        <w:rPr>
          <w:rFonts w:ascii="Arial" w:cs="Arial" w:eastAsia="Arial" w:hAnsi="Arial"/>
          <w:sz w:val="21"/>
          <w:szCs w:val="21"/>
          <w:color w:val="auto"/>
        </w:rPr>
      </w:pPr>
      <w:r>
        <w:rPr>
          <w:rFonts w:ascii="Arial" w:cs="Arial" w:eastAsia="Arial" w:hAnsi="Arial"/>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LEAD ARRANGER, THE SYNDICATION AGENT OR ANY OF THEIR RESPECTIVE RELATED PARTIES (COLLECTIVELY, “</w:t>
      </w:r>
      <w:r>
        <w:rPr>
          <w:rFonts w:ascii="Arial" w:cs="Arial" w:eastAsia="Arial" w:hAnsi="Arial"/>
          <w:sz w:val="21"/>
          <w:szCs w:val="21"/>
          <w:u w:val="single" w:color="auto"/>
          <w:color w:val="auto"/>
        </w:rPr>
        <w:t>APPLICABLE PARTIES</w:t>
      </w:r>
      <w:r>
        <w:rPr>
          <w:rFonts w:ascii="Arial" w:cs="Arial" w:eastAsia="Arial" w:hAnsi="Arial"/>
          <w:sz w:val="21"/>
          <w:szCs w:val="21"/>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942" w:right="339" w:bottom="1440" w:gutter="0" w:footer="0" w:header="0"/>
        </w:sectPr>
      </w:pPr>
    </w:p>
    <w:bookmarkStart w:id="707" w:name="page708"/>
    <w:bookmarkEnd w:id="707"/>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means, collectively, any notice, demand, communication, information, document or other material provided by or on behalf of the Borrower pursuant to any Credit Document or the transactions contemplated therein which is distributed by the Administrative Agent or any Lender by means of electronic communications pursuant to this Section, including through an Approved Electronic Platform.</w:t>
      </w:r>
    </w:p>
    <w:p>
      <w:pPr>
        <w:spacing w:after="0" w:line="134" w:lineRule="exact"/>
        <w:rPr>
          <w:sz w:val="20"/>
          <w:szCs w:val="20"/>
          <w:color w:val="auto"/>
        </w:rPr>
      </w:pPr>
    </w:p>
    <w:p>
      <w:pPr>
        <w:jc w:val="both"/>
        <w:ind w:firstLine="1304"/>
        <w:spacing w:after="0" w:line="297" w:lineRule="auto"/>
        <w:tabs>
          <w:tab w:leader="none" w:pos="1788" w:val="left"/>
        </w:tabs>
        <w:numPr>
          <w:ilvl w:val="0"/>
          <w:numId w:val="544"/>
        </w:numPr>
        <w:rPr>
          <w:rFonts w:ascii="Arial" w:cs="Arial" w:eastAsia="Arial" w:hAnsi="Arial"/>
          <w:sz w:val="19"/>
          <w:szCs w:val="19"/>
          <w:color w:val="auto"/>
        </w:rPr>
      </w:pPr>
      <w:r>
        <w:rPr>
          <w:rFonts w:ascii="Arial" w:cs="Arial" w:eastAsia="Arial" w:hAnsi="Arial"/>
          <w:sz w:val="19"/>
          <w:szCs w:val="19"/>
          <w:color w:val="auto"/>
        </w:rPr>
        <w:t>Each Lender agrees that notice to it (as provided in the next sentence) specifying that Communications have been posted to the Approved Electronic Platform shall constitute effective delivery of the Communications to such Lender for purposes of the Credit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92" w:lineRule="exact"/>
        <w:rPr>
          <w:rFonts w:ascii="Arial" w:cs="Arial" w:eastAsia="Arial" w:hAnsi="Arial"/>
          <w:sz w:val="19"/>
          <w:szCs w:val="19"/>
          <w:color w:val="auto"/>
        </w:rPr>
      </w:pPr>
    </w:p>
    <w:p>
      <w:pPr>
        <w:jc w:val="both"/>
        <w:ind w:firstLine="1304"/>
        <w:spacing w:after="0" w:line="271" w:lineRule="auto"/>
        <w:tabs>
          <w:tab w:leader="none" w:pos="1855" w:val="left"/>
        </w:tabs>
        <w:numPr>
          <w:ilvl w:val="0"/>
          <w:numId w:val="544"/>
        </w:numPr>
        <w:rPr>
          <w:rFonts w:ascii="Arial" w:cs="Arial" w:eastAsia="Arial" w:hAnsi="Arial"/>
          <w:sz w:val="21"/>
          <w:szCs w:val="21"/>
          <w:color w:val="auto"/>
        </w:rPr>
      </w:pPr>
      <w:r>
        <w:rPr>
          <w:rFonts w:ascii="Arial" w:cs="Arial" w:eastAsia="Arial" w:hAnsi="Arial"/>
          <w:sz w:val="21"/>
          <w:szCs w:val="21"/>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13" w:lineRule="exact"/>
        <w:rPr>
          <w:rFonts w:ascii="Arial" w:cs="Arial" w:eastAsia="Arial" w:hAnsi="Arial"/>
          <w:sz w:val="21"/>
          <w:szCs w:val="21"/>
          <w:color w:val="auto"/>
        </w:rPr>
      </w:pPr>
    </w:p>
    <w:p>
      <w:pPr>
        <w:ind w:firstLine="1304"/>
        <w:spacing w:after="0" w:line="287" w:lineRule="auto"/>
        <w:tabs>
          <w:tab w:leader="none" w:pos="1733" w:val="left"/>
        </w:tabs>
        <w:numPr>
          <w:ilvl w:val="0"/>
          <w:numId w:val="544"/>
        </w:numPr>
        <w:rPr>
          <w:rFonts w:ascii="Arial" w:cs="Arial" w:eastAsia="Arial" w:hAnsi="Arial"/>
          <w:sz w:val="21"/>
          <w:szCs w:val="21"/>
          <w:color w:val="auto"/>
        </w:rPr>
      </w:pPr>
      <w:r>
        <w:rPr>
          <w:rFonts w:ascii="Arial" w:cs="Arial" w:eastAsia="Arial" w:hAnsi="Arial"/>
          <w:sz w:val="21"/>
          <w:szCs w:val="21"/>
          <w:color w:val="auto"/>
        </w:rPr>
        <w:t>Nothing herein shall prejudice the right of the Administrative Agent or any Lender to give any notice or other communication pursuant to any Credit Document in any other manner specified in such Credit Document.</w:t>
      </w:r>
    </w:p>
    <w:p>
      <w:pPr>
        <w:spacing w:after="0" w:line="9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The Administrative Agent Individually</w:t>
      </w:r>
      <w:r>
        <w:rPr>
          <w:rFonts w:ascii="Arial" w:cs="Arial" w:eastAsia="Arial" w:hAnsi="Arial"/>
          <w:sz w:val="21"/>
          <w:szCs w:val="21"/>
          <w:color w:val="auto"/>
        </w:rPr>
        <w:t>. With respect to its Commitment and Loans (including Swingline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2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 (a) 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(i) such appointment shall be subject to the prior written approval of the Borrower (which approval may not be unreasonably withheld and shall not be required while an Event of Default has occurred and is continuing) and (ii) in no event shall such successor Administrative Agent be a Disqualified Lender at the time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942" w:right="339" w:bottom="1440" w:gutter="0" w:footer="0" w:header="0"/>
        </w:sectPr>
      </w:pPr>
    </w:p>
    <w:bookmarkStart w:id="708" w:name="page709"/>
    <w:bookmarkEnd w:id="708"/>
    <w:p>
      <w:pPr>
        <w:jc w:val="both"/>
        <w:spacing w:after="0" w:line="260" w:lineRule="auto"/>
        <w:rPr>
          <w:sz w:val="20"/>
          <w:szCs w:val="20"/>
          <w:color w:val="auto"/>
        </w:rPr>
      </w:pPr>
      <w:r>
        <w:rPr>
          <w:rFonts w:ascii="Arial" w:cs="Arial" w:eastAsia="Arial" w:hAnsi="Arial"/>
          <w:sz w:val="21"/>
          <w:szCs w:val="21"/>
          <w:color w:val="auto"/>
        </w:rPr>
        <w:t>such appointment.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Credit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Credit Documents.</w:t>
      </w:r>
    </w:p>
    <w:p>
      <w:pPr>
        <w:spacing w:after="0" w:line="126" w:lineRule="exact"/>
        <w:rPr>
          <w:sz w:val="20"/>
          <w:szCs w:val="20"/>
          <w:color w:val="auto"/>
        </w:rPr>
      </w:pPr>
    </w:p>
    <w:p>
      <w:pPr>
        <w:jc w:val="both"/>
        <w:ind w:firstLine="1304"/>
        <w:spacing w:after="0" w:line="284" w:lineRule="auto"/>
        <w:tabs>
          <w:tab w:leader="none" w:pos="1851" w:val="left"/>
        </w:tabs>
        <w:numPr>
          <w:ilvl w:val="0"/>
          <w:numId w:val="545"/>
        </w:numPr>
        <w:rPr>
          <w:rFonts w:ascii="Arial" w:cs="Arial" w:eastAsia="Arial" w:hAnsi="Arial"/>
          <w:sz w:val="19"/>
          <w:szCs w:val="19"/>
          <w:color w:val="auto"/>
        </w:rPr>
      </w:pPr>
      <w:r>
        <w:rPr>
          <w:rFonts w:ascii="Arial" w:cs="Arial" w:eastAsia="Arial" w:hAnsi="Arial"/>
          <w:sz w:val="19"/>
          <w:szCs w:val="19"/>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Credit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administrative agent for the benefit of the Secured Parties, and continue to be entitled to the rights set forth in such Security Document and Credit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payments required to be made hereunder or under any other Credit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3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Acknowledgements of Lenders</w:t>
      </w:r>
      <w:r>
        <w:rPr>
          <w:rFonts w:ascii="Arial" w:cs="Arial" w:eastAsia="Arial" w:hAnsi="Arial"/>
          <w:sz w:val="22"/>
          <w:szCs w:val="22"/>
          <w:color w:val="auto"/>
        </w:rPr>
        <w:t>. (a) Each Lender represents that (i) it is engaged in making, acquiring or holding commercial loans in the ordinary course of its business, (ii) it has, independently and without reliance upon the Administrative Agent, any Lead Arranger, the Syndication Agent, any other Lender, or any of the Related Parties of any of the foregoing, and based on such documents and information as it has deemed appropriate, made its own credit analysis and decision to enter into this Agreement as a Lender, and to make, acquire or hold Loans hereunder and (iii) it is sophisticated with respect to decisions to make, acquire and/or hold commercial loans and to provide other facilities set forth herein, as may be applicable to such</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942" w:right="339" w:bottom="1440" w:gutter="0" w:footer="0" w:header="0"/>
        </w:sectPr>
      </w:pPr>
    </w:p>
    <w:bookmarkStart w:id="709" w:name="page710"/>
    <w:bookmarkEnd w:id="709"/>
    <w:p>
      <w:pPr>
        <w:jc w:val="both"/>
        <w:spacing w:after="0" w:line="290" w:lineRule="auto"/>
        <w:rPr>
          <w:sz w:val="20"/>
          <w:szCs w:val="20"/>
          <w:color w:val="auto"/>
        </w:rPr>
      </w:pPr>
      <w:r>
        <w:rPr>
          <w:rFonts w:ascii="Arial" w:cs="Arial" w:eastAsia="Arial" w:hAnsi="Arial"/>
          <w:sz w:val="19"/>
          <w:szCs w:val="19"/>
          <w:color w:val="auto"/>
        </w:rPr>
        <w:t>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Lead Arranger, the Syndication Agent, or any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02" w:lineRule="exact"/>
        <w:rPr>
          <w:sz w:val="20"/>
          <w:szCs w:val="20"/>
          <w:color w:val="auto"/>
        </w:rPr>
      </w:pPr>
    </w:p>
    <w:p>
      <w:pPr>
        <w:jc w:val="both"/>
        <w:ind w:firstLine="1304"/>
        <w:spacing w:after="0" w:line="248" w:lineRule="auto"/>
        <w:tabs>
          <w:tab w:leader="none" w:pos="1880" w:val="left"/>
        </w:tabs>
        <w:numPr>
          <w:ilvl w:val="0"/>
          <w:numId w:val="546"/>
        </w:numPr>
        <w:rPr>
          <w:rFonts w:ascii="Arial" w:cs="Arial" w:eastAsia="Arial" w:hAnsi="Arial"/>
          <w:sz w:val="22"/>
          <w:szCs w:val="22"/>
          <w:color w:val="auto"/>
        </w:rPr>
      </w:pPr>
      <w:r>
        <w:rPr>
          <w:rFonts w:ascii="Arial" w:cs="Arial" w:eastAsia="Arial" w:hAnsi="Arial"/>
          <w:sz w:val="22"/>
          <w:szCs w:val="22"/>
          <w:color w:val="auto"/>
        </w:rPr>
        <w:t>Each Lender, by delivering its signature page to this Agreement on the Effective Date, or delivering its signature page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the Lenders on the Effective Date</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166" w:lineRule="exact"/>
        <w:rPr>
          <w:sz w:val="20"/>
          <w:szCs w:val="20"/>
          <w:color w:val="auto"/>
        </w:rPr>
      </w:pPr>
    </w:p>
    <w:p>
      <w:pPr>
        <w:jc w:val="both"/>
        <w:ind w:left="660" w:firstLine="1292"/>
        <w:spacing w:after="0" w:line="286" w:lineRule="auto"/>
        <w:tabs>
          <w:tab w:leader="none" w:pos="2574" w:val="left"/>
        </w:tabs>
        <w:numPr>
          <w:ilvl w:val="0"/>
          <w:numId w:val="547"/>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were erroneously transmitted to such Lender (whether or not known to such Lender), and demands the return of such Payment (or a portion thereof), such Lender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364" w:lineRule="exact"/>
        <w:rPr>
          <w:rFonts w:ascii="Arial" w:cs="Arial" w:eastAsia="Arial" w:hAnsi="Arial"/>
          <w:sz w:val="19"/>
          <w:szCs w:val="19"/>
          <w:color w:val="auto"/>
        </w:rPr>
      </w:pPr>
    </w:p>
    <w:p>
      <w:pPr>
        <w:jc w:val="both"/>
        <w:ind w:left="660" w:firstLine="1292"/>
        <w:spacing w:after="0" w:line="248" w:lineRule="auto"/>
        <w:tabs>
          <w:tab w:leader="none" w:pos="2441" w:val="left"/>
        </w:tabs>
        <w:numPr>
          <w:ilvl w:val="0"/>
          <w:numId w:val="547"/>
        </w:numPr>
        <w:rPr>
          <w:rFonts w:ascii="Arial" w:cs="Arial" w:eastAsia="Arial" w:hAnsi="Arial"/>
          <w:sz w:val="22"/>
          <w:szCs w:val="22"/>
          <w:color w:val="auto"/>
        </w:rPr>
      </w:pPr>
      <w:r>
        <w:rPr>
          <w:rFonts w:ascii="Arial" w:cs="Arial" w:eastAsia="Arial" w:hAnsi="Arial"/>
          <w:sz w:val="22"/>
          <w:szCs w:val="22"/>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942" w:right="339" w:bottom="1440" w:gutter="0" w:footer="0" w:header="0"/>
        </w:sectPr>
      </w:pPr>
    </w:p>
    <w:bookmarkStart w:id="710" w:name="page711"/>
    <w:bookmarkEnd w:id="710"/>
    <w:p>
      <w:pPr>
        <w:jc w:val="both"/>
        <w:ind w:left="660"/>
        <w:spacing w:after="0" w:line="259" w:lineRule="auto"/>
        <w:rPr>
          <w:sz w:val="20"/>
          <w:szCs w:val="20"/>
          <w:color w:val="auto"/>
        </w:rPr>
      </w:pPr>
      <w:r>
        <w:rPr>
          <w:rFonts w:ascii="Arial" w:cs="Arial" w:eastAsia="Arial" w:hAnsi="Arial"/>
          <w:sz w:val="21"/>
          <w:szCs w:val="21"/>
          <w:color w:val="auto"/>
        </w:rPr>
        <w:t>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29" w:lineRule="exact"/>
        <w:rPr>
          <w:sz w:val="20"/>
          <w:szCs w:val="20"/>
          <w:color w:val="auto"/>
        </w:rPr>
      </w:pPr>
    </w:p>
    <w:p>
      <w:pPr>
        <w:jc w:val="both"/>
        <w:ind w:left="660" w:firstLine="1292"/>
        <w:spacing w:after="0" w:line="294" w:lineRule="auto"/>
        <w:tabs>
          <w:tab w:leader="none" w:pos="2554" w:val="left"/>
        </w:tabs>
        <w:numPr>
          <w:ilvl w:val="0"/>
          <w:numId w:val="548"/>
        </w:numPr>
        <w:rPr>
          <w:rFonts w:ascii="Arial" w:cs="Arial" w:eastAsia="Arial" w:hAnsi="Arial"/>
          <w:sz w:val="19"/>
          <w:szCs w:val="19"/>
          <w:color w:val="auto"/>
        </w:rPr>
      </w:pPr>
      <w:r>
        <w:rPr>
          <w:rFonts w:ascii="Arial" w:cs="Arial" w:eastAsia="Arial" w:hAnsi="Arial"/>
          <w:sz w:val="19"/>
          <w:szCs w:val="19"/>
          <w:color w:val="auto"/>
        </w:rPr>
        <w:t>The Borrower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spacing w:after="0" w:line="95" w:lineRule="exact"/>
        <w:rPr>
          <w:rFonts w:ascii="Arial" w:cs="Arial" w:eastAsia="Arial" w:hAnsi="Arial"/>
          <w:sz w:val="19"/>
          <w:szCs w:val="19"/>
          <w:color w:val="auto"/>
        </w:rPr>
      </w:pPr>
    </w:p>
    <w:p>
      <w:pPr>
        <w:jc w:val="both"/>
        <w:ind w:left="660" w:firstLine="1292"/>
        <w:spacing w:after="0" w:line="312" w:lineRule="auto"/>
        <w:tabs>
          <w:tab w:leader="none" w:pos="2484" w:val="left"/>
        </w:tabs>
        <w:numPr>
          <w:ilvl w:val="0"/>
          <w:numId w:val="548"/>
        </w:numPr>
        <w:rPr>
          <w:rFonts w:ascii="Arial" w:cs="Arial" w:eastAsia="Arial" w:hAnsi="Arial"/>
          <w:sz w:val="19"/>
          <w:szCs w:val="19"/>
          <w:color w:val="auto"/>
        </w:rPr>
      </w:pPr>
      <w:r>
        <w:rPr>
          <w:rFonts w:ascii="Arial" w:cs="Arial" w:eastAsia="Arial" w:hAnsi="Arial"/>
          <w:sz w:val="19"/>
          <w:szCs w:val="19"/>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Credit Document.).</w:t>
      </w:r>
    </w:p>
    <w:p>
      <w:pPr>
        <w:spacing w:after="0" w:line="7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u w:val="single" w:color="auto"/>
          <w:color w:val="auto"/>
        </w:rPr>
        <w:t>Collateral Matters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48" w:lineRule="auto"/>
        <w:tabs>
          <w:tab w:leader="none" w:pos="1865" w:val="left"/>
        </w:tabs>
        <w:numPr>
          <w:ilvl w:val="0"/>
          <w:numId w:val="549"/>
        </w:numPr>
        <w:rPr>
          <w:rFonts w:ascii="Arial" w:cs="Arial" w:eastAsia="Arial" w:hAnsi="Arial"/>
          <w:sz w:val="22"/>
          <w:szCs w:val="22"/>
          <w:color w:val="auto"/>
        </w:rPr>
      </w:pPr>
      <w:r>
        <w:rPr>
          <w:rFonts w:ascii="Arial" w:cs="Arial" w:eastAsia="Arial" w:hAnsi="Arial"/>
          <w:sz w:val="22"/>
          <w:szCs w:val="22"/>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under the Credit Documents, it being understood and agreed that all powers, rights and remedies under the Credit Documents may be exercised solely by the Administrative Agent on behalf of the Secured Parties in accordance with the terms thereof.</w:t>
      </w:r>
    </w:p>
    <w:p>
      <w:pPr>
        <w:spacing w:after="0" w:line="137" w:lineRule="exact"/>
        <w:rPr>
          <w:rFonts w:ascii="Arial" w:cs="Arial" w:eastAsia="Arial" w:hAnsi="Arial"/>
          <w:sz w:val="22"/>
          <w:szCs w:val="22"/>
          <w:color w:val="auto"/>
        </w:rPr>
      </w:pPr>
    </w:p>
    <w:p>
      <w:pPr>
        <w:jc w:val="both"/>
        <w:ind w:firstLine="1304"/>
        <w:spacing w:after="0" w:line="248" w:lineRule="auto"/>
        <w:tabs>
          <w:tab w:leader="none" w:pos="1917" w:val="left"/>
        </w:tabs>
        <w:numPr>
          <w:ilvl w:val="0"/>
          <w:numId w:val="549"/>
        </w:numPr>
        <w:rPr>
          <w:rFonts w:ascii="Arial" w:cs="Arial" w:eastAsia="Arial" w:hAnsi="Arial"/>
          <w:sz w:val="22"/>
          <w:szCs w:val="22"/>
          <w:color w:val="auto"/>
        </w:rPr>
      </w:pPr>
      <w:r>
        <w:rPr>
          <w:rFonts w:ascii="Arial" w:cs="Arial" w:eastAsia="Arial" w:hAnsi="Arial"/>
          <w:sz w:val="22"/>
          <w:szCs w:val="22"/>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Borrower in connection therewith, nor shall the Administrative Agent be responsible or liable to the Lenders or any other Secured Party for any failure to monitor or maintain any portion of the Collateral.</w:t>
      </w:r>
    </w:p>
    <w:p>
      <w:pPr>
        <w:spacing w:after="0" w:line="13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942" w:right="339" w:bottom="1440" w:gutter="0" w:footer="0" w:header="0"/>
        </w:sectPr>
      </w:pPr>
    </w:p>
    <w:bookmarkStart w:id="711" w:name="page712"/>
    <w:bookmarkEnd w:id="711"/>
    <w:p>
      <w:pPr>
        <w:ind w:right="20"/>
        <w:spacing w:after="0" w:line="263" w:lineRule="auto"/>
        <w:rPr>
          <w:sz w:val="20"/>
          <w:szCs w:val="20"/>
          <w:color w:val="auto"/>
        </w:rPr>
      </w:pPr>
      <w:r>
        <w:rPr>
          <w:rFonts w:ascii="Arial" w:cs="Arial" w:eastAsia="Arial" w:hAnsi="Arial"/>
          <w:sz w:val="22"/>
          <w:szCs w:val="22"/>
          <w:color w:val="auto"/>
        </w:rPr>
        <w:t>Affiliates, and not, for the avoidance of doubt, to or for the benefit of the Borrower, that at least one of the following is and will be true:</w:t>
      </w:r>
    </w:p>
    <w:p>
      <w:pPr>
        <w:spacing w:after="0" w:line="121" w:lineRule="exact"/>
        <w:rPr>
          <w:sz w:val="20"/>
          <w:szCs w:val="20"/>
          <w:color w:val="auto"/>
        </w:rPr>
      </w:pPr>
    </w:p>
    <w:p>
      <w:pPr>
        <w:jc w:val="both"/>
        <w:ind w:left="660" w:firstLine="1292"/>
        <w:spacing w:after="0" w:line="253" w:lineRule="auto"/>
        <w:tabs>
          <w:tab w:leader="none" w:pos="2419" w:val="left"/>
        </w:tabs>
        <w:numPr>
          <w:ilvl w:val="1"/>
          <w:numId w:val="550"/>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31" w:lineRule="exact"/>
        <w:rPr>
          <w:rFonts w:ascii="Arial" w:cs="Arial" w:eastAsia="Arial" w:hAnsi="Arial"/>
          <w:sz w:val="22"/>
          <w:szCs w:val="22"/>
          <w:color w:val="auto"/>
        </w:rPr>
      </w:pPr>
    </w:p>
    <w:p>
      <w:pPr>
        <w:jc w:val="both"/>
        <w:ind w:left="660" w:firstLine="1292"/>
        <w:spacing w:after="0" w:line="292" w:lineRule="auto"/>
        <w:tabs>
          <w:tab w:leader="none" w:pos="2500" w:val="left"/>
        </w:tabs>
        <w:numPr>
          <w:ilvl w:val="1"/>
          <w:numId w:val="550"/>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96" w:lineRule="exact"/>
        <w:rPr>
          <w:rFonts w:ascii="Arial" w:cs="Arial" w:eastAsia="Arial" w:hAnsi="Arial"/>
          <w:sz w:val="19"/>
          <w:szCs w:val="19"/>
          <w:color w:val="auto"/>
        </w:rPr>
      </w:pPr>
    </w:p>
    <w:p>
      <w:pPr>
        <w:jc w:val="both"/>
        <w:ind w:left="660" w:firstLine="1292"/>
        <w:spacing w:after="0" w:line="246" w:lineRule="auto"/>
        <w:tabs>
          <w:tab w:leader="none" w:pos="2496" w:val="left"/>
        </w:tabs>
        <w:numPr>
          <w:ilvl w:val="1"/>
          <w:numId w:val="550"/>
        </w:numPr>
        <w:rPr>
          <w:rFonts w:ascii="Arial" w:cs="Arial" w:eastAsia="Arial" w:hAnsi="Arial"/>
          <w:sz w:val="22"/>
          <w:szCs w:val="22"/>
          <w:color w:val="auto"/>
        </w:rPr>
      </w:pPr>
      <w:r>
        <w:rPr>
          <w:rFonts w:ascii="Arial" w:cs="Arial" w:eastAsia="Arial" w:hAnsi="Arial"/>
          <w:sz w:val="22"/>
          <w:szCs w:val="22"/>
          <w:color w:val="auto"/>
        </w:rPr>
        <w:t>(1)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Commitments and this Agreement, (3) the entrance into, participation in, administration of and performance of the Loans, the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39" w:lineRule="exact"/>
        <w:rPr>
          <w:rFonts w:ascii="Arial" w:cs="Arial" w:eastAsia="Arial" w:hAnsi="Arial"/>
          <w:sz w:val="22"/>
          <w:szCs w:val="22"/>
          <w:color w:val="auto"/>
        </w:rPr>
      </w:pPr>
    </w:p>
    <w:p>
      <w:pPr>
        <w:ind w:left="660" w:firstLine="1292"/>
        <w:spacing w:after="0" w:line="263" w:lineRule="auto"/>
        <w:tabs>
          <w:tab w:leader="none" w:pos="2713" w:val="left"/>
        </w:tabs>
        <w:numPr>
          <w:ilvl w:val="1"/>
          <w:numId w:val="550"/>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20" w:lineRule="exact"/>
        <w:rPr>
          <w:rFonts w:ascii="Arial" w:cs="Arial" w:eastAsia="Arial" w:hAnsi="Arial"/>
          <w:sz w:val="22"/>
          <w:szCs w:val="22"/>
          <w:color w:val="auto"/>
        </w:rPr>
      </w:pPr>
    </w:p>
    <w:p>
      <w:pPr>
        <w:jc w:val="both"/>
        <w:ind w:firstLine="1304"/>
        <w:spacing w:after="0" w:line="288" w:lineRule="auto"/>
        <w:tabs>
          <w:tab w:leader="none" w:pos="1803" w:val="left"/>
        </w:tabs>
        <w:numPr>
          <w:ilvl w:val="0"/>
          <w:numId w:val="551"/>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that none of the Administrative Agent nor any Lead Arranger, the Syndication Agent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to hereto or thereto).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942" w:right="339" w:bottom="1440" w:gutter="0" w:footer="0" w:header="0"/>
        </w:sectPr>
      </w:pPr>
    </w:p>
    <w:bookmarkStart w:id="712" w:name="page713"/>
    <w:bookmarkEnd w:id="712"/>
    <w:p>
      <w:pPr>
        <w:jc w:val="both"/>
        <w:ind w:firstLine="1304"/>
        <w:spacing w:after="0" w:line="287" w:lineRule="auto"/>
        <w:tabs>
          <w:tab w:leader="none" w:pos="1793" w:val="left"/>
        </w:tabs>
        <w:numPr>
          <w:ilvl w:val="0"/>
          <w:numId w:val="552"/>
        </w:numPr>
        <w:rPr>
          <w:rFonts w:ascii="Arial" w:cs="Arial" w:eastAsia="Arial" w:hAnsi="Arial"/>
          <w:sz w:val="19"/>
          <w:szCs w:val="19"/>
          <w:color w:val="auto"/>
        </w:rPr>
      </w:pPr>
      <w:r>
        <w:rPr>
          <w:rFonts w:ascii="Arial" w:cs="Arial" w:eastAsia="Arial" w:hAnsi="Arial"/>
          <w:sz w:val="19"/>
          <w:szCs w:val="19"/>
          <w:color w:val="auto"/>
        </w:rPr>
        <w:t>The Administrative Agent, the Lead Arrangers and the Syndication Agent each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Credit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0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u w:val="single" w:color="auto"/>
          <w:color w:val="auto"/>
        </w:rPr>
        <w:t>Credit Bidding</w:t>
      </w:r>
      <w:r>
        <w:rPr>
          <w:rFonts w:ascii="Arial" w:cs="Arial" w:eastAsia="Arial" w:hAnsi="Arial"/>
          <w:sz w:val="19"/>
          <w:szCs w:val="19"/>
          <w:color w:val="auto"/>
        </w:rPr>
        <w:t xml:space="preserve">. The Secured Parties hereby irrevocably authorize the Administrative Agent, at the direction of the Required Lenders, to credit bid all or any portion of the Obligations hereunder (including by accepting some or all of the Collateral in satisfaction of some or all of the Obligations hereunder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the Borrower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hereunder shall be entitled to be, and shall be, credit bid by the Administrative Agent at the direction of the Required Lenders on a ratable basis (with Obligations hereunder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hereunder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942" w:right="339" w:bottom="1440" w:gutter="0" w:footer="0" w:header="0"/>
        </w:sectPr>
      </w:pPr>
    </w:p>
    <w:bookmarkStart w:id="713" w:name="page714"/>
    <w:bookmarkEnd w:id="713"/>
    <w:p>
      <w:pPr>
        <w:jc w:val="both"/>
        <w:spacing w:after="0" w:line="283" w:lineRule="auto"/>
        <w:rPr>
          <w:sz w:val="20"/>
          <w:szCs w:val="20"/>
          <w:color w:val="auto"/>
        </w:rPr>
      </w:pPr>
      <w:r>
        <w:rPr>
          <w:rFonts w:ascii="Arial" w:cs="Arial" w:eastAsia="Arial" w:hAnsi="Arial"/>
          <w:sz w:val="19"/>
          <w:szCs w:val="19"/>
          <w:color w:val="auto"/>
        </w:rPr>
        <w:t>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hereunder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IX</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w:t>
      </w:r>
      <w:r>
        <w:rPr>
          <w:rFonts w:ascii="Arial" w:cs="Arial" w:eastAsia="Arial" w:hAnsi="Arial"/>
          <w:sz w:val="22"/>
          <w:szCs w:val="22"/>
          <w:color w:val="auto"/>
        </w:rPr>
        <w:t>. (a) Subject to paragraph (b) below, all notices and other communications provided for herein shall be in writing and shall be delivered by hand or overnight courier service, mailed by certified or registered mail or sent by e-mail or facsimile, as follows:</w:t>
      </w:r>
    </w:p>
    <w:p>
      <w:pPr>
        <w:spacing w:after="0" w:line="131" w:lineRule="exact"/>
        <w:rPr>
          <w:sz w:val="20"/>
          <w:szCs w:val="20"/>
          <w:color w:val="auto"/>
        </w:rPr>
      </w:pPr>
    </w:p>
    <w:p>
      <w:pPr>
        <w:ind w:left="2480" w:hanging="528"/>
        <w:spacing w:after="0"/>
        <w:tabs>
          <w:tab w:leader="none" w:pos="2480" w:val="left"/>
        </w:tabs>
        <w:numPr>
          <w:ilvl w:val="0"/>
          <w:numId w:val="553"/>
        </w:numPr>
        <w:rPr>
          <w:rFonts w:ascii="Arial" w:cs="Arial" w:eastAsia="Arial" w:hAnsi="Arial"/>
          <w:sz w:val="21"/>
          <w:szCs w:val="21"/>
          <w:color w:val="auto"/>
        </w:rPr>
      </w:pPr>
      <w:r>
        <w:rPr>
          <w:rFonts w:ascii="Arial" w:cs="Arial" w:eastAsia="Arial" w:hAnsi="Arial"/>
          <w:sz w:val="21"/>
          <w:szCs w:val="21"/>
          <w:color w:val="auto"/>
        </w:rPr>
        <w:t>if to the Borrower, to it at Robinhood Securities, LLC, 85 Willow Road, Menlo Park, CA 94025,</w:t>
      </w:r>
    </w:p>
    <w:p>
      <w:pPr>
        <w:spacing w:after="0" w:line="33" w:lineRule="exact"/>
        <w:rPr>
          <w:sz w:val="20"/>
          <w:szCs w:val="20"/>
          <w:color w:val="auto"/>
        </w:rPr>
      </w:pPr>
    </w:p>
    <w:p>
      <w:pPr>
        <w:jc w:val="both"/>
        <w:ind w:left="660" w:right="20"/>
        <w:spacing w:after="0" w:line="245" w:lineRule="auto"/>
        <w:rPr>
          <w:sz w:val="20"/>
          <w:szCs w:val="20"/>
          <w:color w:val="auto"/>
        </w:rPr>
      </w:pPr>
      <w:r>
        <w:rPr>
          <w:rFonts w:ascii="Arial" w:cs="Arial" w:eastAsia="Arial" w:hAnsi="Arial"/>
          <w:sz w:val="22"/>
          <w:szCs w:val="22"/>
          <w:color w:val="auto"/>
        </w:rPr>
        <w:t>Attention of Shiv Verma, e-mail @robinhood.com, with a copy to, which copy shall not constitute notice, Sullivan &amp; Cromwell LLP, 125 Broad Street, New York, New York 10004, Attention of Ari B. Blaut, e-mail blauta@sullcrom.com, facsimile (212) 291-9219;</w:t>
      </w:r>
    </w:p>
    <w:p>
      <w:pPr>
        <w:spacing w:after="0" w:line="139" w:lineRule="exact"/>
        <w:rPr>
          <w:sz w:val="20"/>
          <w:szCs w:val="20"/>
          <w:color w:val="auto"/>
        </w:rPr>
      </w:pPr>
    </w:p>
    <w:p>
      <w:pPr>
        <w:jc w:val="both"/>
        <w:ind w:left="660" w:firstLine="1292"/>
        <w:spacing w:after="0" w:line="248" w:lineRule="auto"/>
        <w:tabs>
          <w:tab w:leader="none" w:pos="2436" w:val="left"/>
        </w:tabs>
        <w:numPr>
          <w:ilvl w:val="0"/>
          <w:numId w:val="554"/>
        </w:numPr>
        <w:rPr>
          <w:rFonts w:ascii="Arial" w:cs="Arial" w:eastAsia="Arial" w:hAnsi="Arial"/>
          <w:sz w:val="22"/>
          <w:szCs w:val="22"/>
          <w:color w:val="auto"/>
        </w:rPr>
      </w:pPr>
      <w:r>
        <w:rPr>
          <w:rFonts w:ascii="Arial" w:cs="Arial" w:eastAsia="Arial" w:hAnsi="Arial"/>
          <w:sz w:val="22"/>
          <w:szCs w:val="22"/>
          <w:color w:val="auto"/>
        </w:rPr>
        <w:t xml:space="preserve">if to the Administrative Agent, to JPMorgan Chase Bank, N.A., 500 Stanton Christiana Road, NCC 5, Floor 1, Newark, DE 19713, Attention of Loan &amp; Agency Services Group, Telephone: (302) 634-4834, Fax: (302) 634-8459, e-mail </w:t>
      </w:r>
      <w:r>
        <w:rPr>
          <w:rFonts w:ascii="Arial" w:cs="Arial" w:eastAsia="Arial" w:hAnsi="Arial"/>
          <w:sz w:val="22"/>
          <w:szCs w:val="22"/>
          <w:u w:val="single" w:color="auto"/>
          <w:color w:val="auto"/>
        </w:rPr>
        <w:t>ali.zigami@chase.com</w:t>
      </w:r>
      <w:r>
        <w:rPr>
          <w:rFonts w:ascii="Arial" w:cs="Arial" w:eastAsia="Arial" w:hAnsi="Arial"/>
          <w:sz w:val="22"/>
          <w:szCs w:val="22"/>
          <w:color w:val="auto"/>
        </w:rPr>
        <w:t xml:space="preserve">; to the extent relating to Withholding Tax Inquiries, e-mail </w:t>
      </w:r>
      <w:r>
        <w:rPr>
          <w:rFonts w:ascii="Arial" w:cs="Arial" w:eastAsia="Arial" w:hAnsi="Arial"/>
          <w:sz w:val="22"/>
          <w:szCs w:val="22"/>
          <w:u w:val="single" w:color="auto"/>
          <w:color w:val="auto"/>
        </w:rPr>
        <w:t>agency.tax.reporting@jpmorgan.com</w:t>
      </w:r>
      <w:r>
        <w:rPr>
          <w:rFonts w:ascii="Arial" w:cs="Arial" w:eastAsia="Arial" w:hAnsi="Arial"/>
          <w:sz w:val="22"/>
          <w:szCs w:val="22"/>
          <w:color w:val="auto"/>
        </w:rPr>
        <w:t xml:space="preserve">; to the extent relating to Agency Compliance/Financials/Intralinks, e-mail </w:t>
      </w:r>
      <w:r>
        <w:rPr>
          <w:rFonts w:ascii="Arial" w:cs="Arial" w:eastAsia="Arial" w:hAnsi="Arial"/>
          <w:sz w:val="22"/>
          <w:szCs w:val="22"/>
          <w:u w:val="single" w:color="auto"/>
          <w:color w:val="auto"/>
        </w:rPr>
        <w:t>covenant.compliance@jpmchase.com</w:t>
      </w:r>
      <w:r>
        <w:rPr>
          <w:rFonts w:ascii="Arial" w:cs="Arial" w:eastAsia="Arial" w:hAnsi="Arial"/>
          <w:sz w:val="22"/>
          <w:szCs w:val="22"/>
          <w:color w:val="auto"/>
        </w:rPr>
        <w:t>;</w:t>
      </w:r>
    </w:p>
    <w:p>
      <w:pPr>
        <w:spacing w:after="0" w:line="137" w:lineRule="exact"/>
        <w:rPr>
          <w:rFonts w:ascii="Arial" w:cs="Arial" w:eastAsia="Arial" w:hAnsi="Arial"/>
          <w:sz w:val="22"/>
          <w:szCs w:val="22"/>
          <w:color w:val="auto"/>
        </w:rPr>
      </w:pPr>
    </w:p>
    <w:p>
      <w:pPr>
        <w:ind w:left="660" w:firstLine="1292"/>
        <w:spacing w:after="0" w:line="343" w:lineRule="auto"/>
        <w:tabs>
          <w:tab w:leader="none" w:pos="2607" w:val="left"/>
        </w:tabs>
        <w:numPr>
          <w:ilvl w:val="0"/>
          <w:numId w:val="554"/>
        </w:numPr>
        <w:rPr>
          <w:rFonts w:ascii="Arial" w:cs="Arial" w:eastAsia="Arial" w:hAnsi="Arial"/>
          <w:sz w:val="19"/>
          <w:szCs w:val="19"/>
          <w:color w:val="auto"/>
        </w:rPr>
      </w:pPr>
      <w:r>
        <w:rPr>
          <w:rFonts w:ascii="Arial" w:cs="Arial" w:eastAsia="Arial" w:hAnsi="Arial"/>
          <w:sz w:val="19"/>
          <w:szCs w:val="19"/>
          <w:color w:val="auto"/>
        </w:rPr>
        <w:t xml:space="preserve">if to the Administrative Agent and relating to Collateral, to JPMorgan Chase &amp; Co., CIB DMO WLO, Mail code NY1-C413, 4 CMC, Brooklyn, NY, 11245-0001, e-mail </w:t>
      </w:r>
      <w:r>
        <w:rPr>
          <w:rFonts w:ascii="Arial" w:cs="Arial" w:eastAsia="Arial" w:hAnsi="Arial"/>
          <w:sz w:val="19"/>
          <w:szCs w:val="19"/>
          <w:u w:val="single" w:color="auto"/>
          <w:color w:val="auto"/>
        </w:rPr>
        <w:t>ib.collateral .services@jpmchase .com</w:t>
      </w:r>
      <w:r>
        <w:rPr>
          <w:rFonts w:ascii="Arial" w:cs="Arial" w:eastAsia="Arial" w:hAnsi="Arial"/>
          <w:sz w:val="19"/>
          <w:szCs w:val="19"/>
          <w:color w:val="auto"/>
        </w:rPr>
        <w:t>, and</w:t>
      </w:r>
    </w:p>
    <w:p>
      <w:pPr>
        <w:spacing w:after="0" w:line="50" w:lineRule="exact"/>
        <w:rPr>
          <w:rFonts w:ascii="Arial" w:cs="Arial" w:eastAsia="Arial" w:hAnsi="Arial"/>
          <w:sz w:val="19"/>
          <w:szCs w:val="19"/>
          <w:color w:val="auto"/>
        </w:rPr>
      </w:pPr>
    </w:p>
    <w:p>
      <w:pPr>
        <w:ind w:left="2620" w:hanging="668"/>
        <w:spacing w:after="0"/>
        <w:tabs>
          <w:tab w:leader="none" w:pos="2620" w:val="left"/>
        </w:tabs>
        <w:numPr>
          <w:ilvl w:val="0"/>
          <w:numId w:val="554"/>
        </w:numPr>
        <w:rPr>
          <w:rFonts w:ascii="Arial" w:cs="Arial" w:eastAsia="Arial" w:hAnsi="Arial"/>
          <w:sz w:val="21"/>
          <w:szCs w:val="21"/>
          <w:color w:val="auto"/>
        </w:rPr>
      </w:pPr>
      <w:r>
        <w:rPr>
          <w:rFonts w:ascii="Arial" w:cs="Arial" w:eastAsia="Arial" w:hAnsi="Arial"/>
          <w:sz w:val="21"/>
          <w:szCs w:val="21"/>
          <w:color w:val="auto"/>
        </w:rPr>
        <w:t>if to any other Lender, to it at its address (or facsimile number) set forth in its Administrative</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Questionnaire.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942" w:right="339" w:bottom="1440" w:gutter="0" w:footer="0" w:header="0"/>
        </w:sectPr>
      </w:pPr>
    </w:p>
    <w:bookmarkStart w:id="714" w:name="page715"/>
    <w:bookmarkEnd w:id="714"/>
    <w:p>
      <w:pPr>
        <w:jc w:val="both"/>
        <w:spacing w:after="0" w:line="248"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e-mail or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38" w:lineRule="exact"/>
        <w:rPr>
          <w:sz w:val="20"/>
          <w:szCs w:val="20"/>
          <w:color w:val="auto"/>
        </w:rPr>
      </w:pPr>
    </w:p>
    <w:p>
      <w:pPr>
        <w:jc w:val="both"/>
        <w:ind w:firstLine="1304"/>
        <w:spacing w:after="0" w:line="247" w:lineRule="auto"/>
        <w:tabs>
          <w:tab w:leader="none" w:pos="1944" w:val="left"/>
        </w:tabs>
        <w:numPr>
          <w:ilvl w:val="0"/>
          <w:numId w:val="555"/>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to the Lenders hereunder may be delivered or furnished by using Approved Electronic Platforms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38" w:lineRule="exact"/>
        <w:rPr>
          <w:rFonts w:ascii="Arial" w:cs="Arial" w:eastAsia="Arial" w:hAnsi="Arial"/>
          <w:sz w:val="22"/>
          <w:szCs w:val="22"/>
          <w:color w:val="auto"/>
        </w:rPr>
      </w:pPr>
    </w:p>
    <w:p>
      <w:pPr>
        <w:jc w:val="both"/>
        <w:ind w:firstLine="1304"/>
        <w:spacing w:after="0" w:line="297" w:lineRule="auto"/>
        <w:tabs>
          <w:tab w:leader="none" w:pos="1828" w:val="left"/>
        </w:tabs>
        <w:numPr>
          <w:ilvl w:val="0"/>
          <w:numId w:val="555"/>
        </w:numPr>
        <w:rPr>
          <w:rFonts w:ascii="Arial" w:cs="Arial" w:eastAsia="Arial" w:hAnsi="Arial"/>
          <w:sz w:val="19"/>
          <w:szCs w:val="19"/>
          <w:color w:val="auto"/>
        </w:rPr>
      </w:pPr>
      <w:r>
        <w:rPr>
          <w:rFonts w:ascii="Arial" w:cs="Arial" w:eastAsia="Arial" w:hAnsi="Arial"/>
          <w:sz w:val="19"/>
          <w:szCs w:val="19"/>
          <w:color w:val="auto"/>
        </w:rPr>
        <w:t xml:space="preserve">Unless the Administrative Agent otherwise prescribes, notices or communications posted to an Internet or intranet website shall be deemed received upon the deemed receipt by the intended recipient, at its e-mail address specified in Section 9.01(a)(ii),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92" w:lineRule="exact"/>
        <w:rPr>
          <w:rFonts w:ascii="Arial" w:cs="Arial" w:eastAsia="Arial" w:hAnsi="Arial"/>
          <w:sz w:val="19"/>
          <w:szCs w:val="19"/>
          <w:color w:val="auto"/>
        </w:rPr>
      </w:pPr>
    </w:p>
    <w:p>
      <w:pPr>
        <w:ind w:firstLine="1304"/>
        <w:spacing w:after="0" w:line="263" w:lineRule="auto"/>
        <w:tabs>
          <w:tab w:leader="none" w:pos="1814" w:val="left"/>
        </w:tabs>
        <w:numPr>
          <w:ilvl w:val="0"/>
          <w:numId w:val="555"/>
        </w:numPr>
        <w:rPr>
          <w:rFonts w:ascii="Arial" w:cs="Arial" w:eastAsia="Arial" w:hAnsi="Arial"/>
          <w:sz w:val="22"/>
          <w:szCs w:val="22"/>
          <w:color w:val="auto"/>
        </w:rPr>
      </w:pPr>
      <w:r>
        <w:rPr>
          <w:rFonts w:ascii="Arial" w:cs="Arial" w:eastAsia="Arial" w:hAnsi="Arial"/>
          <w:sz w:val="22"/>
          <w:szCs w:val="22"/>
          <w:color w:val="auto"/>
        </w:rPr>
        <w:t>Any party hereto may change its address or electronic communication or facsimile number for notices and other communications hereunder by notice to the other parties hereto.</w:t>
      </w:r>
    </w:p>
    <w:p>
      <w:pPr>
        <w:spacing w:after="0" w:line="12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Waivers; Amendments</w:t>
      </w:r>
      <w:r>
        <w:rPr>
          <w:rFonts w:ascii="Arial" w:cs="Arial" w:eastAsia="Arial" w:hAnsi="Arial"/>
          <w:sz w:val="21"/>
          <w:szCs w:val="21"/>
          <w:color w:val="auto"/>
        </w:rPr>
        <w:t>. (a) 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131" w:lineRule="exact"/>
        <w:rPr>
          <w:sz w:val="20"/>
          <w:szCs w:val="20"/>
          <w:color w:val="auto"/>
        </w:rPr>
      </w:pPr>
    </w:p>
    <w:p>
      <w:pPr>
        <w:jc w:val="both"/>
        <w:ind w:firstLine="1304"/>
        <w:spacing w:after="0" w:line="265" w:lineRule="auto"/>
        <w:tabs>
          <w:tab w:leader="none" w:pos="1883" w:val="left"/>
        </w:tabs>
        <w:numPr>
          <w:ilvl w:val="0"/>
          <w:numId w:val="556"/>
        </w:numPr>
        <w:rPr>
          <w:rFonts w:ascii="Arial" w:cs="Arial" w:eastAsia="Arial" w:hAnsi="Arial"/>
          <w:sz w:val="21"/>
          <w:szCs w:val="21"/>
          <w:color w:val="auto"/>
        </w:rPr>
      </w:pPr>
      <w:r>
        <w:rPr>
          <w:rFonts w:ascii="Arial" w:cs="Arial" w:eastAsia="Arial" w:hAnsi="Arial"/>
          <w:sz w:val="21"/>
          <w:szCs w:val="21"/>
          <w:color w:val="auto"/>
        </w:rPr>
        <w:t xml:space="preserve">Subject to Section 2.15(b) and the last sentence of this Section 9.02(b),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agreement shall (i) (x) increase the Commitment of any Lender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942" w:right="339" w:bottom="1440" w:gutter="0" w:footer="0" w:header="0"/>
        </w:sectPr>
      </w:pPr>
    </w:p>
    <w:bookmarkStart w:id="715" w:name="page716"/>
    <w:bookmarkEnd w:id="715"/>
    <w:p>
      <w:pPr>
        <w:jc w:val="both"/>
        <w:spacing w:after="0" w:line="284" w:lineRule="auto"/>
        <w:rPr>
          <w:sz w:val="20"/>
          <w:szCs w:val="20"/>
          <w:color w:val="auto"/>
        </w:rPr>
      </w:pPr>
      <w:r>
        <w:rPr>
          <w:rFonts w:ascii="Arial" w:cs="Arial" w:eastAsia="Arial" w:hAnsi="Arial"/>
          <w:sz w:val="19"/>
          <w:szCs w:val="19"/>
          <w:color w:val="auto"/>
        </w:rPr>
        <w:t xml:space="preserve">without the written consent of such Lender or (y) increase the Swingline Subcommitment of the Swingline Lender without the written consent of the Swingline Lender, (ii) reduce the principal amount of any Loan or reduce the rate of interest thereon, or reduce any fees payable hereunder or under the Credit Documents, without the written consent of each Lender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(iv) change Section 2.09(c), Section 2.19(b) or Section 2.19(c) in a manner that would alter the ratable reduction of Commitments or the pro rata sharing of payments required thereby, without the written consent of each Lender directly and adversely affected thereby, (v) change the payment waterfall provisions of Section 2.21(e) or 6.02 or Section 9 of the Security Agreement, without the written consent of each Lender directly affected thereby, (vi) amend or modify the definitions of “Eligible Assets”, “Pledged Eligible Assets” or “Loan Value”, to the extent such amendment or modification would result in a less restrictive standard than set forth in such definitions, or amend or modify the definitions of “Eligible NSCC Margin Deposits”, “Tranche B Limit”, “Eligible Funds”, “Tranche C Limit” or any component or term related thereto to the extent such amendment or modification would result in a less restrictive standard than set forth in such definitions, in each case without the written consent of the Supermajority Lenders, (vii) change any of the provisions of this Section or reduce any number or percentage set forth in the definition of “Required Lenders”, “Supermajority Lender” or any other provision hereof specifying the number or percentage of Lenders required to waive, amend or modify any rights hereunder or make any determination or grant any consent hereunder, without the written consent of each Lender, (viii) release the Lien of the Administrative Agent on all or substantially all of the Collateral (other than as expressly permitted under the Credit Documents) without the written consent of each Lender or (ix) subordinate the Liens securing any Obligations under the Credit Documents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(x) amend, modify or otherwise affect the rights or duties of the Administrative Agent hereunder without the prior written consent of the Administrative Agent or (y) amend, modify or otherwise affect the rights or duties of the Swingline Lender hereunder without the prior written consent of the Swingline Lender. Notwithstanding the foregoing, the Administrative Agent, with the consent of the Borrower, may amend, modify or supplement any Credit Document in order to (i) correct, amend or cure any ambiguity, omission, mistake, inconsistency or defect or correct any typographical error or other manifest error in this Agreement or any other Credit Document or (ii) make any technical and conforming modifications to the Credit Documents to the extent necessary to integrate any Incremental Commitments on substantially the same basis as the Loans (including, for the avoidance of doubt, the amendments contemplated by the proviso of Section 2.22(a)(ii)), and any such amendment, modification or supplement shall become effective without any further action or consent of any other party to this Agreement.</w:t>
      </w:r>
    </w:p>
    <w:p>
      <w:pPr>
        <w:spacing w:after="0" w:line="36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Limitation of Liability; Indemnity; Damage Waiver</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65" w:lineRule="auto"/>
        <w:tabs>
          <w:tab w:leader="none" w:pos="1833" w:val="left"/>
        </w:tabs>
        <w:numPr>
          <w:ilvl w:val="0"/>
          <w:numId w:val="557"/>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Regardless of whether the Effective Date occurs, the Borrower shall pay (i) all reasonable and documented out-of-pocket expenses incurred by the Administrative Agent, the Lead Arrangers and each of their respective Affiliates, including the reasonable fees, disbursements and other charges of external counsel (but limited, in the case of legal fees and expenses of one primary counsel for all Persons (taken as a whole), which shall be Simpson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942" w:right="339" w:bottom="1440" w:gutter="0" w:footer="0" w:header="0"/>
        </w:sectPr>
      </w:pPr>
    </w:p>
    <w:bookmarkStart w:id="716" w:name="page717"/>
    <w:bookmarkEnd w:id="716"/>
    <w:p>
      <w:pPr>
        <w:jc w:val="both"/>
        <w:spacing w:after="0" w:line="285" w:lineRule="auto"/>
        <w:rPr>
          <w:sz w:val="20"/>
          <w:szCs w:val="20"/>
          <w:color w:val="auto"/>
        </w:rPr>
      </w:pPr>
      <w:r>
        <w:rPr>
          <w:rFonts w:ascii="Arial" w:cs="Arial" w:eastAsia="Arial" w:hAnsi="Arial"/>
          <w:sz w:val="19"/>
          <w:szCs w:val="19"/>
          <w:color w:val="auto"/>
        </w:rPr>
        <w:t>Thacher &amp; Bartlett LLP, and to the extent reasonably necessary, one regulatory and one local counsel for all Persons (taken as a whole) in each relevant material jurisdiction (and, solely in the case of a conflict of interest, one additional counsel and, to the extent reasonably necessary, one regulatory and one local counsel in each relevant material jurisdiction to each group of similarly situated Persons actually affected by such conflict taken as a whole)) in connection with the syndication of the credit facilities provided for herein, the negotiation, preparation, execution, delivery and administration of this Agreement and the other Credit Documents and any other documents prepared in connection herewith or therewith, or any amendments, supplements, modifications or waivers of the provisions hereof or thereof (in each case, whether or not the transactions contemplated hereby or thereby shall be consummated), (ii) all reasonable and documented out-of-pocket expenses incurred by the Administrative Agent or any Lender, including the reasonable fees, disbursements and other charges of external counsel (but limited, in the case of legal fees and expenses to the reasonable and documented fees and expenses of one primary counsel for all Persons (taken as a whole) and to the extent reasonably necessary, one regulatory and one local counsel for all Persons (taken as a whole) in each relevant material jurisdiction (and, solely in the case of a conflict of interest, one additional counsel and, to the extent reasonably necessary, one regulatory and one local counsel in each relevant material jurisdiction to each group of similarly situated Persons actually affected by such conflict taken as a whole)), in connection with the enforcement or protection of its rights in connection with this Agreement and the other Credit Documents, including its rights under this Section, or in connection with the Loans made hereunder, including all such out-of-pocket expenses incurred during any workout, restructuring or negotiations in respect of such Loans and (iii) any charges of IntraLinks/IntraAgency or other relevant website or CUSIP charges.</w:t>
      </w:r>
    </w:p>
    <w:p>
      <w:pPr>
        <w:spacing w:after="0" w:line="112" w:lineRule="exact"/>
        <w:rPr>
          <w:sz w:val="20"/>
          <w:szCs w:val="20"/>
          <w:color w:val="auto"/>
        </w:rPr>
      </w:pPr>
    </w:p>
    <w:p>
      <w:pPr>
        <w:jc w:val="both"/>
        <w:ind w:firstLine="1304"/>
        <w:spacing w:after="0" w:line="260" w:lineRule="auto"/>
        <w:tabs>
          <w:tab w:leader="none" w:pos="1777" w:val="left"/>
        </w:tabs>
        <w:numPr>
          <w:ilvl w:val="0"/>
          <w:numId w:val="558"/>
        </w:numPr>
        <w:rPr>
          <w:rFonts w:ascii="Arial" w:cs="Arial" w:eastAsia="Arial" w:hAnsi="Arial"/>
          <w:sz w:val="21"/>
          <w:szCs w:val="21"/>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xml:space="preserve">. To the extent permitted by applicable law,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the use of the proceeds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26" w:lineRule="exact"/>
        <w:rPr>
          <w:rFonts w:ascii="Arial" w:cs="Arial" w:eastAsia="Arial" w:hAnsi="Arial"/>
          <w:sz w:val="21"/>
          <w:szCs w:val="21"/>
          <w:color w:val="auto"/>
        </w:rPr>
      </w:pPr>
    </w:p>
    <w:p>
      <w:pPr>
        <w:jc w:val="both"/>
        <w:ind w:firstLine="1304"/>
        <w:spacing w:after="0" w:line="288" w:lineRule="auto"/>
        <w:tabs>
          <w:tab w:leader="none" w:pos="1752" w:val="left"/>
        </w:tabs>
        <w:numPr>
          <w:ilvl w:val="0"/>
          <w:numId w:val="558"/>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The Administrative Agent, the Syndication Agent, each Lead Arranger and each Lender, and each Related Party of any of the foregoing Persons shall have no Liability for, and the Borrower shall indemnify the Administrative Agent, the Syndication Agent, each Lead Arranger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Liabilities and related expenses, including the reasonable and documented fees, disbursements and other charges of counsel (but limited, in the case of legal fees and expenses, to one primary counsel for all Persons (taken as a whole) and to the extent reasonably necessary, one regulatory and one local counsel for all Persons (taken as a whole) in each relevant material jurisdiction (and, solely in the case of a conflict of interest among Indemnitees, one additional counsel and, to the extent reasonably necessary, one regulatory and one local counsel in each relevant material jurisdiction to each group of similarly situated Persons actually affected by such conflict taken as a whole)), incurred by or asserted against any Indemnitee arising out of, 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942" w:right="339" w:bottom="1440" w:gutter="0" w:footer="0" w:header="0"/>
        </w:sectPr>
      </w:pPr>
    </w:p>
    <w:bookmarkStart w:id="717" w:name="page718"/>
    <w:bookmarkEnd w:id="717"/>
    <w:p>
      <w:pPr>
        <w:jc w:val="both"/>
        <w:spacing w:after="0" w:line="285" w:lineRule="auto"/>
        <w:rPr>
          <w:sz w:val="20"/>
          <w:szCs w:val="20"/>
          <w:color w:val="auto"/>
        </w:rPr>
      </w:pPr>
      <w:r>
        <w:rPr>
          <w:rFonts w:ascii="Arial" w:cs="Arial" w:eastAsia="Arial" w:hAnsi="Arial"/>
          <w:sz w:val="19"/>
          <w:szCs w:val="19"/>
          <w:color w:val="auto"/>
        </w:rPr>
        <w:t>connection with, or as a result of (1) the execution or delivery of this Agreement, any other Credit Document or any agreement or instrument contemplated hereby or thereby, the performance by the parties hereto of their respective obligations hereunder or thereunder or the consummation of the Transactions or any other transactions contemplated hereby, (2) any Loan or the use of the proceeds therefrom, (3) any actual or alleged presence or release of Hazardous Materials on or from any property owned or operated by the Borrower or any of its Subsidiaries, or any Environmental Liability related in any way to the Borrower or any Subsidiary, (4) any action taken in connection with this Agreement, including, but not limited to, the payment of principal, interest and fees or (5) any actual or prospective claim, litigation, investigation arbitration or administrative, judicial or regulatory action or proceeding (each,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in any jurisdiction relating to any of the foregoing (including in relation to enforcing the terms of the limitation of liability and indemnification referred to above), whether based on contract, tort or any other theory and regardless of whether any Indemnitee is a party thereto and whether or not the same are brought by the Borrower, its equity holders, Affiliates or creditors or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or related expenses (x) are determined by a court of competent jurisdiction by final and nonappealable judgment to have resulted from the bad faith, gross negligence or willful misconduct of such Indemnitee or any of its Related Parties, or the material breach of any of such Indemnitee’s or any of its Related Parties’ express obligations hereunder or (y) arise from disputes solely among Indemnitees that do not involve any act or omission by the Borrower or any of its Related Parties, other than claims against any Indemnitee in its capacity or fulfilling its role as agent, arranger or bookrunner or similar role under this Agreement.</w:t>
      </w:r>
    </w:p>
    <w:p>
      <w:pPr>
        <w:spacing w:after="0" w:line="371" w:lineRule="exact"/>
        <w:rPr>
          <w:sz w:val="20"/>
          <w:szCs w:val="20"/>
          <w:color w:val="auto"/>
        </w:rPr>
      </w:pPr>
    </w:p>
    <w:p>
      <w:pPr>
        <w:jc w:val="both"/>
        <w:ind w:firstLine="1304"/>
        <w:spacing w:after="0" w:line="286" w:lineRule="auto"/>
        <w:tabs>
          <w:tab w:leader="none" w:pos="1791" w:val="left"/>
        </w:tabs>
        <w:numPr>
          <w:ilvl w:val="0"/>
          <w:numId w:val="559"/>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To the extent that the Borrower fails to pay any amount required to be paid by it to the Administrative Agent, the Syndication Agent, any Lead Arranger or any Lender, or any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under paragraph (a), (b) or (c) of this Section, each Lender severally agrees to pay to such Agent-Related Person such Lender’s Applicable Percentage (determined as of the time that the applicable unreimbursed expense or indemnity payment is sought) of such unpaid amount or, if indemnification is sought after the date upon which the Commitments shall have terminated and the Loans shall have been paid in full, ratably in accordance with such Applicable Percentage immediately prior to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Liability or related expense, as the case may be, was imposed on, incurred by or asserted against such Agent-Related Person in any way relating to or arising out of the Commitments, this Agreement, any of the other Credit Documents or any documents contemplated by or referred to herein or therein or the transactions contemplated hereby or thereby or any action taken or omitted by such Agent- Related Person under or in connection with any of the foregoing; provided that the unreimbursed expense or Liability or related expense, as the case may be, was incurred by or asserted against such Agent-Related Person in its capacity as such. The agreements in this Section shall survive the termination of this Agreement and the payment of the Loans and all other amounts payable hereunder.</w:t>
      </w:r>
    </w:p>
    <w:p>
      <w:pPr>
        <w:spacing w:after="0" w:line="111" w:lineRule="exact"/>
        <w:rPr>
          <w:rFonts w:ascii="Arial" w:cs="Arial" w:eastAsia="Arial" w:hAnsi="Arial"/>
          <w:sz w:val="19"/>
          <w:szCs w:val="19"/>
          <w:color w:val="auto"/>
        </w:rPr>
      </w:pPr>
    </w:p>
    <w:p>
      <w:pPr>
        <w:ind w:left="1760" w:hanging="456"/>
        <w:spacing w:after="0"/>
        <w:tabs>
          <w:tab w:leader="none" w:pos="1760" w:val="left"/>
        </w:tabs>
        <w:numPr>
          <w:ilvl w:val="0"/>
          <w:numId w:val="559"/>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promptly within ten Business Days after written demand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14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(a) The provisions of this Agreement shall be binding upon and inure to the benefit of the parties hereto and their respective successors and assigns permitted hereby, except that (i) the Borrower may not assign or otherwise transfer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942" w:right="339" w:bottom="1440" w:gutter="0" w:footer="0" w:header="0"/>
        </w:sectPr>
      </w:pPr>
    </w:p>
    <w:bookmarkStart w:id="718" w:name="page719"/>
    <w:bookmarkEnd w:id="718"/>
    <w:p>
      <w:pPr>
        <w:jc w:val="both"/>
        <w:spacing w:after="0" w:line="246" w:lineRule="auto"/>
        <w:rPr>
          <w:sz w:val="20"/>
          <w:szCs w:val="20"/>
          <w:color w:val="auto"/>
        </w:rPr>
      </w:pPr>
      <w:r>
        <w:rPr>
          <w:rFonts w:ascii="Arial" w:cs="Arial" w:eastAsia="Arial" w:hAnsi="Arial"/>
          <w:sz w:val="22"/>
          <w:szCs w:val="22"/>
          <w:color w:val="auto"/>
        </w:rPr>
        <w:t>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42" w:lineRule="exact"/>
        <w:rPr>
          <w:sz w:val="20"/>
          <w:szCs w:val="20"/>
          <w:color w:val="auto"/>
        </w:rPr>
      </w:pPr>
    </w:p>
    <w:p>
      <w:pPr>
        <w:jc w:val="both"/>
        <w:ind w:firstLine="1304"/>
        <w:spacing w:after="0" w:line="312" w:lineRule="auto"/>
        <w:tabs>
          <w:tab w:leader="none" w:pos="1872" w:val="left"/>
        </w:tabs>
        <w:numPr>
          <w:ilvl w:val="0"/>
          <w:numId w:val="560"/>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Persons all or a portion of its rights and obligations under this Agreement (including all or a portion of its Commitment and the Loans at the time owing to it) with the prior written consent (such consent not to be unreasonably withheld) of:</w:t>
      </w:r>
    </w:p>
    <w:p>
      <w:pPr>
        <w:spacing w:after="0" w:line="79" w:lineRule="exact"/>
        <w:rPr>
          <w:rFonts w:ascii="Arial" w:cs="Arial" w:eastAsia="Arial" w:hAnsi="Arial"/>
          <w:sz w:val="19"/>
          <w:szCs w:val="19"/>
          <w:color w:val="auto"/>
        </w:rPr>
      </w:pPr>
    </w:p>
    <w:p>
      <w:pPr>
        <w:jc w:val="both"/>
        <w:ind w:left="1300" w:firstLine="1300"/>
        <w:spacing w:after="0" w:line="248" w:lineRule="auto"/>
        <w:tabs>
          <w:tab w:leader="none" w:pos="3112" w:val="left"/>
        </w:tabs>
        <w:numPr>
          <w:ilvl w:val="2"/>
          <w:numId w:val="560"/>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an Approved Fund or, if any Event of Default under Section 6.01(a) or (f) with respect to the Borrower has occurred and is continuing, any other assignee (it being understood that the Borrower will be deemed to have consented to an assignment if it has not objected thereto within 10 Business Days following notice thereof);</w:t>
      </w:r>
    </w:p>
    <w:p>
      <w:pPr>
        <w:spacing w:after="0" w:line="137" w:lineRule="exact"/>
        <w:rPr>
          <w:rFonts w:ascii="Arial" w:cs="Arial" w:eastAsia="Arial" w:hAnsi="Arial"/>
          <w:sz w:val="22"/>
          <w:szCs w:val="22"/>
          <w:color w:val="auto"/>
        </w:rPr>
      </w:pPr>
    </w:p>
    <w:p>
      <w:pPr>
        <w:ind w:left="3100" w:hanging="500"/>
        <w:spacing w:after="0"/>
        <w:tabs>
          <w:tab w:leader="none" w:pos="3100" w:val="left"/>
        </w:tabs>
        <w:numPr>
          <w:ilvl w:val="2"/>
          <w:numId w:val="560"/>
        </w:numPr>
        <w:rPr>
          <w:rFonts w:ascii="Arial" w:cs="Arial" w:eastAsia="Arial" w:hAnsi="Arial"/>
          <w:sz w:val="22"/>
          <w:szCs w:val="22"/>
          <w:color w:val="auto"/>
        </w:rPr>
      </w:pPr>
      <w:r>
        <w:rPr>
          <w:rFonts w:ascii="Arial" w:cs="Arial" w:eastAsia="Arial" w:hAnsi="Arial"/>
          <w:sz w:val="22"/>
          <w:szCs w:val="22"/>
          <w:color w:val="auto"/>
        </w:rPr>
        <w:t>the Administrative Agent; and</w:t>
      </w:r>
    </w:p>
    <w:p>
      <w:pPr>
        <w:spacing w:after="0" w:line="165" w:lineRule="exact"/>
        <w:rPr>
          <w:rFonts w:ascii="Arial" w:cs="Arial" w:eastAsia="Arial" w:hAnsi="Arial"/>
          <w:sz w:val="22"/>
          <w:szCs w:val="22"/>
          <w:color w:val="auto"/>
        </w:rPr>
      </w:pPr>
    </w:p>
    <w:p>
      <w:pPr>
        <w:ind w:left="3100" w:hanging="500"/>
        <w:spacing w:after="0"/>
        <w:tabs>
          <w:tab w:leader="none" w:pos="3100" w:val="left"/>
        </w:tabs>
        <w:numPr>
          <w:ilvl w:val="2"/>
          <w:numId w:val="560"/>
        </w:numPr>
        <w:rPr>
          <w:rFonts w:ascii="Arial" w:cs="Arial" w:eastAsia="Arial" w:hAnsi="Arial"/>
          <w:sz w:val="22"/>
          <w:szCs w:val="22"/>
          <w:color w:val="auto"/>
        </w:rPr>
      </w:pPr>
      <w:r>
        <w:rPr>
          <w:rFonts w:ascii="Arial" w:cs="Arial" w:eastAsia="Arial" w:hAnsi="Arial"/>
          <w:sz w:val="22"/>
          <w:szCs w:val="22"/>
          <w:color w:val="auto"/>
        </w:rPr>
        <w:t>the Swingline Lender.</w:t>
      </w:r>
    </w:p>
    <w:p>
      <w:pPr>
        <w:spacing w:after="0" w:line="165" w:lineRule="exact"/>
        <w:rPr>
          <w:rFonts w:ascii="Arial" w:cs="Arial" w:eastAsia="Arial" w:hAnsi="Arial"/>
          <w:sz w:val="22"/>
          <w:szCs w:val="22"/>
          <w:color w:val="auto"/>
        </w:rPr>
      </w:pPr>
    </w:p>
    <w:p>
      <w:pPr>
        <w:ind w:left="2420" w:hanging="468"/>
        <w:spacing w:after="0"/>
        <w:tabs>
          <w:tab w:leader="none" w:pos="2420" w:val="left"/>
        </w:tabs>
        <w:numPr>
          <w:ilvl w:val="1"/>
          <w:numId w:val="560"/>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165" w:lineRule="exact"/>
        <w:rPr>
          <w:rFonts w:ascii="Arial" w:cs="Arial" w:eastAsia="Arial" w:hAnsi="Arial"/>
          <w:sz w:val="22"/>
          <w:szCs w:val="22"/>
          <w:color w:val="auto"/>
        </w:rPr>
      </w:pPr>
    </w:p>
    <w:p>
      <w:pPr>
        <w:jc w:val="both"/>
        <w:ind w:left="1300" w:firstLine="1300"/>
        <w:spacing w:after="0" w:line="246" w:lineRule="auto"/>
        <w:tabs>
          <w:tab w:leader="none" w:pos="3166" w:val="left"/>
        </w:tabs>
        <w:numPr>
          <w:ilvl w:val="2"/>
          <w:numId w:val="560"/>
        </w:numPr>
        <w:rPr>
          <w:rFonts w:ascii="Arial" w:cs="Arial" w:eastAsia="Arial" w:hAnsi="Arial"/>
          <w:sz w:val="22"/>
          <w:szCs w:val="22"/>
          <w:color w:val="auto"/>
        </w:rPr>
      </w:pPr>
      <w:r>
        <w:rPr>
          <w:rFonts w:ascii="Arial" w:cs="Arial" w:eastAsia="Arial" w:hAnsi="Arial"/>
          <w:sz w:val="22"/>
          <w:szCs w:val="22"/>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consent of the Borrower shall be required if an Event of Default has occurred and is continuing;</w:t>
      </w:r>
    </w:p>
    <w:p>
      <w:pPr>
        <w:spacing w:after="0" w:line="142" w:lineRule="exact"/>
        <w:rPr>
          <w:rFonts w:ascii="Arial" w:cs="Arial" w:eastAsia="Arial" w:hAnsi="Arial"/>
          <w:sz w:val="22"/>
          <w:szCs w:val="22"/>
          <w:color w:val="auto"/>
        </w:rPr>
      </w:pPr>
    </w:p>
    <w:p>
      <w:pPr>
        <w:ind w:left="1300" w:firstLine="1300"/>
        <w:spacing w:after="0" w:line="263" w:lineRule="auto"/>
        <w:tabs>
          <w:tab w:leader="none" w:pos="3211" w:val="left"/>
        </w:tabs>
        <w:numPr>
          <w:ilvl w:val="2"/>
          <w:numId w:val="560"/>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20" w:lineRule="exact"/>
        <w:rPr>
          <w:rFonts w:ascii="Arial" w:cs="Arial" w:eastAsia="Arial" w:hAnsi="Arial"/>
          <w:sz w:val="22"/>
          <w:szCs w:val="22"/>
          <w:color w:val="auto"/>
        </w:rPr>
      </w:pPr>
    </w:p>
    <w:p>
      <w:pPr>
        <w:jc w:val="both"/>
        <w:ind w:left="1300" w:firstLine="1300"/>
        <w:spacing w:after="0" w:line="248" w:lineRule="auto"/>
        <w:tabs>
          <w:tab w:leader="none" w:pos="3169" w:val="left"/>
        </w:tabs>
        <w:numPr>
          <w:ilvl w:val="2"/>
          <w:numId w:val="560"/>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942" w:right="339" w:bottom="1440" w:gutter="0" w:footer="0" w:header="0"/>
        </w:sectPr>
      </w:pPr>
    </w:p>
    <w:bookmarkStart w:id="719" w:name="page720"/>
    <w:bookmarkEnd w:id="719"/>
    <w:p>
      <w:pPr>
        <w:jc w:val="both"/>
        <w:ind w:left="1300" w:firstLine="1300"/>
        <w:spacing w:after="0" w:line="297" w:lineRule="auto"/>
        <w:tabs>
          <w:tab w:leader="none" w:pos="3302" w:val="left"/>
        </w:tabs>
        <w:numPr>
          <w:ilvl w:val="0"/>
          <w:numId w:val="561"/>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respective securities) will be made available and who may receive such information in accordance with the assignee’s compliance procedures and applicable laws, including federal and state securities laws;</w:t>
      </w:r>
    </w:p>
    <w:p>
      <w:pPr>
        <w:spacing w:after="0" w:line="92" w:lineRule="exact"/>
        <w:rPr>
          <w:rFonts w:ascii="Arial" w:cs="Arial" w:eastAsia="Arial" w:hAnsi="Arial"/>
          <w:sz w:val="19"/>
          <w:szCs w:val="19"/>
          <w:color w:val="auto"/>
        </w:rPr>
      </w:pPr>
    </w:p>
    <w:p>
      <w:pPr>
        <w:ind w:left="1300" w:firstLine="1300"/>
        <w:spacing w:after="0" w:line="263" w:lineRule="auto"/>
        <w:tabs>
          <w:tab w:leader="none" w:pos="3088" w:val="left"/>
        </w:tabs>
        <w:numPr>
          <w:ilvl w:val="0"/>
          <w:numId w:val="561"/>
        </w:numPr>
        <w:rPr>
          <w:rFonts w:ascii="Arial" w:cs="Arial" w:eastAsia="Arial" w:hAnsi="Arial"/>
          <w:sz w:val="22"/>
          <w:szCs w:val="22"/>
          <w:color w:val="auto"/>
        </w:rPr>
      </w:pPr>
      <w:r>
        <w:rPr>
          <w:rFonts w:ascii="Arial" w:cs="Arial" w:eastAsia="Arial" w:hAnsi="Arial"/>
          <w:sz w:val="22"/>
          <w:szCs w:val="22"/>
          <w:color w:val="auto"/>
        </w:rPr>
        <w:t>assignments shall not be made to any Person who is a natural person or who is, or would upon the effectiveness of any such assignment become, a Defaulting Lender;</w:t>
      </w:r>
    </w:p>
    <w:p>
      <w:pPr>
        <w:spacing w:after="0" w:line="120" w:lineRule="exact"/>
        <w:rPr>
          <w:rFonts w:ascii="Arial" w:cs="Arial" w:eastAsia="Arial" w:hAnsi="Arial"/>
          <w:sz w:val="22"/>
          <w:szCs w:val="22"/>
          <w:color w:val="auto"/>
        </w:rPr>
      </w:pPr>
    </w:p>
    <w:p>
      <w:pPr>
        <w:ind w:left="3080" w:hanging="480"/>
        <w:spacing w:after="0"/>
        <w:tabs>
          <w:tab w:leader="none" w:pos="3080" w:val="left"/>
        </w:tabs>
        <w:numPr>
          <w:ilvl w:val="0"/>
          <w:numId w:val="561"/>
        </w:numPr>
        <w:rPr>
          <w:rFonts w:ascii="Arial" w:cs="Arial" w:eastAsia="Arial" w:hAnsi="Arial"/>
          <w:sz w:val="19"/>
          <w:szCs w:val="19"/>
          <w:color w:val="auto"/>
        </w:rPr>
      </w:pPr>
      <w:r>
        <w:rPr>
          <w:rFonts w:ascii="Arial" w:cs="Arial" w:eastAsia="Arial" w:hAnsi="Arial"/>
          <w:sz w:val="19"/>
          <w:szCs w:val="19"/>
          <w:color w:val="auto"/>
        </w:rPr>
        <w:t>assignments shall not be made to the Borrower or any Subsidiary or Affiliate of the Borrower;</w:t>
      </w:r>
    </w:p>
    <w:p>
      <w:pPr>
        <w:spacing w:after="0" w:line="5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47" w:lineRule="exact"/>
        <w:rPr>
          <w:rFonts w:ascii="Arial" w:cs="Arial" w:eastAsia="Arial" w:hAnsi="Arial"/>
          <w:sz w:val="19"/>
          <w:szCs w:val="19"/>
          <w:color w:val="auto"/>
        </w:rPr>
      </w:pPr>
    </w:p>
    <w:p>
      <w:pPr>
        <w:ind w:left="3120" w:hanging="520"/>
        <w:spacing w:after="0"/>
        <w:tabs>
          <w:tab w:leader="none" w:pos="3120" w:val="left"/>
        </w:tabs>
        <w:numPr>
          <w:ilvl w:val="0"/>
          <w:numId w:val="561"/>
        </w:numPr>
        <w:rPr>
          <w:rFonts w:ascii="Arial" w:cs="Arial" w:eastAsia="Arial" w:hAnsi="Arial"/>
          <w:sz w:val="22"/>
          <w:szCs w:val="22"/>
          <w:color w:val="auto"/>
        </w:rPr>
      </w:pPr>
      <w:r>
        <w:rPr>
          <w:rFonts w:ascii="Arial" w:cs="Arial" w:eastAsia="Arial" w:hAnsi="Arial"/>
          <w:sz w:val="22"/>
          <w:szCs w:val="22"/>
          <w:color w:val="auto"/>
        </w:rPr>
        <w:t>assignments shall not be made to Disqualified Lenders.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the purposes of this Section 9.04(b),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4" w:lineRule="exact"/>
        <w:rPr>
          <w:sz w:val="20"/>
          <w:szCs w:val="20"/>
          <w:color w:val="auto"/>
        </w:rPr>
      </w:pPr>
    </w:p>
    <w:p>
      <w:pPr>
        <w:jc w:val="both"/>
        <w:ind w:left="660" w:firstLine="1292"/>
        <w:spacing w:after="0" w:line="287" w:lineRule="auto"/>
        <w:tabs>
          <w:tab w:leader="none" w:pos="2541" w:val="left"/>
        </w:tabs>
        <w:numPr>
          <w:ilvl w:val="0"/>
          <w:numId w:val="562"/>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the extent permitted by applicable law, to be entitled to the benefits of Section 2.16, Section 2.18 and Section 9.03 with respect to facts and circumstances occurring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09" w:lineRule="exact"/>
        <w:rPr>
          <w:rFonts w:ascii="Arial" w:cs="Arial" w:eastAsia="Arial" w:hAnsi="Arial"/>
          <w:sz w:val="19"/>
          <w:szCs w:val="19"/>
          <w:color w:val="auto"/>
        </w:rPr>
      </w:pPr>
    </w:p>
    <w:p>
      <w:pPr>
        <w:jc w:val="both"/>
        <w:ind w:left="660" w:firstLine="1292"/>
        <w:spacing w:after="0" w:line="248" w:lineRule="auto"/>
        <w:tabs>
          <w:tab w:leader="none" w:pos="2561" w:val="left"/>
        </w:tabs>
        <w:numPr>
          <w:ilvl w:val="0"/>
          <w:numId w:val="562"/>
        </w:numPr>
        <w:rPr>
          <w:rFonts w:ascii="Arial" w:cs="Arial" w:eastAsia="Arial" w:hAnsi="Arial"/>
          <w:sz w:val="22"/>
          <w:szCs w:val="22"/>
          <w:color w:val="auto"/>
        </w:rPr>
      </w:pPr>
      <w:r>
        <w:rPr>
          <w:rFonts w:ascii="Arial" w:cs="Arial" w:eastAsia="Arial" w:hAnsi="Arial"/>
          <w:sz w:val="22"/>
          <w:szCs w:val="22"/>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amounts (and stated interest) of the Loans owing to, each Lender pursuant to the terms hereof from time to time (the “</w:t>
      </w:r>
      <w:r>
        <w:rPr>
          <w:rFonts w:ascii="Arial" w:cs="Arial" w:eastAsia="Arial" w:hAnsi="Arial"/>
          <w:sz w:val="22"/>
          <w:szCs w:val="22"/>
          <w:u w:val="single" w:color="auto"/>
          <w:color w:val="auto"/>
        </w:rPr>
        <w:t>Register</w:t>
      </w:r>
      <w:r>
        <w:rPr>
          <w:rFonts w:ascii="Arial" w:cs="Arial" w:eastAsia="Arial" w:hAnsi="Arial"/>
          <w:sz w:val="22"/>
          <w:szCs w:val="22"/>
          <w:color w:val="auto"/>
        </w:rPr>
        <w:t>”). The entries in the Register shall be conclusive absent manifest error, and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942" w:right="339" w:bottom="1440" w:gutter="0" w:footer="0" w:header="0"/>
        </w:sectPr>
      </w:pPr>
    </w:p>
    <w:bookmarkStart w:id="720" w:name="page721"/>
    <w:bookmarkEnd w:id="720"/>
    <w:p>
      <w:pPr>
        <w:jc w:val="both"/>
        <w:spacing w:after="0" w:line="250" w:lineRule="auto"/>
        <w:rPr>
          <w:sz w:val="20"/>
          <w:szCs w:val="20"/>
          <w:color w:val="auto"/>
        </w:rPr>
      </w:pPr>
      <w:r>
        <w:rPr>
          <w:rFonts w:ascii="Arial" w:cs="Arial" w:eastAsia="Arial" w:hAnsi="Arial"/>
          <w:sz w:val="22"/>
          <w:szCs w:val="22"/>
          <w:color w:val="auto"/>
        </w:rPr>
        <w:t>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34" w:lineRule="exact"/>
        <w:rPr>
          <w:sz w:val="20"/>
          <w:szCs w:val="20"/>
          <w:color w:val="auto"/>
        </w:rPr>
      </w:pPr>
    </w:p>
    <w:p>
      <w:pPr>
        <w:jc w:val="both"/>
        <w:ind w:firstLine="1292"/>
        <w:spacing w:after="0" w:line="287" w:lineRule="auto"/>
        <w:tabs>
          <w:tab w:leader="none" w:pos="1893" w:val="left"/>
        </w:tabs>
        <w:numPr>
          <w:ilvl w:val="0"/>
          <w:numId w:val="563"/>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2.05(d), 2.07(b), Section 2.19(d) or Section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04" w:lineRule="exact"/>
        <w:rPr>
          <w:rFonts w:ascii="Arial" w:cs="Arial" w:eastAsia="Arial" w:hAnsi="Arial"/>
          <w:sz w:val="19"/>
          <w:szCs w:val="19"/>
          <w:color w:val="auto"/>
        </w:rPr>
      </w:pPr>
    </w:p>
    <w:p>
      <w:pPr>
        <w:jc w:val="both"/>
        <w:ind w:firstLine="1292"/>
        <w:spacing w:after="0" w:line="285" w:lineRule="auto"/>
        <w:tabs>
          <w:tab w:leader="none" w:pos="1831" w:val="left"/>
        </w:tabs>
        <w:numPr>
          <w:ilvl w:val="0"/>
          <w:numId w:val="563"/>
        </w:numPr>
        <w:rPr>
          <w:rFonts w:ascii="Arial" w:cs="Arial" w:eastAsia="Arial" w:hAnsi="Arial"/>
          <w:sz w:val="19"/>
          <w:szCs w:val="19"/>
          <w:color w:val="auto"/>
        </w:rPr>
      </w:pPr>
      <w:r>
        <w:rPr>
          <w:rFonts w:ascii="Arial" w:cs="Arial" w:eastAsia="Arial" w:hAnsi="Arial"/>
          <w:sz w:val="19"/>
          <w:szCs w:val="19"/>
          <w:color w:val="auto"/>
        </w:rPr>
        <w:t>Any Lender may, without the consent of, or notice to, the Borrower, the Administrative Agent or the Swingline Lender,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Lender’s obligations under this Agreement shall remain unchanged, (2) such Lender shall remain solely responsible to the other parties hereto for the performance of such obligations, (3) the Borrower, the Administrative Agent and the other Lenders shall continue to deal solely and directly with such Lender in connection with such Lender’s rights and obligations under this Agreement and (4) no participation shall be sold to a Defaulting Lender, any natural person, any Disqualified Lender, the Borrower or any Subsidiary or Affiliate of the Borrower.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Section 9.02(b) that directly affects such Participant. The Borrower agrees that, to the extent permitted by applicable law, each Participant shall be entitled to the benefits of Section 2.16 and Section 2.18 (subject to the requirements and limitations therein, including the requirements under Section 2.18(f) (it being understood that the documentation required under Section 2.18(f) shall be delivered to the participating Lender)) to the same extent as if it were a Lender and had acquired its interest by assignment pursuant to paragraph (b)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w:t>
      </w:r>
    </w:p>
    <w:p>
      <w:pPr>
        <w:spacing w:after="0" w:line="200" w:lineRule="exact"/>
        <w:rPr>
          <w:sz w:val="20"/>
          <w:szCs w:val="20"/>
          <w:color w:val="auto"/>
        </w:rPr>
      </w:pPr>
    </w:p>
    <w:p>
      <w:pPr>
        <w:spacing w:after="0" w:line="30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0580"/>
          </w:cols>
          <w:pgMar w:left="980" w:top="942" w:right="339" w:bottom="1440" w:gutter="0" w:footer="0" w:header="0"/>
        </w:sectPr>
      </w:pPr>
    </w:p>
    <w:bookmarkStart w:id="721" w:name="page722"/>
    <w:bookmarkEnd w:id="721"/>
    <w:p>
      <w:pPr>
        <w:jc w:val="both"/>
        <w:ind w:left="660"/>
        <w:spacing w:after="0" w:line="285" w:lineRule="auto"/>
        <w:rPr>
          <w:sz w:val="20"/>
          <w:szCs w:val="20"/>
          <w:color w:val="auto"/>
        </w:rPr>
      </w:pPr>
      <w:r>
        <w:rPr>
          <w:rFonts w:ascii="Arial" w:cs="Arial" w:eastAsia="Arial" w:hAnsi="Arial"/>
          <w:sz w:val="19"/>
          <w:szCs w:val="19"/>
          <w:color w:val="auto"/>
        </w:rPr>
        <w:t>Section 2.20 as if it were an assignee under paragraph (b) of this Section; and (B) shall not be entitled to receive any greater payment under Section 2.16 or Section 2.18, with respect to any participation, than its participating Lender would have been entitled to receive, except to the extent such entitlement to receive a greater payment results from any Change in Law made subsequent to the Effective Date that occurs after the Participant acquired the applicable participation. Each Lender that sells a participation agrees, at the Borrower’s request and expense, to use reasonable efforts to cooperate with the Borrower to effectuate the provisions of Section 2.20(b) with respect to any Participant. To the extent permitted by law, each Participant also shall be entitled to the benefits of Section 9.08 as though it were a Lender, provided such Participant agrees to be subject to Section 2.19(c)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Credit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Credit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6" w:lineRule="exact"/>
        <w:rPr>
          <w:sz w:val="20"/>
          <w:szCs w:val="20"/>
          <w:color w:val="auto"/>
        </w:rPr>
      </w:pPr>
    </w:p>
    <w:p>
      <w:pPr>
        <w:jc w:val="both"/>
        <w:ind w:firstLine="1304"/>
        <w:spacing w:after="0" w:line="247" w:lineRule="auto"/>
        <w:tabs>
          <w:tab w:leader="none" w:pos="1781" w:val="left"/>
        </w:tabs>
        <w:numPr>
          <w:ilvl w:val="0"/>
          <w:numId w:val="564"/>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(other than to a Disqualified Lender) to secure obligations of such Lender, including any pledge or assignment to secure obligations to a Federal Reserve Bank or other central bank having jurisdiction over such Lender,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38" w:lineRule="exact"/>
        <w:rPr>
          <w:rFonts w:ascii="Arial" w:cs="Arial" w:eastAsia="Arial" w:hAnsi="Arial"/>
          <w:sz w:val="22"/>
          <w:szCs w:val="22"/>
          <w:color w:val="auto"/>
        </w:rPr>
      </w:pPr>
    </w:p>
    <w:p>
      <w:pPr>
        <w:ind w:firstLine="1304"/>
        <w:spacing w:after="0" w:line="287" w:lineRule="auto"/>
        <w:tabs>
          <w:tab w:leader="none" w:pos="1848" w:val="left"/>
        </w:tabs>
        <w:numPr>
          <w:ilvl w:val="0"/>
          <w:numId w:val="564"/>
        </w:numPr>
        <w:rPr>
          <w:rFonts w:ascii="Arial" w:cs="Arial" w:eastAsia="Arial" w:hAnsi="Arial"/>
          <w:sz w:val="21"/>
          <w:szCs w:val="21"/>
          <w:color w:val="auto"/>
        </w:rPr>
      </w:pPr>
      <w:r>
        <w:rPr>
          <w:rFonts w:ascii="Arial" w:cs="Arial" w:eastAsia="Arial" w:hAnsi="Arial"/>
          <w:sz w:val="21"/>
          <w:szCs w:val="21"/>
          <w:color w:val="auto"/>
        </w:rPr>
        <w:t>Each assignee, by its execution and delivery of an Assignment and Assumption, shall be deemed to have represented to the assigning Lender and the Administrative Agent that such assignee is not a Disqualified Lender.</w:t>
      </w:r>
    </w:p>
    <w:p>
      <w:pPr>
        <w:spacing w:after="0" w:line="97" w:lineRule="exact"/>
        <w:rPr>
          <w:rFonts w:ascii="Arial" w:cs="Arial" w:eastAsia="Arial" w:hAnsi="Arial"/>
          <w:sz w:val="21"/>
          <w:szCs w:val="21"/>
          <w:color w:val="auto"/>
        </w:rPr>
      </w:pPr>
    </w:p>
    <w:p>
      <w:pPr>
        <w:jc w:val="both"/>
        <w:ind w:firstLine="1304"/>
        <w:spacing w:after="0" w:line="261" w:lineRule="auto"/>
        <w:tabs>
          <w:tab w:leader="none" w:pos="1881" w:val="left"/>
        </w:tabs>
        <w:numPr>
          <w:ilvl w:val="0"/>
          <w:numId w:val="564"/>
        </w:numPr>
        <w:rPr>
          <w:rFonts w:ascii="Arial" w:cs="Arial" w:eastAsia="Arial" w:hAnsi="Arial"/>
          <w:sz w:val="21"/>
          <w:szCs w:val="21"/>
          <w:color w:val="auto"/>
        </w:rPr>
      </w:pPr>
      <w:r>
        <w:rPr>
          <w:rFonts w:ascii="Arial" w:cs="Arial" w:eastAsia="Arial" w:hAnsi="Arial"/>
          <w:sz w:val="21"/>
          <w:szCs w:val="21"/>
          <w:color w:val="auto"/>
        </w:rPr>
        <w:t>Notwithstanding anything to the contrary herein, the Administrative Agent shall not (x) be obligated to ascertain, monitor or inquire as to whether any Lender or participant or prospective Lender or participant is a Disqualified Lender or enforce compliance with the provisions relating to Disqualified Lenders herein or (y) have any liability with respect to or arising out of any assignment or participation of Revolving Loans and commitments under this Agreement, or disclosure of confidential information, to any Disqualified Lender. The parties hereto expressly agree that the list of Disqualified Lenders shall be made available to any Lender or prospective assignee or participant.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942" w:right="339" w:bottom="1440" w:gutter="0" w:footer="0" w:header="0"/>
        </w:sectPr>
      </w:pPr>
    </w:p>
    <w:bookmarkStart w:id="722" w:name="page723"/>
    <w:bookmarkEnd w:id="722"/>
    <w:p>
      <w:pPr>
        <w:jc w:val="both"/>
        <w:ind w:firstLine="1296"/>
        <w:spacing w:after="0" w:line="273"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Borrower herein and in the other Credit Documents and in the certificates or other instruments delivered in connection with or pursuant to this Agreement or any other Credit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 2.16, Section 2.18 and Section 9.03 and Article VIII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6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 (a) This Agreement and the other Credit Documents may each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and each other Credit Document shall become effective when it shall have been executed by the Administrative Agent and when the Administrative Agent shall have received counterparts hereof and thereof, as applicable, which, when taken together, bear the signatures of each of the other parties hereto and thereto, as applicable, and thereafter shall be binding upon and inure to the benefit of the parties hereto and thereto, as applicable, and their respective successors and assigns.</w:t>
      </w:r>
    </w:p>
    <w:p>
      <w:pPr>
        <w:spacing w:after="0" w:line="51" w:lineRule="exact"/>
        <w:rPr>
          <w:sz w:val="20"/>
          <w:szCs w:val="20"/>
          <w:color w:val="auto"/>
        </w:rPr>
      </w:pPr>
    </w:p>
    <w:p>
      <w:pPr>
        <w:jc w:val="both"/>
        <w:ind w:firstLine="1304"/>
        <w:spacing w:after="0" w:line="286" w:lineRule="auto"/>
        <w:tabs>
          <w:tab w:leader="none" w:pos="1950" w:val="left"/>
        </w:tabs>
        <w:numPr>
          <w:ilvl w:val="0"/>
          <w:numId w:val="565"/>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Credit Document and/or (z) any document, amendment, approval, consent, information, notice (including, for the avoidance of doubt, any notice delivered pursuant to Section 9.01), certificate, request, statement, disclosure or authorization related to this Agreement, any other Credit Document and/or the transactions contemplated hereby and/or thereby (each an “</w:t>
      </w:r>
      <w:r>
        <w:rPr>
          <w:rFonts w:ascii="Arial" w:cs="Arial" w:eastAsia="Arial" w:hAnsi="Arial"/>
          <w:sz w:val="19"/>
          <w:szCs w:val="19"/>
          <w:u w:val="single" w:color="auto"/>
          <w:color w:val="auto"/>
        </w:rPr>
        <w:t>Ancillary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or any other such Credit Document or such Ancillary Document, as applicable. The words “execution,” “signed,” “signature,” “delivery,” and words of like import in or relating to any document to be signed in connection with this Agreement, the transactions contemplated hereby or thereby,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929" w:right="339" w:bottom="1440" w:gutter="0" w:footer="0" w:header="0"/>
        </w:sectPr>
      </w:pPr>
    </w:p>
    <w:bookmarkStart w:id="723" w:name="page724"/>
    <w:bookmarkEnd w:id="723"/>
    <w:p>
      <w:pPr>
        <w:jc w:val="both"/>
        <w:spacing w:after="0" w:line="284" w:lineRule="auto"/>
        <w:rPr>
          <w:sz w:val="20"/>
          <w:szCs w:val="20"/>
          <w:color w:val="auto"/>
        </w:rPr>
      </w:pPr>
      <w:r>
        <w:rPr>
          <w:rFonts w:ascii="Arial" w:cs="Arial" w:eastAsia="Arial" w:hAnsi="Arial"/>
          <w:sz w:val="19"/>
          <w:szCs w:val="19"/>
          <w:color w:val="auto"/>
        </w:rPr>
        <w:t>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the Administrative Agent, any Lead Arranger, the Syndication Agent and any Lender, and any Related Party of any of the foregoing Persons for any all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374"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2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Right of Set off</w:t>
      </w:r>
      <w:r>
        <w:rPr>
          <w:rFonts w:ascii="Arial" w:cs="Arial" w:eastAsia="Arial" w:hAnsi="Arial"/>
          <w:sz w:val="21"/>
          <w:szCs w:val="21"/>
          <w:color w:val="auto"/>
        </w:rPr>
        <w:t>.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or any such Affiliate to or for the credit or the account of the Borrower against any of and all the obligations of the Borrower now or hereafter existing under this Agreement or any other Credit Document held by such Lender or their respective Affiliates, irrespective of whether or not such Lender or such Affiliate shall have made any demand under this Agreement or any other Credit Document and although such obligations may be contingent, unmatured or are owed to a branch office or Affiliate of such Lender different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942" w:right="339" w:bottom="1440" w:gutter="0" w:footer="0" w:header="0"/>
        </w:sectPr>
      </w:pPr>
    </w:p>
    <w:bookmarkStart w:id="724" w:name="page725"/>
    <w:bookmarkEnd w:id="724"/>
    <w:p>
      <w:pPr>
        <w:jc w:val="both"/>
        <w:spacing w:after="0" w:line="258" w:lineRule="auto"/>
        <w:rPr>
          <w:sz w:val="20"/>
          <w:szCs w:val="20"/>
          <w:color w:val="auto"/>
        </w:rPr>
      </w:pPr>
      <w:r>
        <w:rPr>
          <w:rFonts w:ascii="Arial" w:cs="Arial" w:eastAsia="Arial" w:hAnsi="Arial"/>
          <w:sz w:val="21"/>
          <w:szCs w:val="21"/>
          <w:color w:val="auto"/>
        </w:rPr>
        <w:t xml:space="preserve">from the branch office or Affiliate holding such deposit or obligated on such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3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(a) THIS AGREEMENT AND EACH OTHER CREDIT DOCUMENT SHALL BE CONSTRUED IN ACCORDANCE WITH AND GOVERNED BY THE LAW OF THE STATE OF NEW YORK.</w:t>
      </w:r>
    </w:p>
    <w:p>
      <w:pPr>
        <w:spacing w:after="0" w:line="131" w:lineRule="exact"/>
        <w:rPr>
          <w:sz w:val="20"/>
          <w:szCs w:val="20"/>
          <w:color w:val="auto"/>
        </w:rPr>
      </w:pPr>
    </w:p>
    <w:p>
      <w:pPr>
        <w:jc w:val="both"/>
        <w:ind w:firstLine="1304"/>
        <w:spacing w:after="0" w:line="248" w:lineRule="auto"/>
        <w:tabs>
          <w:tab w:leader="none" w:pos="1910" w:val="left"/>
        </w:tabs>
        <w:numPr>
          <w:ilvl w:val="0"/>
          <w:numId w:val="566"/>
        </w:numPr>
        <w:rPr>
          <w:rFonts w:ascii="Arial" w:cs="Arial" w:eastAsia="Arial" w:hAnsi="Arial"/>
          <w:sz w:val="22"/>
          <w:szCs w:val="22"/>
          <w:color w:val="auto"/>
        </w:rPr>
      </w:pPr>
      <w:r>
        <w:rPr>
          <w:rFonts w:ascii="Arial" w:cs="Arial" w:eastAsia="Arial" w:hAnsi="Arial"/>
          <w:sz w:val="22"/>
          <w:szCs w:val="22"/>
          <w:color w:val="auto"/>
        </w:rPr>
        <w:t>Each of the Lenders and the Administrative Agent hereby irrevocably and unconditionally agrees that, notwithstanding the governing law provisions of any applicable Credit Document, any claims brought against the Administrative Agent by any Secured Party relating to this Agreement, any other Credit Document, the Collateral or the consummation or administration of the transactions contemplated hereby or thereby shall be construed in accordance with and governed by the law of the State of New York.</w:t>
      </w:r>
    </w:p>
    <w:p>
      <w:pPr>
        <w:spacing w:after="0" w:line="137" w:lineRule="exact"/>
        <w:rPr>
          <w:rFonts w:ascii="Arial" w:cs="Arial" w:eastAsia="Arial" w:hAnsi="Arial"/>
          <w:sz w:val="22"/>
          <w:szCs w:val="22"/>
          <w:color w:val="auto"/>
        </w:rPr>
      </w:pPr>
    </w:p>
    <w:p>
      <w:pPr>
        <w:jc w:val="both"/>
        <w:ind w:firstLine="1304"/>
        <w:spacing w:after="0" w:line="287" w:lineRule="auto"/>
        <w:tabs>
          <w:tab w:leader="none" w:pos="1803" w:val="left"/>
        </w:tabs>
        <w:numPr>
          <w:ilvl w:val="0"/>
          <w:numId w:val="566"/>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the other Credit Documents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against the Borrower or its properties in the courts of any jurisdiction.</w:t>
      </w:r>
    </w:p>
    <w:p>
      <w:pPr>
        <w:spacing w:after="0" w:line="104" w:lineRule="exact"/>
        <w:rPr>
          <w:rFonts w:ascii="Arial" w:cs="Arial" w:eastAsia="Arial" w:hAnsi="Arial"/>
          <w:sz w:val="19"/>
          <w:szCs w:val="19"/>
          <w:color w:val="auto"/>
        </w:rPr>
      </w:pPr>
    </w:p>
    <w:p>
      <w:pPr>
        <w:jc w:val="both"/>
        <w:ind w:firstLine="1304"/>
        <w:spacing w:after="0" w:line="312" w:lineRule="auto"/>
        <w:tabs>
          <w:tab w:leader="none" w:pos="1791" w:val="left"/>
        </w:tabs>
        <w:numPr>
          <w:ilvl w:val="0"/>
          <w:numId w:val="566"/>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Credit Documents in any court referred to in paragraph (c) of this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942" w:right="339" w:bottom="1440" w:gutter="0" w:footer="0" w:header="0"/>
        </w:sectPr>
      </w:pPr>
    </w:p>
    <w:bookmarkStart w:id="725" w:name="page726"/>
    <w:bookmarkEnd w:id="725"/>
    <w:p>
      <w:pPr>
        <w:spacing w:after="0" w:line="263" w:lineRule="auto"/>
        <w:rPr>
          <w:sz w:val="20"/>
          <w:szCs w:val="20"/>
          <w:color w:val="auto"/>
        </w:rPr>
      </w:pPr>
      <w:r>
        <w:rPr>
          <w:rFonts w:ascii="Arial" w:cs="Arial" w:eastAsia="Arial" w:hAnsi="Arial"/>
          <w:sz w:val="22"/>
          <w:szCs w:val="22"/>
          <w:color w:val="auto"/>
        </w:rPr>
        <w:t>Section. Each of the parties hereto hereby irrevocably waives, to the fullest extent permitted by law, the defense of an inconvenient forum to the maintenance of such action or proceeding in any such court.</w:t>
      </w:r>
    </w:p>
    <w:p>
      <w:pPr>
        <w:spacing w:after="0" w:line="121" w:lineRule="exact"/>
        <w:rPr>
          <w:sz w:val="20"/>
          <w:szCs w:val="20"/>
          <w:color w:val="auto"/>
        </w:rPr>
      </w:pPr>
    </w:p>
    <w:p>
      <w:pPr>
        <w:jc w:val="both"/>
        <w:ind w:firstLine="1304"/>
        <w:spacing w:after="0" w:line="253" w:lineRule="auto"/>
        <w:tabs>
          <w:tab w:leader="none" w:pos="1757" w:val="left"/>
        </w:tabs>
        <w:numPr>
          <w:ilvl w:val="0"/>
          <w:numId w:val="567"/>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9.01. Nothing in this Agreement or the other Credit Documents will affect the right of any party to this Agreement to serve process in any other manner permitted by law.</w:t>
      </w:r>
    </w:p>
    <w:p>
      <w:pPr>
        <w:spacing w:after="0" w:line="13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UNCONDITIONALLY WAIVES, TO THE FULLEST EXTENT PERMITTED BY APPLICABLE LAW, ANY RIGHT IT MAY HAVE TO A TRIAL BY JURY IN ANY LEGAL PROCEEDING DIRECTLY OR INDIRECTLY ARISING OUT OF OR RELATING TO THIS AGREEMENT, THE OTHER CREDIT DOCUMENTS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(a) Each of the Administrative Agent and the Lenders agree to maintain the confidentiality of the Information (as defined below), except that Information may be disclosed by the Administrative Agent or the Lenders (i) to its Affiliates and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regulatory authority (including any self-regulatory authority) or other governmental authority purporting to have jurisdiction over the Administrative Agent or the Lenders, or their respective Affiliates (in which case the Administrative Agent or the Lender, or their respective Affiliates, as applicable, shall, except with respect to any audit or examination conducted by bank accountants or any self-regulatory, governmental or other regulatory authority exercising examination or regulatory authority, promptly notify the Borrower, in advance, to the extent permitted by applicable law, rule or regulation), (iii) to the extent required by applicable laws or regulations or by any subpoena, administrative proceeding, compulsory process or similar legal process (in which case the Administrative Agent or the Lender, or their respective Affiliates, as applicable, shall, except with respect to any audit or examination conducted by bank accountants or any self-regulatory, governmental or other regulatory authority exercising examination or regulatory authority, promptly notify the Borrower, in advance, to the extent permitted by applicable law, rule or regulation), (iv) to any other party to this Agreement, (v) in connection with the exercise of any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942" w:right="339" w:bottom="1440" w:gutter="0" w:footer="0" w:header="0"/>
        </w:sectPr>
      </w:pPr>
    </w:p>
    <w:bookmarkStart w:id="726" w:name="page727"/>
    <w:bookmarkEnd w:id="726"/>
    <w:p>
      <w:pPr>
        <w:jc w:val="both"/>
        <w:spacing w:after="0" w:line="284" w:lineRule="auto"/>
        <w:rPr>
          <w:sz w:val="20"/>
          <w:szCs w:val="20"/>
          <w:color w:val="auto"/>
        </w:rPr>
      </w:pPr>
      <w:r>
        <w:rPr>
          <w:rFonts w:ascii="Arial" w:cs="Arial" w:eastAsia="Arial" w:hAnsi="Arial"/>
          <w:sz w:val="19"/>
          <w:szCs w:val="19"/>
          <w:color w:val="auto"/>
        </w:rPr>
        <w:t>remedies hereunder, under any Credit Document or any suit, action or proceeding relating to this Agreement or the enforcement of rights hereunder or under any Credit Document (with respect to litigation brought by any Person other than the Administrative Agent, the Borrower or any Lender, after the Borrower shall have had notice thereof and the opportunity to seek a protective order or other appropriate remedy with respect thereto), (vi) subject to an agreement containing provisions no less restrictive than those of this Section to (1) any assignee of or Participant in, or any prospective assignee of or Participant in, any of its rights or obligations under this Agreement or (2) any actual or prospective counterparty (or its advisors) to any swap or derivative transaction relating to the Borrower and its obligations, (vii)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(viii) with the consent of the Borrower, (ix) for purposes of establishing a “due diligence” defense, (x) solely with respect to the cover page to this Agreement and the Borrower and size of the credit facility under this Agreement, to market data collectors, such as league table, or other service providers to the lending industry, (xi) to rating agencies in connection with the ratings of the Lead Arrangers or (xii) to the extent such Information (A) becomes publicly available other than as a result of a breach of this Section or (B) becomes available to the Administrative Agent or any Lender on a nonconfidential basis from a source other than the Borrower.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 or its designees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74" w:lineRule="exact"/>
        <w:rPr>
          <w:sz w:val="20"/>
          <w:szCs w:val="20"/>
          <w:color w:val="auto"/>
        </w:rPr>
      </w:pPr>
    </w:p>
    <w:p>
      <w:pPr>
        <w:ind w:left="2000" w:hanging="696"/>
        <w:spacing w:after="0"/>
        <w:tabs>
          <w:tab w:leader="none" w:pos="2000" w:val="left"/>
        </w:tabs>
        <w:numPr>
          <w:ilvl w:val="0"/>
          <w:numId w:val="568"/>
        </w:numPr>
        <w:rPr>
          <w:rFonts w:ascii="Arial" w:cs="Arial" w:eastAsia="Arial" w:hAnsi="Arial"/>
          <w:sz w:val="22"/>
          <w:szCs w:val="22"/>
          <w:color w:val="auto"/>
        </w:rPr>
      </w:pPr>
      <w:r>
        <w:rPr>
          <w:rFonts w:ascii="Arial" w:cs="Arial" w:eastAsia="Arial" w:hAnsi="Arial"/>
          <w:sz w:val="22"/>
          <w:szCs w:val="22"/>
          <w:color w:val="auto"/>
        </w:rPr>
        <w:t>EACH LENDER ACKNOWLEDGES THAT INFORMATION AS DEFINED IN SECTION 9.12(a)</w:t>
      </w:r>
    </w:p>
    <w:p>
      <w:pPr>
        <w:spacing w:after="0" w:line="21" w:lineRule="exact"/>
        <w:rPr>
          <w:rFonts w:ascii="Arial" w:cs="Arial" w:eastAsia="Arial" w:hAnsi="Arial"/>
          <w:sz w:val="22"/>
          <w:szCs w:val="22"/>
          <w:color w:val="auto"/>
        </w:rPr>
      </w:pPr>
    </w:p>
    <w:p>
      <w:pPr>
        <w:jc w:val="both"/>
        <w:spacing w:after="0" w:line="244" w:lineRule="auto"/>
        <w:rPr>
          <w:rFonts w:ascii="Arial" w:cs="Arial" w:eastAsia="Arial" w:hAnsi="Arial"/>
          <w:sz w:val="22"/>
          <w:szCs w:val="22"/>
          <w:color w:val="auto"/>
        </w:rPr>
      </w:pPr>
      <w:r>
        <w:rPr>
          <w:rFonts w:ascii="Arial" w:cs="Arial" w:eastAsia="Arial" w:hAnsi="Arial"/>
          <w:sz w:val="22"/>
          <w:szCs w:val="22"/>
          <w:color w:val="auto"/>
        </w:rPr>
        <w:t>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39" w:lineRule="exact"/>
        <w:rPr>
          <w:rFonts w:ascii="Arial" w:cs="Arial" w:eastAsia="Arial" w:hAnsi="Arial"/>
          <w:sz w:val="22"/>
          <w:szCs w:val="22"/>
          <w:color w:val="auto"/>
        </w:rPr>
      </w:pPr>
    </w:p>
    <w:p>
      <w:pPr>
        <w:jc w:val="both"/>
        <w:ind w:firstLine="1304"/>
        <w:spacing w:after="0" w:line="248" w:lineRule="auto"/>
        <w:tabs>
          <w:tab w:leader="none" w:pos="1794" w:val="left"/>
        </w:tabs>
        <w:numPr>
          <w:ilvl w:val="0"/>
          <w:numId w:val="568"/>
        </w:numPr>
        <w:rPr>
          <w:rFonts w:ascii="Arial" w:cs="Arial" w:eastAsia="Arial" w:hAnsi="Arial"/>
          <w:sz w:val="22"/>
          <w:szCs w:val="22"/>
          <w:color w:val="auto"/>
        </w:rPr>
      </w:pPr>
      <w:r>
        <w:rPr>
          <w:rFonts w:ascii="Arial" w:cs="Arial" w:eastAsia="Arial" w:hAnsi="Arial"/>
          <w:sz w:val="22"/>
          <w:szCs w:val="2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942" w:right="339" w:bottom="1440" w:gutter="0" w:footer="0" w:header="0"/>
        </w:sectPr>
      </w:pPr>
    </w:p>
    <w:bookmarkStart w:id="727" w:name="page728"/>
    <w:bookmarkEnd w:id="727"/>
    <w:p>
      <w:pPr>
        <w:jc w:val="both"/>
        <w:spacing w:after="0" w:line="271" w:lineRule="auto"/>
        <w:rPr>
          <w:sz w:val="20"/>
          <w:szCs w:val="20"/>
          <w:color w:val="auto"/>
        </w:rPr>
      </w:pPr>
      <w:r>
        <w:rPr>
          <w:rFonts w:ascii="Arial" w:cs="Arial" w:eastAsia="Arial" w:hAnsi="Arial"/>
          <w:sz w:val="21"/>
          <w:szCs w:val="21"/>
          <w:color w:val="auto"/>
        </w:rPr>
        <w:t>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1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0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that is subject to the requirements of the USA PATRIOT Act of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hereby notifies the Borrower that pursuant to the requirements of the Patriot Act and the Beneficial Ownership Regulation, such Lender may be required to obtain, verify and record information that identifies the Borrower, which information includes the name and address of the Borrower and other information that will allow such Lender to identify the Borrower in accordance with the Patriot Act and the Beneficial Ownership Regulation.</w:t>
      </w:r>
    </w:p>
    <w:p>
      <w:pPr>
        <w:spacing w:after="0" w:line="12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No Fiduciary Duty</w:t>
      </w:r>
      <w:r>
        <w:rPr>
          <w:rFonts w:ascii="Arial" w:cs="Arial" w:eastAsia="Arial" w:hAnsi="Arial"/>
          <w:sz w:val="19"/>
          <w:szCs w:val="19"/>
          <w:color w:val="auto"/>
        </w:rPr>
        <w:t>. (a) The Borrower acknowledges and agrees, and acknowledges its Subsidiaries’ understanding, that no Credit Party will have any obligations except those obligations expressly set forth herein and in the other Credit Documents and each Credit Party is acting solely in the capacity of an arm’s length contractual counterparty to the Borrower with respect to the Credit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Credit Documents, and the Credit Parties shall have no responsibility or liability to the Borrower with respect thereto.</w:t>
      </w:r>
    </w:p>
    <w:p>
      <w:pPr>
        <w:spacing w:after="0" w:line="109" w:lineRule="exact"/>
        <w:rPr>
          <w:sz w:val="20"/>
          <w:szCs w:val="20"/>
          <w:color w:val="auto"/>
        </w:rPr>
      </w:pPr>
    </w:p>
    <w:p>
      <w:pPr>
        <w:jc w:val="both"/>
        <w:ind w:firstLine="1304"/>
        <w:spacing w:after="0" w:line="263" w:lineRule="auto"/>
        <w:tabs>
          <w:tab w:leader="none" w:pos="1773" w:val="left"/>
        </w:tabs>
        <w:numPr>
          <w:ilvl w:val="0"/>
          <w:numId w:val="569"/>
        </w:numPr>
        <w:rPr>
          <w:rFonts w:ascii="Arial" w:cs="Arial" w:eastAsia="Arial" w:hAnsi="Arial"/>
          <w:sz w:val="21"/>
          <w:szCs w:val="21"/>
          <w:color w:val="auto"/>
        </w:rPr>
      </w:pPr>
      <w:r>
        <w:rPr>
          <w:rFonts w:ascii="Arial" w:cs="Arial" w:eastAsia="Arial" w:hAnsi="Arial"/>
          <w:sz w:val="21"/>
          <w:szCs w:val="21"/>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942" w:right="339" w:bottom="1440" w:gutter="0" w:footer="0" w:header="0"/>
        </w:sectPr>
      </w:pPr>
    </w:p>
    <w:bookmarkStart w:id="728" w:name="page729"/>
    <w:bookmarkEnd w:id="728"/>
    <w:p>
      <w:pPr>
        <w:jc w:val="both"/>
        <w:spacing w:after="0" w:line="250" w:lineRule="auto"/>
        <w:rPr>
          <w:sz w:val="20"/>
          <w:szCs w:val="20"/>
          <w:color w:val="auto"/>
        </w:rPr>
      </w:pPr>
      <w:r>
        <w:rPr>
          <w:rFonts w:ascii="Arial" w:cs="Arial" w:eastAsia="Arial" w:hAnsi="Arial"/>
          <w:sz w:val="22"/>
          <w:szCs w:val="22"/>
          <w:color w:val="auto"/>
        </w:rPr>
        <w:t>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34" w:lineRule="exact"/>
        <w:rPr>
          <w:sz w:val="20"/>
          <w:szCs w:val="20"/>
          <w:color w:val="auto"/>
        </w:rPr>
      </w:pPr>
    </w:p>
    <w:p>
      <w:pPr>
        <w:jc w:val="both"/>
        <w:ind w:firstLine="1304"/>
        <w:spacing w:after="0" w:line="290" w:lineRule="auto"/>
        <w:tabs>
          <w:tab w:leader="none" w:pos="1796" w:val="left"/>
        </w:tabs>
        <w:numPr>
          <w:ilvl w:val="0"/>
          <w:numId w:val="570"/>
        </w:numPr>
        <w:rPr>
          <w:rFonts w:ascii="Arial" w:cs="Arial" w:eastAsia="Arial" w:hAnsi="Arial"/>
          <w:sz w:val="19"/>
          <w:szCs w:val="19"/>
          <w:color w:val="auto"/>
        </w:rPr>
      </w:pPr>
      <w:r>
        <w:rPr>
          <w:rFonts w:ascii="Arial" w:cs="Arial" w:eastAsia="Arial" w:hAnsi="Arial"/>
          <w:sz w:val="19"/>
          <w:szCs w:val="19"/>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Credit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Credit Documents, or to furnish to the Borrower, confidential information obtained from other companies.</w:t>
      </w:r>
    </w:p>
    <w:p>
      <w:pPr>
        <w:spacing w:after="0" w:line="1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Credit 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w:t>
      </w:r>
    </w:p>
    <w:p>
      <w:pPr>
        <w:spacing w:after="0" w:line="138" w:lineRule="exact"/>
        <w:rPr>
          <w:sz w:val="20"/>
          <w:szCs w:val="20"/>
          <w:color w:val="auto"/>
        </w:rPr>
      </w:pPr>
    </w:p>
    <w:p>
      <w:pPr>
        <w:ind w:firstLine="1304"/>
        <w:spacing w:after="0" w:line="343" w:lineRule="auto"/>
        <w:tabs>
          <w:tab w:leader="none" w:pos="1772" w:val="left"/>
        </w:tabs>
        <w:numPr>
          <w:ilvl w:val="0"/>
          <w:numId w:val="57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50" w:lineRule="exact"/>
        <w:rPr>
          <w:rFonts w:ascii="Arial" w:cs="Arial" w:eastAsia="Arial" w:hAnsi="Arial"/>
          <w:sz w:val="19"/>
          <w:szCs w:val="19"/>
          <w:color w:val="auto"/>
        </w:rPr>
      </w:pPr>
    </w:p>
    <w:p>
      <w:pPr>
        <w:ind w:left="1780" w:hanging="476"/>
        <w:spacing w:after="0"/>
        <w:tabs>
          <w:tab w:leader="none" w:pos="1780" w:val="left"/>
        </w:tabs>
        <w:numPr>
          <w:ilvl w:val="0"/>
          <w:numId w:val="57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65" w:lineRule="exact"/>
        <w:rPr>
          <w:rFonts w:ascii="Arial" w:cs="Arial" w:eastAsia="Arial" w:hAnsi="Arial"/>
          <w:sz w:val="22"/>
          <w:szCs w:val="22"/>
          <w:color w:val="auto"/>
        </w:rPr>
      </w:pPr>
    </w:p>
    <w:p>
      <w:pPr>
        <w:ind w:left="2380" w:hanging="428"/>
        <w:spacing w:after="0"/>
        <w:tabs>
          <w:tab w:leader="none" w:pos="2380" w:val="left"/>
        </w:tabs>
        <w:numPr>
          <w:ilvl w:val="1"/>
          <w:numId w:val="57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65" w:lineRule="exact"/>
        <w:rPr>
          <w:rFonts w:ascii="Arial" w:cs="Arial" w:eastAsia="Arial" w:hAnsi="Arial"/>
          <w:sz w:val="22"/>
          <w:szCs w:val="22"/>
          <w:color w:val="auto"/>
        </w:rPr>
      </w:pPr>
    </w:p>
    <w:p>
      <w:pPr>
        <w:jc w:val="both"/>
        <w:ind w:left="660" w:firstLine="1292"/>
        <w:spacing w:after="0" w:line="250" w:lineRule="auto"/>
        <w:tabs>
          <w:tab w:leader="none" w:pos="2518" w:val="left"/>
        </w:tabs>
        <w:numPr>
          <w:ilvl w:val="1"/>
          <w:numId w:val="57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33" w:lineRule="exact"/>
        <w:rPr>
          <w:rFonts w:ascii="Arial" w:cs="Arial" w:eastAsia="Arial" w:hAnsi="Arial"/>
          <w:sz w:val="22"/>
          <w:szCs w:val="22"/>
          <w:color w:val="auto"/>
        </w:rPr>
      </w:pPr>
    </w:p>
    <w:p>
      <w:pPr>
        <w:ind w:left="660" w:firstLine="1292"/>
        <w:spacing w:after="0" w:line="263" w:lineRule="auto"/>
        <w:tabs>
          <w:tab w:leader="none" w:pos="2569" w:val="left"/>
        </w:tabs>
        <w:numPr>
          <w:ilvl w:val="1"/>
          <w:numId w:val="57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21"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Credit Documents provide support, through a guarantee or otherwise, for Hedging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942" w:right="339" w:bottom="1440" w:gutter="0" w:footer="0" w:header="0"/>
        </w:sectPr>
      </w:pPr>
    </w:p>
    <w:bookmarkStart w:id="729" w:name="page730"/>
    <w:bookmarkEnd w:id="729"/>
    <w:p>
      <w:pPr>
        <w:jc w:val="both"/>
        <w:spacing w:after="0" w:line="246" w:lineRule="auto"/>
        <w:rPr>
          <w:sz w:val="20"/>
          <w:szCs w:val="20"/>
          <w:color w:val="auto"/>
        </w:rPr>
      </w:pPr>
      <w:r>
        <w:rPr>
          <w:rFonts w:ascii="Arial" w:cs="Arial" w:eastAsia="Arial" w:hAnsi="Arial"/>
          <w:sz w:val="22"/>
          <w:szCs w:val="22"/>
          <w:color w:val="auto"/>
        </w:rPr>
        <w:t>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22"/>
          <w:szCs w:val="22"/>
          <w:u w:val="single" w:color="auto"/>
          <w:color w:val="auto"/>
        </w:rPr>
        <w:t>U.S. Special Resolution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Regimes</w:t>
      </w:r>
      <w:r>
        <w:rPr>
          <w:rFonts w:ascii="Arial" w:cs="Arial" w:eastAsia="Arial" w:hAnsi="Arial"/>
          <w:sz w:val="22"/>
          <w:szCs w:val="22"/>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SECTION 9.18.</w:t>
      </w:r>
      <w:r>
        <w:rPr>
          <w:sz w:val="20"/>
          <w:szCs w:val="20"/>
          <w:color w:val="auto"/>
        </w:rPr>
        <w:tab/>
      </w:r>
      <w:r>
        <w:rPr>
          <w:rFonts w:ascii="Arial" w:cs="Arial" w:eastAsia="Arial" w:hAnsi="Arial"/>
          <w:sz w:val="19"/>
          <w:szCs w:val="19"/>
          <w:u w:val="single" w:color="auto"/>
          <w:color w:val="auto"/>
        </w:rPr>
        <w:t>Release of Liens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97" w:lineRule="auto"/>
        <w:tabs>
          <w:tab w:leader="none" w:pos="2031" w:val="left"/>
        </w:tabs>
        <w:numPr>
          <w:ilvl w:val="0"/>
          <w:numId w:val="5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Credit Document, the Administrative Agent is hereby irrevocably authorized by each Lender (without requirement of notice to or consent of any Lender except as expressly required by Section 9.02) to take any action requested by the Borrower having the effect of releasing any Collateral (i) to the extent necessary to permit consummation of any transaction not prohibited by any Credit Document or that has been consented to in accordance with Section 9.02 or (ii) under the circumstances described in paragraph (b) below.</w:t>
      </w:r>
    </w:p>
    <w:p>
      <w:pPr>
        <w:spacing w:after="0" w:line="92" w:lineRule="exact"/>
        <w:rPr>
          <w:rFonts w:ascii="Arial" w:cs="Arial" w:eastAsia="Arial" w:hAnsi="Arial"/>
          <w:sz w:val="19"/>
          <w:szCs w:val="19"/>
          <w:color w:val="auto"/>
        </w:rPr>
      </w:pPr>
    </w:p>
    <w:p>
      <w:pPr>
        <w:jc w:val="both"/>
        <w:ind w:firstLine="1304"/>
        <w:spacing w:after="0" w:line="247" w:lineRule="auto"/>
        <w:tabs>
          <w:tab w:leader="none" w:pos="1849" w:val="left"/>
        </w:tabs>
        <w:numPr>
          <w:ilvl w:val="0"/>
          <w:numId w:val="572"/>
        </w:numPr>
        <w:rPr>
          <w:rFonts w:ascii="Arial" w:cs="Arial" w:eastAsia="Arial" w:hAnsi="Arial"/>
          <w:sz w:val="22"/>
          <w:szCs w:val="22"/>
          <w:color w:val="auto"/>
        </w:rPr>
      </w:pPr>
      <w:r>
        <w:rPr>
          <w:rFonts w:ascii="Arial" w:cs="Arial" w:eastAsia="Arial" w:hAnsi="Arial"/>
          <w:sz w:val="22"/>
          <w:szCs w:val="22"/>
          <w:color w:val="auto"/>
        </w:rPr>
        <w:t>At such time as the Loans and the other Obligations under the Credit Documents (other than obligations under or in respect of contingent indemnification obligations for which no claim has been made) shall have been paid in full and the Commitments have been terminated, the Collateral shall be released from the Liens created by the Security Documents, and the Security Documents and all obligations (other than those expressly stated to survive such termination) of the Administrative Agent and the Borrower under the Loan Documents shall terminate, all without delivery of any instrument or performance of any act by any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blank]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942" w:right="339" w:bottom="1440" w:gutter="0" w:footer="0" w:header="0"/>
        </w:sectPr>
      </w:pPr>
    </w:p>
    <w:bookmarkStart w:id="730" w:name="page731"/>
    <w:bookmarkEnd w:id="730"/>
    <w:p>
      <w:pPr>
        <w:spacing w:after="0" w:line="4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ROBINHOOD SECURITIES, LLC, as</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Borrower</w:t>
      </w:r>
    </w:p>
    <w:p>
      <w:pPr>
        <w:spacing w:after="0" w:line="310" w:lineRule="exact"/>
        <w:rPr>
          <w:sz w:val="20"/>
          <w:szCs w:val="20"/>
          <w:color w:val="auto"/>
        </w:rPr>
      </w:pPr>
    </w:p>
    <w:tbl>
      <w:tblPr>
        <w:tblLayout w:type="fixed"/>
        <w:tblInd w:w="504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820" w:type="dxa"/>
            <w:vAlign w:val="bottom"/>
          </w:tcPr>
          <w:p>
            <w:pPr>
              <w:ind w:left="80"/>
              <w:spacing w:after="0"/>
              <w:rPr>
                <w:sz w:val="20"/>
                <w:szCs w:val="20"/>
                <w:color w:val="auto"/>
              </w:rPr>
            </w:pPr>
            <w:r>
              <w:rPr>
                <w:rFonts w:ascii="Arial" w:cs="Arial" w:eastAsia="Arial" w:hAnsi="Arial"/>
                <w:sz w:val="22"/>
                <w:szCs w:val="22"/>
                <w:color w:val="auto"/>
              </w:rPr>
              <w:t>/s/ James Swartwout</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3820" w:type="dxa"/>
            <w:vAlign w:val="bottom"/>
            <w:tcBorders>
              <w:top w:val="single" w:sz="8" w:color="auto"/>
            </w:tcBorders>
          </w:tcPr>
          <w:p>
            <w:pPr>
              <w:ind w:left="320"/>
              <w:spacing w:after="0"/>
              <w:rPr>
                <w:sz w:val="20"/>
                <w:szCs w:val="20"/>
                <w:color w:val="auto"/>
              </w:rPr>
            </w:pPr>
            <w:r>
              <w:rPr>
                <w:rFonts w:ascii="Arial" w:cs="Arial" w:eastAsia="Arial" w:hAnsi="Arial"/>
                <w:sz w:val="22"/>
                <w:szCs w:val="22"/>
                <w:color w:val="auto"/>
              </w:rPr>
              <w:t>James Swartwout</w:t>
            </w:r>
          </w:p>
        </w:tc>
      </w:tr>
      <w:tr>
        <w:trPr>
          <w:trHeight w:val="293"/>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320"/>
              <w:spacing w:after="0"/>
              <w:rPr>
                <w:sz w:val="20"/>
                <w:szCs w:val="20"/>
                <w:color w:val="auto"/>
              </w:rPr>
            </w:pPr>
            <w:r>
              <w:rPr>
                <w:rFonts w:ascii="Arial" w:cs="Arial" w:eastAsia="Arial" w:hAnsi="Arial"/>
                <w:sz w:val="22"/>
                <w:szCs w:val="22"/>
                <w:color w:val="auto"/>
              </w:rPr>
              <w:t>President and Chief</w:t>
            </w:r>
          </w:p>
        </w:tc>
      </w:tr>
      <w:tr>
        <w:trPr>
          <w:trHeight w:val="274"/>
        </w:trPr>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20" w:type="dxa"/>
            <w:vAlign w:val="bottom"/>
          </w:tcPr>
          <w:p>
            <w:pPr>
              <w:ind w:left="320"/>
              <w:spacing w:after="0"/>
              <w:rPr>
                <w:sz w:val="20"/>
                <w:szCs w:val="20"/>
                <w:color w:val="auto"/>
              </w:rPr>
            </w:pPr>
            <w:r>
              <w:rPr>
                <w:rFonts w:ascii="Arial" w:cs="Arial" w:eastAsia="Arial" w:hAnsi="Arial"/>
                <w:sz w:val="22"/>
                <w:szCs w:val="22"/>
                <w:color w:val="auto"/>
              </w:rPr>
              <w:t>Operating Officer</w:t>
            </w:r>
          </w:p>
        </w:tc>
      </w:tr>
    </w:tbl>
    <w:p>
      <w:pPr>
        <w:sectPr>
          <w:pgSz w:w="11900" w:h="16838" w:orient="portrait"/>
          <w:cols w:equalWidth="0" w:num="1">
            <w:col w:w="10120"/>
          </w:cols>
          <w:pgMar w:left="1440" w:top="1440" w:right="339" w:bottom="1440" w:gutter="0" w:footer="0" w:header="0"/>
        </w:sectPr>
      </w:pPr>
    </w:p>
    <w:bookmarkStart w:id="731" w:name="page732"/>
    <w:bookmarkEnd w:id="731"/>
    <w:p>
      <w:pPr>
        <w:spacing w:after="0" w:line="4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JPMORGAN CHASE BANK, N.A., as</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Administrative Agent, Lead Arranger,</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Swingline Lender and Lender</w:t>
      </w:r>
    </w:p>
    <w:p>
      <w:pPr>
        <w:spacing w:after="0" w:line="310" w:lineRule="exact"/>
        <w:rPr>
          <w:sz w:val="20"/>
          <w:szCs w:val="20"/>
          <w:color w:val="auto"/>
        </w:rPr>
      </w:pPr>
    </w:p>
    <w:tbl>
      <w:tblPr>
        <w:tblLayout w:type="fixed"/>
        <w:tblInd w:w="504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820" w:type="dxa"/>
            <w:vAlign w:val="bottom"/>
          </w:tcPr>
          <w:p>
            <w:pPr>
              <w:jc w:val="right"/>
              <w:ind w:right="1792"/>
              <w:spacing w:after="0"/>
              <w:rPr>
                <w:sz w:val="20"/>
                <w:szCs w:val="20"/>
                <w:color w:val="auto"/>
              </w:rPr>
            </w:pPr>
            <w:r>
              <w:rPr>
                <w:rFonts w:ascii="Arial" w:cs="Arial" w:eastAsia="Arial" w:hAnsi="Arial"/>
                <w:sz w:val="22"/>
                <w:szCs w:val="22"/>
                <w:color w:val="auto"/>
                <w:w w:val="91"/>
              </w:rPr>
              <w:t>/s/ Victoria Teterceva</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3820" w:type="dxa"/>
            <w:vAlign w:val="bottom"/>
            <w:tcBorders>
              <w:top w:val="single" w:sz="8" w:color="auto"/>
            </w:tcBorders>
          </w:tcPr>
          <w:p>
            <w:pPr>
              <w:jc w:val="right"/>
              <w:ind w:right="1792"/>
              <w:spacing w:after="0"/>
              <w:rPr>
                <w:sz w:val="20"/>
                <w:szCs w:val="20"/>
                <w:color w:val="auto"/>
              </w:rPr>
            </w:pPr>
            <w:r>
              <w:rPr>
                <w:rFonts w:ascii="Arial" w:cs="Arial" w:eastAsia="Arial" w:hAnsi="Arial"/>
                <w:sz w:val="22"/>
                <w:szCs w:val="22"/>
                <w:color w:val="auto"/>
              </w:rPr>
              <w:t>Victoria Teterceva</w:t>
            </w:r>
          </w:p>
        </w:tc>
      </w:tr>
      <w:tr>
        <w:trPr>
          <w:trHeight w:val="310"/>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jc w:val="right"/>
              <w:ind w:right="1752"/>
              <w:spacing w:after="0"/>
              <w:rPr>
                <w:sz w:val="20"/>
                <w:szCs w:val="20"/>
                <w:color w:val="auto"/>
              </w:rPr>
            </w:pPr>
            <w:r>
              <w:rPr>
                <w:rFonts w:ascii="Arial" w:cs="Arial" w:eastAsia="Arial" w:hAnsi="Arial"/>
                <w:sz w:val="22"/>
                <w:szCs w:val="22"/>
                <w:color w:val="auto"/>
              </w:rPr>
              <w:t>Executive Director</w:t>
            </w:r>
          </w:p>
        </w:tc>
      </w:tr>
    </w:tbl>
    <w:p>
      <w:pPr>
        <w:sectPr>
          <w:pgSz w:w="11900" w:h="16838" w:orient="portrait"/>
          <w:cols w:equalWidth="0" w:num="1">
            <w:col w:w="10120"/>
          </w:cols>
          <w:pgMar w:left="1440" w:top="1440" w:right="339" w:bottom="1440" w:gutter="0" w:footer="0" w:header="0"/>
        </w:sectPr>
      </w:pPr>
    </w:p>
    <w:bookmarkStart w:id="732" w:name="page733"/>
    <w:bookmarkEnd w:id="732"/>
    <w:p>
      <w:pPr>
        <w:spacing w:after="0" w:line="4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BMO HARRIS BANK N.A., as</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Syndication Agent and Lender</w:t>
      </w:r>
    </w:p>
    <w:p>
      <w:pPr>
        <w:spacing w:after="0" w:line="310" w:lineRule="exact"/>
        <w:rPr>
          <w:sz w:val="20"/>
          <w:szCs w:val="20"/>
          <w:color w:val="auto"/>
        </w:rPr>
      </w:pPr>
    </w:p>
    <w:p>
      <w:pPr>
        <w:ind w:left="5040"/>
        <w:spacing w:after="0"/>
        <w:tabs>
          <w:tab w:leader="none" w:pos="63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Nicholas Buckingham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46355</wp:posOffset>
            </wp:positionV>
            <wp:extent cx="28632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86" w:lineRule="exact"/>
        <w:rPr>
          <w:sz w:val="20"/>
          <w:szCs w:val="20"/>
          <w:color w:val="auto"/>
        </w:rPr>
      </w:pPr>
    </w:p>
    <w:p>
      <w:pPr>
        <w:jc w:val="both"/>
        <w:ind w:left="5620"/>
        <w:spacing w:after="0"/>
        <w:tabs>
          <w:tab w:leader="none" w:pos="6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Nicholas Buckingham</w:t>
      </w:r>
    </w:p>
    <w:p>
      <w:pPr>
        <w:spacing w:after="0" w:line="58" w:lineRule="exact"/>
        <w:rPr>
          <w:sz w:val="20"/>
          <w:szCs w:val="20"/>
          <w:color w:val="auto"/>
        </w:rPr>
      </w:pPr>
    </w:p>
    <w:p>
      <w:pPr>
        <w:ind w:left="5620"/>
        <w:spacing w:after="0"/>
        <w:tabs>
          <w:tab w:leader="none" w:pos="6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BMO CAPITAL MARKETS CORP., as</w:t>
      </w:r>
    </w:p>
    <w:p>
      <w:pPr>
        <w:spacing w:after="0" w:line="3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Lead Arranger</w:t>
      </w:r>
    </w:p>
    <w:p>
      <w:pPr>
        <w:spacing w:after="0" w:line="310" w:lineRule="exact"/>
        <w:rPr>
          <w:sz w:val="20"/>
          <w:szCs w:val="20"/>
          <w:color w:val="auto"/>
        </w:rPr>
      </w:pPr>
    </w:p>
    <w:p>
      <w:pPr>
        <w:ind w:left="4900"/>
        <w:spacing w:after="0"/>
        <w:tabs>
          <w:tab w:leader="none" w:pos="62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Nicholas Buckingham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31750</wp:posOffset>
            </wp:positionV>
            <wp:extent cx="2948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3" w:lineRule="exact"/>
        <w:rPr>
          <w:sz w:val="20"/>
          <w:szCs w:val="20"/>
          <w:color w:val="auto"/>
        </w:rPr>
      </w:pPr>
    </w:p>
    <w:p>
      <w:pPr>
        <w:ind w:left="5500"/>
        <w:spacing w:after="0"/>
        <w:tabs>
          <w:tab w:leader="none" w:pos="64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Nicholas Buckingham</w:t>
      </w:r>
    </w:p>
    <w:p>
      <w:pPr>
        <w:spacing w:after="0" w:line="69" w:lineRule="exact"/>
        <w:rPr>
          <w:sz w:val="20"/>
          <w:szCs w:val="20"/>
          <w:color w:val="auto"/>
        </w:rPr>
      </w:pPr>
    </w:p>
    <w:p>
      <w:pPr>
        <w:ind w:left="5500"/>
        <w:spacing w:after="0"/>
        <w:tabs>
          <w:tab w:leader="none" w:pos="6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ectPr>
          <w:pgSz w:w="11900" w:h="16838" w:orient="portrait"/>
          <w:cols w:equalWidth="0" w:num="1">
            <w:col w:w="9019"/>
          </w:cols>
          <w:pgMar w:left="1440" w:top="1440" w:right="1440" w:bottom="1440" w:gutter="0" w:footer="0" w:header="0"/>
        </w:sectPr>
      </w:pPr>
    </w:p>
    <w:bookmarkStart w:id="733" w:name="page734"/>
    <w:bookmarkEnd w:id="733"/>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GOLDMAN SACHS BANK USA, as a</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Lender</w:t>
      </w:r>
    </w:p>
    <w:p>
      <w:pPr>
        <w:spacing w:after="0" w:line="310"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252"/>
              <w:spacing w:after="0"/>
              <w:rPr>
                <w:sz w:val="20"/>
                <w:szCs w:val="20"/>
                <w:color w:val="auto"/>
              </w:rPr>
            </w:pPr>
            <w:r>
              <w:rPr>
                <w:rFonts w:ascii="Arial" w:cs="Arial" w:eastAsia="Arial" w:hAnsi="Arial"/>
                <w:sz w:val="22"/>
                <w:szCs w:val="22"/>
                <w:color w:val="auto"/>
                <w:w w:val="92"/>
              </w:rPr>
              <w:t>/s/ Robert Ehudin</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252"/>
              <w:spacing w:after="0"/>
              <w:rPr>
                <w:sz w:val="20"/>
                <w:szCs w:val="20"/>
                <w:color w:val="auto"/>
              </w:rPr>
            </w:pPr>
            <w:r>
              <w:rPr>
                <w:rFonts w:ascii="Arial" w:cs="Arial" w:eastAsia="Arial" w:hAnsi="Arial"/>
                <w:sz w:val="22"/>
                <w:szCs w:val="22"/>
                <w:color w:val="auto"/>
              </w:rPr>
              <w:t>Robert Ehudin</w:t>
            </w:r>
          </w:p>
        </w:tc>
      </w:tr>
      <w:tr>
        <w:trPr>
          <w:trHeight w:val="311"/>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652"/>
              <w:spacing w:after="0"/>
              <w:rPr>
                <w:sz w:val="20"/>
                <w:szCs w:val="20"/>
                <w:color w:val="auto"/>
              </w:rPr>
            </w:pPr>
            <w:r>
              <w:rPr>
                <w:rFonts w:ascii="Arial" w:cs="Arial" w:eastAsia="Arial" w:hAnsi="Arial"/>
                <w:sz w:val="22"/>
                <w:szCs w:val="22"/>
                <w:color w:val="auto"/>
              </w:rPr>
              <w:t>Authorized Signatory</w:t>
            </w:r>
          </w:p>
        </w:tc>
      </w:tr>
    </w:tbl>
    <w:p>
      <w:pPr>
        <w:sectPr>
          <w:pgSz w:w="11900" w:h="16838" w:orient="portrait"/>
          <w:cols w:equalWidth="0" w:num="1">
            <w:col w:w="10120"/>
          </w:cols>
          <w:pgMar w:left="1440" w:top="1440" w:right="339" w:bottom="1440" w:gutter="0" w:footer="0" w:header="0"/>
        </w:sectPr>
      </w:pPr>
    </w:p>
    <w:bookmarkStart w:id="734" w:name="page735"/>
    <w:bookmarkEnd w:id="734"/>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WELLS FARGO BANK, NATIONAL</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ASSOCIATION, as a Lender</w:t>
      </w:r>
    </w:p>
    <w:p>
      <w:pPr>
        <w:spacing w:after="0" w:line="310"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432"/>
              <w:spacing w:after="0"/>
              <w:rPr>
                <w:sz w:val="20"/>
                <w:szCs w:val="20"/>
                <w:color w:val="auto"/>
              </w:rPr>
            </w:pPr>
            <w:r>
              <w:rPr>
                <w:rFonts w:ascii="Arial" w:cs="Arial" w:eastAsia="Arial" w:hAnsi="Arial"/>
                <w:sz w:val="22"/>
                <w:szCs w:val="22"/>
                <w:color w:val="auto"/>
                <w:w w:val="95"/>
              </w:rPr>
              <w:t>/s/ Jocelyn Boll</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432"/>
              <w:spacing w:after="0"/>
              <w:rPr>
                <w:sz w:val="20"/>
                <w:szCs w:val="20"/>
                <w:color w:val="auto"/>
              </w:rPr>
            </w:pPr>
            <w:r>
              <w:rPr>
                <w:rFonts w:ascii="Arial" w:cs="Arial" w:eastAsia="Arial" w:hAnsi="Arial"/>
                <w:sz w:val="22"/>
                <w:szCs w:val="22"/>
                <w:color w:val="auto"/>
              </w:rPr>
              <w:t>Jocelyn Boll</w:t>
            </w:r>
          </w:p>
        </w:tc>
      </w:tr>
      <w:tr>
        <w:trPr>
          <w:trHeight w:val="310"/>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872"/>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120"/>
          </w:cols>
          <w:pgMar w:left="1440" w:top="1440" w:right="339" w:bottom="1440" w:gutter="0" w:footer="0" w:header="0"/>
        </w:sectPr>
      </w:pPr>
    </w:p>
    <w:bookmarkStart w:id="735" w:name="page736"/>
    <w:bookmarkEnd w:id="735"/>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MIZUHO BANK, LTD.,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1812"/>
              <w:spacing w:after="0"/>
              <w:rPr>
                <w:sz w:val="20"/>
                <w:szCs w:val="20"/>
                <w:color w:val="auto"/>
              </w:rPr>
            </w:pPr>
            <w:r>
              <w:rPr>
                <w:rFonts w:ascii="Arial" w:cs="Arial" w:eastAsia="Arial" w:hAnsi="Arial"/>
                <w:sz w:val="22"/>
                <w:szCs w:val="22"/>
                <w:color w:val="auto"/>
                <w:w w:val="93"/>
              </w:rPr>
              <w:t>/s/ Donna DeMagistris</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1812"/>
              <w:spacing w:after="0"/>
              <w:rPr>
                <w:sz w:val="20"/>
                <w:szCs w:val="20"/>
                <w:color w:val="auto"/>
              </w:rPr>
            </w:pPr>
            <w:r>
              <w:rPr>
                <w:rFonts w:ascii="Arial" w:cs="Arial" w:eastAsia="Arial" w:hAnsi="Arial"/>
                <w:sz w:val="22"/>
                <w:szCs w:val="22"/>
                <w:color w:val="auto"/>
              </w:rPr>
              <w:t>Donna DeMagistris</w:t>
            </w:r>
          </w:p>
        </w:tc>
      </w:tr>
      <w:tr>
        <w:trPr>
          <w:trHeight w:val="310"/>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652"/>
              <w:spacing w:after="0"/>
              <w:rPr>
                <w:sz w:val="20"/>
                <w:szCs w:val="20"/>
                <w:color w:val="auto"/>
              </w:rPr>
            </w:pPr>
            <w:r>
              <w:rPr>
                <w:rFonts w:ascii="Arial" w:cs="Arial" w:eastAsia="Arial" w:hAnsi="Arial"/>
                <w:sz w:val="22"/>
                <w:szCs w:val="22"/>
                <w:color w:val="auto"/>
              </w:rPr>
              <w:t>Authorized Signatory</w:t>
            </w:r>
          </w:p>
        </w:tc>
      </w:tr>
    </w:tbl>
    <w:p>
      <w:pPr>
        <w:sectPr>
          <w:pgSz w:w="11900" w:h="16838" w:orient="portrait"/>
          <w:cols w:equalWidth="0" w:num="1">
            <w:col w:w="10120"/>
          </w:cols>
          <w:pgMar w:left="1440" w:top="1440" w:right="339" w:bottom="1440" w:gutter="0" w:footer="0" w:header="0"/>
        </w:sectPr>
      </w:pPr>
    </w:p>
    <w:bookmarkStart w:id="736" w:name="page737"/>
    <w:bookmarkEnd w:id="736"/>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BARCLAYS BANK PLC,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352"/>
              <w:spacing w:after="0"/>
              <w:rPr>
                <w:sz w:val="20"/>
                <w:szCs w:val="20"/>
                <w:color w:val="auto"/>
              </w:rPr>
            </w:pPr>
            <w:r>
              <w:rPr>
                <w:rFonts w:ascii="Arial" w:cs="Arial" w:eastAsia="Arial" w:hAnsi="Arial"/>
                <w:sz w:val="22"/>
                <w:szCs w:val="22"/>
                <w:color w:val="auto"/>
                <w:w w:val="90"/>
              </w:rPr>
              <w:t>/s/ Sean Duggan</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352"/>
              <w:spacing w:after="0"/>
              <w:rPr>
                <w:sz w:val="20"/>
                <w:szCs w:val="20"/>
                <w:color w:val="auto"/>
              </w:rPr>
            </w:pPr>
            <w:r>
              <w:rPr>
                <w:rFonts w:ascii="Arial" w:cs="Arial" w:eastAsia="Arial" w:hAnsi="Arial"/>
                <w:sz w:val="22"/>
                <w:szCs w:val="22"/>
                <w:color w:val="auto"/>
              </w:rPr>
              <w:t>Sean Duggan</w:t>
            </w:r>
          </w:p>
        </w:tc>
      </w:tr>
      <w:tr>
        <w:trPr>
          <w:trHeight w:val="311"/>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2272"/>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0120"/>
          </w:cols>
          <w:pgMar w:left="1440" w:top="1440" w:right="339" w:bottom="1440" w:gutter="0" w:footer="0" w:header="0"/>
        </w:sectPr>
      </w:pPr>
    </w:p>
    <w:bookmarkStart w:id="737" w:name="page738"/>
    <w:bookmarkEnd w:id="737"/>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CITIBANK, N.A.,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392"/>
              <w:spacing w:after="0"/>
              <w:rPr>
                <w:sz w:val="20"/>
                <w:szCs w:val="20"/>
                <w:color w:val="auto"/>
              </w:rPr>
            </w:pPr>
            <w:r>
              <w:rPr>
                <w:rFonts w:ascii="Arial" w:cs="Arial" w:eastAsia="Arial" w:hAnsi="Arial"/>
                <w:sz w:val="22"/>
                <w:szCs w:val="22"/>
                <w:color w:val="auto"/>
                <w:w w:val="92"/>
              </w:rPr>
              <w:t>/s/ Ciaran Small</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392"/>
              <w:spacing w:after="0"/>
              <w:rPr>
                <w:sz w:val="20"/>
                <w:szCs w:val="20"/>
                <w:color w:val="auto"/>
              </w:rPr>
            </w:pPr>
            <w:r>
              <w:rPr>
                <w:rFonts w:ascii="Arial" w:cs="Arial" w:eastAsia="Arial" w:hAnsi="Arial"/>
                <w:sz w:val="22"/>
                <w:szCs w:val="22"/>
                <w:color w:val="auto"/>
              </w:rPr>
              <w:t>Ciaran Small</w:t>
            </w:r>
          </w:p>
        </w:tc>
      </w:tr>
      <w:tr>
        <w:trPr>
          <w:trHeight w:val="310"/>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2272"/>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0120"/>
          </w:cols>
          <w:pgMar w:left="1440" w:top="1440" w:right="339" w:bottom="1440" w:gutter="0" w:footer="0" w:header="0"/>
        </w:sectPr>
      </w:pPr>
    </w:p>
    <w:bookmarkStart w:id="738" w:name="page739"/>
    <w:bookmarkEnd w:id="738"/>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CIBC BANK USA,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332"/>
              <w:spacing w:after="0"/>
              <w:rPr>
                <w:sz w:val="20"/>
                <w:szCs w:val="20"/>
                <w:color w:val="auto"/>
              </w:rPr>
            </w:pPr>
            <w:r>
              <w:rPr>
                <w:rFonts w:ascii="Arial" w:cs="Arial" w:eastAsia="Arial" w:hAnsi="Arial"/>
                <w:sz w:val="22"/>
                <w:szCs w:val="22"/>
                <w:color w:val="auto"/>
                <w:w w:val="96"/>
              </w:rPr>
              <w:t>/s/ Michael King</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332"/>
              <w:spacing w:after="0"/>
              <w:rPr>
                <w:sz w:val="20"/>
                <w:szCs w:val="20"/>
                <w:color w:val="auto"/>
              </w:rPr>
            </w:pPr>
            <w:r>
              <w:rPr>
                <w:rFonts w:ascii="Arial" w:cs="Arial" w:eastAsia="Arial" w:hAnsi="Arial"/>
                <w:sz w:val="22"/>
                <w:szCs w:val="22"/>
                <w:color w:val="auto"/>
              </w:rPr>
              <w:t>Michael King</w:t>
            </w:r>
          </w:p>
        </w:tc>
      </w:tr>
      <w:tr>
        <w:trPr>
          <w:trHeight w:val="311"/>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872"/>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120"/>
          </w:cols>
          <w:pgMar w:left="1440" w:top="1440" w:right="339" w:bottom="1440" w:gutter="0" w:footer="0" w:header="0"/>
        </w:sectPr>
      </w:pPr>
    </w:p>
    <w:bookmarkStart w:id="739" w:name="page740"/>
    <w:bookmarkEnd w:id="739"/>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SANTANDER BANK, N.A., as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172"/>
              <w:spacing w:after="0"/>
              <w:rPr>
                <w:sz w:val="20"/>
                <w:szCs w:val="20"/>
                <w:color w:val="auto"/>
              </w:rPr>
            </w:pPr>
            <w:r>
              <w:rPr>
                <w:rFonts w:ascii="Arial" w:cs="Arial" w:eastAsia="Arial" w:hAnsi="Arial"/>
                <w:sz w:val="22"/>
                <w:szCs w:val="22"/>
                <w:color w:val="auto"/>
                <w:w w:val="92"/>
              </w:rPr>
              <w:t>/s/ Xavi Ruiz Sena</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172"/>
              <w:spacing w:after="0"/>
              <w:rPr>
                <w:sz w:val="20"/>
                <w:szCs w:val="20"/>
                <w:color w:val="auto"/>
              </w:rPr>
            </w:pPr>
            <w:r>
              <w:rPr>
                <w:rFonts w:ascii="Arial" w:cs="Arial" w:eastAsia="Arial" w:hAnsi="Arial"/>
                <w:sz w:val="22"/>
                <w:szCs w:val="22"/>
                <w:color w:val="auto"/>
              </w:rPr>
              <w:t>Xavi Ruiz Sena</w:t>
            </w:r>
          </w:p>
        </w:tc>
      </w:tr>
      <w:tr>
        <w:trPr>
          <w:trHeight w:val="310"/>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872"/>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120"/>
          </w:cols>
          <w:pgMar w:left="1440" w:top="1440" w:right="339" w:bottom="1440" w:gutter="0" w:footer="0" w:header="0"/>
        </w:sectPr>
      </w:pPr>
    </w:p>
    <w:bookmarkStart w:id="740" w:name="page741"/>
    <w:bookmarkEnd w:id="740"/>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U.S. BANK NATIONAL</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ASSOCIATION, as a Lender</w:t>
      </w:r>
    </w:p>
    <w:p>
      <w:pPr>
        <w:spacing w:after="0" w:line="310"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2292"/>
              <w:spacing w:after="0"/>
              <w:rPr>
                <w:sz w:val="20"/>
                <w:szCs w:val="20"/>
                <w:color w:val="auto"/>
              </w:rPr>
            </w:pPr>
            <w:r>
              <w:rPr>
                <w:rFonts w:ascii="Arial" w:cs="Arial" w:eastAsia="Arial" w:hAnsi="Arial"/>
                <w:sz w:val="22"/>
                <w:szCs w:val="22"/>
                <w:color w:val="auto"/>
                <w:w w:val="93"/>
              </w:rPr>
              <w:t>/s/ Chris Doering</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2292"/>
              <w:spacing w:after="0"/>
              <w:rPr>
                <w:sz w:val="20"/>
                <w:szCs w:val="20"/>
                <w:color w:val="auto"/>
              </w:rPr>
            </w:pPr>
            <w:r>
              <w:rPr>
                <w:rFonts w:ascii="Arial" w:cs="Arial" w:eastAsia="Arial" w:hAnsi="Arial"/>
                <w:sz w:val="22"/>
                <w:szCs w:val="22"/>
                <w:color w:val="auto"/>
              </w:rPr>
              <w:t>Chris Doering</w:t>
            </w:r>
          </w:p>
        </w:tc>
      </w:tr>
      <w:tr>
        <w:trPr>
          <w:trHeight w:val="311"/>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652"/>
              <w:spacing w:after="0"/>
              <w:rPr>
                <w:sz w:val="20"/>
                <w:szCs w:val="20"/>
                <w:color w:val="auto"/>
              </w:rPr>
            </w:pPr>
            <w:r>
              <w:rPr>
                <w:rFonts w:ascii="Arial" w:cs="Arial" w:eastAsia="Arial" w:hAnsi="Arial"/>
                <w:sz w:val="22"/>
                <w:szCs w:val="22"/>
                <w:color w:val="auto"/>
              </w:rPr>
              <w:t>Senior Vice President</w:t>
            </w:r>
          </w:p>
        </w:tc>
      </w:tr>
    </w:tbl>
    <w:p>
      <w:pPr>
        <w:sectPr>
          <w:pgSz w:w="11900" w:h="16838" w:orient="portrait"/>
          <w:cols w:equalWidth="0" w:num="1">
            <w:col w:w="10120"/>
          </w:cols>
          <w:pgMar w:left="1440" w:top="1440" w:right="339" w:bottom="1440" w:gutter="0" w:footer="0" w:header="0"/>
        </w:sectPr>
      </w:pPr>
    </w:p>
    <w:bookmarkStart w:id="741" w:name="page742"/>
    <w:bookmarkEnd w:id="741"/>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CUSTOMERS BANK,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ind w:left="100"/>
              <w:spacing w:after="0"/>
              <w:rPr>
                <w:sz w:val="20"/>
                <w:szCs w:val="20"/>
                <w:color w:val="auto"/>
              </w:rPr>
            </w:pPr>
            <w:r>
              <w:rPr>
                <w:rFonts w:ascii="Arial" w:cs="Arial" w:eastAsia="Arial" w:hAnsi="Arial"/>
                <w:sz w:val="22"/>
                <w:szCs w:val="22"/>
                <w:color w:val="auto"/>
              </w:rPr>
              <w:t>/s/ Jake Danielski</w:t>
            </w:r>
          </w:p>
        </w:tc>
      </w:tr>
      <w:tr>
        <w:trPr>
          <w:trHeight w:val="294"/>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ind w:left="340"/>
              <w:spacing w:after="0"/>
              <w:rPr>
                <w:sz w:val="20"/>
                <w:szCs w:val="20"/>
                <w:color w:val="auto"/>
              </w:rPr>
            </w:pPr>
            <w:r>
              <w:rPr>
                <w:rFonts w:ascii="Arial" w:cs="Arial" w:eastAsia="Arial" w:hAnsi="Arial"/>
                <w:sz w:val="22"/>
                <w:szCs w:val="22"/>
                <w:color w:val="auto"/>
              </w:rPr>
              <w:t>Jake Danielski</w:t>
            </w:r>
          </w:p>
        </w:tc>
      </w:tr>
      <w:tr>
        <w:trPr>
          <w:trHeight w:val="293"/>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340"/>
              <w:spacing w:after="0"/>
              <w:rPr>
                <w:sz w:val="20"/>
                <w:szCs w:val="20"/>
                <w:color w:val="auto"/>
              </w:rPr>
            </w:pPr>
            <w:r>
              <w:rPr>
                <w:rFonts w:ascii="Arial" w:cs="Arial" w:eastAsia="Arial" w:hAnsi="Arial"/>
                <w:sz w:val="22"/>
                <w:szCs w:val="22"/>
                <w:color w:val="auto"/>
              </w:rPr>
              <w:t>Senior Vice President –</w:t>
            </w:r>
          </w:p>
        </w:tc>
      </w:tr>
      <w:tr>
        <w:trPr>
          <w:trHeight w:val="274"/>
        </w:trPr>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960" w:type="dxa"/>
            <w:vAlign w:val="bottom"/>
          </w:tcPr>
          <w:p>
            <w:pPr>
              <w:ind w:left="340"/>
              <w:spacing w:after="0"/>
              <w:rPr>
                <w:sz w:val="20"/>
                <w:szCs w:val="20"/>
                <w:color w:val="auto"/>
              </w:rPr>
            </w:pPr>
            <w:r>
              <w:rPr>
                <w:rFonts w:ascii="Arial" w:cs="Arial" w:eastAsia="Arial" w:hAnsi="Arial"/>
                <w:sz w:val="22"/>
                <w:szCs w:val="22"/>
                <w:color w:val="auto"/>
              </w:rPr>
              <w:t>Market Executive</w:t>
            </w:r>
          </w:p>
        </w:tc>
      </w:tr>
    </w:tbl>
    <w:p>
      <w:pPr>
        <w:sectPr>
          <w:pgSz w:w="11900" w:h="16838" w:orient="portrait"/>
          <w:cols w:equalWidth="0" w:num="1">
            <w:col w:w="10120"/>
          </w:cols>
          <w:pgMar w:left="1440" w:top="1440" w:right="339" w:bottom="1440" w:gutter="0" w:footer="0" w:header="0"/>
        </w:sectPr>
      </w:pPr>
    </w:p>
    <w:bookmarkStart w:id="742" w:name="page743"/>
    <w:bookmarkEnd w:id="742"/>
    <w:p>
      <w:pPr>
        <w:spacing w:after="0" w:line="4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SIGNATURE BANK, as a Lender</w:t>
      </w:r>
    </w:p>
    <w:p>
      <w:pPr>
        <w:spacing w:after="0" w:line="328"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260" w:type="dxa"/>
            <w:vAlign w:val="bottom"/>
            <w:gridSpan w:val="2"/>
          </w:tcPr>
          <w:p>
            <w:pPr>
              <w:spacing w:after="0"/>
              <w:rPr>
                <w:sz w:val="20"/>
                <w:szCs w:val="20"/>
                <w:color w:val="auto"/>
              </w:rPr>
            </w:pPr>
            <w:r>
              <w:rPr>
                <w:rFonts w:ascii="Arial" w:cs="Arial" w:eastAsia="Arial" w:hAnsi="Arial"/>
                <w:sz w:val="22"/>
                <w:szCs w:val="22"/>
                <w:color w:val="auto"/>
              </w:rPr>
              <w:t>By:</w:t>
            </w:r>
          </w:p>
        </w:tc>
        <w:tc>
          <w:tcPr>
            <w:tcW w:w="3960" w:type="dxa"/>
            <w:vAlign w:val="bottom"/>
          </w:tcPr>
          <w:p>
            <w:pPr>
              <w:jc w:val="right"/>
              <w:ind w:right="1972"/>
              <w:spacing w:after="0"/>
              <w:rPr>
                <w:sz w:val="20"/>
                <w:szCs w:val="20"/>
                <w:color w:val="auto"/>
              </w:rPr>
            </w:pPr>
            <w:r>
              <w:rPr>
                <w:rFonts w:ascii="Arial" w:cs="Arial" w:eastAsia="Arial" w:hAnsi="Arial"/>
                <w:sz w:val="22"/>
                <w:szCs w:val="22"/>
                <w:color w:val="auto"/>
                <w:w w:val="90"/>
              </w:rPr>
              <w:t>/s/ Susan M. Duggan</w:t>
            </w:r>
          </w:p>
        </w:tc>
      </w:tr>
      <w:tr>
        <w:trPr>
          <w:trHeight w:val="293"/>
        </w:trPr>
        <w:tc>
          <w:tcPr>
            <w:tcW w:w="5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w w:val="98"/>
              </w:rPr>
              <w:t>Name:</w:t>
            </w:r>
          </w:p>
        </w:tc>
        <w:tc>
          <w:tcPr>
            <w:tcW w:w="3960" w:type="dxa"/>
            <w:vAlign w:val="bottom"/>
            <w:tcBorders>
              <w:top w:val="single" w:sz="8" w:color="auto"/>
            </w:tcBorders>
          </w:tcPr>
          <w:p>
            <w:pPr>
              <w:jc w:val="right"/>
              <w:ind w:right="1972"/>
              <w:spacing w:after="0"/>
              <w:rPr>
                <w:sz w:val="20"/>
                <w:szCs w:val="20"/>
                <w:color w:val="auto"/>
              </w:rPr>
            </w:pPr>
            <w:r>
              <w:rPr>
                <w:rFonts w:ascii="Arial" w:cs="Arial" w:eastAsia="Arial" w:hAnsi="Arial"/>
                <w:sz w:val="22"/>
                <w:szCs w:val="22"/>
                <w:color w:val="auto"/>
              </w:rPr>
              <w:t>Susan M. Duggan</w:t>
            </w:r>
          </w:p>
        </w:tc>
      </w:tr>
      <w:tr>
        <w:trPr>
          <w:trHeight w:val="311"/>
        </w:trPr>
        <w:tc>
          <w:tcPr>
            <w:tcW w:w="5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jc w:val="right"/>
              <w:ind w:right="1652"/>
              <w:spacing w:after="0"/>
              <w:rPr>
                <w:sz w:val="20"/>
                <w:szCs w:val="20"/>
                <w:color w:val="auto"/>
              </w:rPr>
            </w:pPr>
            <w:r>
              <w:rPr>
                <w:rFonts w:ascii="Arial" w:cs="Arial" w:eastAsia="Arial" w:hAnsi="Arial"/>
                <w:sz w:val="22"/>
                <w:szCs w:val="22"/>
                <w:color w:val="auto"/>
              </w:rPr>
              <w:t>Senior Vice President</w:t>
            </w:r>
          </w:p>
        </w:tc>
      </w:tr>
    </w:tbl>
    <w:p>
      <w:pPr>
        <w:sectPr>
          <w:pgSz w:w="11900" w:h="16838" w:orient="portrait"/>
          <w:cols w:equalWidth="0" w:num="1">
            <w:col w:w="10120"/>
          </w:cols>
          <w:pgMar w:left="1440" w:top="1440" w:right="339" w:bottom="1440" w:gutter="0" w:footer="0" w:header="0"/>
        </w:sectPr>
      </w:pPr>
    </w:p>
    <w:bookmarkStart w:id="743" w:name="page744"/>
    <w:bookmarkEnd w:id="743"/>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AWARD</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You (“</w:t>
      </w:r>
      <w:r>
        <w:rPr>
          <w:rFonts w:ascii="Arial" w:cs="Arial" w:eastAsia="Arial" w:hAnsi="Arial"/>
          <w:sz w:val="22"/>
          <w:szCs w:val="22"/>
          <w:b w:val="1"/>
          <w:bCs w:val="1"/>
          <w:color w:val="auto"/>
        </w:rPr>
        <w:t>Recipient</w:t>
      </w:r>
      <w:r>
        <w:rPr>
          <w:rFonts w:ascii="Arial" w:cs="Arial" w:eastAsia="Arial" w:hAnsi="Arial"/>
          <w:sz w:val="22"/>
          <w:szCs w:val="22"/>
          <w:color w:val="auto"/>
        </w:rPr>
        <w:t>”) have been granted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representing shares of the Common Stock of Robinhood Markets, Inc. (the “</w:t>
      </w:r>
      <w:r>
        <w:rPr>
          <w:rFonts w:ascii="Arial" w:cs="Arial" w:eastAsia="Arial" w:hAnsi="Arial"/>
          <w:sz w:val="22"/>
          <w:szCs w:val="22"/>
          <w:b w:val="1"/>
          <w:bCs w:val="1"/>
          <w:color w:val="auto"/>
        </w:rPr>
        <w:t>Company</w:t>
      </w:r>
      <w:r>
        <w:rPr>
          <w:rFonts w:ascii="Arial" w:cs="Arial" w:eastAsia="Arial" w:hAnsi="Arial"/>
          <w:sz w:val="22"/>
          <w:szCs w:val="22"/>
          <w:color w:val="auto"/>
        </w:rPr>
        <w:t>”) on the following terms:</w:t>
      </w:r>
    </w:p>
    <w:p>
      <w:pPr>
        <w:sectPr>
          <w:pgSz w:w="11900" w:h="16838" w:orient="portrait"/>
          <w:cols w:equalWidth="0" w:num="1">
            <w:col w:w="11240"/>
          </w:cols>
          <w:pgMar w:left="320" w:top="122" w:right="339" w:bottom="1440" w:gutter="0" w:footer="0" w:header="0"/>
        </w:sect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 of Recipient: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[Vladimir Tenev][Baiju Bhatt]</w:t>
      </w:r>
    </w:p>
    <w:p>
      <w:pPr>
        <w:spacing w:after="0" w:line="92" w:lineRule="exact"/>
        <w:rPr>
          <w:sz w:val="20"/>
          <w:szCs w:val="20"/>
          <w:color w:val="auto"/>
        </w:rPr>
      </w:pPr>
    </w:p>
    <w:p>
      <w:pPr>
        <w:sectPr>
          <w:pgSz w:w="11900" w:h="16838" w:orient="portrait"/>
          <w:cols w:equalWidth="0" w:num="2">
            <w:col w:w="3420" w:space="720"/>
            <w:col w:w="710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2,904,024</w:t>
      </w:r>
    </w:p>
    <w:p>
      <w:pPr>
        <w:spacing w:after="0" w:line="92" w:lineRule="exact"/>
        <w:rPr>
          <w:sz w:val="20"/>
          <w:szCs w:val="20"/>
          <w:color w:val="auto"/>
        </w:rPr>
      </w:pPr>
    </w:p>
    <w:p>
      <w:pPr>
        <w:sectPr>
          <w:pgSz w:w="11900" w:h="16838" w:orient="portrait"/>
          <w:cols w:equalWidth="0" w:num="2">
            <w:col w:w="3420" w:space="720"/>
            <w:col w:w="710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October 8, 2019</w:t>
      </w:r>
    </w:p>
    <w:p>
      <w:pPr>
        <w:spacing w:after="0" w:line="92" w:lineRule="exact"/>
        <w:rPr>
          <w:sz w:val="20"/>
          <w:szCs w:val="20"/>
          <w:color w:val="auto"/>
        </w:rPr>
      </w:pPr>
    </w:p>
    <w:p>
      <w:pPr>
        <w:sectPr>
          <w:pgSz w:w="11900" w:h="16838" w:orient="portrait"/>
          <w:cols w:equalWidth="0" w:num="2">
            <w:col w:w="3420" w:space="720"/>
            <w:col w:w="710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August 1, 2018</w:t>
      </w:r>
    </w:p>
    <w:p>
      <w:pPr>
        <w:spacing w:after="0" w:line="92" w:lineRule="exact"/>
        <w:rPr>
          <w:sz w:val="20"/>
          <w:szCs w:val="20"/>
          <w:color w:val="auto"/>
        </w:rPr>
      </w:pPr>
    </w:p>
    <w:p>
      <w:pPr>
        <w:sectPr>
          <w:pgSz w:w="11900" w:h="16838" w:orient="portrait"/>
          <w:cols w:equalWidth="0" w:num="2">
            <w:col w:w="3420" w:space="720"/>
            <w:col w:w="710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December 31, 2025</w:t>
      </w:r>
    </w:p>
    <w:p>
      <w:pPr>
        <w:spacing w:after="0" w:line="92" w:lineRule="exact"/>
        <w:rPr>
          <w:sz w:val="20"/>
          <w:szCs w:val="20"/>
          <w:color w:val="auto"/>
        </w:rPr>
      </w:pPr>
    </w:p>
    <w:p>
      <w:pPr>
        <w:sectPr>
          <w:pgSz w:w="11900" w:h="16838" w:orient="portrait"/>
          <w:cols w:equalWidth="0" w:num="2">
            <w:col w:w="3420" w:space="720"/>
            <w:col w:w="7100"/>
          </w:cols>
          <w:pgMar w:left="320" w:top="122"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Vesting:</w:t>
      </w:r>
    </w:p>
    <w:p>
      <w:pPr>
        <w:spacing w:after="0" w:line="20" w:lineRule="exact"/>
        <w:rPr>
          <w:sz w:val="20"/>
          <w:szCs w:val="20"/>
          <w:color w:val="auto"/>
        </w:rPr>
      </w:pPr>
      <w:r>
        <w:rPr>
          <w:sz w:val="20"/>
          <w:szCs w:val="20"/>
          <w:color w:val="auto"/>
        </w:rPr>
        <w:br w:type="column"/>
      </w:r>
    </w:p>
    <w:p>
      <w:pPr>
        <w:jc w:val="both"/>
        <w:ind w:right="80"/>
        <w:spacing w:after="0" w:line="258" w:lineRule="auto"/>
        <w:rPr>
          <w:sz w:val="20"/>
          <w:szCs w:val="20"/>
          <w:color w:val="auto"/>
        </w:rPr>
      </w:pPr>
      <w:r>
        <w:rPr>
          <w:rFonts w:ascii="Arial" w:cs="Arial" w:eastAsia="Arial" w:hAnsi="Arial"/>
          <w:sz w:val="21"/>
          <w:szCs w:val="21"/>
          <w:color w:val="auto"/>
        </w:rPr>
        <w:t>You will receive a benefit with respect to a RSU only if it vests. Two vesting requirements must be satisfied on or before the Expiration Date specified above in order for a RSU to vest: (i) a requirement that you provide Service over the period of time set forth in “Service-Based Requirement” below and (ii) a requirement that the Company complete either an IPO or Sale Event as set forth in “Liquidity Event Requirement” below. Your RSUs will not vest (in whole or in part) if only one (or if neither) of such requirements is satisfied on or before the Expiration Date. The “</w:t>
      </w:r>
      <w:r>
        <w:rPr>
          <w:rFonts w:ascii="Arial" w:cs="Arial" w:eastAsia="Arial" w:hAnsi="Arial"/>
          <w:sz w:val="21"/>
          <w:szCs w:val="21"/>
          <w:b w:val="1"/>
          <w:bCs w:val="1"/>
          <w:color w:val="auto"/>
        </w:rPr>
        <w:t>Vesting Date</w:t>
      </w:r>
      <w:r>
        <w:rPr>
          <w:rFonts w:ascii="Arial" w:cs="Arial" w:eastAsia="Arial" w:hAnsi="Arial"/>
          <w:sz w:val="21"/>
          <w:szCs w:val="21"/>
          <w:color w:val="auto"/>
        </w:rPr>
        <w:t>” of an RSU will be the first date on or before the Expiration Date upon which both the Service-Based Requirement and the Liquidity Event Requirement are satisfied with respect to that particular RSU.</w:t>
      </w:r>
    </w:p>
    <w:p>
      <w:pPr>
        <w:sectPr>
          <w:pgSz w:w="11900" w:h="16838" w:orient="portrait"/>
          <w:cols w:equalWidth="0" w:num="2">
            <w:col w:w="3460" w:space="720"/>
            <w:col w:w="7060"/>
          </w:cols>
          <w:pgMar w:left="320" w:top="122" w:right="339" w:bottom="1440" w:gutter="0" w:footer="0" w:header="0"/>
          <w:type w:val="continuous"/>
        </w:sectPr>
      </w:pPr>
    </w:p>
    <w:bookmarkStart w:id="744" w:name="page745"/>
    <w:bookmarkEnd w:id="744"/>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3320" w:type="dxa"/>
            <w:vAlign w:val="bottom"/>
          </w:tcPr>
          <w:p>
            <w:pPr>
              <w:spacing w:after="0"/>
              <w:rPr>
                <w:sz w:val="20"/>
                <w:szCs w:val="20"/>
                <w:color w:val="auto"/>
              </w:rPr>
            </w:pPr>
            <w:r>
              <w:rPr>
                <w:rFonts w:ascii="Arial" w:cs="Arial" w:eastAsia="Arial" w:hAnsi="Arial"/>
                <w:sz w:val="22"/>
                <w:szCs w:val="22"/>
                <w:color w:val="auto"/>
              </w:rPr>
              <w:t>Service-Based Requirement:</w:t>
            </w: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2"/>
              </w:rPr>
              <w:t>The Service-Based Requirement will be satisfied in installments as follows: (i)</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3"/>
              </w:rPr>
              <w:t>the requirement will be satisfied as to 25% of the RSUs subject to this award</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89"/>
              </w:rPr>
              <w:t>when you complete 12 months of continuous Service beginning with the Vesting</w:t>
            </w:r>
          </w:p>
        </w:tc>
      </w:tr>
      <w:tr>
        <w:trPr>
          <w:trHeight w:val="256"/>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1"/>
              </w:rPr>
              <w:t>Commencement Date set forth above, and (ii) the requirement will be satisfied</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0"/>
              </w:rPr>
              <w:t>with respect to an additional 6.25% of the RSUs subject to this award when you</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2"/>
              </w:rPr>
              <w:t>complete each successive 3-month period of continuous Service thereafter; in</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1"/>
              </w:rPr>
              <w:t>each case, subject to Section 2 of the Restricted Stock Unit Award Agreement.</w:t>
            </w:r>
          </w:p>
        </w:tc>
      </w:tr>
      <w:tr>
        <w:trPr>
          <w:trHeight w:val="256"/>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1"/>
              </w:rPr>
              <w:t>In addition, if the Recipient is subject to an Involuntary Termination (as defined</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8"/>
              </w:rPr>
              <w:t>below) during the period commencing thirty (30) days prior to and ending</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1"/>
              </w:rPr>
              <w:t>eighteen (18) months after a Sale Event, then the Service-Based Requirement</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rPr>
              <w:t>will immediately be satisfied with respect to 100% of the RSUs. For the</w:t>
            </w:r>
          </w:p>
        </w:tc>
      </w:tr>
      <w:tr>
        <w:trPr>
          <w:trHeight w:val="256"/>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5"/>
              </w:rPr>
              <w:t>avoidance of doubt, the Recipient will continue to satisfy the Service-Based</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8"/>
              </w:rPr>
              <w:t>Requirement of the RSUs following the satisfaction of the Liquidity Event</w:t>
            </w:r>
          </w:p>
        </w:tc>
      </w:tr>
      <w:tr>
        <w:trPr>
          <w:trHeight w:val="251"/>
        </w:trPr>
        <w:tc>
          <w:tcPr>
            <w:tcW w:w="3320" w:type="dxa"/>
            <w:vAlign w:val="bottom"/>
          </w:tcPr>
          <w:p>
            <w:pPr>
              <w:spacing w:after="0"/>
              <w:rPr>
                <w:sz w:val="21"/>
                <w:szCs w:val="21"/>
                <w:color w:val="auto"/>
              </w:rPr>
            </w:pPr>
          </w:p>
        </w:tc>
        <w:tc>
          <w:tcPr>
            <w:tcW w:w="7820" w:type="dxa"/>
            <w:vAlign w:val="bottom"/>
          </w:tcPr>
          <w:p>
            <w:pPr>
              <w:jc w:val="center"/>
              <w:ind w:left="612"/>
              <w:spacing w:after="0" w:line="250" w:lineRule="exact"/>
              <w:rPr>
                <w:sz w:val="20"/>
                <w:szCs w:val="20"/>
                <w:color w:val="auto"/>
              </w:rPr>
            </w:pPr>
            <w:r>
              <w:rPr>
                <w:rFonts w:ascii="Arial" w:cs="Arial" w:eastAsia="Arial" w:hAnsi="Arial"/>
                <w:sz w:val="22"/>
                <w:szCs w:val="22"/>
                <w:color w:val="auto"/>
                <w:w w:val="94"/>
              </w:rPr>
              <w:t>Requirement if the Recipient remains in continuous Service to the Company</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4"/>
              </w:rPr>
              <w:t>through  each  applicable  Service-Based  Requirement  date.  “</w:t>
            </w:r>
            <w:r>
              <w:rPr>
                <w:rFonts w:ascii="Arial" w:cs="Arial" w:eastAsia="Arial" w:hAnsi="Arial"/>
                <w:sz w:val="22"/>
                <w:szCs w:val="22"/>
                <w:b w:val="1"/>
                <w:bCs w:val="1"/>
                <w:color w:val="auto"/>
                <w:w w:val="94"/>
              </w:rPr>
              <w:t>Involuntary</w:t>
            </w:r>
          </w:p>
        </w:tc>
      </w:tr>
      <w:tr>
        <w:trPr>
          <w:trHeight w:val="263"/>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b w:val="1"/>
                <w:bCs w:val="1"/>
                <w:color w:val="auto"/>
                <w:w w:val="97"/>
              </w:rPr>
              <w:t>Termination</w:t>
            </w:r>
            <w:r>
              <w:rPr>
                <w:rFonts w:ascii="Arial" w:cs="Arial" w:eastAsia="Arial" w:hAnsi="Arial"/>
                <w:sz w:val="22"/>
                <w:szCs w:val="22"/>
                <w:color w:val="auto"/>
                <w:w w:val="97"/>
              </w:rPr>
              <w:t>” shall have the meaning ascribed to such term in each stock</w:t>
            </w:r>
          </w:p>
        </w:tc>
      </w:tr>
      <w:tr>
        <w:trPr>
          <w:trHeight w:val="256"/>
        </w:trPr>
        <w:tc>
          <w:tcPr>
            <w:tcW w:w="3320" w:type="dxa"/>
            <w:vAlign w:val="bottom"/>
          </w:tcPr>
          <w:p>
            <w:pPr>
              <w:spacing w:after="0"/>
              <w:rPr>
                <w:sz w:val="22"/>
                <w:szCs w:val="22"/>
                <w:color w:val="auto"/>
              </w:rPr>
            </w:pPr>
          </w:p>
        </w:tc>
        <w:tc>
          <w:tcPr>
            <w:tcW w:w="7820" w:type="dxa"/>
            <w:vAlign w:val="bottom"/>
          </w:tcPr>
          <w:p>
            <w:pPr>
              <w:jc w:val="center"/>
              <w:ind w:left="612"/>
              <w:spacing w:after="0"/>
              <w:rPr>
                <w:sz w:val="20"/>
                <w:szCs w:val="20"/>
                <w:color w:val="auto"/>
              </w:rPr>
            </w:pPr>
            <w:r>
              <w:rPr>
                <w:rFonts w:ascii="Arial" w:cs="Arial" w:eastAsia="Arial" w:hAnsi="Arial"/>
                <w:sz w:val="22"/>
                <w:szCs w:val="22"/>
                <w:color w:val="auto"/>
                <w:w w:val="97"/>
              </w:rPr>
              <w:t>restriction agreement entered into with the Recipient and the Company on</w:t>
            </w:r>
          </w:p>
        </w:tc>
      </w:tr>
      <w:tr>
        <w:trPr>
          <w:trHeight w:val="274"/>
        </w:trPr>
        <w:tc>
          <w:tcPr>
            <w:tcW w:w="3320" w:type="dxa"/>
            <w:vAlign w:val="bottom"/>
          </w:tcPr>
          <w:p>
            <w:pPr>
              <w:spacing w:after="0"/>
              <w:rPr>
                <w:sz w:val="23"/>
                <w:szCs w:val="23"/>
                <w:color w:val="auto"/>
              </w:rPr>
            </w:pPr>
          </w:p>
        </w:tc>
        <w:tc>
          <w:tcPr>
            <w:tcW w:w="7820" w:type="dxa"/>
            <w:vAlign w:val="bottom"/>
          </w:tcPr>
          <w:p>
            <w:pPr>
              <w:ind w:left="780"/>
              <w:spacing w:after="0"/>
              <w:rPr>
                <w:sz w:val="20"/>
                <w:szCs w:val="20"/>
                <w:color w:val="auto"/>
              </w:rPr>
            </w:pPr>
            <w:r>
              <w:rPr>
                <w:rFonts w:ascii="Arial" w:cs="Arial" w:eastAsia="Arial" w:hAnsi="Arial"/>
                <w:sz w:val="22"/>
                <w:szCs w:val="22"/>
                <w:color w:val="auto"/>
              </w:rPr>
              <w:t>August 22, 2014.</w:t>
            </w:r>
          </w:p>
        </w:tc>
      </w:tr>
      <w:tr>
        <w:trPr>
          <w:trHeight w:val="293"/>
        </w:trPr>
        <w:tc>
          <w:tcPr>
            <w:tcW w:w="3320" w:type="dxa"/>
            <w:vAlign w:val="bottom"/>
          </w:tcPr>
          <w:p>
            <w:pPr>
              <w:spacing w:after="0"/>
              <w:rPr>
                <w:sz w:val="20"/>
                <w:szCs w:val="20"/>
                <w:color w:val="auto"/>
              </w:rPr>
            </w:pPr>
            <w:r>
              <w:rPr>
                <w:rFonts w:ascii="Arial" w:cs="Arial" w:eastAsia="Arial" w:hAnsi="Arial"/>
                <w:sz w:val="22"/>
                <w:szCs w:val="22"/>
                <w:color w:val="auto"/>
              </w:rPr>
              <w:t>Liquidity Event Requirement:</w:t>
            </w: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94"/>
              </w:rPr>
              <w:t>The Liquidity Event Requirement will be satisfied (as to any then-outstanding</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95"/>
              </w:rPr>
              <w:t>RSUs that have not theretofore been terminated pursuant to Section 2 of the</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95"/>
              </w:rPr>
              <w:t>Restricted Stock Unit Agreement) on the earlier to occur of (i) an IPO or (ii) a</w:t>
            </w:r>
          </w:p>
        </w:tc>
      </w:tr>
      <w:tr>
        <w:trPr>
          <w:trHeight w:val="274"/>
        </w:trPr>
        <w:tc>
          <w:tcPr>
            <w:tcW w:w="3320" w:type="dxa"/>
            <w:vAlign w:val="bottom"/>
          </w:tcPr>
          <w:p>
            <w:pPr>
              <w:spacing w:after="0"/>
              <w:rPr>
                <w:sz w:val="23"/>
                <w:szCs w:val="23"/>
                <w:color w:val="auto"/>
              </w:rPr>
            </w:pPr>
          </w:p>
        </w:tc>
        <w:tc>
          <w:tcPr>
            <w:tcW w:w="7820" w:type="dxa"/>
            <w:vAlign w:val="bottom"/>
          </w:tcPr>
          <w:p>
            <w:pPr>
              <w:ind w:left="740"/>
              <w:spacing w:after="0"/>
              <w:rPr>
                <w:sz w:val="20"/>
                <w:szCs w:val="20"/>
                <w:color w:val="auto"/>
              </w:rPr>
            </w:pPr>
            <w:r>
              <w:rPr>
                <w:rFonts w:ascii="Arial" w:cs="Arial" w:eastAsia="Arial" w:hAnsi="Arial"/>
                <w:sz w:val="22"/>
                <w:szCs w:val="22"/>
                <w:color w:val="auto"/>
              </w:rPr>
              <w:t>Sale Event.</w:t>
            </w:r>
          </w:p>
        </w:tc>
      </w:tr>
      <w:tr>
        <w:trPr>
          <w:trHeight w:val="293"/>
        </w:trPr>
        <w:tc>
          <w:tcPr>
            <w:tcW w:w="3320" w:type="dxa"/>
            <w:vAlign w:val="bottom"/>
          </w:tcPr>
          <w:p>
            <w:pPr>
              <w:spacing w:after="0"/>
              <w:rPr>
                <w:sz w:val="20"/>
                <w:szCs w:val="20"/>
                <w:color w:val="auto"/>
              </w:rPr>
            </w:pPr>
            <w:r>
              <w:rPr>
                <w:rFonts w:ascii="Arial" w:cs="Arial" w:eastAsia="Arial" w:hAnsi="Arial"/>
                <w:sz w:val="22"/>
                <w:szCs w:val="22"/>
                <w:color w:val="auto"/>
              </w:rPr>
              <w:t>Settlement:</w:t>
            </w: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88"/>
              </w:rPr>
              <w:t>Settlement of RSUs refers to the issuance of Shares once the award is vested. If a</w:t>
            </w:r>
          </w:p>
        </w:tc>
      </w:tr>
      <w:tr>
        <w:trPr>
          <w:trHeight w:val="257"/>
        </w:trPr>
        <w:tc>
          <w:tcPr>
            <w:tcW w:w="3320" w:type="dxa"/>
            <w:vAlign w:val="bottom"/>
          </w:tcPr>
          <w:p>
            <w:pPr>
              <w:spacing w:after="0"/>
              <w:rPr>
                <w:sz w:val="22"/>
                <w:szCs w:val="22"/>
                <w:color w:val="auto"/>
              </w:rPr>
            </w:pP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91"/>
              </w:rPr>
              <w:t>RSU vests as a result of satisfaction of both applicable vesting requirements as</w:t>
            </w:r>
          </w:p>
        </w:tc>
      </w:tr>
      <w:tr>
        <w:trPr>
          <w:trHeight w:val="256"/>
        </w:trPr>
        <w:tc>
          <w:tcPr>
            <w:tcW w:w="3320" w:type="dxa"/>
            <w:vAlign w:val="bottom"/>
          </w:tcPr>
          <w:p>
            <w:pPr>
              <w:spacing w:after="0"/>
              <w:rPr>
                <w:sz w:val="22"/>
                <w:szCs w:val="22"/>
                <w:color w:val="auto"/>
              </w:rPr>
            </w:pPr>
          </w:p>
        </w:tc>
        <w:tc>
          <w:tcPr>
            <w:tcW w:w="7820" w:type="dxa"/>
            <w:vAlign w:val="bottom"/>
          </w:tcPr>
          <w:p>
            <w:pPr>
              <w:jc w:val="center"/>
              <w:ind w:left="632"/>
              <w:spacing w:after="0"/>
              <w:rPr>
                <w:sz w:val="20"/>
                <w:szCs w:val="20"/>
                <w:color w:val="auto"/>
              </w:rPr>
            </w:pPr>
            <w:r>
              <w:rPr>
                <w:rFonts w:ascii="Arial" w:cs="Arial" w:eastAsia="Arial" w:hAnsi="Arial"/>
                <w:sz w:val="22"/>
                <w:szCs w:val="22"/>
                <w:color w:val="auto"/>
                <w:w w:val="89"/>
              </w:rPr>
              <w:t>described above, the Company will deliver one Share for such RSU at the time of</w:t>
            </w:r>
          </w:p>
        </w:tc>
      </w:tr>
      <w:tr>
        <w:trPr>
          <w:trHeight w:val="274"/>
        </w:trPr>
        <w:tc>
          <w:tcPr>
            <w:tcW w:w="3320" w:type="dxa"/>
            <w:vAlign w:val="bottom"/>
          </w:tcPr>
          <w:p>
            <w:pPr>
              <w:spacing w:after="0"/>
              <w:rPr>
                <w:sz w:val="23"/>
                <w:szCs w:val="23"/>
                <w:color w:val="auto"/>
              </w:rPr>
            </w:pPr>
          </w:p>
        </w:tc>
        <w:tc>
          <w:tcPr>
            <w:tcW w:w="7820" w:type="dxa"/>
            <w:vAlign w:val="bottom"/>
          </w:tcPr>
          <w:p>
            <w:pPr>
              <w:ind w:left="740"/>
              <w:spacing w:after="0"/>
              <w:rPr>
                <w:sz w:val="20"/>
                <w:szCs w:val="20"/>
                <w:color w:val="auto"/>
              </w:rPr>
            </w:pPr>
            <w:r>
              <w:rPr>
                <w:rFonts w:ascii="Arial" w:cs="Arial" w:eastAsia="Arial" w:hAnsi="Arial"/>
                <w:sz w:val="22"/>
                <w:szCs w:val="22"/>
                <w:color w:val="auto"/>
                <w:w w:val="99"/>
              </w:rPr>
              <w:t>settlement specified in Section 4 of the Restricted Stock Unit Agreement.</w:t>
            </w:r>
          </w:p>
        </w:tc>
      </w:tr>
    </w:tbl>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references to the “Platform” in this Notice of Restricted Stock Unit Award or in the Restricted Stock Unit Award Agreement shall be interpreted as the equity management software currently in use by the Company.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signing below or otherwise accepting this award in a manner acceptable to the Company, you and the Company agree that these RSUs are granted under and governed by the terms and conditions of this Notice of Restricted Stock Unit Award, the Amended and Restated 2013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745" w:name="page746"/>
    <w:bookmarkEnd w:id="745"/>
    <w:p>
      <w:pPr>
        <w:jc w:val="both"/>
        <w:spacing w:after="0" w:line="293" w:lineRule="auto"/>
        <w:rPr>
          <w:sz w:val="20"/>
          <w:szCs w:val="20"/>
          <w:color w:val="auto"/>
        </w:rPr>
      </w:pPr>
      <w:r>
        <w:rPr>
          <w:rFonts w:ascii="Arial" w:cs="Arial" w:eastAsia="Arial" w:hAnsi="Arial"/>
          <w:sz w:val="19"/>
          <w:szCs w:val="19"/>
          <w:color w:val="auto"/>
        </w:rPr>
        <w:t>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and the Restricted Stock Unit Agreement. These latter two documents are attached to, and made a part of, this Notice of Restricted Stock Unit Award. Capitalized terms not otherwise defined herein or in the Restricted Stock Unit Agreement shall have the meaning set forth in the Plan. You hereby acknowledge that the vesting of the RSUs pursuant to this Notice of Restricted Stock Unit Award is conditioned on the satisfaction of the Service-Based Requirement and the occurrence, on or before the Expiration Date, of an IPO or Sale Event. You shall have no right with respect to the RSUs to the extent an IPO or Sale Event does not occur on or before the Expiration Date (regardless of the extent to which the Service-Based Requirement was satisfied). </w:t>
      </w:r>
      <w:r>
        <w:rPr>
          <w:rFonts w:ascii="Arial" w:cs="Arial" w:eastAsia="Arial" w:hAnsi="Arial"/>
          <w:sz w:val="19"/>
          <w:szCs w:val="19"/>
          <w:b w:val="1"/>
          <w:bCs w:val="1"/>
          <w:color w:val="auto"/>
        </w:rPr>
        <w:t>Section 10 of the Restricted Stock Unit Agreement also includes important acknowledgements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46" w:name="page747"/>
    <w:bookmarkEnd w:id="746"/>
    <w:p>
      <w:pPr>
        <w:jc w:val="both"/>
        <w:spacing w:after="0" w:line="248" w:lineRule="auto"/>
        <w:rPr>
          <w:sz w:val="20"/>
          <w:szCs w:val="20"/>
          <w:color w:val="auto"/>
        </w:rPr>
      </w:pPr>
      <w:r>
        <w:rPr>
          <w:rFonts w:ascii="Arial" w:cs="Arial" w:eastAsia="Arial" w:hAnsi="Arial"/>
          <w:sz w:val="22"/>
          <w:szCs w:val="22"/>
          <w:b w:val="1"/>
          <w:bCs w:val="1"/>
          <w:color w:val="auto"/>
        </w:rPr>
        <w:t>THE RSUS GRANTED PURSUANT TO THE NOTICE OF RESTRICTED STOCK UNIT AWARD AND THIS AGREEMENT AND THE SHARES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ROBINHOOD MARKETS,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2013 STOCK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AGREEMENT</w:t>
      </w:r>
    </w:p>
    <w:p>
      <w:pPr>
        <w:spacing w:after="0" w:line="19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color w:val="auto"/>
        </w:rPr>
        <w:t>GRANT OF RESTRICTED STOCK UNITS.</w:t>
      </w:r>
    </w:p>
    <w:p>
      <w:pPr>
        <w:spacing w:after="0" w:line="220" w:lineRule="exact"/>
        <w:rPr>
          <w:sz w:val="20"/>
          <w:szCs w:val="20"/>
          <w:color w:val="auto"/>
        </w:rPr>
      </w:pPr>
    </w:p>
    <w:p>
      <w:pPr>
        <w:jc w:val="both"/>
        <w:ind w:firstLine="1628"/>
        <w:spacing w:after="0" w:line="315" w:lineRule="auto"/>
        <w:tabs>
          <w:tab w:leader="none" w:pos="2184" w:val="left"/>
        </w:tabs>
        <w:numPr>
          <w:ilvl w:val="0"/>
          <w:numId w:val="573"/>
        </w:numPr>
        <w:rPr>
          <w:rFonts w:ascii="Arial" w:cs="Arial" w:eastAsia="Arial" w:hAnsi="Arial"/>
          <w:sz w:val="19"/>
          <w:szCs w:val="19"/>
          <w:color w:val="auto"/>
        </w:rPr>
      </w:pPr>
      <w:r>
        <w:rPr>
          <w:rFonts w:ascii="Arial" w:cs="Arial" w:eastAsia="Arial" w:hAnsi="Arial"/>
          <w:sz w:val="19"/>
          <w:szCs w:val="19"/>
          <w:b w:val="1"/>
          <w:bCs w:val="1"/>
          <w:color w:val="auto"/>
        </w:rPr>
        <w:t>Grant</w:t>
      </w:r>
      <w:r>
        <w:rPr>
          <w:rFonts w:ascii="Arial" w:cs="Arial" w:eastAsia="Arial" w:hAnsi="Arial"/>
          <w:sz w:val="19"/>
          <w:szCs w:val="19"/>
          <w:color w:val="auto"/>
        </w:rPr>
        <w:t>. On the terms and conditions set forth in the Notice of Restricted Stock Unit Award and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Company grants to you on the Date of Grant the number of RSUs set forth in the Notice of Restricted Stock Unit Award. Each RSU represents the right to receive one Share on the terms and conditions set forth in this Agreement.</w:t>
      </w:r>
    </w:p>
    <w:p>
      <w:pPr>
        <w:spacing w:after="0" w:line="125" w:lineRule="exact"/>
        <w:rPr>
          <w:rFonts w:ascii="Arial" w:cs="Arial" w:eastAsia="Arial" w:hAnsi="Arial"/>
          <w:sz w:val="19"/>
          <w:szCs w:val="19"/>
          <w:color w:val="auto"/>
        </w:rPr>
      </w:pPr>
    </w:p>
    <w:p>
      <w:pPr>
        <w:ind w:left="2100" w:hanging="472"/>
        <w:spacing w:after="0"/>
        <w:tabs>
          <w:tab w:leader="none" w:pos="2100" w:val="left"/>
        </w:tabs>
        <w:numPr>
          <w:ilvl w:val="0"/>
          <w:numId w:val="573"/>
        </w:numPr>
        <w:rPr>
          <w:rFonts w:ascii="Arial" w:cs="Arial" w:eastAsia="Arial" w:hAnsi="Arial"/>
          <w:sz w:val="22"/>
          <w:szCs w:val="22"/>
          <w:color w:val="auto"/>
        </w:rPr>
      </w:pPr>
      <w:r>
        <w:rPr>
          <w:rFonts w:ascii="Arial" w:cs="Arial" w:eastAsia="Arial" w:hAnsi="Arial"/>
          <w:sz w:val="22"/>
          <w:szCs w:val="22"/>
          <w:b w:val="1"/>
          <w:bCs w:val="1"/>
          <w:color w:val="auto"/>
        </w:rPr>
        <w:t>Consideration</w:t>
      </w:r>
      <w:r>
        <w:rPr>
          <w:rFonts w:ascii="Arial" w:cs="Arial" w:eastAsia="Arial" w:hAnsi="Arial"/>
          <w:sz w:val="22"/>
          <w:szCs w:val="22"/>
          <w:color w:val="auto"/>
        </w:rPr>
        <w:t>. No payment is required for the RSUs that have been granted to you.</w:t>
      </w:r>
    </w:p>
    <w:p>
      <w:pPr>
        <w:spacing w:after="0" w:line="219" w:lineRule="exact"/>
        <w:rPr>
          <w:rFonts w:ascii="Arial" w:cs="Arial" w:eastAsia="Arial" w:hAnsi="Arial"/>
          <w:sz w:val="22"/>
          <w:szCs w:val="22"/>
          <w:color w:val="auto"/>
        </w:rPr>
      </w:pPr>
    </w:p>
    <w:p>
      <w:pPr>
        <w:jc w:val="both"/>
        <w:ind w:firstLine="1628"/>
        <w:spacing w:after="0" w:line="249" w:lineRule="auto"/>
        <w:tabs>
          <w:tab w:leader="none" w:pos="2103" w:val="left"/>
        </w:tabs>
        <w:numPr>
          <w:ilvl w:val="0"/>
          <w:numId w:val="573"/>
        </w:numPr>
        <w:rPr>
          <w:rFonts w:ascii="Arial" w:cs="Arial" w:eastAsia="Arial" w:hAnsi="Arial"/>
          <w:sz w:val="22"/>
          <w:szCs w:val="22"/>
          <w:color w:val="auto"/>
        </w:rPr>
      </w:pPr>
      <w:r>
        <w:rPr>
          <w:rFonts w:ascii="Arial" w:cs="Arial" w:eastAsia="Arial" w:hAnsi="Arial"/>
          <w:sz w:val="22"/>
          <w:szCs w:val="22"/>
          <w:b w:val="1"/>
          <w:bCs w:val="1"/>
          <w:color w:val="auto"/>
        </w:rPr>
        <w:t>Nature of Units; No Rights As a Stockholder</w:t>
      </w:r>
      <w:r>
        <w:rPr>
          <w:rFonts w:ascii="Arial" w:cs="Arial" w:eastAsia="Arial" w:hAnsi="Arial"/>
          <w:sz w:val="22"/>
          <w:szCs w:val="22"/>
          <w:color w:val="auto"/>
        </w:rPr>
        <w:t>. Your RSUs are mere bookkeeping entries and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only the Company’s unfunded and unsecured promise to issue Shares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w:t>
      </w:r>
    </w:p>
    <w:p>
      <w:pPr>
        <w:spacing w:after="0" w:line="186" w:lineRule="exact"/>
        <w:rPr>
          <w:rFonts w:ascii="Arial" w:cs="Arial" w:eastAsia="Arial" w:hAnsi="Arial"/>
          <w:sz w:val="22"/>
          <w:szCs w:val="22"/>
          <w:color w:val="auto"/>
        </w:rPr>
      </w:pPr>
    </w:p>
    <w:p>
      <w:pPr>
        <w:jc w:val="both"/>
        <w:ind w:firstLine="1628"/>
        <w:spacing w:after="0" w:line="252" w:lineRule="auto"/>
        <w:tabs>
          <w:tab w:leader="none" w:pos="2196" w:val="left"/>
        </w:tabs>
        <w:numPr>
          <w:ilvl w:val="0"/>
          <w:numId w:val="573"/>
        </w:numPr>
        <w:rPr>
          <w:rFonts w:ascii="Arial" w:cs="Arial" w:eastAsia="Arial" w:hAnsi="Arial"/>
          <w:sz w:val="22"/>
          <w:szCs w:val="22"/>
          <w:color w:val="auto"/>
        </w:rPr>
      </w:pPr>
      <w:r>
        <w:rPr>
          <w:rFonts w:ascii="Arial" w:cs="Arial" w:eastAsia="Arial" w:hAnsi="Arial"/>
          <w:sz w:val="22"/>
          <w:szCs w:val="22"/>
          <w:b w:val="1"/>
          <w:bCs w:val="1"/>
          <w:color w:val="auto"/>
        </w:rPr>
        <w:t>Stock Plan and Defined Terms</w:t>
      </w:r>
      <w:r>
        <w:rPr>
          <w:rFonts w:ascii="Arial" w:cs="Arial" w:eastAsia="Arial" w:hAnsi="Arial"/>
          <w:sz w:val="22"/>
          <w:szCs w:val="22"/>
          <w:color w:val="auto"/>
        </w:rPr>
        <w:t>. Your RSUs are granted pursuant to the Plan, a copy of which you</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having received. The provisions of the Plan are incorporated into this Agreement by this reference. Certain capitalized terms are defined in Section 11 of this Agreement. Capitalized terms not otherwise defined herein or in the Notice of Restricted Stock Unit Award shall have the meanings set forth in the Plan.</w:t>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2.</w:t>
        <w:tab/>
        <w:t>VESTING.</w:t>
      </w:r>
    </w:p>
    <w:p>
      <w:pPr>
        <w:spacing w:after="0" w:line="220" w:lineRule="exact"/>
        <w:rPr>
          <w:sz w:val="20"/>
          <w:szCs w:val="20"/>
          <w:color w:val="auto"/>
        </w:rPr>
      </w:pPr>
    </w:p>
    <w:p>
      <w:pPr>
        <w:jc w:val="both"/>
        <w:ind w:firstLine="1628"/>
        <w:spacing w:after="0" w:line="267" w:lineRule="auto"/>
        <w:tabs>
          <w:tab w:leader="none" w:pos="2116" w:val="left"/>
        </w:tabs>
        <w:numPr>
          <w:ilvl w:val="0"/>
          <w:numId w:val="574"/>
        </w:numPr>
        <w:rPr>
          <w:rFonts w:ascii="Arial" w:cs="Arial" w:eastAsia="Arial" w:hAnsi="Arial"/>
          <w:sz w:val="21"/>
          <w:szCs w:val="21"/>
          <w:color w:val="auto"/>
        </w:rPr>
      </w:pPr>
      <w:r>
        <w:rPr>
          <w:rFonts w:ascii="Arial" w:cs="Arial" w:eastAsia="Arial" w:hAnsi="Arial"/>
          <w:sz w:val="21"/>
          <w:szCs w:val="21"/>
          <w:b w:val="1"/>
          <w:bCs w:val="1"/>
          <w:color w:val="auto"/>
        </w:rPr>
        <w:t>Generally</w:t>
      </w:r>
      <w:r>
        <w:rPr>
          <w:rFonts w:ascii="Arial" w:cs="Arial" w:eastAsia="Arial" w:hAnsi="Arial"/>
          <w:sz w:val="21"/>
          <w:szCs w:val="21"/>
          <w:color w:val="auto"/>
        </w:rPr>
        <w:t>. The RSUs vest in accordance with the vesting schedule set forth in the Notice of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You will receive a benefit with respect to a RSU only if both the Service-Based Requirement and the Liquidity Event Requirement are satisfied on or before the Expiration Date. Your RSUs will not vest (in whole or in part) if only one (or if neither) of such requirements is satisfied on or before the Expiration Date.</w:t>
      </w:r>
    </w:p>
    <w:p>
      <w:pPr>
        <w:spacing w:after="0" w:line="167" w:lineRule="exact"/>
        <w:rPr>
          <w:rFonts w:ascii="Arial" w:cs="Arial" w:eastAsia="Arial" w:hAnsi="Arial"/>
          <w:sz w:val="21"/>
          <w:szCs w:val="21"/>
          <w:color w:val="auto"/>
        </w:rPr>
      </w:pPr>
    </w:p>
    <w:p>
      <w:pPr>
        <w:ind w:firstLine="1628"/>
        <w:spacing w:after="0" w:line="269" w:lineRule="auto"/>
        <w:tabs>
          <w:tab w:leader="none" w:pos="2155" w:val="left"/>
        </w:tabs>
        <w:numPr>
          <w:ilvl w:val="0"/>
          <w:numId w:val="574"/>
        </w:numPr>
        <w:rPr>
          <w:rFonts w:ascii="Arial" w:cs="Arial" w:eastAsia="Arial" w:hAnsi="Arial"/>
          <w:sz w:val="22"/>
          <w:szCs w:val="22"/>
          <w:color w:val="auto"/>
        </w:rPr>
      </w:pPr>
      <w:r>
        <w:rPr>
          <w:rFonts w:ascii="Arial" w:cs="Arial" w:eastAsia="Arial" w:hAnsi="Arial"/>
          <w:sz w:val="22"/>
          <w:szCs w:val="22"/>
          <w:b w:val="1"/>
          <w:bCs w:val="1"/>
          <w:color w:val="auto"/>
        </w:rPr>
        <w:t>Termination of Service</w:t>
      </w:r>
      <w:r>
        <w:rPr>
          <w:rFonts w:ascii="Arial" w:cs="Arial" w:eastAsia="Arial" w:hAnsi="Arial"/>
          <w:sz w:val="22"/>
          <w:szCs w:val="22"/>
          <w:color w:val="auto"/>
        </w:rPr>
        <w:t>. If your Service terminates for any reason, all RSUs as to which the Service-Based Requirement has not been satisfied as of your termination</w:t>
      </w:r>
    </w:p>
    <w:p>
      <w:pPr>
        <w:sectPr>
          <w:pgSz w:w="11900" w:h="16838" w:orient="portrait"/>
          <w:cols w:equalWidth="0" w:num="1">
            <w:col w:w="11240"/>
          </w:cols>
          <w:pgMar w:left="320" w:top="1422" w:right="339" w:bottom="1440" w:gutter="0" w:footer="0" w:header="0"/>
        </w:sectPr>
      </w:pPr>
    </w:p>
    <w:bookmarkStart w:id="747" w:name="page748"/>
    <w:bookmarkEnd w:id="747"/>
    <w:p>
      <w:pPr>
        <w:ind w:right="20"/>
        <w:spacing w:after="0" w:line="343" w:lineRule="auto"/>
        <w:rPr>
          <w:sz w:val="20"/>
          <w:szCs w:val="20"/>
          <w:color w:val="auto"/>
        </w:rPr>
      </w:pPr>
      <w:r>
        <w:rPr>
          <w:rFonts w:ascii="Arial" w:cs="Arial" w:eastAsia="Arial" w:hAnsi="Arial"/>
          <w:sz w:val="19"/>
          <w:szCs w:val="19"/>
          <w:color w:val="auto"/>
        </w:rPr>
        <w:t>date shall automatically terminate and be cancelled. Upon your termination of Service, any RSUs as to which the Service-Based Requirement has been satisfied will (if an IPO or Sale Event had not yet occurred) remain outstanding until the Expiration Date.</w:t>
      </w:r>
    </w:p>
    <w:p>
      <w:pPr>
        <w:spacing w:after="0" w:line="98" w:lineRule="exact"/>
        <w:rPr>
          <w:sz w:val="20"/>
          <w:szCs w:val="20"/>
          <w:color w:val="auto"/>
        </w:rPr>
      </w:pPr>
    </w:p>
    <w:p>
      <w:pPr>
        <w:jc w:val="both"/>
        <w:ind w:firstLine="1628"/>
        <w:spacing w:after="0" w:line="249" w:lineRule="auto"/>
        <w:tabs>
          <w:tab w:leader="none" w:pos="2076" w:val="left"/>
        </w:tabs>
        <w:numPr>
          <w:ilvl w:val="0"/>
          <w:numId w:val="575"/>
        </w:numPr>
        <w:rPr>
          <w:rFonts w:ascii="Arial" w:cs="Arial" w:eastAsia="Arial" w:hAnsi="Arial"/>
          <w:sz w:val="22"/>
          <w:szCs w:val="22"/>
          <w:color w:val="auto"/>
        </w:rPr>
      </w:pPr>
      <w:r>
        <w:rPr>
          <w:rFonts w:ascii="Arial" w:cs="Arial" w:eastAsia="Arial" w:hAnsi="Arial"/>
          <w:sz w:val="22"/>
          <w:szCs w:val="22"/>
          <w:b w:val="1"/>
          <w:bCs w:val="1"/>
          <w:color w:val="auto"/>
        </w:rPr>
        <w:t>Expiration of RSUs</w:t>
      </w:r>
      <w:r>
        <w:rPr>
          <w:rFonts w:ascii="Arial" w:cs="Arial" w:eastAsia="Arial" w:hAnsi="Arial"/>
          <w:sz w:val="22"/>
          <w:szCs w:val="22"/>
          <w:color w:val="auto"/>
        </w:rPr>
        <w:t>. If an IPO or Sale Event does not occur on or before the Expiration Date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Notice of Restricted Stock Unit Award, all RSUs (regardless of whether or not, or the extent to which, the Service-Based Requirement had been satisfied as to such RSUs) shall automatically terminate and be cancelled upon such date. Upon a termination of one or more RSUs pursuant to this Section 2, you will have no further right with respect to such RSUs or the Shares previously allocated thereto.</w:t>
      </w:r>
    </w:p>
    <w:p>
      <w:pPr>
        <w:spacing w:after="0" w:line="186" w:lineRule="exact"/>
        <w:rPr>
          <w:rFonts w:ascii="Arial" w:cs="Arial" w:eastAsia="Arial" w:hAnsi="Arial"/>
          <w:sz w:val="22"/>
          <w:szCs w:val="22"/>
          <w:color w:val="auto"/>
        </w:rPr>
      </w:pPr>
    </w:p>
    <w:p>
      <w:pPr>
        <w:jc w:val="both"/>
        <w:ind w:firstLine="1628"/>
        <w:spacing w:after="0" w:line="247" w:lineRule="auto"/>
        <w:tabs>
          <w:tab w:leader="none" w:pos="2115" w:val="left"/>
        </w:tabs>
        <w:numPr>
          <w:ilvl w:val="0"/>
          <w:numId w:val="575"/>
        </w:numPr>
        <w:rPr>
          <w:rFonts w:ascii="Arial" w:cs="Arial" w:eastAsia="Arial" w:hAnsi="Arial"/>
          <w:sz w:val="22"/>
          <w:szCs w:val="22"/>
          <w:color w:val="auto"/>
        </w:rPr>
      </w:pPr>
      <w:r>
        <w:rPr>
          <w:rFonts w:ascii="Arial" w:cs="Arial" w:eastAsia="Arial" w:hAnsi="Arial"/>
          <w:sz w:val="22"/>
          <w:szCs w:val="22"/>
          <w:b w:val="1"/>
          <w:bCs w:val="1"/>
          <w:color w:val="auto"/>
        </w:rPr>
        <w:t>Part-Time Employment and Leaves of Absence</w:t>
      </w:r>
      <w:r>
        <w:rPr>
          <w:rFonts w:ascii="Arial" w:cs="Arial" w:eastAsia="Arial" w:hAnsi="Arial"/>
          <w:sz w:val="22"/>
          <w:szCs w:val="22"/>
          <w:color w:val="auto"/>
        </w:rPr>
        <w:t>. If you commence working on a part-time basis, then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may adjust the Service-Based Requirement set forth in the Notice of Restricted Stock Unit Award. If you go on a leave of absence, then, to the extent permitted by applicable law, the Company may adjust or suspend the Service-Based Requirement set forth in the Notice of Restricted Stock Unit Award. Except as provided in the preceding sentence, Service shall be deemed to continue for any purpose under this Agreement while you are on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leave of absence approved by the Company in writing. Service shall be deemed to terminate when such leave ends, unless you immediately return to active work when such leave ends.</w:t>
      </w:r>
    </w:p>
    <w:p>
      <w:pPr>
        <w:spacing w:after="0" w:line="189"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RESTRICTIONS APPLICABLE TO RSUS.</w:t>
      </w:r>
    </w:p>
    <w:p>
      <w:pPr>
        <w:spacing w:after="0" w:line="226"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19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SETTLEMENT OF RSUS.</w:t>
      </w:r>
    </w:p>
    <w:p>
      <w:pPr>
        <w:spacing w:after="0" w:line="220" w:lineRule="exact"/>
        <w:rPr>
          <w:sz w:val="20"/>
          <w:szCs w:val="20"/>
          <w:color w:val="auto"/>
        </w:rPr>
      </w:pPr>
    </w:p>
    <w:p>
      <w:pPr>
        <w:jc w:val="both"/>
        <w:ind w:firstLine="1628"/>
        <w:spacing w:after="0" w:line="304" w:lineRule="auto"/>
        <w:tabs>
          <w:tab w:leader="none" w:pos="2130" w:val="left"/>
        </w:tabs>
        <w:numPr>
          <w:ilvl w:val="0"/>
          <w:numId w:val="576"/>
        </w:numPr>
        <w:rPr>
          <w:rFonts w:ascii="Arial" w:cs="Arial" w:eastAsia="Arial" w:hAnsi="Arial"/>
          <w:sz w:val="19"/>
          <w:szCs w:val="19"/>
          <w:color w:val="auto"/>
        </w:rPr>
      </w:pPr>
      <w:r>
        <w:rPr>
          <w:rFonts w:ascii="Arial" w:cs="Arial" w:eastAsia="Arial" w:hAnsi="Arial"/>
          <w:sz w:val="19"/>
          <w:szCs w:val="19"/>
          <w:b w:val="1"/>
          <w:bCs w:val="1"/>
          <w:color w:val="auto"/>
        </w:rPr>
        <w:t>Settlement Date</w:t>
      </w:r>
      <w:r>
        <w:rPr>
          <w:rFonts w:ascii="Arial" w:cs="Arial" w:eastAsia="Arial" w:hAnsi="Arial"/>
          <w:sz w:val="19"/>
          <w:szCs w:val="19"/>
          <w:color w:val="auto"/>
        </w:rPr>
        <w:t>. Upon a Vesting Date with respect to a particular RSU, the Company will deliver one</w:t>
      </w:r>
      <w:r>
        <w:rPr>
          <w:rFonts w:ascii="Arial" w:cs="Arial" w:eastAsia="Arial" w:hAnsi="Arial"/>
          <w:sz w:val="19"/>
          <w:szCs w:val="19"/>
          <w:b w:val="1"/>
          <w:bCs w:val="1"/>
          <w:color w:val="auto"/>
        </w:rPr>
        <w:t xml:space="preserve"> </w:t>
      </w:r>
      <w:r>
        <w:rPr>
          <w:rFonts w:ascii="Arial" w:cs="Arial" w:eastAsia="Arial" w:hAnsi="Arial"/>
          <w:sz w:val="19"/>
          <w:szCs w:val="19"/>
          <w:color w:val="auto"/>
        </w:rPr>
        <w:t>Share for that RSU. Settlement shall occur on or following the Vesting Date, but not later than the Short Term Deferral End Date. For the sake of clarity, settlement of RSUs that become vested RSUs upon an IPO shall occur no later than the earlier of (i) the 185th day following the IPO Date, (ii) the Short Term Deferral End Date or (iii) the Expiration Date.</w:t>
      </w:r>
    </w:p>
    <w:p>
      <w:pPr>
        <w:spacing w:after="0" w:line="134" w:lineRule="exact"/>
        <w:rPr>
          <w:rFonts w:ascii="Arial" w:cs="Arial" w:eastAsia="Arial" w:hAnsi="Arial"/>
          <w:sz w:val="19"/>
          <w:szCs w:val="19"/>
          <w:color w:val="auto"/>
        </w:rPr>
      </w:pPr>
    </w:p>
    <w:p>
      <w:pPr>
        <w:ind w:firstLine="1628"/>
        <w:spacing w:after="0" w:line="269" w:lineRule="auto"/>
        <w:tabs>
          <w:tab w:leader="none" w:pos="2223" w:val="left"/>
        </w:tabs>
        <w:numPr>
          <w:ilvl w:val="0"/>
          <w:numId w:val="576"/>
        </w:numPr>
        <w:rPr>
          <w:rFonts w:ascii="Arial" w:cs="Arial" w:eastAsia="Arial" w:hAnsi="Arial"/>
          <w:sz w:val="22"/>
          <w:szCs w:val="22"/>
          <w:color w:val="auto"/>
        </w:rPr>
      </w:pPr>
      <w:r>
        <w:rPr>
          <w:rFonts w:ascii="Arial" w:cs="Arial" w:eastAsia="Arial" w:hAnsi="Arial"/>
          <w:sz w:val="22"/>
          <w:szCs w:val="22"/>
          <w:b w:val="1"/>
          <w:bCs w:val="1"/>
          <w:color w:val="auto"/>
        </w:rPr>
        <w:t>Form of Delivery</w:t>
      </w:r>
      <w:r>
        <w:rPr>
          <w:rFonts w:ascii="Arial" w:cs="Arial" w:eastAsia="Arial" w:hAnsi="Arial"/>
          <w:sz w:val="22"/>
          <w:szCs w:val="22"/>
          <w:color w:val="auto"/>
        </w:rPr>
        <w:t>. The form of any delivery of Shares (e.g., a stock certificate or electronic entry</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such shares) shall be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48" w:name="page749"/>
    <w:bookmarkEnd w:id="748"/>
    <w:p>
      <w:pPr>
        <w:jc w:val="both"/>
        <w:ind w:firstLine="1628"/>
        <w:spacing w:after="0" w:line="262" w:lineRule="auto"/>
        <w:tabs>
          <w:tab w:leader="none" w:pos="2116" w:val="left"/>
        </w:tabs>
        <w:numPr>
          <w:ilvl w:val="0"/>
          <w:numId w:val="577"/>
        </w:numPr>
        <w:rPr>
          <w:rFonts w:ascii="Arial" w:cs="Arial" w:eastAsia="Arial" w:hAnsi="Arial"/>
          <w:sz w:val="21"/>
          <w:szCs w:val="21"/>
          <w:color w:val="auto"/>
        </w:rPr>
      </w:pPr>
      <w:r>
        <w:rPr>
          <w:rFonts w:ascii="Arial" w:cs="Arial" w:eastAsia="Arial" w:hAnsi="Arial"/>
          <w:sz w:val="21"/>
          <w:szCs w:val="21"/>
          <w:b w:val="1"/>
          <w:bCs w:val="1"/>
          <w:color w:val="auto"/>
        </w:rPr>
        <w:t>Legality of Issuance</w:t>
      </w:r>
      <w:r>
        <w:rPr>
          <w:rFonts w:ascii="Arial" w:cs="Arial" w:eastAsia="Arial" w:hAnsi="Arial"/>
          <w:sz w:val="21"/>
          <w:szCs w:val="21"/>
          <w:color w:val="auto"/>
        </w:rPr>
        <w:t>. No Shares shall be issued to you upon settlement of these RSUs unless and until</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determined that (i) you and the Company have taken any actions required to register the Shares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in respect of the RSUs unless it is able to do so in compliance with applicable law.</w:t>
      </w:r>
    </w:p>
    <w:p>
      <w:pPr>
        <w:spacing w:after="0" w:line="173"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TAXES.</w:t>
      </w:r>
    </w:p>
    <w:p>
      <w:pPr>
        <w:spacing w:after="0" w:line="220" w:lineRule="exact"/>
        <w:rPr>
          <w:sz w:val="20"/>
          <w:szCs w:val="20"/>
          <w:color w:val="auto"/>
        </w:rPr>
      </w:pPr>
    </w:p>
    <w:p>
      <w:pPr>
        <w:jc w:val="both"/>
        <w:ind w:firstLine="1628"/>
        <w:spacing w:after="0" w:line="285" w:lineRule="auto"/>
        <w:tabs>
          <w:tab w:leader="none" w:pos="2089" w:val="left"/>
        </w:tabs>
        <w:numPr>
          <w:ilvl w:val="1"/>
          <w:numId w:val="578"/>
        </w:numPr>
        <w:rPr>
          <w:rFonts w:ascii="Arial" w:cs="Arial" w:eastAsia="Arial" w:hAnsi="Arial"/>
          <w:sz w:val="19"/>
          <w:szCs w:val="19"/>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No consideration will be paid to you in respect of this award unless you have made</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satisfactory to the Company and/or the Parent or Subsidiary employing you (your “</w:t>
      </w:r>
      <w:r>
        <w:rPr>
          <w:rFonts w:ascii="Arial" w:cs="Arial" w:eastAsia="Arial" w:hAnsi="Arial"/>
          <w:sz w:val="19"/>
          <w:szCs w:val="19"/>
          <w:b w:val="1"/>
          <w:bCs w:val="1"/>
          <w:color w:val="auto"/>
        </w:rPr>
        <w:t>Employer</w:t>
      </w:r>
      <w:r>
        <w:rPr>
          <w:rFonts w:ascii="Arial" w:cs="Arial" w:eastAsia="Arial" w:hAnsi="Arial"/>
          <w:sz w:val="19"/>
          <w:szCs w:val="19"/>
          <w:color w:val="auto"/>
        </w:rPr>
        <w:t>”) for the payment of all applicable federal, State, local and foreign income and employment withholding taxes which arise in connection with the vesting and/or settlement of these RSUs (the “</w:t>
      </w: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you fail to make such arrangements within a reasonable time, as determined by the Company, with respect to the Withholding Taxes that will arise or have arisen in connection with these RSUs, then you will permanently forfeit such RSUs. At the discretion of the Company, these arrangements may include (i) withholding from other compensation or amounts that are owed to you by your Employer, (ii) payment in cash,</w:t>
      </w:r>
    </w:p>
    <w:p>
      <w:pPr>
        <w:spacing w:after="0" w:line="3" w:lineRule="exact"/>
        <w:rPr>
          <w:rFonts w:ascii="Arial" w:cs="Arial" w:eastAsia="Arial" w:hAnsi="Arial"/>
          <w:sz w:val="19"/>
          <w:szCs w:val="19"/>
          <w:color w:val="auto"/>
        </w:rPr>
      </w:pPr>
    </w:p>
    <w:p>
      <w:pPr>
        <w:jc w:val="both"/>
        <w:ind w:firstLine="8"/>
        <w:spacing w:after="0" w:line="288" w:lineRule="auto"/>
        <w:tabs>
          <w:tab w:leader="none" w:pos="397" w:val="left"/>
        </w:tabs>
        <w:numPr>
          <w:ilvl w:val="0"/>
          <w:numId w:val="579"/>
        </w:numPr>
        <w:rPr>
          <w:rFonts w:ascii="Arial" w:cs="Arial" w:eastAsia="Arial" w:hAnsi="Arial"/>
          <w:sz w:val="19"/>
          <w:szCs w:val="19"/>
          <w:color w:val="auto"/>
        </w:rPr>
      </w:pPr>
      <w:r>
        <w:rPr>
          <w:rFonts w:ascii="Arial" w:cs="Arial" w:eastAsia="Arial" w:hAnsi="Arial"/>
          <w:sz w:val="19"/>
          <w:szCs w:val="19"/>
          <w:color w:val="auto"/>
        </w:rPr>
        <w:t>if the Stock is publicly traded, payment from the proceeds of the sale of shares through a Company-approved broker, (iv) withholding a number of Shares that otherwise would be issued to you when the RSUs are settled, or (v) any other method permitted by the Company. If the Withholding Taxes are satisfied pursuant to clause (iv),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152" w:lineRule="exact"/>
        <w:rPr>
          <w:rFonts w:ascii="Arial" w:cs="Arial" w:eastAsia="Arial" w:hAnsi="Arial"/>
          <w:sz w:val="19"/>
          <w:szCs w:val="19"/>
          <w:color w:val="auto"/>
        </w:rPr>
      </w:pPr>
    </w:p>
    <w:p>
      <w:pPr>
        <w:jc w:val="both"/>
        <w:ind w:firstLine="1628"/>
        <w:spacing w:after="0" w:line="289" w:lineRule="auto"/>
        <w:tabs>
          <w:tab w:leader="none" w:pos="2196" w:val="left"/>
        </w:tabs>
        <w:numPr>
          <w:ilvl w:val="1"/>
          <w:numId w:val="579"/>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settlement of these RSUs is intended to be exempt from the application of Code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pursuant to the “short-term deferral exemption” in Treasury Regulation 1.409A-1(b)(4) and shall be administered and interpreted in a manner that complies with such exemption. To the extent that any provision of this Agreement is ambiguous as to its exemption from Code Section 409A, the provision shall be read in such a manner so that all payments hereunder are exempt from Code Section 409A. Notwithstanding the foregoing, if this award of RSUs is interpreted as not being exempt from Code Section 409A, it shall be interpreted to comply with the requirements of Code Section 409A so that this award is not subject to additional tax or interest under Code Section 409A. In this regard, to the extent necessary to comply with or qualify for an exemption from Code Section 409A, any reference to “termination of employment” or similar terms will mean your “separation from service” within the meaning of Code Section 409A(2)(A)(i) (a “</w:t>
      </w:r>
      <w:r>
        <w:rPr>
          <w:rFonts w:ascii="Arial" w:cs="Arial" w:eastAsia="Arial" w:hAnsi="Arial"/>
          <w:sz w:val="19"/>
          <w:szCs w:val="19"/>
          <w:b w:val="1"/>
          <w:bCs w:val="1"/>
          <w:color w:val="auto"/>
        </w:rPr>
        <w:t>Separation</w:t>
      </w:r>
      <w:r>
        <w:rPr>
          <w:rFonts w:ascii="Arial" w:cs="Arial" w:eastAsia="Arial" w:hAnsi="Arial"/>
          <w:sz w:val="19"/>
          <w:szCs w:val="19"/>
          <w:color w:val="auto"/>
        </w:rPr>
        <w:t>”). In addition, if this award is payable upon your Separation and you are a “specified employee”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49" w:name="page750"/>
    <w:bookmarkEnd w:id="749"/>
    <w:p>
      <w:pPr>
        <w:jc w:val="both"/>
        <w:spacing w:after="0" w:line="302" w:lineRule="auto"/>
        <w:rPr>
          <w:sz w:val="20"/>
          <w:szCs w:val="20"/>
          <w:color w:val="auto"/>
        </w:rPr>
      </w:pPr>
      <w:r>
        <w:rPr>
          <w:rFonts w:ascii="Arial" w:cs="Arial" w:eastAsia="Arial" w:hAnsi="Arial"/>
          <w:sz w:val="19"/>
          <w:szCs w:val="19"/>
          <w:color w:val="auto"/>
        </w:rPr>
        <w:t>affiliate thereof within the meaning of Code Section 409A(a)(2)(B)(i) on the day of your Separation, then no such payment shall be made prior to the date that is the earlier of (i) six months and one day after your Separation, or (ii) your death, but only to the extent such delay is necessary so that this award is not subject to additional tax or interest under Code Section 409A. Each installment of your RSUs that vests is intended to constitute a separate payment for purposes of Code Section 409A.</w:t>
      </w:r>
    </w:p>
    <w:p>
      <w:pPr>
        <w:spacing w:after="0" w:line="13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RIGHT OF FIRST REFUSAL.</w:t>
      </w:r>
    </w:p>
    <w:p>
      <w:pPr>
        <w:spacing w:after="0" w:line="220" w:lineRule="exact"/>
        <w:rPr>
          <w:sz w:val="20"/>
          <w:szCs w:val="20"/>
          <w:color w:val="auto"/>
        </w:rPr>
      </w:pPr>
    </w:p>
    <w:p>
      <w:pPr>
        <w:jc w:val="both"/>
        <w:ind w:firstLine="1628"/>
        <w:spacing w:after="0" w:line="289" w:lineRule="auto"/>
        <w:tabs>
          <w:tab w:leader="none" w:pos="2089" w:val="left"/>
        </w:tabs>
        <w:numPr>
          <w:ilvl w:val="0"/>
          <w:numId w:val="580"/>
        </w:numPr>
        <w:rPr>
          <w:rFonts w:ascii="Arial" w:cs="Arial" w:eastAsia="Arial" w:hAnsi="Arial"/>
          <w:sz w:val="19"/>
          <w:szCs w:val="19"/>
          <w:color w:val="auto"/>
        </w:rPr>
      </w:pPr>
      <w:r>
        <w:rPr>
          <w:rFonts w:ascii="Arial" w:cs="Arial" w:eastAsia="Arial" w:hAnsi="Arial"/>
          <w:sz w:val="19"/>
          <w:szCs w:val="19"/>
          <w:b w:val="1"/>
          <w:bCs w:val="1"/>
          <w:color w:val="auto"/>
        </w:rPr>
        <w:t>Right of First Refusal</w:t>
      </w:r>
      <w:r>
        <w:rPr>
          <w:rFonts w:ascii="Arial" w:cs="Arial" w:eastAsia="Arial" w:hAnsi="Arial"/>
          <w:sz w:val="19"/>
          <w:szCs w:val="19"/>
          <w:color w:val="auto"/>
        </w:rPr>
        <w:t>. In the event that you propose to sell, pledge or otherwise transfer to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acquired under this Agreement, or any interest in such Shares, the Company shall have the Right of First Refusal with respect to all (and not less than all) of such Shares. If you desire to transfer Shares acquired under this Agreement, you must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you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Section 6(b) below) by delivery of a notice of exercise of the Right of First Refusal within 30 days after the date when the Transfer Notice was received by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firstLine="1628"/>
        <w:spacing w:after="0" w:line="287" w:lineRule="auto"/>
        <w:tabs>
          <w:tab w:leader="none" w:pos="2128" w:val="left"/>
        </w:tabs>
        <w:numPr>
          <w:ilvl w:val="0"/>
          <w:numId w:val="580"/>
        </w:numPr>
        <w:rPr>
          <w:rFonts w:ascii="Arial" w:cs="Arial" w:eastAsia="Arial" w:hAnsi="Arial"/>
          <w:sz w:val="19"/>
          <w:szCs w:val="19"/>
          <w:color w:val="auto"/>
        </w:rPr>
      </w:pPr>
      <w:r>
        <w:rPr>
          <w:rFonts w:ascii="Arial" w:cs="Arial" w:eastAsia="Arial" w:hAnsi="Arial"/>
          <w:sz w:val="19"/>
          <w:szCs w:val="19"/>
          <w:b w:val="1"/>
          <w:bCs w:val="1"/>
          <w:color w:val="auto"/>
        </w:rPr>
        <w:t>Transfer of Shares</w:t>
      </w:r>
      <w:r>
        <w:rPr>
          <w:rFonts w:ascii="Arial" w:cs="Arial" w:eastAsia="Arial" w:hAnsi="Arial"/>
          <w:sz w:val="19"/>
          <w:szCs w:val="19"/>
          <w:color w:val="auto"/>
        </w:rPr>
        <w:t>. If the Company fails to exercise its Right of First Refusal within 30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when it received the Transfer Notice, you may, not later than 90 days following receipt of the Transfer Notice by the Company, conclude a transfer of the Shares subject to the Transfer Notice on the terms and conditions no less favorable to you than those described in the Transfer Notice, provided that any such sale is made in compliance with applicable federal, State and foreign securities laws and not in violation of any other contractual restrictions to which you are bound. Any proposed transfer on terms and conditions less favorable than those described in the Transfer Notice, as well as any subsequent proposed transfer by you, shall again be subject to the Right of First Refusal and shall require compliance with the procedure described in Section 6(a)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53" w:lineRule="exact"/>
        <w:rPr>
          <w:rFonts w:ascii="Arial" w:cs="Arial" w:eastAsia="Arial" w:hAnsi="Arial"/>
          <w:sz w:val="19"/>
          <w:szCs w:val="19"/>
          <w:color w:val="auto"/>
        </w:rPr>
      </w:pPr>
    </w:p>
    <w:p>
      <w:pPr>
        <w:ind w:right="20" w:firstLine="1628"/>
        <w:spacing w:after="0" w:line="269" w:lineRule="auto"/>
        <w:tabs>
          <w:tab w:leader="none" w:pos="2157" w:val="left"/>
        </w:tabs>
        <w:numPr>
          <w:ilvl w:val="0"/>
          <w:numId w:val="580"/>
        </w:numPr>
        <w:rPr>
          <w:rFonts w:ascii="Arial" w:cs="Arial" w:eastAsia="Arial" w:hAnsi="Arial"/>
          <w:sz w:val="22"/>
          <w:szCs w:val="22"/>
          <w:color w:val="auto"/>
        </w:rPr>
      </w:pPr>
      <w:r>
        <w:rPr>
          <w:rFonts w:ascii="Arial" w:cs="Arial" w:eastAsia="Arial" w:hAnsi="Arial"/>
          <w:sz w:val="22"/>
          <w:szCs w:val="22"/>
          <w:b w:val="1"/>
          <w:bCs w:val="1"/>
          <w:color w:val="auto"/>
        </w:rPr>
        <w:t>Additional or Exchanged Securities and Property</w:t>
      </w:r>
      <w:r>
        <w:rPr>
          <w:rFonts w:ascii="Arial" w:cs="Arial" w:eastAsia="Arial" w:hAnsi="Arial"/>
          <w:sz w:val="22"/>
          <w:szCs w:val="22"/>
          <w:color w:val="auto"/>
        </w:rPr>
        <w:t>. In the event of a merger or consolidation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sale of all or substantially all of the Company’s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50" w:name="page751"/>
    <w:bookmarkEnd w:id="750"/>
    <w:p>
      <w:pPr>
        <w:jc w:val="both"/>
        <w:spacing w:after="0" w:line="294" w:lineRule="auto"/>
        <w:rPr>
          <w:sz w:val="20"/>
          <w:szCs w:val="20"/>
          <w:color w:val="auto"/>
        </w:rPr>
      </w:pPr>
      <w:r>
        <w:rPr>
          <w:rFonts w:ascii="Arial" w:cs="Arial" w:eastAsia="Arial" w:hAnsi="Arial"/>
          <w:sz w:val="19"/>
          <w:szCs w:val="19"/>
          <w:color w:val="auto"/>
        </w:rPr>
        <w:t>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6 shall immediately be subject to the Right of First Refusal. Appropriate adjustments to reflect the exchange or distribution of such securities or property shall be made to the number and/or class of the Shares subject to this Section 6.</w:t>
      </w:r>
    </w:p>
    <w:p>
      <w:pPr>
        <w:spacing w:after="0" w:line="143" w:lineRule="exact"/>
        <w:rPr>
          <w:sz w:val="20"/>
          <w:szCs w:val="20"/>
          <w:color w:val="auto"/>
        </w:rPr>
      </w:pPr>
    </w:p>
    <w:p>
      <w:pPr>
        <w:jc w:val="both"/>
        <w:ind w:right="20" w:firstLine="1628"/>
        <w:spacing w:after="0" w:line="252" w:lineRule="auto"/>
        <w:tabs>
          <w:tab w:leader="none" w:pos="2155" w:val="left"/>
        </w:tabs>
        <w:numPr>
          <w:ilvl w:val="0"/>
          <w:numId w:val="581"/>
        </w:numPr>
        <w:rPr>
          <w:rFonts w:ascii="Arial" w:cs="Arial" w:eastAsia="Arial" w:hAnsi="Arial"/>
          <w:sz w:val="22"/>
          <w:szCs w:val="22"/>
          <w:color w:val="auto"/>
        </w:rPr>
      </w:pPr>
      <w:r>
        <w:rPr>
          <w:rFonts w:ascii="Arial" w:cs="Arial" w:eastAsia="Arial" w:hAnsi="Arial"/>
          <w:sz w:val="22"/>
          <w:szCs w:val="22"/>
          <w:b w:val="1"/>
          <w:bCs w:val="1"/>
          <w:color w:val="auto"/>
        </w:rPr>
        <w:t>Termination of Right of First Refusal</w:t>
      </w:r>
      <w:r>
        <w:rPr>
          <w:rFonts w:ascii="Arial" w:cs="Arial" w:eastAsia="Arial" w:hAnsi="Arial"/>
          <w:sz w:val="22"/>
          <w:szCs w:val="22"/>
          <w:color w:val="auto"/>
        </w:rPr>
        <w:t>. Any other provision of this Section 6 notwithstanding,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the Stock is readily tradable on an established securities market when you desire to transfer Shares, the Company shall have no Right of First Refusal, and you shall have no obligation to comply with the procedures prescribed by Sections 6(a) and 6(b) above.</w:t>
      </w:r>
    </w:p>
    <w:p>
      <w:pPr>
        <w:spacing w:after="0" w:line="179" w:lineRule="exact"/>
        <w:rPr>
          <w:rFonts w:ascii="Arial" w:cs="Arial" w:eastAsia="Arial" w:hAnsi="Arial"/>
          <w:sz w:val="22"/>
          <w:szCs w:val="22"/>
          <w:color w:val="auto"/>
        </w:rPr>
      </w:pPr>
    </w:p>
    <w:p>
      <w:pPr>
        <w:jc w:val="both"/>
        <w:ind w:firstLine="1628"/>
        <w:spacing w:after="0" w:line="295" w:lineRule="auto"/>
        <w:tabs>
          <w:tab w:leader="none" w:pos="2116" w:val="left"/>
        </w:tabs>
        <w:numPr>
          <w:ilvl w:val="0"/>
          <w:numId w:val="581"/>
        </w:numPr>
        <w:rPr>
          <w:rFonts w:ascii="Arial" w:cs="Arial" w:eastAsia="Arial" w:hAnsi="Arial"/>
          <w:sz w:val="19"/>
          <w:szCs w:val="19"/>
          <w:color w:val="auto"/>
        </w:rPr>
      </w:pPr>
      <w:r>
        <w:rPr>
          <w:rFonts w:ascii="Arial" w:cs="Arial" w:eastAsia="Arial" w:hAnsi="Arial"/>
          <w:sz w:val="19"/>
          <w:szCs w:val="19"/>
          <w:b w:val="1"/>
          <w:bCs w:val="1"/>
          <w:color w:val="auto"/>
        </w:rPr>
        <w:t>Permitted Transfers</w:t>
      </w:r>
      <w:r>
        <w:rPr>
          <w:rFonts w:ascii="Arial" w:cs="Arial" w:eastAsia="Arial" w:hAnsi="Arial"/>
          <w:sz w:val="19"/>
          <w:szCs w:val="19"/>
          <w:color w:val="auto"/>
        </w:rPr>
        <w:t>. This Section 6 shall not apply to (i) a transfer by beneficiary designation, will or</w:t>
      </w:r>
      <w:r>
        <w:rPr>
          <w:rFonts w:ascii="Arial" w:cs="Arial" w:eastAsia="Arial" w:hAnsi="Arial"/>
          <w:sz w:val="19"/>
          <w:szCs w:val="19"/>
          <w:b w:val="1"/>
          <w:bCs w:val="1"/>
          <w:color w:val="auto"/>
        </w:rPr>
        <w:t xml:space="preserve"> </w:t>
      </w:r>
      <w:r>
        <w:rPr>
          <w:rFonts w:ascii="Arial" w:cs="Arial" w:eastAsia="Arial" w:hAnsi="Arial"/>
          <w:sz w:val="19"/>
          <w:szCs w:val="19"/>
          <w:color w:val="auto"/>
        </w:rPr>
        <w:t>intestate succession or (ii) a transfer to one or more members of your Immediate Family or to a trust or other entity established by you solely for the benefit of you and/or one or more members of your Immediate Family, provided in either case that the Transferee agrees in writing on a form prescribed by the Company to be bound by all provisions of this Agreement. If you transfer any Shares acquired under this Agreement, either under this Section 6(e) or after the Company has failed to exercise the Right of First Refusal, then this Agreement shall apply to the Transferee to the same extent as to you.</w:t>
      </w:r>
    </w:p>
    <w:p>
      <w:pPr>
        <w:spacing w:after="0" w:line="143" w:lineRule="exact"/>
        <w:rPr>
          <w:rFonts w:ascii="Arial" w:cs="Arial" w:eastAsia="Arial" w:hAnsi="Arial"/>
          <w:sz w:val="19"/>
          <w:szCs w:val="19"/>
          <w:color w:val="auto"/>
        </w:rPr>
      </w:pPr>
    </w:p>
    <w:p>
      <w:pPr>
        <w:jc w:val="both"/>
        <w:ind w:firstLine="1628"/>
        <w:spacing w:after="0" w:line="262" w:lineRule="auto"/>
        <w:tabs>
          <w:tab w:leader="none" w:pos="2052" w:val="left"/>
        </w:tabs>
        <w:numPr>
          <w:ilvl w:val="0"/>
          <w:numId w:val="581"/>
        </w:numPr>
        <w:rPr>
          <w:rFonts w:ascii="Arial" w:cs="Arial" w:eastAsia="Arial" w:hAnsi="Arial"/>
          <w:sz w:val="21"/>
          <w:szCs w:val="21"/>
          <w:color w:val="auto"/>
        </w:rPr>
      </w:pPr>
      <w:r>
        <w:rPr>
          <w:rFonts w:ascii="Arial" w:cs="Arial" w:eastAsia="Arial" w:hAnsi="Arial"/>
          <w:sz w:val="21"/>
          <w:szCs w:val="21"/>
          <w:b w:val="1"/>
          <w:bCs w:val="1"/>
          <w:color w:val="auto"/>
        </w:rPr>
        <w:t>Termination of Rights as Stockholder</w:t>
      </w:r>
      <w:r>
        <w:rPr>
          <w:rFonts w:ascii="Arial" w:cs="Arial" w:eastAsia="Arial" w:hAnsi="Arial"/>
          <w:sz w:val="21"/>
          <w:szCs w:val="21"/>
          <w:color w:val="auto"/>
        </w:rPr>
        <w:t>. If the Company makes available, at the time and place and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and form provided in this Agreement, the consideration for the Shares to be purchased in accordance with this Section 6,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73" w:lineRule="exact"/>
        <w:rPr>
          <w:rFonts w:ascii="Arial" w:cs="Arial" w:eastAsia="Arial" w:hAnsi="Arial"/>
          <w:sz w:val="21"/>
          <w:szCs w:val="21"/>
          <w:color w:val="auto"/>
        </w:rPr>
      </w:pPr>
    </w:p>
    <w:p>
      <w:pPr>
        <w:jc w:val="both"/>
        <w:ind w:firstLine="1628"/>
        <w:spacing w:after="0" w:line="274" w:lineRule="auto"/>
        <w:tabs>
          <w:tab w:leader="none" w:pos="2128" w:val="left"/>
        </w:tabs>
        <w:numPr>
          <w:ilvl w:val="0"/>
          <w:numId w:val="581"/>
        </w:numPr>
        <w:rPr>
          <w:rFonts w:ascii="Arial" w:cs="Arial" w:eastAsia="Arial" w:hAnsi="Arial"/>
          <w:sz w:val="21"/>
          <w:szCs w:val="21"/>
          <w:color w:val="auto"/>
        </w:rPr>
      </w:pPr>
      <w:r>
        <w:rPr>
          <w:rFonts w:ascii="Arial" w:cs="Arial" w:eastAsia="Arial" w:hAnsi="Arial"/>
          <w:sz w:val="21"/>
          <w:szCs w:val="21"/>
          <w:b w:val="1"/>
          <w:bCs w:val="1"/>
          <w:color w:val="auto"/>
        </w:rPr>
        <w:t>Assignment of Right of First Refusal</w:t>
      </w:r>
      <w:r>
        <w:rPr>
          <w:rFonts w:ascii="Arial" w:cs="Arial" w:eastAsia="Arial" w:hAnsi="Arial"/>
          <w:sz w:val="21"/>
          <w:szCs w:val="21"/>
          <w:color w:val="auto"/>
        </w:rPr>
        <w:t>. The Board of Directors may freely assign the Company’s Right</w:t>
      </w:r>
      <w:r>
        <w:rPr>
          <w:rFonts w:ascii="Arial" w:cs="Arial" w:eastAsia="Arial" w:hAnsi="Arial"/>
          <w:sz w:val="21"/>
          <w:szCs w:val="21"/>
          <w:b w:val="1"/>
          <w:bCs w:val="1"/>
          <w:color w:val="auto"/>
        </w:rPr>
        <w:t xml:space="preserve"> </w:t>
      </w:r>
      <w:r>
        <w:rPr>
          <w:rFonts w:ascii="Arial" w:cs="Arial" w:eastAsia="Arial" w:hAnsi="Arial"/>
          <w:sz w:val="21"/>
          <w:szCs w:val="21"/>
          <w:color w:val="auto"/>
        </w:rPr>
        <w:t>of First Refusal, in whole or in part. Any person who accepts an assignment of the Right of First Refusal from the Company shall be entitled to and assume all of the Company’s rights and obligations under this Section 6.</w:t>
      </w:r>
    </w:p>
    <w:p>
      <w:pPr>
        <w:spacing w:after="0" w:line="158"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RESTRICTIONS APPLICABLE TO SHARES.</w:t>
      </w:r>
    </w:p>
    <w:p>
      <w:pPr>
        <w:spacing w:after="0" w:line="220" w:lineRule="exact"/>
        <w:rPr>
          <w:sz w:val="20"/>
          <w:szCs w:val="20"/>
          <w:color w:val="auto"/>
        </w:rPr>
      </w:pPr>
    </w:p>
    <w:p>
      <w:pPr>
        <w:jc w:val="both"/>
        <w:ind w:firstLine="1628"/>
        <w:spacing w:after="0" w:line="256" w:lineRule="auto"/>
        <w:tabs>
          <w:tab w:leader="none" w:pos="2197" w:val="left"/>
        </w:tabs>
        <w:numPr>
          <w:ilvl w:val="0"/>
          <w:numId w:val="582"/>
        </w:numPr>
        <w:rPr>
          <w:rFonts w:ascii="Arial" w:cs="Arial" w:eastAsia="Arial" w:hAnsi="Arial"/>
          <w:sz w:val="22"/>
          <w:szCs w:val="22"/>
          <w:color w:val="auto"/>
        </w:rPr>
      </w:pPr>
      <w:r>
        <w:rPr>
          <w:rFonts w:ascii="Arial" w:cs="Arial" w:eastAsia="Arial" w:hAnsi="Arial"/>
          <w:sz w:val="22"/>
          <w:szCs w:val="22"/>
          <w:b w:val="1"/>
          <w:bCs w:val="1"/>
          <w:color w:val="auto"/>
        </w:rPr>
        <w:t>General Restrictions</w:t>
      </w:r>
      <w:r>
        <w:rPr>
          <w:rFonts w:ascii="Arial" w:cs="Arial" w:eastAsia="Arial" w:hAnsi="Arial"/>
          <w:sz w:val="22"/>
          <w:szCs w:val="22"/>
          <w:color w:val="auto"/>
        </w:rPr>
        <w:t>. Unless the Stock is readily tradeable on an established securities market,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any of the Shares acquired pursuant to this Agreement (or any interest therein) shall, at the Company’s request, be condition upon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51" w:name="page752"/>
    <w:bookmarkEnd w:id="751"/>
    <w:p>
      <w:pPr>
        <w:spacing w:after="0" w:line="263" w:lineRule="auto"/>
        <w:rPr>
          <w:sz w:val="20"/>
          <w:szCs w:val="20"/>
          <w:color w:val="auto"/>
        </w:rPr>
      </w:pPr>
      <w:r>
        <w:rPr>
          <w:rFonts w:ascii="Arial" w:cs="Arial" w:eastAsia="Arial" w:hAnsi="Arial"/>
          <w:sz w:val="22"/>
          <w:szCs w:val="22"/>
          <w:color w:val="auto"/>
        </w:rPr>
        <w:t>effecting such transfer pursuant to a form of stock transfer agreement prescribed by the Company and (ii) payment of a transfer fee not to exceed $5,000.</w:t>
      </w:r>
    </w:p>
    <w:p>
      <w:pPr>
        <w:spacing w:after="0" w:line="169" w:lineRule="exact"/>
        <w:rPr>
          <w:sz w:val="20"/>
          <w:szCs w:val="20"/>
          <w:color w:val="auto"/>
        </w:rPr>
      </w:pPr>
    </w:p>
    <w:p>
      <w:pPr>
        <w:jc w:val="both"/>
        <w:ind w:firstLine="1628"/>
        <w:spacing w:after="0" w:line="288" w:lineRule="auto"/>
        <w:tabs>
          <w:tab w:leader="none" w:pos="2115" w:val="left"/>
        </w:tabs>
        <w:numPr>
          <w:ilvl w:val="0"/>
          <w:numId w:val="583"/>
        </w:numPr>
        <w:rPr>
          <w:rFonts w:ascii="Arial" w:cs="Arial" w:eastAsia="Arial" w:hAnsi="Arial"/>
          <w:sz w:val="19"/>
          <w:szCs w:val="19"/>
          <w:color w:val="auto"/>
        </w:rPr>
      </w:pPr>
      <w:r>
        <w:rPr>
          <w:rFonts w:ascii="Arial" w:cs="Arial" w:eastAsia="Arial" w:hAnsi="Arial"/>
          <w:sz w:val="19"/>
          <w:szCs w:val="19"/>
          <w:b w:val="1"/>
          <w:bCs w:val="1"/>
          <w:color w:val="auto"/>
        </w:rPr>
        <w:t>Securities Law Restrictions</w:t>
      </w:r>
      <w:r>
        <w:rPr>
          <w:rFonts w:ascii="Arial" w:cs="Arial" w:eastAsia="Arial" w:hAnsi="Arial"/>
          <w:sz w:val="19"/>
          <w:szCs w:val="19"/>
          <w:color w:val="auto"/>
        </w:rPr>
        <w:t>. Regardless of whether the offering and sale of Shares under the Plan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153" w:lineRule="exact"/>
        <w:rPr>
          <w:rFonts w:ascii="Arial" w:cs="Arial" w:eastAsia="Arial" w:hAnsi="Arial"/>
          <w:sz w:val="19"/>
          <w:szCs w:val="19"/>
          <w:color w:val="auto"/>
        </w:rPr>
      </w:pPr>
    </w:p>
    <w:p>
      <w:pPr>
        <w:jc w:val="both"/>
        <w:ind w:firstLine="1628"/>
        <w:spacing w:after="0" w:line="285" w:lineRule="auto"/>
        <w:tabs>
          <w:tab w:leader="none" w:pos="2143" w:val="left"/>
        </w:tabs>
        <w:numPr>
          <w:ilvl w:val="0"/>
          <w:numId w:val="583"/>
        </w:numPr>
        <w:rPr>
          <w:rFonts w:ascii="Arial" w:cs="Arial" w:eastAsia="Arial" w:hAnsi="Arial"/>
          <w:sz w:val="19"/>
          <w:szCs w:val="19"/>
          <w:color w:val="auto"/>
        </w:rPr>
      </w:pPr>
      <w:r>
        <w:rPr>
          <w:rFonts w:ascii="Arial" w:cs="Arial" w:eastAsia="Arial" w:hAnsi="Arial"/>
          <w:sz w:val="19"/>
          <w:szCs w:val="19"/>
          <w:b w:val="1"/>
          <w:bCs w:val="1"/>
          <w:color w:val="auto"/>
        </w:rPr>
        <w:t>Market Stand-Off</w:t>
      </w:r>
      <w:r>
        <w:rPr>
          <w:rFonts w:ascii="Arial" w:cs="Arial" w:eastAsia="Arial" w:hAnsi="Arial"/>
          <w:sz w:val="19"/>
          <w:szCs w:val="19"/>
          <w:color w:val="auto"/>
        </w:rPr>
        <w:t>. In connection with any underwritten public offering by the Company of its equity</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pursuant to an effective 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9"/>
          <w:szCs w:val="19"/>
          <w:b w:val="1"/>
          <w:bCs w:val="1"/>
          <w:color w:val="auto"/>
        </w:rPr>
        <w:t>Market Stand-Off</w:t>
      </w:r>
      <w:r>
        <w:rPr>
          <w:rFonts w:ascii="Arial" w:cs="Arial" w:eastAsia="Arial" w:hAnsi="Arial"/>
          <w:sz w:val="19"/>
          <w:szCs w:val="19"/>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52" w:name="page753"/>
    <w:bookmarkEnd w:id="752"/>
    <w:p>
      <w:pPr>
        <w:ind w:right="20"/>
        <w:spacing w:after="0" w:line="263" w:lineRule="auto"/>
        <w:rPr>
          <w:sz w:val="20"/>
          <w:szCs w:val="20"/>
          <w:color w:val="auto"/>
        </w:rPr>
      </w:pPr>
      <w:r>
        <w:rPr>
          <w:rFonts w:ascii="Arial" w:cs="Arial" w:eastAsia="Arial" w:hAnsi="Arial"/>
          <w:sz w:val="22"/>
          <w:szCs w:val="22"/>
          <w:color w:val="auto"/>
        </w:rPr>
        <w:t>underwriters shall be beneficiaries of the agreement set forth in this Section 7(c). This Section 7(c) shall not apply to Shares registered in the public offering under the Securities Act.</w:t>
      </w:r>
    </w:p>
    <w:p>
      <w:pPr>
        <w:spacing w:after="0" w:line="169" w:lineRule="exact"/>
        <w:rPr>
          <w:sz w:val="20"/>
          <w:szCs w:val="20"/>
          <w:color w:val="auto"/>
        </w:rPr>
      </w:pPr>
    </w:p>
    <w:p>
      <w:pPr>
        <w:ind w:right="20" w:firstLine="1628"/>
        <w:spacing w:after="0" w:line="269" w:lineRule="auto"/>
        <w:tabs>
          <w:tab w:leader="none" w:pos="2115" w:val="left"/>
        </w:tabs>
        <w:numPr>
          <w:ilvl w:val="0"/>
          <w:numId w:val="584"/>
        </w:numPr>
        <w:rPr>
          <w:rFonts w:ascii="Arial" w:cs="Arial" w:eastAsia="Arial" w:hAnsi="Arial"/>
          <w:sz w:val="22"/>
          <w:szCs w:val="22"/>
          <w:color w:val="auto"/>
        </w:rPr>
      </w:pPr>
      <w:r>
        <w:rPr>
          <w:rFonts w:ascii="Arial" w:cs="Arial" w:eastAsia="Arial" w:hAnsi="Arial"/>
          <w:sz w:val="22"/>
          <w:szCs w:val="22"/>
          <w:b w:val="1"/>
          <w:bCs w:val="1"/>
          <w:color w:val="auto"/>
        </w:rPr>
        <w:t>Investment Intent at Grant</w:t>
      </w:r>
      <w:r>
        <w:rPr>
          <w:rFonts w:ascii="Arial" w:cs="Arial" w:eastAsia="Arial" w:hAnsi="Arial"/>
          <w:sz w:val="22"/>
          <w:szCs w:val="22"/>
          <w:color w:val="auto"/>
        </w:rPr>
        <w:t>. You represent and agree that the Shares to be acquired upon 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these RSUs will be acquired for investment, and not with a view to the sale or distribution thereof.</w:t>
      </w:r>
    </w:p>
    <w:p>
      <w:pPr>
        <w:spacing w:after="0" w:line="161" w:lineRule="exact"/>
        <w:rPr>
          <w:rFonts w:ascii="Arial" w:cs="Arial" w:eastAsia="Arial" w:hAnsi="Arial"/>
          <w:sz w:val="22"/>
          <w:szCs w:val="22"/>
          <w:color w:val="auto"/>
        </w:rPr>
      </w:pPr>
    </w:p>
    <w:p>
      <w:pPr>
        <w:jc w:val="both"/>
        <w:ind w:firstLine="1628"/>
        <w:spacing w:after="0" w:line="264" w:lineRule="auto"/>
        <w:tabs>
          <w:tab w:leader="none" w:pos="2143" w:val="left"/>
        </w:tabs>
        <w:numPr>
          <w:ilvl w:val="0"/>
          <w:numId w:val="584"/>
        </w:numPr>
        <w:rPr>
          <w:rFonts w:ascii="Arial" w:cs="Arial" w:eastAsia="Arial" w:hAnsi="Arial"/>
          <w:sz w:val="21"/>
          <w:szCs w:val="21"/>
          <w:color w:val="auto"/>
        </w:rPr>
      </w:pPr>
      <w:r>
        <w:rPr>
          <w:rFonts w:ascii="Arial" w:cs="Arial" w:eastAsia="Arial" w:hAnsi="Arial"/>
          <w:sz w:val="21"/>
          <w:szCs w:val="21"/>
          <w:b w:val="1"/>
          <w:bCs w:val="1"/>
          <w:color w:val="auto"/>
        </w:rPr>
        <w:t>Investment Intent at Settlement</w:t>
      </w:r>
      <w:r>
        <w:rPr>
          <w:rFonts w:ascii="Arial" w:cs="Arial" w:eastAsia="Arial" w:hAnsi="Arial"/>
          <w:sz w:val="21"/>
          <w:szCs w:val="21"/>
          <w:color w:val="auto"/>
        </w:rPr>
        <w:t>. In the event that the sale of Shares under the Plan is not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Securities Act but an exemption is available that requires an investment representation or other representation, you shall represent and agree at the time of issuance that the Shares being acquired upon settlement of these RSUs are being acquired for investment, and not with a view to the sale or distribution thereof, and shall make such other representations as are deemed necessary or appropriate by the Company and its counsel.</w:t>
      </w:r>
    </w:p>
    <w:p>
      <w:pPr>
        <w:spacing w:after="0" w:line="170" w:lineRule="exact"/>
        <w:rPr>
          <w:rFonts w:ascii="Arial" w:cs="Arial" w:eastAsia="Arial" w:hAnsi="Arial"/>
          <w:sz w:val="21"/>
          <w:szCs w:val="21"/>
          <w:color w:val="auto"/>
        </w:rPr>
      </w:pPr>
    </w:p>
    <w:p>
      <w:pPr>
        <w:jc w:val="both"/>
        <w:ind w:firstLine="1628"/>
        <w:spacing w:after="0" w:line="252" w:lineRule="auto"/>
        <w:tabs>
          <w:tab w:leader="none" w:pos="2092" w:val="left"/>
        </w:tabs>
        <w:numPr>
          <w:ilvl w:val="0"/>
          <w:numId w:val="584"/>
        </w:numPr>
        <w:rPr>
          <w:rFonts w:ascii="Arial" w:cs="Arial" w:eastAsia="Arial" w:hAnsi="Arial"/>
          <w:sz w:val="22"/>
          <w:szCs w:val="22"/>
          <w:color w:val="auto"/>
        </w:rPr>
      </w:pPr>
      <w:r>
        <w:rPr>
          <w:rFonts w:ascii="Arial" w:cs="Arial" w:eastAsia="Arial" w:hAnsi="Arial"/>
          <w:sz w:val="22"/>
          <w:szCs w:val="22"/>
          <w:b w:val="1"/>
          <w:bCs w:val="1"/>
          <w:color w:val="auto"/>
        </w:rPr>
        <w:t>Rights of the Company</w:t>
      </w:r>
      <w:r>
        <w:rPr>
          <w:rFonts w:ascii="Arial" w:cs="Arial" w:eastAsia="Arial" w:hAnsi="Arial"/>
          <w:sz w:val="22"/>
          <w:szCs w:val="22"/>
          <w:color w:val="auto"/>
        </w:rPr>
        <w:t>. The Company shall not be required to (i) transfer on its books any Shares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sold or transferred in contravention of this Agreement or (ii) treat as the owner of Shares, or otherwise to accord voting, dividend or liquidation rights to, any Transferee to whom the Shares have been transferred in contravention of this Agreement.</w:t>
      </w:r>
    </w:p>
    <w:p>
      <w:pPr>
        <w:spacing w:after="0" w:line="179" w:lineRule="exact"/>
        <w:rPr>
          <w:rFonts w:ascii="Arial" w:cs="Arial" w:eastAsia="Arial" w:hAnsi="Arial"/>
          <w:sz w:val="22"/>
          <w:szCs w:val="22"/>
          <w:color w:val="auto"/>
        </w:rPr>
      </w:pPr>
    </w:p>
    <w:p>
      <w:pPr>
        <w:ind w:left="2200" w:hanging="572"/>
        <w:spacing w:after="0"/>
        <w:tabs>
          <w:tab w:leader="none" w:pos="2200" w:val="left"/>
        </w:tabs>
        <w:numPr>
          <w:ilvl w:val="0"/>
          <w:numId w:val="584"/>
        </w:numPr>
        <w:rPr>
          <w:rFonts w:ascii="Arial" w:cs="Arial" w:eastAsia="Arial" w:hAnsi="Arial"/>
          <w:sz w:val="19"/>
          <w:szCs w:val="19"/>
          <w:color w:val="auto"/>
        </w:rPr>
      </w:pPr>
      <w:r>
        <w:rPr>
          <w:rFonts w:ascii="Arial" w:cs="Arial" w:eastAsia="Arial" w:hAnsi="Arial"/>
          <w:sz w:val="19"/>
          <w:szCs w:val="19"/>
          <w:b w:val="1"/>
          <w:bCs w:val="1"/>
          <w:color w:val="auto"/>
        </w:rPr>
        <w:t>Legends</w:t>
      </w:r>
      <w:r>
        <w:rPr>
          <w:rFonts w:ascii="Arial" w:cs="Arial" w:eastAsia="Arial" w:hAnsi="Arial"/>
          <w:sz w:val="19"/>
          <w:szCs w:val="19"/>
          <w:color w:val="auto"/>
        </w:rPr>
        <w:t>. All certificates evidencing the Shares issued under this Agreement shall bear the following</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legend:</w:t>
      </w:r>
    </w:p>
    <w:p>
      <w:pPr>
        <w:spacing w:after="0" w:line="202" w:lineRule="exact"/>
        <w:rPr>
          <w:sz w:val="20"/>
          <w:szCs w:val="20"/>
          <w:color w:val="auto"/>
        </w:rPr>
      </w:pPr>
    </w:p>
    <w:p>
      <w:pPr>
        <w:jc w:val="both"/>
        <w:ind w:left="660" w:right="640"/>
        <w:spacing w:after="0" w:line="245" w:lineRule="auto"/>
        <w:rPr>
          <w:sz w:val="20"/>
          <w:szCs w:val="20"/>
          <w:color w:val="auto"/>
        </w:rPr>
      </w:pPr>
      <w:r>
        <w:rPr>
          <w:rFonts w:ascii="Arial" w:cs="Arial" w:eastAsia="Arial" w:hAnsi="Arial"/>
          <w:sz w:val="22"/>
          <w:szCs w:val="22"/>
          <w:color w:val="auto"/>
        </w:rPr>
        <w:t>“THE SHARES REPRESENTED HEREBY (AND ANY INTEREST THEREIN) MAY NOT BE SOLD, ASSIGNED, TRANSFERRED, ENCUMBERED OR IN ANY MANNER DISPOSED OF, EXCEPT IN COMPLIANCE WITH THE TERMS OF THE RESTRICTED STOCK UNIT AGREEMENT PURSUANT TO WHICH SUCH SHARES WERE ACQUIRED. SUCH AGREEMENT GRANTS TO THE COMPANY CERTAIN RIGHTS OF FIRST REFUSAL UPON AN ATTEMPTED TRANSFER OF THE SHARES. IN ADDITION,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20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All certificates evidencing Shares issued under this Agreement in an unregistered transaction shall bear the following legend (and such other restrictive legends as are required or deemed advisable under the provisions of any applicable law):</w:t>
      </w:r>
    </w:p>
    <w:p>
      <w:pPr>
        <w:spacing w:after="0" w:line="104" w:lineRule="exact"/>
        <w:rPr>
          <w:sz w:val="20"/>
          <w:szCs w:val="20"/>
          <w:color w:val="auto"/>
        </w:rPr>
      </w:pPr>
    </w:p>
    <w:p>
      <w:pPr>
        <w:jc w:val="both"/>
        <w:ind w:left="660" w:right="660"/>
        <w:spacing w:after="0" w:line="250" w:lineRule="auto"/>
        <w:rPr>
          <w:sz w:val="20"/>
          <w:szCs w:val="20"/>
          <w:color w:val="auto"/>
        </w:rPr>
      </w:pPr>
      <w:r>
        <w:rPr>
          <w:rFonts w:ascii="Arial" w:cs="Arial" w:eastAsia="Arial" w:hAnsi="Arial"/>
          <w:sz w:val="22"/>
          <w:szCs w:val="22"/>
          <w:color w:val="auto"/>
        </w:rPr>
        <w:t>“THE SHARES REPRESENTED HEREBY HAVE NOT BEEN REGISTERED UNDER THE SECURITIES ACT OF 1933, AS AMENDED (THE “ACT”) OR ANY SECURITIES LAWS OF ANY U.S. STATE, AND MAY NOT BE SOLD, REOFFERED, PLEDGED, ASSIGNED, ENCUMBERED OR OTHERWISE TRANSFERRED OR DISPOSED OF WITHOUT AN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53" w:name="page754"/>
    <w:bookmarkEnd w:id="753"/>
    <w:p>
      <w:pPr>
        <w:jc w:val="both"/>
        <w:ind w:left="660" w:right="660"/>
        <w:spacing w:after="0" w:line="246" w:lineRule="auto"/>
        <w:rPr>
          <w:sz w:val="20"/>
          <w:szCs w:val="20"/>
          <w:color w:val="auto"/>
        </w:rPr>
      </w:pPr>
      <w:r>
        <w:rPr>
          <w:rFonts w:ascii="Arial" w:cs="Arial" w:eastAsia="Arial" w:hAnsi="Arial"/>
          <w:sz w:val="22"/>
          <w:szCs w:val="22"/>
          <w:color w:val="auto"/>
        </w:rPr>
        <w:t>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8" w:lineRule="exact"/>
        <w:rPr>
          <w:sz w:val="20"/>
          <w:szCs w:val="20"/>
          <w:color w:val="auto"/>
        </w:rPr>
      </w:pPr>
    </w:p>
    <w:p>
      <w:pPr>
        <w:jc w:val="both"/>
        <w:ind w:firstLine="1628"/>
        <w:spacing w:after="0" w:line="315" w:lineRule="auto"/>
        <w:tabs>
          <w:tab w:leader="none" w:pos="2142" w:val="left"/>
        </w:tabs>
        <w:numPr>
          <w:ilvl w:val="0"/>
          <w:numId w:val="585"/>
        </w:numPr>
        <w:rPr>
          <w:rFonts w:ascii="Arial" w:cs="Arial" w:eastAsia="Arial" w:hAnsi="Arial"/>
          <w:sz w:val="19"/>
          <w:szCs w:val="19"/>
          <w:color w:val="auto"/>
        </w:rPr>
      </w:pPr>
      <w:r>
        <w:rPr>
          <w:rFonts w:ascii="Arial" w:cs="Arial" w:eastAsia="Arial" w:hAnsi="Arial"/>
          <w:sz w:val="19"/>
          <w:szCs w:val="19"/>
          <w:b w:val="1"/>
          <w:bCs w:val="1"/>
          <w:color w:val="auto"/>
        </w:rPr>
        <w:t>Removal of Legends</w:t>
      </w:r>
      <w:r>
        <w:rPr>
          <w:rFonts w:ascii="Arial" w:cs="Arial" w:eastAsia="Arial" w:hAnsi="Arial"/>
          <w:sz w:val="19"/>
          <w:szCs w:val="19"/>
          <w:color w:val="auto"/>
        </w:rPr>
        <w:t>. If, in the opinion of the Company and its counsel, any legend placed on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Shares issued under this Agreement is no longer required, the holder of such certificate shall be entitled to exchange such certificate for a certificate representing the same number of Shares but without such legend.</w:t>
      </w:r>
    </w:p>
    <w:p>
      <w:pPr>
        <w:spacing w:after="0" w:line="125" w:lineRule="exact"/>
        <w:rPr>
          <w:rFonts w:ascii="Arial" w:cs="Arial" w:eastAsia="Arial" w:hAnsi="Arial"/>
          <w:sz w:val="19"/>
          <w:szCs w:val="19"/>
          <w:color w:val="auto"/>
        </w:rPr>
      </w:pPr>
    </w:p>
    <w:p>
      <w:pPr>
        <w:ind w:firstLine="1628"/>
        <w:spacing w:after="0" w:line="269" w:lineRule="auto"/>
        <w:tabs>
          <w:tab w:leader="none" w:pos="2175"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Any determination by the Company and its counsel in connection with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matters set forth in this Section 7 shall be conclusive and binding on you and all other persons.</w:t>
      </w:r>
    </w:p>
    <w:p>
      <w:pPr>
        <w:spacing w:after="0" w:line="16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ADJUSTMENT OF SHARES.</w:t>
      </w:r>
    </w:p>
    <w:p>
      <w:pPr>
        <w:spacing w:after="0" w:line="226" w:lineRule="exact"/>
        <w:rPr>
          <w:sz w:val="20"/>
          <w:szCs w:val="20"/>
          <w:color w:val="auto"/>
        </w:rPr>
      </w:pPr>
    </w:p>
    <w:p>
      <w:pPr>
        <w:jc w:val="both"/>
        <w:ind w:firstLine="1620"/>
        <w:spacing w:after="0" w:line="290" w:lineRule="auto"/>
        <w:rPr>
          <w:sz w:val="20"/>
          <w:szCs w:val="20"/>
          <w:color w:val="auto"/>
        </w:rPr>
      </w:pPr>
      <w:r>
        <w:rPr>
          <w:rFonts w:ascii="Arial" w:cs="Arial" w:eastAsia="Arial" w:hAnsi="Arial"/>
          <w:sz w:val="19"/>
          <w:szCs w:val="19"/>
          <w:color w:val="auto"/>
        </w:rPr>
        <w:t>In the event of any transaction described in Section 9(a) of the Plan, the terms of these RSUs (including, without limitation, the number and kind of shares subject to these RSUs) shall be adjusted as set forth in Section 9(a) of the Plan. In the event that the Company is a party to a merger or consolidation or in the event of a sale of all or substantially all of the Company’s stock or assets, your RSUs shall be subject to the treatment provided by the Board of Directors in its sole discretion, as provided in Section 9(b) of the Plan; provided, however, that any action taken must either preserve the exemption of your RSUs from Code Section 409A or comply with Code Section 409A.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5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MISCELLANEOUS PROVISIONS.</w:t>
      </w:r>
    </w:p>
    <w:p>
      <w:pPr>
        <w:spacing w:after="0" w:line="220" w:lineRule="exact"/>
        <w:rPr>
          <w:sz w:val="20"/>
          <w:szCs w:val="20"/>
          <w:color w:val="auto"/>
        </w:rPr>
      </w:pPr>
    </w:p>
    <w:p>
      <w:pPr>
        <w:jc w:val="both"/>
        <w:ind w:firstLine="1628"/>
        <w:spacing w:after="0" w:line="267" w:lineRule="auto"/>
        <w:tabs>
          <w:tab w:leader="none" w:pos="2076" w:val="left"/>
        </w:tabs>
        <w:numPr>
          <w:ilvl w:val="0"/>
          <w:numId w:val="586"/>
        </w:numPr>
        <w:rPr>
          <w:rFonts w:ascii="Arial" w:cs="Arial" w:eastAsia="Arial" w:hAnsi="Arial"/>
          <w:sz w:val="21"/>
          <w:szCs w:val="21"/>
          <w:color w:val="auto"/>
        </w:rPr>
      </w:pPr>
      <w:r>
        <w:rPr>
          <w:rFonts w:ascii="Arial" w:cs="Arial" w:eastAsia="Arial" w:hAnsi="Arial"/>
          <w:sz w:val="21"/>
          <w:szCs w:val="21"/>
          <w:b w:val="1"/>
          <w:bCs w:val="1"/>
          <w:color w:val="auto"/>
        </w:rPr>
        <w:t>No Retention Rights</w:t>
      </w:r>
      <w:r>
        <w:rPr>
          <w:rFonts w:ascii="Arial" w:cs="Arial" w:eastAsia="Arial" w:hAnsi="Arial"/>
          <w:sz w:val="21"/>
          <w:szCs w:val="21"/>
          <w:color w:val="auto"/>
        </w:rPr>
        <w:t>. Nothing in this Agreement or in the Plan shall confer upon you the right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Service in any capacity for any period of specific duration or interfere with or otherwise restrict in any way the rights of the Company (or any Parent or Subsidiary employing or retaining you) or you, which rights are hereby expressly reserved by each, to terminate your Service at any time and for any reason, with or without cause.</w:t>
      </w:r>
    </w:p>
    <w:p>
      <w:pPr>
        <w:spacing w:after="0" w:line="167" w:lineRule="exact"/>
        <w:rPr>
          <w:rFonts w:ascii="Arial" w:cs="Arial" w:eastAsia="Arial" w:hAnsi="Arial"/>
          <w:sz w:val="21"/>
          <w:szCs w:val="21"/>
          <w:color w:val="auto"/>
        </w:rPr>
      </w:pPr>
    </w:p>
    <w:p>
      <w:pPr>
        <w:ind w:right="20" w:firstLine="1628"/>
        <w:spacing w:after="0" w:line="269" w:lineRule="auto"/>
        <w:tabs>
          <w:tab w:leader="none" w:pos="2101" w:val="left"/>
        </w:tabs>
        <w:numPr>
          <w:ilvl w:val="0"/>
          <w:numId w:val="586"/>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required by the terms of this Agreement shall be given in writing. It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upon (i) personal delivery, (ii) deposit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54" w:name="page755"/>
    <w:bookmarkEnd w:id="754"/>
    <w:p>
      <w:pPr>
        <w:jc w:val="both"/>
        <w:spacing w:after="0" w:line="297" w:lineRule="auto"/>
        <w:rPr>
          <w:sz w:val="20"/>
          <w:szCs w:val="20"/>
          <w:color w:val="auto"/>
        </w:rPr>
      </w:pPr>
      <w:r>
        <w:rPr>
          <w:rFonts w:ascii="Arial" w:cs="Arial" w:eastAsia="Arial" w:hAnsi="Arial"/>
          <w:sz w:val="19"/>
          <w:szCs w:val="19"/>
          <w:color w:val="auto"/>
        </w:rPr>
        <w:t>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9(b). In addition, to the extent required or permitted pursuant to rules established by the Company from time to time, notices may be delivered electronically.</w:t>
      </w:r>
    </w:p>
    <w:p>
      <w:pPr>
        <w:spacing w:after="0" w:line="141" w:lineRule="exact"/>
        <w:rPr>
          <w:sz w:val="20"/>
          <w:szCs w:val="20"/>
          <w:color w:val="auto"/>
        </w:rPr>
      </w:pPr>
    </w:p>
    <w:p>
      <w:pPr>
        <w:jc w:val="both"/>
        <w:ind w:firstLine="1628"/>
        <w:spacing w:after="0" w:line="249" w:lineRule="auto"/>
        <w:tabs>
          <w:tab w:leader="none" w:pos="2143"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Modifications and Waivers</w:t>
      </w:r>
      <w:r>
        <w:rPr>
          <w:rFonts w:ascii="Arial" w:cs="Arial" w:eastAsia="Arial" w:hAnsi="Arial"/>
          <w:sz w:val="22"/>
          <w:szCs w:val="22"/>
          <w:color w:val="auto"/>
        </w:rPr>
        <w:t>. No provision of this Agreement shall be modified, waived or discharged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modification, waiver or discharge is agreed to in 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22"/>
          <w:szCs w:val="22"/>
          <w:color w:val="auto"/>
        </w:rPr>
      </w:pPr>
    </w:p>
    <w:p>
      <w:pPr>
        <w:jc w:val="both"/>
        <w:ind w:firstLine="1628"/>
        <w:spacing w:after="0" w:line="252" w:lineRule="auto"/>
        <w:tabs>
          <w:tab w:leader="none" w:pos="2128"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Notice of Restricted Stock Unit Award,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you and the Company regarding the subject matter hereof. They supersede any other agreements, representations or understandings (whether oral or written and whether express or implied) that relate to the subject matter hereof.</w:t>
      </w:r>
    </w:p>
    <w:p>
      <w:pPr>
        <w:spacing w:after="0" w:line="179" w:lineRule="exact"/>
        <w:rPr>
          <w:rFonts w:ascii="Arial" w:cs="Arial" w:eastAsia="Arial" w:hAnsi="Arial"/>
          <w:sz w:val="22"/>
          <w:szCs w:val="22"/>
          <w:color w:val="auto"/>
        </w:rPr>
      </w:pPr>
    </w:p>
    <w:p>
      <w:pPr>
        <w:ind w:firstLine="1628"/>
        <w:spacing w:after="0" w:line="269" w:lineRule="auto"/>
        <w:tabs>
          <w:tab w:leader="none" w:pos="2089"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Choice of Law</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such laws are applied to contracts entered into and performed in such State.</w:t>
      </w:r>
    </w:p>
    <w:p>
      <w:pPr>
        <w:spacing w:after="0" w:line="161" w:lineRule="exact"/>
        <w:rPr>
          <w:rFonts w:ascii="Arial" w:cs="Arial" w:eastAsia="Arial" w:hAnsi="Arial"/>
          <w:sz w:val="22"/>
          <w:szCs w:val="22"/>
          <w:color w:val="auto"/>
        </w:rPr>
      </w:pPr>
    </w:p>
    <w:p>
      <w:pPr>
        <w:jc w:val="both"/>
        <w:ind w:firstLine="1628"/>
        <w:spacing w:after="0" w:line="267" w:lineRule="auto"/>
        <w:tabs>
          <w:tab w:leader="none" w:pos="2052" w:val="left"/>
        </w:tabs>
        <w:numPr>
          <w:ilvl w:val="0"/>
          <w:numId w:val="587"/>
        </w:numPr>
        <w:rPr>
          <w:rFonts w:ascii="Arial" w:cs="Arial" w:eastAsia="Arial" w:hAnsi="Arial"/>
          <w:sz w:val="21"/>
          <w:szCs w:val="2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Whenever possible, each provision of this Agreement shall be interpreted in such manner as</w:t>
      </w:r>
      <w:r>
        <w:rPr>
          <w:rFonts w:ascii="Arial" w:cs="Arial" w:eastAsia="Arial" w:hAnsi="Arial"/>
          <w:sz w:val="21"/>
          <w:szCs w:val="21"/>
          <w:b w:val="1"/>
          <w:bCs w:val="1"/>
          <w:color w:val="auto"/>
        </w:rPr>
        <w:t xml:space="preserve"> </w:t>
      </w:r>
      <w:r>
        <w:rPr>
          <w:rFonts w:ascii="Arial" w:cs="Arial" w:eastAsia="Arial" w:hAnsi="Arial"/>
          <w:sz w:val="21"/>
          <w:szCs w:val="21"/>
          <w:color w:val="auto"/>
        </w:rPr>
        <w:t>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67" w:lineRule="exact"/>
        <w:rPr>
          <w:rFonts w:ascii="Arial" w:cs="Arial" w:eastAsia="Arial" w:hAnsi="Arial"/>
          <w:sz w:val="21"/>
          <w:szCs w:val="21"/>
          <w:color w:val="auto"/>
        </w:rPr>
      </w:pPr>
    </w:p>
    <w:p>
      <w:pPr>
        <w:jc w:val="both"/>
        <w:ind w:firstLine="1628"/>
        <w:spacing w:after="0" w:line="249" w:lineRule="auto"/>
        <w:tabs>
          <w:tab w:leader="none" w:pos="2142"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Except as otherwise expressly provided to the contrary,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inure to the 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ACKNOWLEDGEMENTS.</w:t>
      </w:r>
    </w:p>
    <w:p>
      <w:pPr>
        <w:spacing w:after="0" w:line="226"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In addition to the other terms, conditions and restrictions imposed on your RSUs and the Shares issuable upon settlement of your RSUs pursuant to this Agreement and the Plan, you expressly acknowledge being subject to Sections 6 (Right of First Refusal) and 7 (Restrictions Applicable to Shares, including without limitation the Market Stand-Off), as well as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55" w:name="page756"/>
    <w:bookmarkEnd w:id="755"/>
    <w:p>
      <w:pPr>
        <w:jc w:val="both"/>
        <w:ind w:firstLine="1628"/>
        <w:spacing w:after="0" w:line="287" w:lineRule="auto"/>
        <w:tabs>
          <w:tab w:leader="none" w:pos="2076" w:val="left"/>
        </w:tabs>
        <w:numPr>
          <w:ilvl w:val="0"/>
          <w:numId w:val="588"/>
        </w:numPr>
        <w:rPr>
          <w:rFonts w:ascii="Arial" w:cs="Arial" w:eastAsia="Arial" w:hAnsi="Arial"/>
          <w:sz w:val="19"/>
          <w:szCs w:val="19"/>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acknowledge that there will be tax consequences upon vesting and/or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RSUs and/or disposition of the Shares,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 tax, legal, and financial advisors regarding your participation in the Plan. You further acknowledge that the Company (i) makes no representations or undertakings regarding the tax treatment of the award of RSUs, including, but not limited to the grant, vesting, or settlement of the RSUs, the subsequent sale of Shares acquired pursuant to such 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 Directors, officers, or employees related to tax matters arising from this award or your other compensation.</w:t>
      </w:r>
    </w:p>
    <w:p>
      <w:pPr>
        <w:spacing w:after="0" w:line="158" w:lineRule="exact"/>
        <w:rPr>
          <w:rFonts w:ascii="Arial" w:cs="Arial" w:eastAsia="Arial" w:hAnsi="Arial"/>
          <w:sz w:val="19"/>
          <w:szCs w:val="19"/>
          <w:color w:val="auto"/>
        </w:rPr>
      </w:pPr>
    </w:p>
    <w:p>
      <w:pPr>
        <w:jc w:val="both"/>
        <w:ind w:firstLine="1628"/>
        <w:spacing w:after="0" w:line="293" w:lineRule="auto"/>
        <w:tabs>
          <w:tab w:leader="none" w:pos="2209" w:val="left"/>
        </w:tabs>
        <w:numPr>
          <w:ilvl w:val="0"/>
          <w:numId w:val="588"/>
        </w:numPr>
        <w:rPr>
          <w:rFonts w:ascii="Arial" w:cs="Arial" w:eastAsia="Arial" w:hAnsi="Arial"/>
          <w:sz w:val="19"/>
          <w:szCs w:val="19"/>
          <w:color w:val="auto"/>
        </w:rPr>
      </w:pPr>
      <w:r>
        <w:rPr>
          <w:rFonts w:ascii="Arial" w:cs="Arial" w:eastAsia="Arial" w:hAnsi="Arial"/>
          <w:sz w:val="19"/>
          <w:szCs w:val="19"/>
          <w:b w:val="1"/>
          <w:bCs w:val="1"/>
          <w:color w:val="auto"/>
        </w:rPr>
        <w:t>Electronic Delivery of Documents</w:t>
      </w:r>
      <w:r>
        <w:rPr>
          <w:rFonts w:ascii="Arial" w:cs="Arial" w:eastAsia="Arial" w:hAnsi="Arial"/>
          <w:sz w:val="19"/>
          <w:szCs w:val="19"/>
          <w:color w:val="auto"/>
        </w:rPr>
        <w:t>. You acknowledge and agree that the Company may,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deliver all documents 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44" w:lineRule="exact"/>
        <w:rPr>
          <w:rFonts w:ascii="Arial" w:cs="Arial" w:eastAsia="Arial" w:hAnsi="Arial"/>
          <w:sz w:val="19"/>
          <w:szCs w:val="19"/>
          <w:color w:val="auto"/>
        </w:rPr>
      </w:pPr>
    </w:p>
    <w:p>
      <w:pPr>
        <w:jc w:val="both"/>
        <w:ind w:firstLine="1628"/>
        <w:spacing w:after="0" w:line="248" w:lineRule="auto"/>
        <w:tabs>
          <w:tab w:leader="none" w:pos="2130" w:val="left"/>
        </w:tabs>
        <w:numPr>
          <w:ilvl w:val="0"/>
          <w:numId w:val="588"/>
        </w:numPr>
        <w:rPr>
          <w:rFonts w:ascii="Arial" w:cs="Arial" w:eastAsia="Arial" w:hAnsi="Arial"/>
          <w:sz w:val="22"/>
          <w:szCs w:val="22"/>
          <w:color w:val="auto"/>
        </w:rPr>
      </w:pPr>
      <w:r>
        <w:rPr>
          <w:rFonts w:ascii="Arial" w:cs="Arial" w:eastAsia="Arial" w:hAnsi="Arial"/>
          <w:sz w:val="22"/>
          <w:szCs w:val="22"/>
          <w:b w:val="1"/>
          <w:bCs w:val="1"/>
          <w:color w:val="auto"/>
        </w:rPr>
        <w:t>Plan Discretionary</w:t>
      </w:r>
      <w:r>
        <w:rPr>
          <w:rFonts w:ascii="Arial" w:cs="Arial" w:eastAsia="Arial" w:hAnsi="Arial"/>
          <w:sz w:val="22"/>
          <w:szCs w:val="22"/>
          <w:color w:val="auto"/>
        </w:rPr>
        <w:t>. You understand and acknowledge that (i) the Plan is entirely discretionary, (ii)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your employer 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186" w:lineRule="exact"/>
        <w:rPr>
          <w:rFonts w:ascii="Arial" w:cs="Arial" w:eastAsia="Arial" w:hAnsi="Arial"/>
          <w:sz w:val="22"/>
          <w:szCs w:val="22"/>
          <w:color w:val="auto"/>
        </w:rPr>
      </w:pPr>
    </w:p>
    <w:p>
      <w:pPr>
        <w:ind w:firstLine="1628"/>
        <w:spacing w:after="0" w:line="349" w:lineRule="auto"/>
        <w:tabs>
          <w:tab w:leader="none" w:pos="2182" w:val="left"/>
        </w:tabs>
        <w:numPr>
          <w:ilvl w:val="0"/>
          <w:numId w:val="588"/>
        </w:numPr>
        <w:rPr>
          <w:rFonts w:ascii="Arial" w:cs="Arial" w:eastAsia="Arial" w:hAnsi="Arial"/>
          <w:sz w:val="19"/>
          <w:szCs w:val="19"/>
          <w:color w:val="auto"/>
        </w:rPr>
      </w:pPr>
      <w:r>
        <w:rPr>
          <w:rFonts w:ascii="Arial" w:cs="Arial" w:eastAsia="Arial" w:hAnsi="Arial"/>
          <w:sz w:val="19"/>
          <w:szCs w:val="19"/>
          <w:b w:val="1"/>
          <w:bCs w:val="1"/>
          <w:color w:val="auto"/>
        </w:rPr>
        <w:t>Termination of Service</w:t>
      </w:r>
      <w:r>
        <w:rPr>
          <w:rFonts w:ascii="Arial" w:cs="Arial" w:eastAsia="Arial" w:hAnsi="Arial"/>
          <w:sz w:val="19"/>
          <w:szCs w:val="19"/>
          <w:color w:val="auto"/>
        </w:rPr>
        <w:t>. You understand and acknowledge that participation in the Plan ceases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your Service for any reason, except as may explicitly be provided otherwise in the Plan or this Agreement.</w:t>
      </w:r>
    </w:p>
    <w:p>
      <w:pPr>
        <w:spacing w:after="0" w:line="93" w:lineRule="exact"/>
        <w:rPr>
          <w:rFonts w:ascii="Arial" w:cs="Arial" w:eastAsia="Arial" w:hAnsi="Arial"/>
          <w:sz w:val="19"/>
          <w:szCs w:val="19"/>
          <w:color w:val="auto"/>
        </w:rPr>
      </w:pPr>
    </w:p>
    <w:p>
      <w:pPr>
        <w:jc w:val="both"/>
        <w:ind w:firstLine="1628"/>
        <w:spacing w:after="0" w:line="256" w:lineRule="auto"/>
        <w:tabs>
          <w:tab w:leader="none" w:pos="2116" w:val="left"/>
        </w:tabs>
        <w:numPr>
          <w:ilvl w:val="0"/>
          <w:numId w:val="588"/>
        </w:numPr>
        <w:rPr>
          <w:rFonts w:ascii="Arial" w:cs="Arial" w:eastAsia="Arial" w:hAnsi="Arial"/>
          <w:sz w:val="22"/>
          <w:szCs w:val="22"/>
          <w:color w:val="auto"/>
        </w:rPr>
      </w:pPr>
      <w:r>
        <w:rPr>
          <w:rFonts w:ascii="Arial" w:cs="Arial" w:eastAsia="Arial" w:hAnsi="Arial"/>
          <w:sz w:val="22"/>
          <w:szCs w:val="22"/>
          <w:b w:val="1"/>
          <w:bCs w:val="1"/>
          <w:color w:val="auto"/>
        </w:rPr>
        <w:t>Extraordinary Compensation</w:t>
      </w:r>
      <w:r>
        <w:rPr>
          <w:rFonts w:ascii="Arial" w:cs="Arial" w:eastAsia="Arial" w:hAnsi="Arial"/>
          <w:sz w:val="22"/>
          <w:szCs w:val="22"/>
          <w:color w:val="auto"/>
        </w:rPr>
        <w:t>. The value of your RSUs and the Shares issuable thereunder shall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extraordinary item of compensation outside the scope of your employment contract, if any, and shall not be considered a part of your normal or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756" w:name="page757"/>
    <w:bookmarkEnd w:id="756"/>
    <w:p>
      <w:pPr>
        <w:spacing w:after="0" w:line="263" w:lineRule="auto"/>
        <w:rPr>
          <w:sz w:val="20"/>
          <w:szCs w:val="20"/>
          <w:color w:val="auto"/>
        </w:rPr>
      </w:pPr>
      <w:r>
        <w:rPr>
          <w:rFonts w:ascii="Arial" w:cs="Arial" w:eastAsia="Arial" w:hAnsi="Arial"/>
          <w:sz w:val="22"/>
          <w:szCs w:val="22"/>
          <w:color w:val="auto"/>
        </w:rPr>
        <w:t>compensation for purposes of calculating severance, resignation, redundancy or end-of-service payments, bonuses, long-service awards, pension or retirement benefits or similar payments.</w:t>
      </w:r>
    </w:p>
    <w:p>
      <w:pPr>
        <w:spacing w:after="0" w:line="169" w:lineRule="exact"/>
        <w:rPr>
          <w:sz w:val="20"/>
          <w:szCs w:val="20"/>
          <w:color w:val="auto"/>
        </w:rPr>
      </w:pPr>
    </w:p>
    <w:p>
      <w:pPr>
        <w:jc w:val="both"/>
        <w:ind w:firstLine="1628"/>
        <w:spacing w:after="0" w:line="252" w:lineRule="auto"/>
        <w:tabs>
          <w:tab w:leader="none" w:pos="2052" w:val="left"/>
        </w:tabs>
        <w:numPr>
          <w:ilvl w:val="0"/>
          <w:numId w:val="589"/>
        </w:numPr>
        <w:rPr>
          <w:rFonts w:ascii="Arial" w:cs="Arial" w:eastAsia="Arial" w:hAnsi="Arial"/>
          <w:sz w:val="22"/>
          <w:szCs w:val="22"/>
          <w:color w:val="auto"/>
        </w:rPr>
      </w:pPr>
      <w:r>
        <w:rPr>
          <w:rFonts w:ascii="Arial" w:cs="Arial" w:eastAsia="Arial" w:hAnsi="Arial"/>
          <w:sz w:val="22"/>
          <w:szCs w:val="22"/>
          <w:b w:val="1"/>
          <w:bCs w:val="1"/>
          <w:color w:val="auto"/>
        </w:rPr>
        <w:t>Authorization to Disclose</w:t>
      </w:r>
      <w:r>
        <w:rPr>
          <w:rFonts w:ascii="Arial" w:cs="Arial" w:eastAsia="Arial" w:hAnsi="Arial"/>
          <w:sz w:val="22"/>
          <w:szCs w:val="22"/>
          <w:color w:val="auto"/>
        </w:rPr>
        <w:t>. You hereby authorize and direct your employer to disclose to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79" w:lineRule="exact"/>
        <w:rPr>
          <w:rFonts w:ascii="Arial" w:cs="Arial" w:eastAsia="Arial" w:hAnsi="Arial"/>
          <w:sz w:val="22"/>
          <w:szCs w:val="22"/>
          <w:color w:val="auto"/>
        </w:rPr>
      </w:pPr>
    </w:p>
    <w:p>
      <w:pPr>
        <w:jc w:val="both"/>
        <w:ind w:firstLine="1628"/>
        <w:spacing w:after="0" w:line="286" w:lineRule="auto"/>
        <w:tabs>
          <w:tab w:leader="none" w:pos="2250" w:val="left"/>
        </w:tabs>
        <w:numPr>
          <w:ilvl w:val="0"/>
          <w:numId w:val="589"/>
        </w:numPr>
        <w:rPr>
          <w:rFonts w:ascii="Arial" w:cs="Arial" w:eastAsia="Arial" w:hAnsi="Arial"/>
          <w:sz w:val="19"/>
          <w:szCs w:val="19"/>
          <w:color w:val="auto"/>
        </w:rPr>
      </w:pPr>
      <w:r>
        <w:rPr>
          <w:rFonts w:ascii="Arial" w:cs="Arial" w:eastAsia="Arial" w:hAnsi="Arial"/>
          <w:sz w:val="19"/>
          <w:szCs w:val="19"/>
          <w:b w:val="1"/>
          <w:bCs w:val="1"/>
          <w:color w:val="auto"/>
        </w:rPr>
        <w:t>Personal Data Authorization</w:t>
      </w:r>
      <w:r>
        <w:rPr>
          <w:rFonts w:ascii="Arial" w:cs="Arial" w:eastAsia="Arial" w:hAnsi="Arial"/>
          <w:sz w:val="19"/>
          <w:szCs w:val="19"/>
          <w:color w:val="auto"/>
        </w:rPr>
        <w:t>. You consent to the collection, use and transfer of personal data as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this Subsection (g). You understand and acknowledge that the Company, your employer and the Company’s other Subsidiaries retain and process certain personal information about you in order to manage and administer the Plan, including, without limitation, your name, home address, telephone number, date of birth, social insurance number, salary, nationality, job title, any Shares or directorships held in the Company and details of all RSUs or any other entitlements to Shares awarded, canceled, exercised, vested, unvested or outstanding in your favor (the “</w:t>
      </w:r>
      <w:r>
        <w:rPr>
          <w:rFonts w:ascii="Arial" w:cs="Arial" w:eastAsia="Arial" w:hAnsi="Arial"/>
          <w:sz w:val="19"/>
          <w:szCs w:val="19"/>
          <w:b w:val="1"/>
          <w:bCs w:val="1"/>
          <w:color w:val="auto"/>
        </w:rPr>
        <w:t>Data</w:t>
      </w:r>
      <w:r>
        <w:rPr>
          <w:rFonts w:ascii="Arial" w:cs="Arial" w:eastAsia="Arial" w:hAnsi="Arial"/>
          <w:sz w:val="19"/>
          <w:szCs w:val="19"/>
          <w:color w:val="auto"/>
        </w:rPr>
        <w:t>”).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receive a copy of the Data, require any necessary modifications of the Data or withdraw the consents set forth in this Subsection (g) by contacting the Company in writing.</w:t>
      </w:r>
    </w:p>
    <w:p>
      <w:pPr>
        <w:spacing w:after="0" w:line="158" w:lineRule="exact"/>
        <w:rPr>
          <w:rFonts w:ascii="Arial" w:cs="Arial" w:eastAsia="Arial" w:hAnsi="Arial"/>
          <w:sz w:val="19"/>
          <w:szCs w:val="19"/>
          <w:color w:val="auto"/>
        </w:rPr>
      </w:pPr>
    </w:p>
    <w:p>
      <w:pPr>
        <w:jc w:val="both"/>
        <w:ind w:firstLine="1628"/>
        <w:spacing w:after="0" w:line="256" w:lineRule="auto"/>
        <w:tabs>
          <w:tab w:leader="none" w:pos="2182" w:val="left"/>
        </w:tabs>
        <w:numPr>
          <w:ilvl w:val="0"/>
          <w:numId w:val="589"/>
        </w:numPr>
        <w:rPr>
          <w:rFonts w:ascii="Arial" w:cs="Arial" w:eastAsia="Arial" w:hAnsi="Arial"/>
          <w:sz w:val="22"/>
          <w:szCs w:val="22"/>
          <w:color w:val="auto"/>
        </w:rPr>
      </w:pPr>
      <w:r>
        <w:rPr>
          <w:rFonts w:ascii="Arial" w:cs="Arial" w:eastAsia="Arial" w:hAnsi="Arial"/>
          <w:sz w:val="22"/>
          <w:szCs w:val="22"/>
          <w:b w:val="1"/>
          <w:bCs w:val="1"/>
          <w:color w:val="auto"/>
        </w:rPr>
        <w:t>Uncertificated Shares</w:t>
      </w:r>
      <w:r>
        <w:rPr>
          <w:rFonts w:ascii="Arial" w:cs="Arial" w:eastAsia="Arial" w:hAnsi="Arial"/>
          <w:sz w:val="22"/>
          <w:szCs w:val="22"/>
          <w:color w:val="auto"/>
        </w:rPr>
        <w:t>. You hereby agree and acknowledge that to the extent the shares issued upon</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of the RSUs are uncertificated then all references herein to stock certificates also includes electronic or uncertificated equivalents.</w:t>
      </w:r>
    </w:p>
    <w:p>
      <w:pPr>
        <w:spacing w:after="0" w:line="17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2"/>
          <w:szCs w:val="22"/>
          <w:b w:val="1"/>
          <w:bCs w:val="1"/>
          <w:color w:val="auto"/>
        </w:rPr>
        <w:t>DEFINITIONS.</w:t>
      </w:r>
    </w:p>
    <w:p>
      <w:pPr>
        <w:spacing w:after="0" w:line="220" w:lineRule="exact"/>
        <w:rPr>
          <w:sz w:val="20"/>
          <w:szCs w:val="20"/>
          <w:color w:val="auto"/>
        </w:rPr>
      </w:pPr>
    </w:p>
    <w:p>
      <w:pPr>
        <w:ind w:left="2080" w:hanging="452"/>
        <w:spacing w:after="0"/>
        <w:tabs>
          <w:tab w:leader="none" w:pos="2080" w:val="left"/>
        </w:tabs>
        <w:numPr>
          <w:ilvl w:val="0"/>
          <w:numId w:val="5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Restricted Stock Unit Agreement.</w:t>
      </w:r>
    </w:p>
    <w:p>
      <w:pPr>
        <w:spacing w:after="0" w:line="219" w:lineRule="exact"/>
        <w:rPr>
          <w:rFonts w:ascii="Arial" w:cs="Arial" w:eastAsia="Arial" w:hAnsi="Arial"/>
          <w:sz w:val="22"/>
          <w:szCs w:val="22"/>
          <w:color w:val="auto"/>
        </w:rPr>
      </w:pPr>
    </w:p>
    <w:p>
      <w:pPr>
        <w:ind w:firstLine="1628"/>
        <w:spacing w:after="0" w:line="269" w:lineRule="auto"/>
        <w:tabs>
          <w:tab w:leader="none" w:pos="2088" w:val="left"/>
        </w:tabs>
        <w:numPr>
          <w:ilvl w:val="0"/>
          <w:numId w:val="5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as constituted from time to time or, if a Committee has been appointed, such Committee.</w:t>
      </w:r>
    </w:p>
    <w:p>
      <w:pPr>
        <w:spacing w:after="0" w:line="161" w:lineRule="exact"/>
        <w:rPr>
          <w:rFonts w:ascii="Arial" w:cs="Arial" w:eastAsia="Arial" w:hAnsi="Arial"/>
          <w:sz w:val="22"/>
          <w:szCs w:val="22"/>
          <w:color w:val="auto"/>
        </w:rPr>
      </w:pPr>
    </w:p>
    <w:p>
      <w:pPr>
        <w:ind w:left="2080" w:hanging="452"/>
        <w:spacing w:after="0"/>
        <w:tabs>
          <w:tab w:leader="none" w:pos="2080" w:val="left"/>
        </w:tabs>
        <w:numPr>
          <w:ilvl w:val="0"/>
          <w:numId w:val="5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2100" w:hanging="472"/>
        <w:spacing w:after="0"/>
        <w:tabs>
          <w:tab w:leader="none" w:pos="2100" w:val="left"/>
        </w:tabs>
        <w:numPr>
          <w:ilvl w:val="0"/>
          <w:numId w:val="5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Robinhood Markets,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57" w:name="page758"/>
    <w:bookmarkEnd w:id="757"/>
    <w:p>
      <w:pPr>
        <w:ind w:firstLine="1628"/>
        <w:spacing w:after="0" w:line="349" w:lineRule="auto"/>
        <w:tabs>
          <w:tab w:leader="none" w:pos="2076" w:val="left"/>
        </w:tabs>
        <w:numPr>
          <w:ilvl w:val="0"/>
          <w:numId w:val="5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Date of Grant</w:t>
      </w:r>
      <w:r>
        <w:rPr>
          <w:rFonts w:ascii="Arial" w:cs="Arial" w:eastAsia="Arial" w:hAnsi="Arial"/>
          <w:sz w:val="19"/>
          <w:szCs w:val="19"/>
          <w:color w:val="auto"/>
        </w:rPr>
        <w:t>” means the date specified in the Notice of Restricted Stock Unit Award, which date shall be the later of (i) the date on which the Board of Directors resolved to grant these RSUs or (ii) your first date of Service.</w:t>
      </w:r>
    </w:p>
    <w:p>
      <w:pPr>
        <w:spacing w:after="0" w:line="93" w:lineRule="exact"/>
        <w:rPr>
          <w:rFonts w:ascii="Arial" w:cs="Arial" w:eastAsia="Arial" w:hAnsi="Arial"/>
          <w:sz w:val="19"/>
          <w:szCs w:val="19"/>
          <w:color w:val="auto"/>
        </w:rPr>
      </w:pPr>
    </w:p>
    <w:p>
      <w:pPr>
        <w:ind w:left="2100" w:hanging="472"/>
        <w:spacing w:after="0"/>
        <w:tabs>
          <w:tab w:leader="none" w:pos="2100" w:val="left"/>
        </w:tabs>
        <w:numPr>
          <w:ilvl w:val="0"/>
          <w:numId w:val="5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Expiration Date</w:t>
      </w:r>
      <w:r>
        <w:rPr>
          <w:rFonts w:ascii="Arial" w:cs="Arial" w:eastAsia="Arial" w:hAnsi="Arial"/>
          <w:sz w:val="19"/>
          <w:szCs w:val="19"/>
          <w:color w:val="auto"/>
        </w:rPr>
        <w:t>” means the expiration date of the RSUs as set forth in the Notice of Restricted Stock</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Unit Award.</w:t>
      </w:r>
    </w:p>
    <w:p>
      <w:pPr>
        <w:spacing w:after="0" w:line="195" w:lineRule="exact"/>
        <w:rPr>
          <w:rFonts w:ascii="Arial" w:cs="Arial" w:eastAsia="Arial" w:hAnsi="Arial"/>
          <w:sz w:val="19"/>
          <w:szCs w:val="19"/>
          <w:color w:val="auto"/>
        </w:rPr>
      </w:pPr>
    </w:p>
    <w:p>
      <w:pPr>
        <w:jc w:val="both"/>
        <w:ind w:firstLine="1628"/>
        <w:spacing w:after="0" w:line="256" w:lineRule="auto"/>
        <w:tabs>
          <w:tab w:leader="none" w:pos="2182" w:val="left"/>
        </w:tabs>
        <w:numPr>
          <w:ilvl w:val="0"/>
          <w:numId w:val="5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Family</w:t>
      </w:r>
      <w:r>
        <w:rPr>
          <w:rFonts w:ascii="Arial" w:cs="Arial" w:eastAsia="Arial" w:hAnsi="Arial"/>
          <w:sz w:val="22"/>
          <w:szCs w:val="22"/>
          <w:color w:val="auto"/>
        </w:rPr>
        <w:t>” means any child, stepchild, grandchild, parent, stepparent, grandparent, spouse, sibling, mother-in-law, father-in-law, son-in-law, daughter-in-law, brother-in-law or sister-in-law and shall include adoptive relationships.</w:t>
      </w:r>
    </w:p>
    <w:p>
      <w:pPr>
        <w:spacing w:after="0" w:line="176" w:lineRule="exact"/>
        <w:rPr>
          <w:rFonts w:ascii="Arial" w:cs="Arial" w:eastAsia="Arial" w:hAnsi="Arial"/>
          <w:sz w:val="22"/>
          <w:szCs w:val="22"/>
          <w:color w:val="auto"/>
        </w:rPr>
      </w:pPr>
    </w:p>
    <w:p>
      <w:pPr>
        <w:jc w:val="both"/>
        <w:ind w:firstLine="1628"/>
        <w:spacing w:after="0" w:line="315" w:lineRule="auto"/>
        <w:tabs>
          <w:tab w:leader="none" w:pos="2209" w:val="left"/>
        </w:tabs>
        <w:numPr>
          <w:ilvl w:val="0"/>
          <w:numId w:val="5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initial public offering on an established securities market pursuant to an effective registration statement under the Securities Act covering the offer and sale by the Company of its equity securities, as a result of or following which the Shares shall be publicly held, and “</w:t>
      </w:r>
      <w:r>
        <w:rPr>
          <w:rFonts w:ascii="Arial" w:cs="Arial" w:eastAsia="Arial" w:hAnsi="Arial"/>
          <w:sz w:val="19"/>
          <w:szCs w:val="19"/>
          <w:b w:val="1"/>
          <w:bCs w:val="1"/>
          <w:color w:val="auto"/>
        </w:rPr>
        <w:t>IPO Date</w:t>
      </w:r>
      <w:r>
        <w:rPr>
          <w:rFonts w:ascii="Arial" w:cs="Arial" w:eastAsia="Arial" w:hAnsi="Arial"/>
          <w:sz w:val="19"/>
          <w:szCs w:val="19"/>
          <w:color w:val="auto"/>
        </w:rPr>
        <w:t>” means the date on which the IPO occurs.</w:t>
      </w:r>
    </w:p>
    <w:p>
      <w:pPr>
        <w:spacing w:after="0" w:line="125" w:lineRule="exact"/>
        <w:rPr>
          <w:rFonts w:ascii="Arial" w:cs="Arial" w:eastAsia="Arial" w:hAnsi="Arial"/>
          <w:sz w:val="19"/>
          <w:szCs w:val="19"/>
          <w:color w:val="auto"/>
        </w:rPr>
      </w:pPr>
    </w:p>
    <w:p>
      <w:pPr>
        <w:ind w:firstLine="1628"/>
        <w:spacing w:after="0" w:line="269" w:lineRule="auto"/>
        <w:tabs>
          <w:tab w:leader="none" w:pos="2148" w:val="left"/>
        </w:tabs>
        <w:numPr>
          <w:ilvl w:val="0"/>
          <w:numId w:val="5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Event Requirement</w:t>
      </w:r>
      <w:r>
        <w:rPr>
          <w:rFonts w:ascii="Arial" w:cs="Arial" w:eastAsia="Arial" w:hAnsi="Arial"/>
          <w:sz w:val="22"/>
          <w:szCs w:val="22"/>
          <w:color w:val="auto"/>
        </w:rPr>
        <w:t>” means the requirement that the Company complete an IPO or Sale Event as described in the Notice of Restricted Stock Unit Award.</w:t>
      </w:r>
    </w:p>
    <w:p>
      <w:pPr>
        <w:spacing w:after="0" w:line="161" w:lineRule="exact"/>
        <w:rPr>
          <w:rFonts w:ascii="Arial" w:cs="Arial" w:eastAsia="Arial" w:hAnsi="Arial"/>
          <w:sz w:val="22"/>
          <w:szCs w:val="22"/>
          <w:color w:val="auto"/>
        </w:rPr>
      </w:pPr>
    </w:p>
    <w:p>
      <w:pPr>
        <w:ind w:left="2100" w:hanging="472"/>
        <w:spacing w:after="0"/>
        <w:tabs>
          <w:tab w:leader="none" w:pos="2100" w:val="left"/>
        </w:tabs>
        <w:numPr>
          <w:ilvl w:val="0"/>
          <w:numId w:val="5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Robinhood Markets, Inc. Amended and Restated 2013 Stock Plan, as in effect on the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of Grant.</w:t>
      </w:r>
    </w:p>
    <w:p>
      <w:pPr>
        <w:spacing w:after="0" w:line="195" w:lineRule="exact"/>
        <w:rPr>
          <w:rFonts w:ascii="Arial" w:cs="Arial" w:eastAsia="Arial" w:hAnsi="Arial"/>
          <w:sz w:val="19"/>
          <w:szCs w:val="19"/>
          <w:color w:val="auto"/>
        </w:rPr>
      </w:pPr>
    </w:p>
    <w:p>
      <w:pPr>
        <w:ind w:left="2100" w:hanging="472"/>
        <w:spacing w:after="0"/>
        <w:tabs>
          <w:tab w:leader="none" w:pos="2100" w:val="left"/>
        </w:tabs>
        <w:numPr>
          <w:ilvl w:val="0"/>
          <w:numId w:val="5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 of First Refusal</w:t>
      </w:r>
      <w:r>
        <w:rPr>
          <w:rFonts w:ascii="Arial" w:cs="Arial" w:eastAsia="Arial" w:hAnsi="Arial"/>
          <w:sz w:val="22"/>
          <w:szCs w:val="22"/>
          <w:color w:val="auto"/>
        </w:rPr>
        <w:t>” means the Company’s right of first refusal described in Section 6.</w:t>
      </w:r>
    </w:p>
    <w:p>
      <w:pPr>
        <w:spacing w:after="0" w:line="219" w:lineRule="exact"/>
        <w:rPr>
          <w:rFonts w:ascii="Arial" w:cs="Arial" w:eastAsia="Arial" w:hAnsi="Arial"/>
          <w:sz w:val="22"/>
          <w:szCs w:val="22"/>
          <w:color w:val="auto"/>
        </w:rPr>
      </w:pPr>
    </w:p>
    <w:p>
      <w:pPr>
        <w:ind w:firstLine="1628"/>
        <w:spacing w:after="0" w:line="269" w:lineRule="auto"/>
        <w:tabs>
          <w:tab w:leader="none" w:pos="2107" w:val="left"/>
        </w:tabs>
        <w:numPr>
          <w:ilvl w:val="0"/>
          <w:numId w:val="5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RSUs</w:t>
      </w:r>
      <w:r>
        <w:rPr>
          <w:rFonts w:ascii="Arial" w:cs="Arial" w:eastAsia="Arial" w:hAnsi="Arial"/>
          <w:sz w:val="22"/>
          <w:szCs w:val="22"/>
          <w:color w:val="auto"/>
        </w:rPr>
        <w:t>” means the Restricted Stock Units granted to you by the Company as set forth in the Notice of Restricted Stock Unit Award.</w:t>
      </w:r>
    </w:p>
    <w:p>
      <w:pPr>
        <w:spacing w:after="0" w:line="161" w:lineRule="exact"/>
        <w:rPr>
          <w:rFonts w:ascii="Arial" w:cs="Arial" w:eastAsia="Arial" w:hAnsi="Arial"/>
          <w:sz w:val="22"/>
          <w:szCs w:val="22"/>
          <w:color w:val="auto"/>
        </w:rPr>
      </w:pPr>
    </w:p>
    <w:p>
      <w:pPr>
        <w:jc w:val="both"/>
        <w:ind w:firstLine="1628"/>
        <w:spacing w:after="0" w:line="287" w:lineRule="auto"/>
        <w:tabs>
          <w:tab w:leader="none" w:pos="2161" w:val="left"/>
        </w:tabs>
        <w:numPr>
          <w:ilvl w:val="0"/>
          <w:numId w:val="5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Event</w:t>
      </w:r>
      <w:r>
        <w:rPr>
          <w:rFonts w:ascii="Arial" w:cs="Arial" w:eastAsia="Arial" w:hAnsi="Arial"/>
          <w:sz w:val="19"/>
          <w:szCs w:val="19"/>
          <w:color w:val="auto"/>
        </w:rPr>
        <w:t>” means the consummation of the following transactions in which holders of Shares receive cash and/or marketable securities tradable on an established national or foreign securities exchange: (i) a sale of all or substantially all of the assets of the Company determined on a consolidated basis to an unrelated person or entity; (ii)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of the outstanding voting power of such surviving or resulting entity; or (iii) the acquisition of all or a majority of the outstanding voting stock of the Company in a single transaction or series of related transactions by a person or group of persons. For the avoidance of doubt, an initial public offering, any subsequent public offering, another capital raising event, and a merger effected solely to change the Company’s domicile shall not constitute a “Sale Event.” In addition, a transaction shall not constitute a Sale Event unless such transaction also qualifies as an event under Treasury Regulation Section 1.409A-3(i)(5)(v) (change in the ownership of a corporation), Treasury Regulation Section 1.409A-3(i)(5)(vi) (change in the effective control of a corporation), or Treasury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58" w:name="page759"/>
    <w:bookmarkEnd w:id="758"/>
    <w:p>
      <w:pPr>
        <w:spacing w:after="0"/>
        <w:rPr>
          <w:sz w:val="20"/>
          <w:szCs w:val="20"/>
          <w:color w:val="auto"/>
        </w:rPr>
      </w:pPr>
      <w:r>
        <w:rPr>
          <w:rFonts w:ascii="Arial" w:cs="Arial" w:eastAsia="Arial" w:hAnsi="Arial"/>
          <w:sz w:val="22"/>
          <w:szCs w:val="22"/>
          <w:color w:val="auto"/>
        </w:rPr>
        <w:t>Section 1.409A-3(i)(5)(vii) (change in the ownership of a substantial portion of a corporation’s assets).</w:t>
      </w:r>
    </w:p>
    <w:p>
      <w:pPr>
        <w:spacing w:after="0" w:line="214" w:lineRule="exact"/>
        <w:rPr>
          <w:sz w:val="20"/>
          <w:szCs w:val="20"/>
          <w:color w:val="auto"/>
        </w:rPr>
      </w:pPr>
    </w:p>
    <w:p>
      <w:pPr>
        <w:jc w:val="both"/>
        <w:ind w:firstLine="1628"/>
        <w:spacing w:after="0" w:line="256" w:lineRule="auto"/>
        <w:tabs>
          <w:tab w:leader="none" w:pos="2169" w:val="left"/>
        </w:tabs>
        <w:numPr>
          <w:ilvl w:val="0"/>
          <w:numId w:val="5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service as an Employee or Consultant. In the event of any dispute over whether and when Service has terminated, the Board of Directors shall have sole discretion to determine whether such termination has occurred and the effective date of such termination.</w:t>
      </w:r>
    </w:p>
    <w:p>
      <w:pPr>
        <w:spacing w:after="0" w:line="176" w:lineRule="exact"/>
        <w:rPr>
          <w:rFonts w:ascii="Arial" w:cs="Arial" w:eastAsia="Arial" w:hAnsi="Arial"/>
          <w:sz w:val="22"/>
          <w:szCs w:val="22"/>
          <w:color w:val="auto"/>
        </w:rPr>
      </w:pPr>
    </w:p>
    <w:p>
      <w:pPr>
        <w:ind w:firstLine="1628"/>
        <w:spacing w:after="0" w:line="269" w:lineRule="auto"/>
        <w:tabs>
          <w:tab w:leader="none" w:pos="2182" w:val="left"/>
        </w:tabs>
        <w:numPr>
          <w:ilvl w:val="0"/>
          <w:numId w:val="5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Service-Based Requirement</w:t>
      </w:r>
      <w:r>
        <w:rPr>
          <w:rFonts w:ascii="Arial" w:cs="Arial" w:eastAsia="Arial" w:hAnsi="Arial"/>
          <w:sz w:val="22"/>
          <w:szCs w:val="22"/>
          <w:color w:val="auto"/>
        </w:rPr>
        <w:t>” means the requirement to provide Service over the period of time set forth in the Notice of Restricted Stock Unit Award.</w:t>
      </w:r>
    </w:p>
    <w:p>
      <w:pPr>
        <w:spacing w:after="0" w:line="161" w:lineRule="exact"/>
        <w:rPr>
          <w:rFonts w:ascii="Arial" w:cs="Arial" w:eastAsia="Arial" w:hAnsi="Arial"/>
          <w:sz w:val="22"/>
          <w:szCs w:val="22"/>
          <w:color w:val="auto"/>
        </w:rPr>
      </w:pPr>
    </w:p>
    <w:p>
      <w:pPr>
        <w:jc w:val="both"/>
        <w:ind w:firstLine="1628"/>
        <w:spacing w:after="0" w:line="274" w:lineRule="auto"/>
        <w:tabs>
          <w:tab w:leader="none" w:pos="2236" w:val="left"/>
        </w:tabs>
        <w:numPr>
          <w:ilvl w:val="0"/>
          <w:numId w:val="5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Short-Term Deferral End Date</w:t>
      </w:r>
      <w:r>
        <w:rPr>
          <w:rFonts w:ascii="Arial" w:cs="Arial" w:eastAsia="Arial" w:hAnsi="Arial"/>
          <w:sz w:val="21"/>
          <w:szCs w:val="21"/>
          <w:color w:val="auto"/>
        </w:rPr>
        <w:t>” means the date that is the later of (i) two and one-half months following the end of the calendar year in which the Vesting Date applicable to an RSU occurs or (ii) two and one-half months following the end of the Company’s fiscal year in which the Vesting Date applicable to an RSU occurs.</w:t>
      </w:r>
    </w:p>
    <w:p>
      <w:pPr>
        <w:spacing w:after="0" w:line="158" w:lineRule="exact"/>
        <w:rPr>
          <w:rFonts w:ascii="Arial" w:cs="Arial" w:eastAsia="Arial" w:hAnsi="Arial"/>
          <w:sz w:val="21"/>
          <w:szCs w:val="21"/>
          <w:color w:val="auto"/>
        </w:rPr>
      </w:pPr>
    </w:p>
    <w:p>
      <w:pPr>
        <w:ind w:left="2100" w:hanging="472"/>
        <w:spacing w:after="0"/>
        <w:tabs>
          <w:tab w:leader="none" w:pos="2100" w:val="left"/>
        </w:tabs>
        <w:numPr>
          <w:ilvl w:val="0"/>
          <w:numId w:val="5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Transferee</w:t>
      </w:r>
      <w:r>
        <w:rPr>
          <w:rFonts w:ascii="Arial" w:cs="Arial" w:eastAsia="Arial" w:hAnsi="Arial"/>
          <w:sz w:val="19"/>
          <w:szCs w:val="19"/>
          <w:color w:val="auto"/>
        </w:rPr>
        <w:t>” means any person to whom you have directly or indirectly transferred any Shares acquired</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95" w:lineRule="exact"/>
        <w:rPr>
          <w:rFonts w:ascii="Arial" w:cs="Arial" w:eastAsia="Arial" w:hAnsi="Arial"/>
          <w:sz w:val="19"/>
          <w:szCs w:val="19"/>
          <w:color w:val="auto"/>
        </w:rPr>
      </w:pPr>
    </w:p>
    <w:p>
      <w:pPr>
        <w:ind w:left="2060" w:hanging="432"/>
        <w:spacing w:after="0"/>
        <w:tabs>
          <w:tab w:leader="none" w:pos="2060" w:val="left"/>
        </w:tabs>
        <w:numPr>
          <w:ilvl w:val="0"/>
          <w:numId w:val="5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means the notice of a proposed transfer of Shares described in Section 6.</w:t>
      </w:r>
    </w:p>
    <w:p>
      <w:pPr>
        <w:spacing w:after="0" w:line="219" w:lineRule="exact"/>
        <w:rPr>
          <w:rFonts w:ascii="Arial" w:cs="Arial" w:eastAsia="Arial" w:hAnsi="Arial"/>
          <w:sz w:val="22"/>
          <w:szCs w:val="22"/>
          <w:color w:val="auto"/>
        </w:rPr>
      </w:pPr>
    </w:p>
    <w:p>
      <w:pPr>
        <w:ind w:right="120" w:firstLine="1628"/>
        <w:spacing w:after="0" w:line="315" w:lineRule="auto"/>
        <w:tabs>
          <w:tab w:leader="none" w:pos="2064" w:val="left"/>
        </w:tabs>
        <w:numPr>
          <w:ilvl w:val="0"/>
          <w:numId w:val="5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59" w:name="page760"/>
    <w:bookmarkEnd w:id="759"/>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2013 STOCK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NOTICE OF RESTRICTED STOCK UNIT AWARD</w:t>
      </w:r>
    </w:p>
    <w:p>
      <w:pPr>
        <w:spacing w:after="0" w:line="220"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color w:val="auto"/>
        </w:rPr>
        <w:t>You (“</w:t>
      </w:r>
      <w:r>
        <w:rPr>
          <w:rFonts w:ascii="Arial" w:cs="Arial" w:eastAsia="Arial" w:hAnsi="Arial"/>
          <w:sz w:val="22"/>
          <w:szCs w:val="22"/>
          <w:b w:val="1"/>
          <w:bCs w:val="1"/>
          <w:color w:val="auto"/>
        </w:rPr>
        <w:t>Recipient</w:t>
      </w:r>
      <w:r>
        <w:rPr>
          <w:rFonts w:ascii="Arial" w:cs="Arial" w:eastAsia="Arial" w:hAnsi="Arial"/>
          <w:sz w:val="22"/>
          <w:szCs w:val="22"/>
          <w:color w:val="auto"/>
        </w:rPr>
        <w:t>”) were previously granted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representing 13,831,829 shares of the Common Stock of Robinhood Markets, Inc. (the “</w:t>
      </w:r>
      <w:r>
        <w:rPr>
          <w:rFonts w:ascii="Arial" w:cs="Arial" w:eastAsia="Arial" w:hAnsi="Arial"/>
          <w:sz w:val="22"/>
          <w:szCs w:val="22"/>
          <w:b w:val="1"/>
          <w:bCs w:val="1"/>
          <w:color w:val="auto"/>
        </w:rPr>
        <w:t>Company</w:t>
      </w:r>
      <w:r>
        <w:rPr>
          <w:rFonts w:ascii="Arial" w:cs="Arial" w:eastAsia="Arial" w:hAnsi="Arial"/>
          <w:sz w:val="22"/>
          <w:szCs w:val="22"/>
          <w:color w:val="auto"/>
        </w:rPr>
        <w:t>”) on October 8, 2019, the terms of which are hereby amended and restated in their entirety effective May 26, 2021 as follows:</w:t>
      </w:r>
    </w:p>
    <w:p>
      <w:pPr>
        <w:sectPr>
          <w:pgSz w:w="11900" w:h="16838" w:orient="portrait"/>
          <w:cols w:equalWidth="0" w:num="1">
            <w:col w:w="11240"/>
          </w:cols>
          <w:pgMar w:left="320" w:top="122" w:right="339" w:bottom="1440" w:gutter="0" w:footer="0" w:header="0"/>
        </w:sect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of Recipient: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3180"/>
        <w:spacing w:after="0"/>
        <w:rPr>
          <w:sz w:val="20"/>
          <w:szCs w:val="20"/>
          <w:color w:val="auto"/>
        </w:rPr>
      </w:pPr>
      <w:r>
        <w:rPr>
          <w:rFonts w:ascii="Arial" w:cs="Arial" w:eastAsia="Arial" w:hAnsi="Arial"/>
          <w:sz w:val="19"/>
          <w:szCs w:val="19"/>
          <w:color w:val="auto"/>
        </w:rPr>
        <w:t>[Vladimir Tenev][Baiju Bhatt]</w:t>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2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Number of RSUs Granted: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13,831,829</w:t>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October 8, 2019</w:t>
      </w:r>
    </w:p>
    <w:p>
      <w:pPr>
        <w:spacing w:after="0" w:line="222"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3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3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4040"/>
        <w:spacing w:after="0"/>
        <w:rPr>
          <w:sz w:val="20"/>
          <w:szCs w:val="20"/>
          <w:color w:val="auto"/>
        </w:rPr>
      </w:pPr>
      <w:r>
        <w:rPr>
          <w:rFonts w:ascii="Arial" w:cs="Arial" w:eastAsia="Arial" w:hAnsi="Arial"/>
          <w:sz w:val="16"/>
          <w:szCs w:val="16"/>
          <w:color w:val="auto"/>
        </w:rPr>
        <w:t>December 31, 2025</w:t>
      </w:r>
    </w:p>
    <w:p>
      <w:pPr>
        <w:spacing w:after="0" w:line="222"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3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You will receive a benefit with respect to a RSU only if it vests. The RSUs shall vest as follows:</w:t>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107" w:lineRule="exact"/>
        <w:rPr>
          <w:sz w:val="20"/>
          <w:szCs w:val="20"/>
          <w:color w:val="auto"/>
        </w:rPr>
      </w:pPr>
    </w:p>
    <w:p>
      <w:pPr>
        <w:ind w:left="4680" w:right="80" w:hanging="388"/>
        <w:spacing w:after="0" w:line="288" w:lineRule="auto"/>
        <w:tabs>
          <w:tab w:leader="none" w:pos="46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50% of the RSUs for which an applicable Share Price Condition has been satisfied shall immediately vest upon satisfaction of such Share Price Condition if you remain in continuous Service through the date on which such Share Price Condition is satisfied, provided that if you are subject to an Involuntary Termination during the thirty-day period ending on the closing of a Sale Event and a Share Price Condition would have been satisfied in connection with the closing of a Sale Event, then all of the RSUs for which the Share Price Condition would have been satisfied in connection with the Sale Event shall immediately vest upon the occurrence of the Sale Event notwithstanding your Involuntary Termination; and</w:t>
      </w:r>
    </w:p>
    <w:p>
      <w:pPr>
        <w:spacing w:after="0" w:line="159" w:lineRule="exact"/>
        <w:rPr>
          <w:sz w:val="20"/>
          <w:szCs w:val="20"/>
          <w:color w:val="auto"/>
        </w:rPr>
      </w:pPr>
    </w:p>
    <w:p>
      <w:pPr>
        <w:ind w:left="4680" w:right="120" w:hanging="388"/>
        <w:spacing w:after="0" w:line="263" w:lineRule="auto"/>
        <w:tabs>
          <w:tab w:leader="none" w:pos="4660" w:val="left"/>
        </w:tabs>
        <w:rPr>
          <w:sz w:val="20"/>
          <w:szCs w:val="20"/>
          <w:color w:val="auto"/>
        </w:rPr>
      </w:pPr>
      <w:r>
        <w:rPr>
          <w:rFonts w:ascii="Arial" w:cs="Arial" w:eastAsia="Arial" w:hAnsi="Arial"/>
          <w:sz w:val="22"/>
          <w:szCs w:val="22"/>
          <w:color w:val="auto"/>
        </w:rPr>
        <w:t>(ii)</w:t>
        <w:tab/>
        <w:t>50% of the RSUs for which an applicable Share Price Condition has been satisfied shall vest upon satisfaction of a time-based</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2" w:right="339" w:bottom="1440" w:gutter="0" w:footer="0" w:header="0"/>
          <w:type w:val="continuous"/>
        </w:sectPr>
      </w:pPr>
    </w:p>
    <w:bookmarkStart w:id="760" w:name="page761"/>
    <w:bookmarkEnd w:id="760"/>
    <w:p>
      <w:pPr>
        <w:ind w:left="4680" w:right="40"/>
        <w:spacing w:after="0" w:line="258" w:lineRule="auto"/>
        <w:rPr>
          <w:sz w:val="20"/>
          <w:szCs w:val="20"/>
          <w:color w:val="auto"/>
        </w:rPr>
      </w:pPr>
      <w:r>
        <w:rPr>
          <w:rFonts w:ascii="Arial" w:cs="Arial" w:eastAsia="Arial" w:hAnsi="Arial"/>
          <w:sz w:val="21"/>
          <w:szCs w:val="21"/>
          <w:color w:val="auto"/>
        </w:rPr>
        <w:t>service requirement, which will be satisfied with respect to 1/24th of the RSUs covered by this clause (ii) if and when you complete three months of continuous Service after August 1, 2018, and with respect to an additional 1/24th of the RSUs covered by this clause (ii) if and when you complete each three-month period of continuous Service over the sixty-nine month period thereafter; provided that if you are subject to an Involuntary Termination during the period commencing thirty (30) days prior to and ending eighteen (18) months after a Sale Event, then the time-based service requirement shall immediately be satisfied with respect to all of the RSUs covered by clause (ii).</w:t>
      </w:r>
    </w:p>
    <w:p>
      <w:pPr>
        <w:spacing w:after="0" w:line="185" w:lineRule="exact"/>
        <w:rPr>
          <w:sz w:val="20"/>
          <w:szCs w:val="20"/>
          <w:color w:val="auto"/>
        </w:rPr>
      </w:pPr>
    </w:p>
    <w:p>
      <w:pPr>
        <w:ind w:left="3900" w:right="180" w:hanging="3023"/>
        <w:spacing w:after="0" w:line="263" w:lineRule="auto"/>
        <w:rPr>
          <w:sz w:val="20"/>
          <w:szCs w:val="20"/>
          <w:color w:val="auto"/>
        </w:rPr>
      </w:pPr>
      <w:r>
        <w:rPr>
          <w:rFonts w:ascii="Arial" w:cs="Arial" w:eastAsia="Arial" w:hAnsi="Arial"/>
          <w:sz w:val="21"/>
          <w:szCs w:val="21"/>
          <w:color w:val="auto"/>
        </w:rPr>
        <w:t>None of your RSUs will vest (in whole or in part) unless an IPO or Sale Event occurs prior to the Expiration Date and all applicable vesting requirements with respect to such RSUs are satisfied on or before the Expiration Date. The “</w:t>
      </w:r>
      <w:r>
        <w:rPr>
          <w:rFonts w:ascii="Arial" w:cs="Arial" w:eastAsia="Arial" w:hAnsi="Arial"/>
          <w:sz w:val="21"/>
          <w:szCs w:val="21"/>
          <w:b w:val="1"/>
          <w:bCs w:val="1"/>
          <w:color w:val="auto"/>
        </w:rPr>
        <w:t>Vesting Date</w:t>
      </w:r>
      <w:r>
        <w:rPr>
          <w:rFonts w:ascii="Arial" w:cs="Arial" w:eastAsia="Arial" w:hAnsi="Arial"/>
          <w:sz w:val="21"/>
          <w:szCs w:val="21"/>
          <w:color w:val="auto"/>
        </w:rPr>
        <w:t>” of an RSU will be the first date on or before the Expiration Date upon which all applicable vesting requirements are satisfied with respect to that particular RSU.</w:t>
      </w:r>
    </w:p>
    <w:p>
      <w:pPr>
        <w:spacing w:after="0" w:line="175" w:lineRule="exact"/>
        <w:rPr>
          <w:sz w:val="20"/>
          <w:szCs w:val="20"/>
          <w:color w:val="auto"/>
        </w:rPr>
      </w:pPr>
    </w:p>
    <w:p>
      <w:pPr>
        <w:ind w:left="1860" w:right="100" w:hanging="3239"/>
        <w:spacing w:after="0" w:line="250" w:lineRule="auto"/>
        <w:tabs>
          <w:tab w:leader="none" w:pos="1840" w:val="left"/>
        </w:tabs>
        <w:rPr>
          <w:sz w:val="20"/>
          <w:szCs w:val="20"/>
          <w:color w:val="auto"/>
        </w:rPr>
      </w:pPr>
      <w:r>
        <w:rPr>
          <w:rFonts w:ascii="Arial" w:cs="Arial" w:eastAsia="Arial" w:hAnsi="Arial"/>
          <w:sz w:val="22"/>
          <w:szCs w:val="22"/>
          <w:color w:val="auto"/>
        </w:rPr>
        <w:t>Settlement:</w:t>
        <w:tab/>
        <w:t>Settlement of RSUs refers to the issuance of Shares once the award is vested. If a RSU vests as a result of satisfaction of all applicable vesting requirements as described above, the Company will deliver one Share for such RSU at the time of settlement specified in Section 4 of the Restricted Stock Unit Agreement.</w:t>
      </w:r>
    </w:p>
    <w:p>
      <w:pPr>
        <w:spacing w:after="0" w:line="188"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By signing below or otherwise accepting this award in a manner acceptable to the Company, you and the Company agree that these RSUs are granted under and governed by the terms and conditions of this Amended and Restated Notice of Restricted Stock Unit Award, the Amended and Restated 2013 Stock Plan (the “</w:t>
      </w:r>
      <w:r>
        <w:rPr>
          <w:rFonts w:ascii="Arial" w:cs="Arial" w:eastAsia="Arial" w:hAnsi="Arial"/>
          <w:sz w:val="19"/>
          <w:szCs w:val="19"/>
          <w:b w:val="1"/>
          <w:bCs w:val="1"/>
          <w:color w:val="auto"/>
        </w:rPr>
        <w:t>Plan</w:t>
      </w:r>
      <w:r>
        <w:rPr>
          <w:rFonts w:ascii="Arial" w:cs="Arial" w:eastAsia="Arial" w:hAnsi="Arial"/>
          <w:sz w:val="19"/>
          <w:szCs w:val="19"/>
          <w:color w:val="auto"/>
        </w:rPr>
        <w:t>”) and the Amended and Restated Restricted Stock Unit Agreement. These latter two documents are attached to, and made a part of, this Amended and Restated Notice of Restricted Stock Unit Award. Capitalized terms not otherwise defined herein or in the Amended and Restated Restricted Stock Unit Agreement shall have the meaning set forth in the Plan. You hereby acknowledge that the vesting of the RSUs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61" w:name="page762"/>
    <w:bookmarkEnd w:id="761"/>
    <w:p>
      <w:pPr>
        <w:spacing w:after="0" w:line="248" w:lineRule="auto"/>
        <w:rPr>
          <w:sz w:val="20"/>
          <w:szCs w:val="20"/>
          <w:color w:val="auto"/>
        </w:rPr>
      </w:pPr>
      <w:r>
        <w:rPr>
          <w:rFonts w:ascii="Arial" w:cs="Arial" w:eastAsia="Arial" w:hAnsi="Arial"/>
          <w:sz w:val="22"/>
          <w:szCs w:val="22"/>
          <w:color w:val="auto"/>
        </w:rPr>
        <w:t xml:space="preserve">Amended and Restated Notice of Restricted Stock Unit Award is conditioned on the satisfaction of all applicable vesting requirements on or before the Expiration Date. For the avoidance of doubt, you shall have no right with respect to any of the RSUs to the extent an IPO or Sale Event does not occur on or before the Expiration Date (regardless of the extent to which any of the other applicable vesting requirements have been satisfied). </w:t>
      </w:r>
      <w:r>
        <w:rPr>
          <w:rFonts w:ascii="Arial" w:cs="Arial" w:eastAsia="Arial" w:hAnsi="Arial"/>
          <w:sz w:val="22"/>
          <w:szCs w:val="22"/>
          <w:b w:val="1"/>
          <w:bCs w:val="1"/>
          <w:color w:val="auto"/>
        </w:rPr>
        <w:t>Section 10 of the Restricted Stock Unit Agreement also</w:t>
      </w:r>
      <w:r>
        <w:rPr>
          <w:rFonts w:ascii="Arial" w:cs="Arial" w:eastAsia="Arial" w:hAnsi="Arial"/>
          <w:sz w:val="22"/>
          <w:szCs w:val="22"/>
          <w:color w:val="auto"/>
        </w:rPr>
        <w:t xml:space="preserve"> </w:t>
      </w:r>
      <w:r>
        <w:rPr>
          <w:rFonts w:ascii="Arial" w:cs="Arial" w:eastAsia="Arial" w:hAnsi="Arial"/>
          <w:sz w:val="22"/>
          <w:szCs w:val="22"/>
          <w:b w:val="1"/>
          <w:bCs w:val="1"/>
          <w:color w:val="auto"/>
        </w:rPr>
        <w:t>includes important acknowledgements.</w:t>
      </w:r>
    </w:p>
    <w:p>
      <w:pPr>
        <w:spacing w:after="0" w:line="23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RECIPIENT:</w:t>
      </w:r>
      <w:r>
        <w:rPr>
          <w:sz w:val="20"/>
          <w:szCs w:val="20"/>
          <w:color w:val="auto"/>
        </w:rPr>
        <w:tab/>
      </w:r>
      <w:r>
        <w:rPr>
          <w:rFonts w:ascii="Arial" w:cs="Arial" w:eastAsia="Arial" w:hAnsi="Arial"/>
          <w:sz w:val="18"/>
          <w:szCs w:val="18"/>
          <w:b w:val="1"/>
          <w:bCs w:val="1"/>
          <w:color w:val="auto"/>
        </w:rPr>
        <w:t>ROBINHOOD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7"/>
          <w:szCs w:val="17"/>
          <w:color w:val="auto"/>
        </w:rPr>
        <w:t>By:</w:t>
      </w:r>
    </w:p>
    <w:p>
      <w:pPr>
        <w:spacing w:after="0" w:line="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Address for Mailing Stock Certificate (only applicable if the Company has certificated shares):</w:t>
      </w:r>
    </w:p>
    <w:p>
      <w:pPr>
        <w:sectPr>
          <w:pgSz w:w="11900" w:h="16838" w:orient="portrait"/>
          <w:cols w:equalWidth="0" w:num="1">
            <w:col w:w="11220"/>
          </w:cols>
          <w:pgMar w:left="320" w:top="14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428" w:right="359" w:bottom="1440" w:gutter="0" w:footer="0" w:header="0"/>
          <w:type w:val="continuous"/>
        </w:sectPr>
      </w:pPr>
    </w:p>
    <w:bookmarkStart w:id="762" w:name="page763"/>
    <w:bookmarkEnd w:id="762"/>
    <w:p>
      <w:pPr>
        <w:spacing w:after="0" w:line="247" w:lineRule="auto"/>
        <w:rPr>
          <w:sz w:val="20"/>
          <w:szCs w:val="20"/>
          <w:color w:val="auto"/>
        </w:rPr>
      </w:pPr>
      <w:r>
        <w:rPr>
          <w:rFonts w:ascii="Arial" w:cs="Arial" w:eastAsia="Arial" w:hAnsi="Arial"/>
          <w:sz w:val="22"/>
          <w:szCs w:val="22"/>
          <w:b w:val="1"/>
          <w:bCs w:val="1"/>
          <w:color w:val="auto"/>
        </w:rPr>
        <w:t>THE RSUS GRANTED PURSUANT TO THE AMENDED AND RESTATED NOTICE OF RESTRICTED STOCK UNIT AWARD AND THIS AGREEMENT AND THE SHARES ISSUABLE THEREUNDER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ROBINHOOD MARKETS, INC.</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2013 STOCK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NOTICE OF RESTRICTED STOCK UNIT AWARD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RESTRICTED STOCK UNITS.</w:t>
      </w:r>
    </w:p>
    <w:p>
      <w:pPr>
        <w:spacing w:after="0" w:line="220" w:lineRule="exact"/>
        <w:rPr>
          <w:sz w:val="20"/>
          <w:szCs w:val="20"/>
          <w:color w:val="auto"/>
        </w:rPr>
      </w:pPr>
    </w:p>
    <w:p>
      <w:pPr>
        <w:ind w:right="40" w:firstLine="1304"/>
        <w:spacing w:after="0" w:line="252" w:lineRule="auto"/>
        <w:tabs>
          <w:tab w:leader="none" w:pos="1941" w:val="left"/>
        </w:tabs>
        <w:numPr>
          <w:ilvl w:val="0"/>
          <w:numId w:val="593"/>
        </w:numPr>
        <w:rPr>
          <w:rFonts w:ascii="Arial" w:cs="Arial" w:eastAsia="Arial" w:hAnsi="Arial"/>
          <w:sz w:val="22"/>
          <w:szCs w:val="22"/>
          <w:color w:val="auto"/>
        </w:rPr>
      </w:pPr>
      <w:r>
        <w:rPr>
          <w:rFonts w:ascii="Arial" w:cs="Arial" w:eastAsia="Arial" w:hAnsi="Arial"/>
          <w:sz w:val="22"/>
          <w:szCs w:val="22"/>
          <w:b w:val="1"/>
          <w:bCs w:val="1"/>
          <w:color w:val="auto"/>
        </w:rPr>
        <w:t xml:space="preserve">Grant. </w:t>
      </w:r>
      <w:r>
        <w:rPr>
          <w:rFonts w:ascii="Arial" w:cs="Arial" w:eastAsia="Arial" w:hAnsi="Arial"/>
          <w:sz w:val="22"/>
          <w:szCs w:val="22"/>
          <w:color w:val="auto"/>
        </w:rPr>
        <w:t>On the terms and conditions set forth in the Amended and Restated Notice of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and this Agreement, the Company grants to you on the Date of Grant the number of RSUs set forth in the Amended and Restated Notice of Restricted Stock Unit Award. Each RSU represents the right to receive one Share on the terms and conditions set forth in this Agreement.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593"/>
        </w:numPr>
        <w:rPr>
          <w:rFonts w:ascii="Arial" w:cs="Arial" w:eastAsia="Arial" w:hAnsi="Arial"/>
          <w:sz w:val="22"/>
          <w:szCs w:val="22"/>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No payment is required for the RSUs that have been granted to you.</w:t>
      </w:r>
    </w:p>
    <w:p>
      <w:pPr>
        <w:spacing w:after="0" w:line="219" w:lineRule="exact"/>
        <w:rPr>
          <w:rFonts w:ascii="Arial" w:cs="Arial" w:eastAsia="Arial" w:hAnsi="Arial"/>
          <w:sz w:val="22"/>
          <w:szCs w:val="22"/>
          <w:color w:val="auto"/>
        </w:rPr>
      </w:pPr>
    </w:p>
    <w:p>
      <w:pPr>
        <w:ind w:right="160" w:firstLine="1304"/>
        <w:spacing w:after="0" w:line="248" w:lineRule="auto"/>
        <w:tabs>
          <w:tab w:leader="none" w:pos="1941" w:val="left"/>
        </w:tabs>
        <w:numPr>
          <w:ilvl w:val="0"/>
          <w:numId w:val="593"/>
        </w:numPr>
        <w:rPr>
          <w:rFonts w:ascii="Arial" w:cs="Arial" w:eastAsia="Arial" w:hAnsi="Arial"/>
          <w:sz w:val="22"/>
          <w:szCs w:val="22"/>
          <w:color w:val="auto"/>
        </w:rPr>
      </w:pPr>
      <w:r>
        <w:rPr>
          <w:rFonts w:ascii="Arial" w:cs="Arial" w:eastAsia="Arial" w:hAnsi="Arial"/>
          <w:sz w:val="22"/>
          <w:szCs w:val="22"/>
          <w:b w:val="1"/>
          <w:bCs w:val="1"/>
          <w:color w:val="auto"/>
        </w:rPr>
        <w:t xml:space="preserve">Nature of Units; No Rights As a Stockholder. </w:t>
      </w:r>
      <w:r>
        <w:rPr>
          <w:rFonts w:ascii="Arial" w:cs="Arial" w:eastAsia="Arial" w:hAnsi="Arial"/>
          <w:sz w:val="22"/>
          <w:szCs w:val="22"/>
          <w:color w:val="auto"/>
        </w:rPr>
        <w:t>Your RSUs are mere bookkeeping entries and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only the Company’s unfunded and unsecured promise to issue Shares on a future date under specified conditions. As a holder of RSUs, you have no rights other than the rights of a general creditor of the Company. Your RSUs carry neither voting rights nor rights to cash dividends. You have no rights as a stockholder of the Company unless and until your RSUs are settled pursuant to Section 4. The Shares issued following the vesting and settlement of RSUs under this Agreement will be subject to the Equity Exchange Agreement.</w:t>
      </w:r>
    </w:p>
    <w:p>
      <w:pPr>
        <w:spacing w:after="0" w:line="186" w:lineRule="exact"/>
        <w:rPr>
          <w:rFonts w:ascii="Arial" w:cs="Arial" w:eastAsia="Arial" w:hAnsi="Arial"/>
          <w:sz w:val="22"/>
          <w:szCs w:val="22"/>
          <w:color w:val="auto"/>
        </w:rPr>
      </w:pPr>
    </w:p>
    <w:p>
      <w:pPr>
        <w:jc w:val="both"/>
        <w:ind w:right="140" w:firstLine="1304"/>
        <w:spacing w:after="0" w:line="267" w:lineRule="auto"/>
        <w:tabs>
          <w:tab w:leader="none" w:pos="1939" w:val="left"/>
        </w:tabs>
        <w:numPr>
          <w:ilvl w:val="0"/>
          <w:numId w:val="593"/>
        </w:numPr>
        <w:rPr>
          <w:rFonts w:ascii="Arial" w:cs="Arial" w:eastAsia="Arial" w:hAnsi="Arial"/>
          <w:sz w:val="21"/>
          <w:szCs w:val="21"/>
          <w:color w:val="auto"/>
        </w:rPr>
      </w:pPr>
      <w:r>
        <w:rPr>
          <w:rFonts w:ascii="Arial" w:cs="Arial" w:eastAsia="Arial" w:hAnsi="Arial"/>
          <w:sz w:val="21"/>
          <w:szCs w:val="21"/>
          <w:b w:val="1"/>
          <w:bCs w:val="1"/>
          <w:color w:val="auto"/>
        </w:rPr>
        <w:t xml:space="preserve">Stock Plan and Defined Terms. </w:t>
      </w:r>
      <w:r>
        <w:rPr>
          <w:rFonts w:ascii="Arial" w:cs="Arial" w:eastAsia="Arial" w:hAnsi="Arial"/>
          <w:sz w:val="21"/>
          <w:szCs w:val="21"/>
          <w:color w:val="auto"/>
        </w:rPr>
        <w:t>Your RSUs are granted pursuant to the Plan, a copy of which you</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 having received. The provisions of the Plan are incorporated into this Agreement by this reference. Certain capitalized terms are defined in Section 11 of this Agreement. Capitalized terms not otherwise defined herein or in the Amended and Restated Notice of Restricted Stock Unit Award shall have the meanings set forth in the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VESTING.</w:t>
      </w:r>
    </w:p>
    <w:p>
      <w:pPr>
        <w:spacing w:after="0" w:line="220" w:lineRule="exact"/>
        <w:rPr>
          <w:sz w:val="20"/>
          <w:szCs w:val="20"/>
          <w:color w:val="auto"/>
        </w:rPr>
      </w:pPr>
    </w:p>
    <w:p>
      <w:pPr>
        <w:ind w:right="140" w:firstLine="1304"/>
        <w:spacing w:after="0" w:line="315" w:lineRule="auto"/>
        <w:tabs>
          <w:tab w:leader="none" w:pos="1941" w:val="left"/>
        </w:tabs>
        <w:numPr>
          <w:ilvl w:val="0"/>
          <w:numId w:val="594"/>
        </w:numPr>
        <w:rPr>
          <w:rFonts w:ascii="Arial" w:cs="Arial" w:eastAsia="Arial" w:hAnsi="Arial"/>
          <w:sz w:val="19"/>
          <w:szCs w:val="19"/>
          <w:color w:val="auto"/>
        </w:rPr>
      </w:pPr>
      <w:r>
        <w:rPr>
          <w:rFonts w:ascii="Arial" w:cs="Arial" w:eastAsia="Arial" w:hAnsi="Arial"/>
          <w:sz w:val="19"/>
          <w:szCs w:val="19"/>
          <w:b w:val="1"/>
          <w:bCs w:val="1"/>
          <w:color w:val="auto"/>
        </w:rPr>
        <w:t xml:space="preserve">Generally. </w:t>
      </w:r>
      <w:r>
        <w:rPr>
          <w:rFonts w:ascii="Arial" w:cs="Arial" w:eastAsia="Arial" w:hAnsi="Arial"/>
          <w:sz w:val="19"/>
          <w:szCs w:val="19"/>
          <w:color w:val="auto"/>
        </w:rPr>
        <w:t>The RSUs vest in accordance with the vesting schedule set forth in the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Restricted Stock Unit Award. You will receive a benefit with respect to a RSU only if all applicable vesting requirements are satisfied on or before the Expiration Date. None of your RSUs will vest (in whole or in part) unless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763" w:name="page764"/>
    <w:bookmarkEnd w:id="763"/>
    <w:p>
      <w:pPr>
        <w:spacing w:after="0"/>
        <w:rPr>
          <w:sz w:val="20"/>
          <w:szCs w:val="20"/>
          <w:color w:val="auto"/>
        </w:rPr>
      </w:pPr>
      <w:r>
        <w:rPr>
          <w:rFonts w:ascii="Arial" w:cs="Arial" w:eastAsia="Arial" w:hAnsi="Arial"/>
          <w:sz w:val="22"/>
          <w:szCs w:val="22"/>
          <w:color w:val="auto"/>
        </w:rPr>
        <w:t>applicable vesting requirements with respect to such RSUs are satisfied on or before the Expiration Date.</w:t>
      </w:r>
    </w:p>
    <w:p>
      <w:pPr>
        <w:spacing w:after="0" w:line="214" w:lineRule="exact"/>
        <w:rPr>
          <w:sz w:val="20"/>
          <w:szCs w:val="20"/>
          <w:color w:val="auto"/>
        </w:rPr>
      </w:pPr>
    </w:p>
    <w:p>
      <w:pPr>
        <w:ind w:right="780" w:firstLine="1304"/>
        <w:spacing w:after="0" w:line="256" w:lineRule="auto"/>
        <w:tabs>
          <w:tab w:leader="none" w:pos="1939" w:val="left"/>
        </w:tabs>
        <w:numPr>
          <w:ilvl w:val="0"/>
          <w:numId w:val="595"/>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Upon and following the termination of your Service for any reason, each</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RSU shall terminate on the first date in which you would no longer be able to satisfy the necessary vesting requirements with respect to that particular RSU.</w:t>
      </w:r>
    </w:p>
    <w:p>
      <w:pPr>
        <w:spacing w:after="0" w:line="176" w:lineRule="exact"/>
        <w:rPr>
          <w:rFonts w:ascii="Arial" w:cs="Arial" w:eastAsia="Arial" w:hAnsi="Arial"/>
          <w:sz w:val="22"/>
          <w:szCs w:val="22"/>
          <w:color w:val="auto"/>
        </w:rPr>
      </w:pPr>
    </w:p>
    <w:p>
      <w:pPr>
        <w:ind w:firstLine="1304"/>
        <w:spacing w:after="0" w:line="249" w:lineRule="auto"/>
        <w:tabs>
          <w:tab w:leader="none" w:pos="1941" w:val="left"/>
        </w:tabs>
        <w:numPr>
          <w:ilvl w:val="0"/>
          <w:numId w:val="595"/>
        </w:numPr>
        <w:rPr>
          <w:rFonts w:ascii="Arial" w:cs="Arial" w:eastAsia="Arial" w:hAnsi="Arial"/>
          <w:sz w:val="22"/>
          <w:szCs w:val="22"/>
          <w:color w:val="auto"/>
        </w:rPr>
      </w:pPr>
      <w:r>
        <w:rPr>
          <w:rFonts w:ascii="Arial" w:cs="Arial" w:eastAsia="Arial" w:hAnsi="Arial"/>
          <w:sz w:val="22"/>
          <w:szCs w:val="22"/>
          <w:b w:val="1"/>
          <w:bCs w:val="1"/>
          <w:color w:val="auto"/>
        </w:rPr>
        <w:t xml:space="preserve">Expiration of RSUs. </w:t>
      </w:r>
      <w:r>
        <w:rPr>
          <w:rFonts w:ascii="Arial" w:cs="Arial" w:eastAsia="Arial" w:hAnsi="Arial"/>
          <w:sz w:val="22"/>
          <w:szCs w:val="22"/>
          <w:color w:val="auto"/>
        </w:rPr>
        <w:t>If an IPO or Sale Event does not occur on or before the Expiration Date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Amended and Restated Notice of Restricted Stock Unit Award, all RSUs (regardless of whether or not, or the extent to which, the other applicable vesting requirements have been satisfied as to such RSUs) shall automatically terminate and be cancelled upon such date. Upon a termination of one or more RSUs pursuant to this Section 2, you will have no further right with respect to such RSUs or the Shares previously allocated thereto.</w:t>
      </w:r>
    </w:p>
    <w:p>
      <w:pPr>
        <w:spacing w:after="0" w:line="186" w:lineRule="exact"/>
        <w:rPr>
          <w:rFonts w:ascii="Arial" w:cs="Arial" w:eastAsia="Arial" w:hAnsi="Arial"/>
          <w:sz w:val="22"/>
          <w:szCs w:val="22"/>
          <w:color w:val="auto"/>
        </w:rPr>
      </w:pPr>
    </w:p>
    <w:p>
      <w:pPr>
        <w:ind w:firstLine="1304"/>
        <w:spacing w:after="0" w:line="293" w:lineRule="auto"/>
        <w:tabs>
          <w:tab w:leader="none" w:pos="1939" w:val="left"/>
        </w:tabs>
        <w:numPr>
          <w:ilvl w:val="0"/>
          <w:numId w:val="595"/>
        </w:numPr>
        <w:rPr>
          <w:rFonts w:ascii="Arial" w:cs="Arial" w:eastAsia="Arial" w:hAnsi="Arial"/>
          <w:sz w:val="19"/>
          <w:szCs w:val="19"/>
          <w:color w:val="auto"/>
        </w:rPr>
      </w:pPr>
      <w:r>
        <w:rPr>
          <w:rFonts w:ascii="Arial" w:cs="Arial" w:eastAsia="Arial" w:hAnsi="Arial"/>
          <w:sz w:val="19"/>
          <w:szCs w:val="19"/>
          <w:b w:val="1"/>
          <w:bCs w:val="1"/>
          <w:color w:val="auto"/>
        </w:rPr>
        <w:t xml:space="preserve">Part-Time Employment and Leaves of Absence. </w:t>
      </w:r>
      <w:r>
        <w:rPr>
          <w:rFonts w:ascii="Arial" w:cs="Arial" w:eastAsia="Arial" w:hAnsi="Arial"/>
          <w:sz w:val="19"/>
          <w:szCs w:val="19"/>
          <w:color w:val="auto"/>
        </w:rPr>
        <w:t>If you commence working on a part-time basis, then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may adjust the applicable vesting requirements set forth in the Amended and Restated Notice of Restricted Stock Unit Award. If you go on a leave of absence, then, to the extent permitted by applicable law, the Company may adjust or suspend the time-based service requirements described in the Amended and Restated Notice of Restricted Stock Unit Award. Except as provided in the preceding sentence, Service shall be deemed to continue for any purpose under this Agreement while you are on a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leave of absence approved by the Company in writing. Service shall be deemed to terminate when such leave ends,</w:t>
      </w:r>
      <w:r>
        <w:rPr>
          <w:rFonts w:ascii="Arial" w:cs="Arial" w:eastAsia="Arial" w:hAnsi="Arial"/>
          <w:sz w:val="19"/>
          <w:szCs w:val="19"/>
          <w:i w:val="1"/>
          <w:iCs w:val="1"/>
          <w:color w:val="auto"/>
        </w:rPr>
        <w:t xml:space="preserve"> </w:t>
      </w:r>
      <w:r>
        <w:rPr>
          <w:rFonts w:ascii="Arial" w:cs="Arial" w:eastAsia="Arial" w:hAnsi="Arial"/>
          <w:sz w:val="19"/>
          <w:szCs w:val="19"/>
          <w:color w:val="auto"/>
        </w:rPr>
        <w:t>unless you immediately return to active work when such leave ends.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RESTRICTIONS APPLICABLE TO RSUS.</w:t>
      </w:r>
    </w:p>
    <w:p>
      <w:pPr>
        <w:spacing w:after="0" w:line="226" w:lineRule="exact"/>
        <w:rPr>
          <w:sz w:val="20"/>
          <w:szCs w:val="20"/>
          <w:color w:val="auto"/>
        </w:rPr>
      </w:pPr>
    </w:p>
    <w:p>
      <w:pPr>
        <w:ind w:right="80" w:firstLine="1296"/>
        <w:spacing w:after="0" w:line="260" w:lineRule="auto"/>
        <w:rPr>
          <w:sz w:val="20"/>
          <w:szCs w:val="20"/>
          <w:color w:val="auto"/>
        </w:rPr>
      </w:pPr>
      <w:r>
        <w:rPr>
          <w:rFonts w:ascii="Arial" w:cs="Arial" w:eastAsia="Arial" w:hAnsi="Arial"/>
          <w:sz w:val="21"/>
          <w:szCs w:val="21"/>
          <w:color w:val="auto"/>
        </w:rPr>
        <w:t>Except as otherwise provided in or pursuant to this Agreement or the Plan, these RSUs and the rights and privileges conferred hereby shall not be sold, assigned, transferred, pledged, hypothecated, or otherwise disposed of by you prior to the settlement of the RSUs. However, you may designate a third party who, in the event of your death, shall thereafter be entitled to receive any distribution of Shares to which you were entitled at the time of your death pursuant to this Agreement by delivering a written beneficiary designation to the Company’s headquarters on the prescribed form before your death. If you deliver no such beneficiary designation or if your designated beneficiaries do not survive you, your estate will receive payments in respect of any vested RSUs.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SETTLEMENT OF RSUS.</w:t>
      </w:r>
    </w:p>
    <w:p>
      <w:pPr>
        <w:spacing w:after="0" w:line="220" w:lineRule="exact"/>
        <w:rPr>
          <w:sz w:val="20"/>
          <w:szCs w:val="20"/>
          <w:color w:val="auto"/>
        </w:rPr>
      </w:pPr>
    </w:p>
    <w:p>
      <w:pPr>
        <w:ind w:right="40" w:firstLine="1304"/>
        <w:spacing w:after="0" w:line="304" w:lineRule="auto"/>
        <w:tabs>
          <w:tab w:leader="none" w:pos="1941" w:val="left"/>
        </w:tabs>
        <w:numPr>
          <w:ilvl w:val="0"/>
          <w:numId w:val="596"/>
        </w:numPr>
        <w:rPr>
          <w:rFonts w:ascii="Arial" w:cs="Arial" w:eastAsia="Arial" w:hAnsi="Arial"/>
          <w:sz w:val="19"/>
          <w:szCs w:val="19"/>
          <w:color w:val="auto"/>
        </w:rPr>
      </w:pPr>
      <w:r>
        <w:rPr>
          <w:rFonts w:ascii="Arial" w:cs="Arial" w:eastAsia="Arial" w:hAnsi="Arial"/>
          <w:sz w:val="19"/>
          <w:szCs w:val="19"/>
          <w:b w:val="1"/>
          <w:bCs w:val="1"/>
          <w:color w:val="auto"/>
        </w:rPr>
        <w:t xml:space="preserve">Settlement Date. </w:t>
      </w:r>
      <w:r>
        <w:rPr>
          <w:rFonts w:ascii="Arial" w:cs="Arial" w:eastAsia="Arial" w:hAnsi="Arial"/>
          <w:sz w:val="19"/>
          <w:szCs w:val="19"/>
          <w:color w:val="auto"/>
        </w:rPr>
        <w:t>Upon a Vesting Date with respect to a particular RSU, the Company will deliver one</w:t>
      </w:r>
      <w:r>
        <w:rPr>
          <w:rFonts w:ascii="Arial" w:cs="Arial" w:eastAsia="Arial" w:hAnsi="Arial"/>
          <w:sz w:val="19"/>
          <w:szCs w:val="19"/>
          <w:b w:val="1"/>
          <w:bCs w:val="1"/>
          <w:color w:val="auto"/>
        </w:rPr>
        <w:t xml:space="preserve"> </w:t>
      </w:r>
      <w:r>
        <w:rPr>
          <w:rFonts w:ascii="Arial" w:cs="Arial" w:eastAsia="Arial" w:hAnsi="Arial"/>
          <w:sz w:val="19"/>
          <w:szCs w:val="19"/>
          <w:color w:val="auto"/>
        </w:rPr>
        <w:t>Share for that RSU. Settlement shall occur on or following the Vesting Date, but not later than the Short Term Deferral End Date. For the sake of clarity, settlement of RSUs that become vested RSUs upon an IPO shall occur no later than the earlier of (i) the 185th day following the IPO Date, (ii) the Short Term Deferral End Date or (iii)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764" w:name="page765"/>
    <w:bookmarkEnd w:id="764"/>
    <w:p>
      <w:pPr>
        <w:ind w:right="880" w:firstLine="1304"/>
        <w:spacing w:after="0" w:line="269" w:lineRule="auto"/>
        <w:tabs>
          <w:tab w:leader="none" w:pos="1939" w:val="left"/>
        </w:tabs>
        <w:numPr>
          <w:ilvl w:val="0"/>
          <w:numId w:val="597"/>
        </w:numPr>
        <w:rPr>
          <w:rFonts w:ascii="Arial" w:cs="Arial" w:eastAsia="Arial" w:hAnsi="Arial"/>
          <w:sz w:val="22"/>
          <w:szCs w:val="22"/>
          <w:color w:val="auto"/>
        </w:rPr>
      </w:pPr>
      <w:r>
        <w:rPr>
          <w:rFonts w:ascii="Arial" w:cs="Arial" w:eastAsia="Arial" w:hAnsi="Arial"/>
          <w:sz w:val="22"/>
          <w:szCs w:val="22"/>
          <w:b w:val="1"/>
          <w:bCs w:val="1"/>
          <w:color w:val="auto"/>
        </w:rPr>
        <w:t xml:space="preserve">Form of Delivery. </w:t>
      </w:r>
      <w:r>
        <w:rPr>
          <w:rFonts w:ascii="Arial" w:cs="Arial" w:eastAsia="Arial" w:hAnsi="Arial"/>
          <w:sz w:val="22"/>
          <w:szCs w:val="22"/>
          <w:color w:val="auto"/>
        </w:rPr>
        <w:t>The form of any delivery of Shares (e.g., a stock certificate or electronic entry</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such shares) shall be determined by the Company.</w:t>
      </w:r>
    </w:p>
    <w:p>
      <w:pPr>
        <w:spacing w:after="0" w:line="161" w:lineRule="exact"/>
        <w:rPr>
          <w:rFonts w:ascii="Arial" w:cs="Arial" w:eastAsia="Arial" w:hAnsi="Arial"/>
          <w:sz w:val="22"/>
          <w:szCs w:val="22"/>
          <w:color w:val="auto"/>
        </w:rPr>
      </w:pPr>
    </w:p>
    <w:p>
      <w:pPr>
        <w:ind w:firstLine="1304"/>
        <w:spacing w:after="0" w:line="293" w:lineRule="auto"/>
        <w:tabs>
          <w:tab w:leader="none" w:pos="1941" w:val="left"/>
        </w:tabs>
        <w:numPr>
          <w:ilvl w:val="0"/>
          <w:numId w:val="597"/>
        </w:numPr>
        <w:rPr>
          <w:rFonts w:ascii="Arial" w:cs="Arial" w:eastAsia="Arial" w:hAnsi="Arial"/>
          <w:sz w:val="19"/>
          <w:szCs w:val="19"/>
          <w:color w:val="auto"/>
        </w:rPr>
      </w:pPr>
      <w:r>
        <w:rPr>
          <w:rFonts w:ascii="Arial" w:cs="Arial" w:eastAsia="Arial" w:hAnsi="Arial"/>
          <w:sz w:val="19"/>
          <w:szCs w:val="19"/>
          <w:b w:val="1"/>
          <w:bCs w:val="1"/>
          <w:color w:val="auto"/>
        </w:rPr>
        <w:t xml:space="preserve">Legality of Issuance. </w:t>
      </w:r>
      <w:r>
        <w:rPr>
          <w:rFonts w:ascii="Arial" w:cs="Arial" w:eastAsia="Arial" w:hAnsi="Arial"/>
          <w:sz w:val="19"/>
          <w:szCs w:val="19"/>
          <w:color w:val="auto"/>
        </w:rPr>
        <w:t>No Shares shall be issued to you upon settlement of these RSUs unless and until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determined that (i) you and the Company have taken any actions required to register the Shares under the Securities Act or to perfect an exemption from the registration requirements thereof; (ii) any applicable listing requirement of any stock exchange or other securities market on which Stock is listed has been satisfied; and (iii) any other applicable provision of federal, State or foreign law has been satisfied. The Company shall have no liability to issue Shares in respect of the RSUs unless it is able to do so in compliance with applicable law. If the Company is unable to issue Shares to you, it shall pay to you, via a wire transfer of immediately available funds, an amount equal to the Fair Market Value of such Shares.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TAXES.</w:t>
      </w:r>
    </w:p>
    <w:p>
      <w:pPr>
        <w:spacing w:after="0" w:line="220" w:lineRule="exact"/>
        <w:rPr>
          <w:sz w:val="20"/>
          <w:szCs w:val="20"/>
          <w:color w:val="auto"/>
        </w:rPr>
      </w:pPr>
    </w:p>
    <w:p>
      <w:pPr>
        <w:ind w:right="20" w:firstLine="1304"/>
        <w:spacing w:after="0" w:line="288" w:lineRule="auto"/>
        <w:tabs>
          <w:tab w:leader="none" w:pos="1941" w:val="left"/>
        </w:tabs>
        <w:numPr>
          <w:ilvl w:val="0"/>
          <w:numId w:val="598"/>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No consideration will be paid to you in respect of this award unless you have made</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satisfactory to the Company and/or the Parent or Subsidiary employing you (your “</w:t>
      </w:r>
      <w:r>
        <w:rPr>
          <w:rFonts w:ascii="Arial" w:cs="Arial" w:eastAsia="Arial" w:hAnsi="Arial"/>
          <w:sz w:val="19"/>
          <w:szCs w:val="19"/>
          <w:b w:val="1"/>
          <w:bCs w:val="1"/>
          <w:color w:val="auto"/>
        </w:rPr>
        <w:t>Employer</w:t>
      </w:r>
      <w:r>
        <w:rPr>
          <w:rFonts w:ascii="Arial" w:cs="Arial" w:eastAsia="Arial" w:hAnsi="Arial"/>
          <w:sz w:val="19"/>
          <w:szCs w:val="19"/>
          <w:color w:val="auto"/>
        </w:rPr>
        <w:t>”) for the payment of all applicable federal, State, local and foreign income and employment withholding taxes which arise in connection with the vesting and/or settlement of these RSUs (the “</w:t>
      </w:r>
      <w:r>
        <w:rPr>
          <w:rFonts w:ascii="Arial" w:cs="Arial" w:eastAsia="Arial" w:hAnsi="Arial"/>
          <w:sz w:val="19"/>
          <w:szCs w:val="19"/>
          <w:b w:val="1"/>
          <w:bCs w:val="1"/>
          <w:color w:val="auto"/>
        </w:rPr>
        <w:t>Withholding Taxes</w:t>
      </w:r>
      <w:r>
        <w:rPr>
          <w:rFonts w:ascii="Arial" w:cs="Arial" w:eastAsia="Arial" w:hAnsi="Arial"/>
          <w:sz w:val="19"/>
          <w:szCs w:val="19"/>
          <w:color w:val="auto"/>
        </w:rPr>
        <w:t>”). The Withholding Taxes shall be satisfied by (i) if the Stock is publicly traded, payment from the proceeds of the sale of shares through a Company-approved broker or (ii) withholding a number of Shares that otherwise would be issued to you when the RSUs are settled (“</w:t>
      </w:r>
      <w:r>
        <w:rPr>
          <w:rFonts w:ascii="Arial" w:cs="Arial" w:eastAsia="Arial" w:hAnsi="Arial"/>
          <w:sz w:val="19"/>
          <w:szCs w:val="19"/>
          <w:b w:val="1"/>
          <w:bCs w:val="1"/>
          <w:color w:val="auto"/>
        </w:rPr>
        <w:t>Net Settlement</w:t>
      </w:r>
      <w:r>
        <w:rPr>
          <w:rFonts w:ascii="Arial" w:cs="Arial" w:eastAsia="Arial" w:hAnsi="Arial"/>
          <w:sz w:val="19"/>
          <w:szCs w:val="19"/>
          <w:color w:val="auto"/>
        </w:rPr>
        <w:t>”). If the Withholding Taxes are satisfied pursuant to Net Settlement, you will be deemed to have been issued the full number of Shares subject to the RSUs and the Fair Market Value of the withheld Shares, determined as of the date when taxes otherwise would have been withheld in cash, will be applied to the Withholding Taxes and such amount will be remitted to appropriate tax authorities by the Company or your Employer. You acknowledge that the responsibility for all Withholding Taxes is yours and may exceed the amount actually withheld by the Company or your Employer.</w:t>
      </w:r>
    </w:p>
    <w:p>
      <w:pPr>
        <w:spacing w:after="0" w:line="153" w:lineRule="exact"/>
        <w:rPr>
          <w:rFonts w:ascii="Arial" w:cs="Arial" w:eastAsia="Arial" w:hAnsi="Arial"/>
          <w:sz w:val="19"/>
          <w:szCs w:val="19"/>
          <w:color w:val="auto"/>
        </w:rPr>
      </w:pPr>
    </w:p>
    <w:p>
      <w:pPr>
        <w:ind w:right="60" w:firstLine="1304"/>
        <w:spacing w:after="0" w:line="289" w:lineRule="auto"/>
        <w:tabs>
          <w:tab w:leader="none" w:pos="1939" w:val="left"/>
        </w:tabs>
        <w:numPr>
          <w:ilvl w:val="0"/>
          <w:numId w:val="598"/>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The settlement of these RSUs is intended to be exempt from the application of Code</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pursuant to the “short-term deferral exemption” in Treasury Regulation 1.409A1(b)(4) and shall be administered and interpreted in a manner that complies with such exemption. To the extent that any provision of this Agreement is ambiguous as to its exemption from Code Section 409A, the provision shall be read in such a manner so that all payments hereunder are exempt from Code Section 409A. Notwithstanding the foregoing, if this award of RSUs is interpreted as not being exempt from Code Section 409A, it shall be interpreted to comply with the requirements of Code Section 409A so that this award is not subject to additional tax or interest under Code Section 409A. In this regard, to the extent necessary to comply with or qualify for an exemption from Code Section 409A, any reference to “termination of employment” or similar terms will mean your “separation from service” within the meaning of Code Section 409A(2)(A)(i) (a “</w:t>
      </w:r>
      <w:r>
        <w:rPr>
          <w:rFonts w:ascii="Arial" w:cs="Arial" w:eastAsia="Arial" w:hAnsi="Arial"/>
          <w:sz w:val="19"/>
          <w:szCs w:val="19"/>
          <w:b w:val="1"/>
          <w:bCs w:val="1"/>
          <w:color w:val="auto"/>
        </w:rPr>
        <w:t>Separation</w:t>
      </w:r>
      <w:r>
        <w:rPr>
          <w:rFonts w:ascii="Arial" w:cs="Arial" w:eastAsia="Arial" w:hAnsi="Arial"/>
          <w:sz w:val="19"/>
          <w:szCs w:val="19"/>
          <w:color w:val="auto"/>
        </w:rPr>
        <w:t>”). In addition, if this award is payable upon your Separation and you are a “specified employee”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65" w:name="page766"/>
    <w:bookmarkEnd w:id="765"/>
    <w:p>
      <w:pPr>
        <w:ind w:right="140"/>
        <w:spacing w:after="0" w:line="302" w:lineRule="auto"/>
        <w:rPr>
          <w:sz w:val="20"/>
          <w:szCs w:val="20"/>
          <w:color w:val="auto"/>
        </w:rPr>
      </w:pPr>
      <w:r>
        <w:rPr>
          <w:rFonts w:ascii="Arial" w:cs="Arial" w:eastAsia="Arial" w:hAnsi="Arial"/>
          <w:sz w:val="19"/>
          <w:szCs w:val="19"/>
          <w:color w:val="auto"/>
        </w:rPr>
        <w:t>affiliate thereof within the meaning of Code Section 409A(a)(2)(B)(i) on the day of your Separation, then no such payment shall be made prior to the date that is the earlier of (i) six months and one day after your Separation, or (ii) your death, but only to the extent such delay is necessary so that this award is not subject to additional tax or interest under Code Section 409A. Each installment of your RSUs that is paid to you is intended to constitute a separate payment for purposes of Code Section 409A.</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RIGHT OF FIRST REFUSAL.</w:t>
      </w:r>
    </w:p>
    <w:p>
      <w:pPr>
        <w:spacing w:after="0" w:line="220" w:lineRule="exact"/>
        <w:rPr>
          <w:sz w:val="20"/>
          <w:szCs w:val="20"/>
          <w:color w:val="auto"/>
        </w:rPr>
      </w:pPr>
    </w:p>
    <w:p>
      <w:pPr>
        <w:ind w:firstLine="1304"/>
        <w:spacing w:after="0" w:line="289" w:lineRule="auto"/>
        <w:tabs>
          <w:tab w:leader="none" w:pos="1941" w:val="left"/>
        </w:tabs>
        <w:numPr>
          <w:ilvl w:val="0"/>
          <w:numId w:val="599"/>
        </w:numPr>
        <w:rPr>
          <w:rFonts w:ascii="Arial" w:cs="Arial" w:eastAsia="Arial" w:hAnsi="Arial"/>
          <w:sz w:val="19"/>
          <w:szCs w:val="19"/>
          <w:color w:val="auto"/>
        </w:rPr>
      </w:pPr>
      <w:r>
        <w:rPr>
          <w:rFonts w:ascii="Arial" w:cs="Arial" w:eastAsia="Arial" w:hAnsi="Arial"/>
          <w:sz w:val="19"/>
          <w:szCs w:val="19"/>
          <w:b w:val="1"/>
          <w:bCs w:val="1"/>
          <w:color w:val="auto"/>
        </w:rPr>
        <w:t xml:space="preserve">Right of First Refusal. </w:t>
      </w:r>
      <w:r>
        <w:rPr>
          <w:rFonts w:ascii="Arial" w:cs="Arial" w:eastAsia="Arial" w:hAnsi="Arial"/>
          <w:sz w:val="19"/>
          <w:szCs w:val="19"/>
          <w:color w:val="auto"/>
        </w:rPr>
        <w:t>In the event that you propose to sell, pledge or otherwise transfer to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acquired under this Agreement, or any interest in such Shares, the Company shall have the Right of First Refusal with respect to all (and not less than all) of such Shares. If you desire to transfer Shares acquired under this Agreement, you must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you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Section 6(b) below) by delivery of a notice of exercise of the Right of First Refusal within 30 days after the date when the Transfer Notice was received by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20" w:firstLine="1304"/>
        <w:spacing w:after="0" w:line="287" w:lineRule="auto"/>
        <w:tabs>
          <w:tab w:leader="none" w:pos="1939" w:val="left"/>
        </w:tabs>
        <w:numPr>
          <w:ilvl w:val="0"/>
          <w:numId w:val="599"/>
        </w:numPr>
        <w:rPr>
          <w:rFonts w:ascii="Arial" w:cs="Arial" w:eastAsia="Arial" w:hAnsi="Arial"/>
          <w:sz w:val="19"/>
          <w:szCs w:val="19"/>
          <w:color w:val="auto"/>
        </w:rPr>
      </w:pPr>
      <w:r>
        <w:rPr>
          <w:rFonts w:ascii="Arial" w:cs="Arial" w:eastAsia="Arial" w:hAnsi="Arial"/>
          <w:sz w:val="19"/>
          <w:szCs w:val="19"/>
          <w:b w:val="1"/>
          <w:bCs w:val="1"/>
          <w:color w:val="auto"/>
        </w:rPr>
        <w:t xml:space="preserve">Transfer of Shares. </w:t>
      </w:r>
      <w:r>
        <w:rPr>
          <w:rFonts w:ascii="Arial" w:cs="Arial" w:eastAsia="Arial" w:hAnsi="Arial"/>
          <w:sz w:val="19"/>
          <w:szCs w:val="19"/>
          <w:color w:val="auto"/>
        </w:rPr>
        <w:t>If the Company fails to exercise its Right of First Refusal within 30 days after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when it received the Transfer Notice, you may, not later than 90 days following receipt of the Transfer Notice by the Company, conclude a transfer of the Shares subject to the Transfer Notice on the terms and conditions no less favorable to you than those described in the Transfer Notice, provided that any such sale is made in compliance with applicable federal, State and foreign securities laws and not in violation of any other contractual restrictions to which you are bound. Any proposed transfer on terms and conditions less favorable than those described in the Transfer Notice, as well as any subsequent proposed transfer by you, shall again be subject to the Right of First Refusal and shall require compliance with the procedure described in Section 6(a)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53" w:lineRule="exact"/>
        <w:rPr>
          <w:rFonts w:ascii="Arial" w:cs="Arial" w:eastAsia="Arial" w:hAnsi="Arial"/>
          <w:sz w:val="19"/>
          <w:szCs w:val="19"/>
          <w:color w:val="auto"/>
        </w:rPr>
      </w:pPr>
    </w:p>
    <w:p>
      <w:pPr>
        <w:ind w:right="180" w:firstLine="1304"/>
        <w:spacing w:after="0" w:line="256" w:lineRule="auto"/>
        <w:tabs>
          <w:tab w:leader="none" w:pos="1941" w:val="left"/>
        </w:tabs>
        <w:numPr>
          <w:ilvl w:val="0"/>
          <w:numId w:val="599"/>
        </w:numPr>
        <w:rPr>
          <w:rFonts w:ascii="Arial" w:cs="Arial" w:eastAsia="Arial" w:hAnsi="Arial"/>
          <w:sz w:val="22"/>
          <w:szCs w:val="22"/>
          <w:color w:val="auto"/>
        </w:rPr>
      </w:pPr>
      <w:r>
        <w:rPr>
          <w:rFonts w:ascii="Arial" w:cs="Arial" w:eastAsia="Arial" w:hAnsi="Arial"/>
          <w:sz w:val="22"/>
          <w:szCs w:val="22"/>
          <w:b w:val="1"/>
          <w:bCs w:val="1"/>
          <w:color w:val="auto"/>
        </w:rPr>
        <w:t xml:space="preserve">Additional or Exchanged Securities and Property. </w:t>
      </w:r>
      <w:r>
        <w:rPr>
          <w:rFonts w:ascii="Arial" w:cs="Arial" w:eastAsia="Arial" w:hAnsi="Arial"/>
          <w:sz w:val="22"/>
          <w:szCs w:val="22"/>
          <w:color w:val="auto"/>
        </w:rPr>
        <w:t>In the event of a merger or consolidation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sale of all or substantially all of the Company’s stock or assets, any other corporate reorganization, a stock split, the declaration of a stock dividend,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66" w:name="page767"/>
    <w:bookmarkEnd w:id="766"/>
    <w:p>
      <w:pPr>
        <w:spacing w:after="0" w:line="297" w:lineRule="auto"/>
        <w:rPr>
          <w:sz w:val="20"/>
          <w:szCs w:val="20"/>
          <w:color w:val="auto"/>
        </w:rPr>
      </w:pPr>
      <w:r>
        <w:rPr>
          <w:rFonts w:ascii="Arial" w:cs="Arial" w:eastAsia="Arial" w:hAnsi="Arial"/>
          <w:sz w:val="19"/>
          <w:szCs w:val="19"/>
          <w:color w:val="auto"/>
        </w:rPr>
        <w:t>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6 shall immediately be subject to the Right of First Refusal. Appropriate adjustments to reflect the exchange or distribution of such securities or property shall be made to the number and/or class of the Shares subject to this Section 6.</w:t>
      </w:r>
    </w:p>
    <w:p>
      <w:pPr>
        <w:spacing w:after="0" w:line="141" w:lineRule="exact"/>
        <w:rPr>
          <w:sz w:val="20"/>
          <w:szCs w:val="20"/>
          <w:color w:val="auto"/>
        </w:rPr>
      </w:pPr>
    </w:p>
    <w:p>
      <w:pPr>
        <w:ind w:right="100" w:firstLine="1304"/>
        <w:spacing w:after="0" w:line="252" w:lineRule="auto"/>
        <w:tabs>
          <w:tab w:leader="none" w:pos="1939" w:val="left"/>
        </w:tabs>
        <w:numPr>
          <w:ilvl w:val="0"/>
          <w:numId w:val="600"/>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Right of First Refusal. </w:t>
      </w:r>
      <w:r>
        <w:rPr>
          <w:rFonts w:ascii="Arial" w:cs="Arial" w:eastAsia="Arial" w:hAnsi="Arial"/>
          <w:sz w:val="22"/>
          <w:szCs w:val="22"/>
          <w:color w:val="auto"/>
        </w:rPr>
        <w:t>Any other provision of this Section 6 notwithstanding,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the Stock is readily tradable on an established securities market when you desire to transfer Shares, the Company shall have no Right of First Refusal, and you shall have no obligation to comply with the procedures prescribed by Sections 6(a) and 6(b) above.</w:t>
      </w:r>
    </w:p>
    <w:p>
      <w:pPr>
        <w:spacing w:after="0" w:line="179" w:lineRule="exact"/>
        <w:rPr>
          <w:rFonts w:ascii="Arial" w:cs="Arial" w:eastAsia="Arial" w:hAnsi="Arial"/>
          <w:sz w:val="22"/>
          <w:szCs w:val="22"/>
          <w:color w:val="auto"/>
        </w:rPr>
      </w:pPr>
    </w:p>
    <w:p>
      <w:pPr>
        <w:ind w:right="20" w:firstLine="1304"/>
        <w:spacing w:after="0" w:line="295" w:lineRule="auto"/>
        <w:tabs>
          <w:tab w:leader="none" w:pos="1941" w:val="left"/>
        </w:tabs>
        <w:numPr>
          <w:ilvl w:val="0"/>
          <w:numId w:val="600"/>
        </w:numPr>
        <w:rPr>
          <w:rFonts w:ascii="Arial" w:cs="Arial" w:eastAsia="Arial" w:hAnsi="Arial"/>
          <w:sz w:val="19"/>
          <w:szCs w:val="19"/>
          <w:color w:val="auto"/>
        </w:rPr>
      </w:pPr>
      <w:r>
        <w:rPr>
          <w:rFonts w:ascii="Arial" w:cs="Arial" w:eastAsia="Arial" w:hAnsi="Arial"/>
          <w:sz w:val="19"/>
          <w:szCs w:val="19"/>
          <w:b w:val="1"/>
          <w:bCs w:val="1"/>
          <w:color w:val="auto"/>
        </w:rPr>
        <w:t xml:space="preserve">Permitted Transfers. </w:t>
      </w:r>
      <w:r>
        <w:rPr>
          <w:rFonts w:ascii="Arial" w:cs="Arial" w:eastAsia="Arial" w:hAnsi="Arial"/>
          <w:sz w:val="19"/>
          <w:szCs w:val="19"/>
          <w:color w:val="auto"/>
        </w:rPr>
        <w:t>This Section 6 shall not apply to (i) a transfer by beneficiary designation, will or</w:t>
      </w:r>
      <w:r>
        <w:rPr>
          <w:rFonts w:ascii="Arial" w:cs="Arial" w:eastAsia="Arial" w:hAnsi="Arial"/>
          <w:sz w:val="19"/>
          <w:szCs w:val="19"/>
          <w:b w:val="1"/>
          <w:bCs w:val="1"/>
          <w:color w:val="auto"/>
        </w:rPr>
        <w:t xml:space="preserve"> </w:t>
      </w:r>
      <w:r>
        <w:rPr>
          <w:rFonts w:ascii="Arial" w:cs="Arial" w:eastAsia="Arial" w:hAnsi="Arial"/>
          <w:sz w:val="19"/>
          <w:szCs w:val="19"/>
          <w:color w:val="auto"/>
        </w:rPr>
        <w:t>intestate succession or (ii) a transfer to one or more members of your Immediate Family or to a trust or other entity established by you solely for the benefit of you and/or one or more members of your Immediate Family, provided in either case that the Transferee agrees in writing on a reasonable and customary form prescribed by the Company to be bound by all provisions of this Agreement. If you transfer any Shares acquired under this Agreement, either under this Section 6(e) or after the Company has failed to exercise the Right of First Refusal, then this Agreement shall apply to the Transferee to the same extent as to you.</w:t>
      </w:r>
    </w:p>
    <w:p>
      <w:pPr>
        <w:spacing w:after="0" w:line="143" w:lineRule="exact"/>
        <w:rPr>
          <w:rFonts w:ascii="Arial" w:cs="Arial" w:eastAsia="Arial" w:hAnsi="Arial"/>
          <w:sz w:val="19"/>
          <w:szCs w:val="19"/>
          <w:color w:val="auto"/>
        </w:rPr>
      </w:pPr>
    </w:p>
    <w:p>
      <w:pPr>
        <w:ind w:right="100" w:firstLine="1304"/>
        <w:spacing w:after="0" w:line="295" w:lineRule="auto"/>
        <w:tabs>
          <w:tab w:leader="none" w:pos="1944" w:val="left"/>
        </w:tabs>
        <w:numPr>
          <w:ilvl w:val="0"/>
          <w:numId w:val="600"/>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Rights as Stockholder. </w:t>
      </w:r>
      <w:r>
        <w:rPr>
          <w:rFonts w:ascii="Arial" w:cs="Arial" w:eastAsia="Arial" w:hAnsi="Arial"/>
          <w:sz w:val="19"/>
          <w:szCs w:val="19"/>
          <w:color w:val="auto"/>
        </w:rPr>
        <w:t>If the Company makes available, at the time and place and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and form provided in this Agreement, the consideration for the Shares to be purchased in accordance with this Section 6,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43" w:lineRule="exact"/>
        <w:rPr>
          <w:rFonts w:ascii="Arial" w:cs="Arial" w:eastAsia="Arial" w:hAnsi="Arial"/>
          <w:sz w:val="19"/>
          <w:szCs w:val="19"/>
          <w:color w:val="auto"/>
        </w:rPr>
      </w:pPr>
    </w:p>
    <w:p>
      <w:pPr>
        <w:ind w:right="20" w:firstLine="1304"/>
        <w:spacing w:after="0" w:line="274" w:lineRule="auto"/>
        <w:tabs>
          <w:tab w:leader="none" w:pos="1939" w:val="left"/>
        </w:tabs>
        <w:numPr>
          <w:ilvl w:val="0"/>
          <w:numId w:val="600"/>
        </w:numPr>
        <w:rPr>
          <w:rFonts w:ascii="Arial" w:cs="Arial" w:eastAsia="Arial" w:hAnsi="Arial"/>
          <w:sz w:val="21"/>
          <w:szCs w:val="21"/>
          <w:color w:val="auto"/>
        </w:rPr>
      </w:pPr>
      <w:r>
        <w:rPr>
          <w:rFonts w:ascii="Arial" w:cs="Arial" w:eastAsia="Arial" w:hAnsi="Arial"/>
          <w:sz w:val="21"/>
          <w:szCs w:val="21"/>
          <w:b w:val="1"/>
          <w:bCs w:val="1"/>
          <w:color w:val="auto"/>
        </w:rPr>
        <w:t xml:space="preserve">Assignment of Right of First Refusal. </w:t>
      </w:r>
      <w:r>
        <w:rPr>
          <w:rFonts w:ascii="Arial" w:cs="Arial" w:eastAsia="Arial" w:hAnsi="Arial"/>
          <w:sz w:val="21"/>
          <w:szCs w:val="21"/>
          <w:color w:val="auto"/>
        </w:rPr>
        <w:t>The Board of Directors may freely assign the Company’s Right of</w:t>
      </w:r>
      <w:r>
        <w:rPr>
          <w:rFonts w:ascii="Arial" w:cs="Arial" w:eastAsia="Arial" w:hAnsi="Arial"/>
          <w:sz w:val="21"/>
          <w:szCs w:val="21"/>
          <w:b w:val="1"/>
          <w:bCs w:val="1"/>
          <w:color w:val="auto"/>
        </w:rPr>
        <w:t xml:space="preserve"> </w:t>
      </w:r>
      <w:r>
        <w:rPr>
          <w:rFonts w:ascii="Arial" w:cs="Arial" w:eastAsia="Arial" w:hAnsi="Arial"/>
          <w:sz w:val="21"/>
          <w:szCs w:val="21"/>
          <w:color w:val="auto"/>
        </w:rPr>
        <w:t>First Refusal, in whole or in part. Any person who accepts an assignment of the Right of First Refusal from the Company shall be entitled to and assume all of the Company’s rights and obligations under this Section 6.</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RESTRICTIONS APPLICABLE TO SHARES.</w:t>
      </w:r>
    </w:p>
    <w:p>
      <w:pPr>
        <w:spacing w:after="0" w:line="220" w:lineRule="exact"/>
        <w:rPr>
          <w:sz w:val="20"/>
          <w:szCs w:val="20"/>
          <w:color w:val="auto"/>
        </w:rPr>
      </w:pPr>
    </w:p>
    <w:p>
      <w:pPr>
        <w:ind w:right="440" w:firstLine="1304"/>
        <w:spacing w:after="0" w:line="290" w:lineRule="auto"/>
        <w:tabs>
          <w:tab w:leader="none" w:pos="1941" w:val="left"/>
        </w:tabs>
        <w:numPr>
          <w:ilvl w:val="1"/>
          <w:numId w:val="601"/>
        </w:numPr>
        <w:rPr>
          <w:rFonts w:ascii="Arial" w:cs="Arial" w:eastAsia="Arial" w:hAnsi="Arial"/>
          <w:sz w:val="19"/>
          <w:szCs w:val="19"/>
          <w:color w:val="auto"/>
        </w:rPr>
      </w:pPr>
      <w:r>
        <w:rPr>
          <w:rFonts w:ascii="Arial" w:cs="Arial" w:eastAsia="Arial" w:hAnsi="Arial"/>
          <w:sz w:val="19"/>
          <w:szCs w:val="19"/>
          <w:b w:val="1"/>
          <w:bCs w:val="1"/>
          <w:color w:val="auto"/>
        </w:rPr>
        <w:t xml:space="preserve">General Restrictions. </w:t>
      </w:r>
      <w:r>
        <w:rPr>
          <w:rFonts w:ascii="Arial" w:cs="Arial" w:eastAsia="Arial" w:hAnsi="Arial"/>
          <w:sz w:val="19"/>
          <w:szCs w:val="19"/>
          <w:color w:val="auto"/>
        </w:rPr>
        <w:t>Unless the Stock is readily tradeable on an established securities market,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of any of the Shares acquired pursuant to this Agreement (or any interest therein) shall, at the Company’s request, be condition upon (i) effecting such transfer pursuant to a form of stock transfer agreement prescribed by the Company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602"/>
        </w:numPr>
        <w:rPr>
          <w:rFonts w:ascii="Arial" w:cs="Arial" w:eastAsia="Arial" w:hAnsi="Arial"/>
          <w:sz w:val="22"/>
          <w:szCs w:val="22"/>
          <w:color w:val="auto"/>
        </w:rPr>
      </w:pPr>
      <w:r>
        <w:rPr>
          <w:rFonts w:ascii="Arial" w:cs="Arial" w:eastAsia="Arial" w:hAnsi="Arial"/>
          <w:sz w:val="22"/>
          <w:szCs w:val="22"/>
          <w:color w:val="auto"/>
        </w:rPr>
        <w:t>payment of a transfer fee not to exceed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67" w:name="page768"/>
    <w:bookmarkEnd w:id="767"/>
    <w:p>
      <w:pPr>
        <w:ind w:left="-40" w:right="60" w:firstLine="1304"/>
        <w:spacing w:after="0" w:line="288" w:lineRule="auto"/>
        <w:tabs>
          <w:tab w:leader="none" w:pos="1899" w:val="left"/>
        </w:tabs>
        <w:numPr>
          <w:ilvl w:val="0"/>
          <w:numId w:val="603"/>
        </w:numPr>
        <w:rPr>
          <w:rFonts w:ascii="Arial" w:cs="Arial" w:eastAsia="Arial" w:hAnsi="Arial"/>
          <w:sz w:val="19"/>
          <w:szCs w:val="19"/>
          <w:color w:val="auto"/>
        </w:rPr>
      </w:pPr>
      <w:r>
        <w:rPr>
          <w:rFonts w:ascii="Arial" w:cs="Arial" w:eastAsia="Arial" w:hAnsi="Arial"/>
          <w:sz w:val="19"/>
          <w:szCs w:val="19"/>
          <w:b w:val="1"/>
          <w:bCs w:val="1"/>
          <w:color w:val="auto"/>
        </w:rPr>
        <w:t xml:space="preserve">Securities Law Restrictions. </w:t>
      </w:r>
      <w:r>
        <w:rPr>
          <w:rFonts w:ascii="Arial" w:cs="Arial" w:eastAsia="Arial" w:hAnsi="Arial"/>
          <w:sz w:val="19"/>
          <w:szCs w:val="19"/>
          <w:color w:val="auto"/>
        </w:rPr>
        <w:t>Regardless of whether the offering and sale of Shares under the Plan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You (or the beneficiary or your personal representative in the event of your death or incapacity, as the case may be) shall deliver to the Company any representations or other documents or assurances as the Company may deem necessary or reasonably desirable to ensure compliance with all applicable legal and regulatory requirements.</w:t>
      </w:r>
    </w:p>
    <w:p>
      <w:pPr>
        <w:spacing w:after="0" w:line="153" w:lineRule="exact"/>
        <w:rPr>
          <w:rFonts w:ascii="Arial" w:cs="Arial" w:eastAsia="Arial" w:hAnsi="Arial"/>
          <w:sz w:val="19"/>
          <w:szCs w:val="19"/>
          <w:color w:val="auto"/>
        </w:rPr>
      </w:pPr>
    </w:p>
    <w:p>
      <w:pPr>
        <w:ind w:left="-40" w:firstLine="1304"/>
        <w:spacing w:after="0" w:line="285" w:lineRule="auto"/>
        <w:tabs>
          <w:tab w:leader="none" w:pos="1901" w:val="left"/>
        </w:tabs>
        <w:numPr>
          <w:ilvl w:val="0"/>
          <w:numId w:val="603"/>
        </w:numPr>
        <w:rPr>
          <w:rFonts w:ascii="Arial" w:cs="Arial" w:eastAsia="Arial" w:hAnsi="Arial"/>
          <w:sz w:val="19"/>
          <w:szCs w:val="19"/>
          <w:color w:val="auto"/>
        </w:rPr>
      </w:pPr>
      <w:r>
        <w:rPr>
          <w:rFonts w:ascii="Arial" w:cs="Arial" w:eastAsia="Arial" w:hAnsi="Arial"/>
          <w:sz w:val="19"/>
          <w:szCs w:val="19"/>
          <w:b w:val="1"/>
          <w:bCs w:val="1"/>
          <w:color w:val="auto"/>
        </w:rPr>
        <w:t xml:space="preserve">Market Stand-Off. </w:t>
      </w:r>
      <w:r>
        <w:rPr>
          <w:rFonts w:ascii="Arial" w:cs="Arial" w:eastAsia="Arial" w:hAnsi="Arial"/>
          <w:sz w:val="19"/>
          <w:szCs w:val="19"/>
          <w:color w:val="auto"/>
        </w:rPr>
        <w:t>In connection with any underwritten public offering by the Company of its equity</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pursuant to an effective registration statement filed under the Securities Act, including the Company’s initial public offering, you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Arial" w:cs="Arial" w:eastAsia="Arial" w:hAnsi="Arial"/>
          <w:sz w:val="19"/>
          <w:szCs w:val="19"/>
          <w:b w:val="1"/>
          <w:bCs w:val="1"/>
          <w:color w:val="auto"/>
        </w:rPr>
        <w:t>Market Stand-Off</w:t>
      </w:r>
      <w:r>
        <w:rPr>
          <w:rFonts w:ascii="Arial" w:cs="Arial" w:eastAsia="Arial" w:hAnsi="Arial"/>
          <w:sz w:val="19"/>
          <w:szCs w:val="19"/>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Section 7(c). This Section 7(c) shall not apply to Shares registered in the public offering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60"/>
          </w:cols>
          <w:pgMar w:left="360" w:top="1422" w:right="379" w:bottom="1440" w:gutter="0" w:footer="0" w:header="0"/>
        </w:sectPr>
      </w:pPr>
    </w:p>
    <w:bookmarkStart w:id="768" w:name="page769"/>
    <w:bookmarkEnd w:id="768"/>
    <w:p>
      <w:pPr>
        <w:ind w:right="340" w:firstLine="1304"/>
        <w:spacing w:after="0" w:line="269" w:lineRule="auto"/>
        <w:tabs>
          <w:tab w:leader="none" w:pos="1939" w:val="left"/>
        </w:tabs>
        <w:numPr>
          <w:ilvl w:val="0"/>
          <w:numId w:val="604"/>
        </w:numPr>
        <w:rPr>
          <w:rFonts w:ascii="Arial" w:cs="Arial" w:eastAsia="Arial" w:hAnsi="Arial"/>
          <w:sz w:val="22"/>
          <w:szCs w:val="22"/>
          <w:color w:val="auto"/>
        </w:rPr>
      </w:pPr>
      <w:r>
        <w:rPr>
          <w:rFonts w:ascii="Arial" w:cs="Arial" w:eastAsia="Arial" w:hAnsi="Arial"/>
          <w:sz w:val="22"/>
          <w:szCs w:val="22"/>
          <w:b w:val="1"/>
          <w:bCs w:val="1"/>
          <w:color w:val="auto"/>
        </w:rPr>
        <w:t xml:space="preserve">Investment Intent at Grant. </w:t>
      </w:r>
      <w:r>
        <w:rPr>
          <w:rFonts w:ascii="Arial" w:cs="Arial" w:eastAsia="Arial" w:hAnsi="Arial"/>
          <w:sz w:val="22"/>
          <w:szCs w:val="22"/>
          <w:color w:val="auto"/>
        </w:rPr>
        <w:t>You represent and agree that the Shares to be acquired upon 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these RSUs will be acquired for investment, and not with a view to the sale or distribution thereof.</w:t>
      </w:r>
    </w:p>
    <w:p>
      <w:pPr>
        <w:spacing w:after="0" w:line="161" w:lineRule="exact"/>
        <w:rPr>
          <w:rFonts w:ascii="Arial" w:cs="Arial" w:eastAsia="Arial" w:hAnsi="Arial"/>
          <w:sz w:val="22"/>
          <w:szCs w:val="22"/>
          <w:color w:val="auto"/>
        </w:rPr>
      </w:pPr>
    </w:p>
    <w:p>
      <w:pPr>
        <w:ind w:right="20" w:firstLine="1304"/>
        <w:spacing w:after="0" w:line="264" w:lineRule="auto"/>
        <w:tabs>
          <w:tab w:leader="none" w:pos="1941" w:val="left"/>
        </w:tabs>
        <w:numPr>
          <w:ilvl w:val="0"/>
          <w:numId w:val="604"/>
        </w:numPr>
        <w:rPr>
          <w:rFonts w:ascii="Arial" w:cs="Arial" w:eastAsia="Arial" w:hAnsi="Arial"/>
          <w:sz w:val="21"/>
          <w:szCs w:val="21"/>
          <w:color w:val="auto"/>
        </w:rPr>
      </w:pPr>
      <w:r>
        <w:rPr>
          <w:rFonts w:ascii="Arial" w:cs="Arial" w:eastAsia="Arial" w:hAnsi="Arial"/>
          <w:sz w:val="21"/>
          <w:szCs w:val="21"/>
          <w:b w:val="1"/>
          <w:bCs w:val="1"/>
          <w:color w:val="auto"/>
        </w:rPr>
        <w:t xml:space="preserve">Investment Intent at Settlement. </w:t>
      </w:r>
      <w:r>
        <w:rPr>
          <w:rFonts w:ascii="Arial" w:cs="Arial" w:eastAsia="Arial" w:hAnsi="Arial"/>
          <w:sz w:val="21"/>
          <w:szCs w:val="21"/>
          <w:color w:val="auto"/>
        </w:rPr>
        <w:t>In the event that the sale of Shares under the Plan is not registered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Securities Act but an exemption is available that requires an investment representation or other representation, you shall represent and agree at the time of issuance that the Shares being acquired upon settlement of these RSUs are being acquired for investment, and not with a view to the sale or distribution thereof, and shall make such other representations as are deemed necessary or appropriate by the Company and its counsel.</w:t>
      </w:r>
    </w:p>
    <w:p>
      <w:pPr>
        <w:spacing w:after="0" w:line="170" w:lineRule="exact"/>
        <w:rPr>
          <w:rFonts w:ascii="Arial" w:cs="Arial" w:eastAsia="Arial" w:hAnsi="Arial"/>
          <w:sz w:val="21"/>
          <w:szCs w:val="21"/>
          <w:color w:val="auto"/>
        </w:rPr>
      </w:pPr>
    </w:p>
    <w:p>
      <w:pPr>
        <w:ind w:right="340" w:firstLine="1304"/>
        <w:spacing w:after="0" w:line="252" w:lineRule="auto"/>
        <w:tabs>
          <w:tab w:leader="none" w:pos="1944" w:val="left"/>
        </w:tabs>
        <w:numPr>
          <w:ilvl w:val="0"/>
          <w:numId w:val="604"/>
        </w:numPr>
        <w:rPr>
          <w:rFonts w:ascii="Arial" w:cs="Arial" w:eastAsia="Arial" w:hAnsi="Arial"/>
          <w:sz w:val="22"/>
          <w:szCs w:val="22"/>
          <w:color w:val="auto"/>
        </w:rPr>
      </w:pPr>
      <w:r>
        <w:rPr>
          <w:rFonts w:ascii="Arial" w:cs="Arial" w:eastAsia="Arial" w:hAnsi="Arial"/>
          <w:sz w:val="22"/>
          <w:szCs w:val="22"/>
          <w:b w:val="1"/>
          <w:bCs w:val="1"/>
          <w:color w:val="auto"/>
        </w:rPr>
        <w:t xml:space="preserve">Rights of the Company. </w:t>
      </w:r>
      <w:r>
        <w:rPr>
          <w:rFonts w:ascii="Arial" w:cs="Arial" w:eastAsia="Arial" w:hAnsi="Arial"/>
          <w:sz w:val="22"/>
          <w:szCs w:val="22"/>
          <w:color w:val="auto"/>
        </w:rPr>
        <w:t>The Company shall not be required to (i) transfer on its books any Shares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sold or transferred in contravention of this Agreement or (ii) treat as the owner of Shares, or otherwise to accord voting, dividend or liquidation rights to, any Transferee to whom the Shares have been transferred in contravention of this Agreement.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604"/>
        </w:numPr>
        <w:rPr>
          <w:rFonts w:ascii="Arial" w:cs="Arial" w:eastAsia="Arial" w:hAnsi="Arial"/>
          <w:sz w:val="19"/>
          <w:szCs w:val="19"/>
          <w:color w:val="auto"/>
        </w:rPr>
      </w:pPr>
      <w:r>
        <w:rPr>
          <w:rFonts w:ascii="Arial" w:cs="Arial" w:eastAsia="Arial" w:hAnsi="Arial"/>
          <w:sz w:val="19"/>
          <w:szCs w:val="19"/>
          <w:b w:val="1"/>
          <w:bCs w:val="1"/>
          <w:color w:val="auto"/>
        </w:rPr>
        <w:t xml:space="preserve">Legends. </w:t>
      </w:r>
      <w:r>
        <w:rPr>
          <w:rFonts w:ascii="Arial" w:cs="Arial" w:eastAsia="Arial" w:hAnsi="Arial"/>
          <w:sz w:val="19"/>
          <w:szCs w:val="19"/>
          <w:color w:val="auto"/>
        </w:rPr>
        <w:t>All certificates evidencing the Shares issued under this Agreement shall bear the following</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legend:</w:t>
      </w:r>
    </w:p>
    <w:p>
      <w:pPr>
        <w:spacing w:after="0" w:line="202" w:lineRule="exact"/>
        <w:rPr>
          <w:sz w:val="20"/>
          <w:szCs w:val="20"/>
          <w:color w:val="auto"/>
        </w:rPr>
      </w:pPr>
    </w:p>
    <w:p>
      <w:pPr>
        <w:ind w:left="660"/>
        <w:spacing w:after="0" w:line="259" w:lineRule="auto"/>
        <w:rPr>
          <w:sz w:val="20"/>
          <w:szCs w:val="20"/>
          <w:color w:val="auto"/>
        </w:rPr>
      </w:pPr>
      <w:r>
        <w:rPr>
          <w:rFonts w:ascii="Arial" w:cs="Arial" w:eastAsia="Arial" w:hAnsi="Arial"/>
          <w:sz w:val="21"/>
          <w:szCs w:val="21"/>
          <w:color w:val="auto"/>
        </w:rPr>
        <w:t>“THE SHARES REPRESENTED HEREBY (AND ANY INTEREST THEREIN) MAY NOT BE SOLD, ASSIGNED, TRANSFERRED, ENCUMBERED OR IN ANY MANNER DISPOSED OF, EXCEPT IN COMPLIANCE WITH THE TERMS OF THE RESTRICTED STOCK UNIT AGREEMENT PURSUANT TO WHICH SUCH SHARES WERE ACQUIRED. SUCH AGREEMENT GRANTS TO THE COMPANY CERTAIN RIGHTS OF FIRST REFUSAL UPON AN ATTEMPTED TRANSFER OF THE SHARES. IN ADDITION, THE SHARES ARE SUBJECT TO RESTRICTIONS ON TRANSFER AS SET FORTH IN SUCH RESTRICTED STOCK UNIT AGREEMENT. THE SECRETARY OF THE COMPANY WILL UPON WRITTEN REQUEST FURNISH A COPY OF SUCH RESTRICTED STOCK UNIT AGREEMENT TO THE HOLDER HEREOF WITHOUT CHARGE.”</w:t>
      </w:r>
    </w:p>
    <w:p>
      <w:pPr>
        <w:spacing w:after="0" w:line="183"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All certificates evidencing Shares issued under this Agreement in an unregistered transaction shall bear the following legend (and such other restrictive legends as are required or deemed advisable under the provisions of any applicable law):</w:t>
      </w:r>
    </w:p>
    <w:p>
      <w:pPr>
        <w:spacing w:after="0" w:line="104" w:lineRule="exact"/>
        <w:rPr>
          <w:sz w:val="20"/>
          <w:szCs w:val="20"/>
          <w:color w:val="auto"/>
        </w:rPr>
      </w:pPr>
    </w:p>
    <w:p>
      <w:pPr>
        <w:ind w:left="660" w:right="40"/>
        <w:spacing w:after="0" w:line="246" w:lineRule="auto"/>
        <w:rPr>
          <w:sz w:val="20"/>
          <w:szCs w:val="20"/>
          <w:color w:val="auto"/>
        </w:rPr>
      </w:pPr>
      <w:r>
        <w:rPr>
          <w:rFonts w:ascii="Arial" w:cs="Arial" w:eastAsia="Arial" w:hAnsi="Arial"/>
          <w:sz w:val="22"/>
          <w:szCs w:val="22"/>
          <w:color w:val="auto"/>
        </w:rPr>
        <w:t>“THE SHARES REPRESENTED HEREBY HAVE NOT BEEN REGISTERED UNDER THE SECURITIES ACT OF 1933, AS AMENDED (THE “ACT”) OR ANY SECURITIES LAWS OF ANY U.S. STATE, AND MAY NOT BE SOLD, REOFFERED, PLEDGED, ASSIGNED, ENCUMBERED OR OTHERWISE TRANSFERRED OR DISPOSED OF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769" w:name="page770"/>
    <w:bookmarkEnd w:id="769"/>
    <w:p>
      <w:pPr>
        <w:ind w:left="660" w:right="420"/>
        <w:spacing w:after="0" w:line="250" w:lineRule="auto"/>
        <w:rPr>
          <w:sz w:val="20"/>
          <w:szCs w:val="20"/>
          <w:color w:val="auto"/>
        </w:rPr>
      </w:pPr>
      <w:r>
        <w:rPr>
          <w:rFonts w:ascii="Arial" w:cs="Arial" w:eastAsia="Arial" w:hAnsi="Arial"/>
          <w:sz w:val="22"/>
          <w:szCs w:val="22"/>
          <w:color w:val="auto"/>
        </w:rPr>
        <w:t>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2" w:lineRule="exact"/>
        <w:rPr>
          <w:sz w:val="20"/>
          <w:szCs w:val="20"/>
          <w:color w:val="auto"/>
        </w:rPr>
      </w:pPr>
    </w:p>
    <w:p>
      <w:pPr>
        <w:ind w:firstLine="1304"/>
        <w:spacing w:after="0" w:line="315" w:lineRule="auto"/>
        <w:tabs>
          <w:tab w:leader="none" w:pos="1939" w:val="left"/>
        </w:tabs>
        <w:numPr>
          <w:ilvl w:val="0"/>
          <w:numId w:val="605"/>
        </w:numPr>
        <w:rPr>
          <w:rFonts w:ascii="Arial" w:cs="Arial" w:eastAsia="Arial" w:hAnsi="Arial"/>
          <w:sz w:val="19"/>
          <w:szCs w:val="19"/>
          <w:color w:val="auto"/>
        </w:rPr>
      </w:pPr>
      <w:r>
        <w:rPr>
          <w:rFonts w:ascii="Arial" w:cs="Arial" w:eastAsia="Arial" w:hAnsi="Arial"/>
          <w:sz w:val="19"/>
          <w:szCs w:val="19"/>
          <w:b w:val="1"/>
          <w:bCs w:val="1"/>
          <w:color w:val="auto"/>
        </w:rPr>
        <w:t xml:space="preserve">Removal of Legends. </w:t>
      </w:r>
      <w:r>
        <w:rPr>
          <w:rFonts w:ascii="Arial" w:cs="Arial" w:eastAsia="Arial" w:hAnsi="Arial"/>
          <w:sz w:val="19"/>
          <w:szCs w:val="19"/>
          <w:color w:val="auto"/>
        </w:rPr>
        <w:t>If, in the opinion of the Company and its counsel, any legend placed on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representing Shares issued under this Agreement is no longer required, the holder of such certificate shall be entitled to exchange such certificate for a certificate representing the same number of Shares but without such legend.</w:t>
      </w:r>
    </w:p>
    <w:p>
      <w:pPr>
        <w:spacing w:after="0" w:line="125" w:lineRule="exact"/>
        <w:rPr>
          <w:rFonts w:ascii="Arial" w:cs="Arial" w:eastAsia="Arial" w:hAnsi="Arial"/>
          <w:sz w:val="19"/>
          <w:szCs w:val="19"/>
          <w:color w:val="auto"/>
        </w:rPr>
      </w:pPr>
    </w:p>
    <w:p>
      <w:pPr>
        <w:ind w:right="40" w:firstLine="1304"/>
        <w:spacing w:after="0" w:line="269" w:lineRule="auto"/>
        <w:tabs>
          <w:tab w:leader="none" w:pos="1932" w:val="left"/>
        </w:tabs>
        <w:numPr>
          <w:ilvl w:val="0"/>
          <w:numId w:val="605"/>
        </w:numPr>
        <w:rPr>
          <w:rFonts w:ascii="Arial" w:cs="Arial" w:eastAsia="Arial" w:hAnsi="Arial"/>
          <w:sz w:val="22"/>
          <w:szCs w:val="22"/>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Any determination by the Company and its counsel in connection with any of the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this Section 7 shall be conclusive and binding on you and all other persons.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ADJUSTMENT OF SHARES.</w:t>
      </w:r>
    </w:p>
    <w:p>
      <w:pPr>
        <w:spacing w:after="0" w:line="226" w:lineRule="exact"/>
        <w:rPr>
          <w:sz w:val="20"/>
          <w:szCs w:val="20"/>
          <w:color w:val="auto"/>
        </w:rPr>
      </w:pPr>
    </w:p>
    <w:p>
      <w:pPr>
        <w:ind w:right="20" w:firstLine="1296"/>
        <w:spacing w:after="0" w:line="258" w:lineRule="auto"/>
        <w:rPr>
          <w:sz w:val="20"/>
          <w:szCs w:val="20"/>
          <w:color w:val="auto"/>
        </w:rPr>
      </w:pPr>
      <w:r>
        <w:rPr>
          <w:rFonts w:ascii="Arial" w:cs="Arial" w:eastAsia="Arial" w:hAnsi="Arial"/>
          <w:sz w:val="21"/>
          <w:szCs w:val="21"/>
          <w:color w:val="auto"/>
        </w:rPr>
        <w:t>In the event of any transaction described in Section 9(a) of the Plan, the terms of these RSUs (including, without limitation, the number and kind of shares subject to these RSUs) shall be adjusted as set forth in Section 9(a) of the Plan. In the event that the Company is a party to a merger or consolidation or in the event of a sale of all or substantially all of the Company’s stock or assets, your RSUs shall be subject to the treatment provided by the Board of Directors in its sole discretion, as provided in Section 9(b) of the Plan; provided, however, that any action taken (a) must either preserve the exemption of your RSUs from Code Section 409A or comply with Code Section 409A and (b) must not change the vesting requirements contained in the Amended and Restated Notice of Restricted Stock Unit Award and this Agreement to the extent any such change would materially adversely affect you. Any additional RSUs and any new, substituted or additional shares, cash or other property that become subject to this award as a result of any such transaction shall be subject to the same conditions and restrictions as applicable to the RSUs to which they relate.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MISCELLANEOUS PROVISIONS.</w:t>
      </w:r>
    </w:p>
    <w:p>
      <w:pPr>
        <w:spacing w:after="0" w:line="220" w:lineRule="exact"/>
        <w:rPr>
          <w:sz w:val="20"/>
          <w:szCs w:val="20"/>
          <w:color w:val="auto"/>
        </w:rPr>
      </w:pPr>
    </w:p>
    <w:p>
      <w:pPr>
        <w:ind w:firstLine="1304"/>
        <w:spacing w:after="0" w:line="267" w:lineRule="auto"/>
        <w:tabs>
          <w:tab w:leader="none" w:pos="1941" w:val="left"/>
        </w:tabs>
        <w:numPr>
          <w:ilvl w:val="0"/>
          <w:numId w:val="606"/>
        </w:numPr>
        <w:rPr>
          <w:rFonts w:ascii="Arial" w:cs="Arial" w:eastAsia="Arial" w:hAnsi="Arial"/>
          <w:sz w:val="21"/>
          <w:szCs w:val="21"/>
          <w:color w:val="auto"/>
        </w:rPr>
      </w:pPr>
      <w:r>
        <w:rPr>
          <w:rFonts w:ascii="Arial" w:cs="Arial" w:eastAsia="Arial" w:hAnsi="Arial"/>
          <w:sz w:val="21"/>
          <w:szCs w:val="21"/>
          <w:b w:val="1"/>
          <w:bCs w:val="1"/>
          <w:color w:val="auto"/>
        </w:rPr>
        <w:t xml:space="preserve">No Retention Rights. </w:t>
      </w:r>
      <w:r>
        <w:rPr>
          <w:rFonts w:ascii="Arial" w:cs="Arial" w:eastAsia="Arial" w:hAnsi="Arial"/>
          <w:sz w:val="21"/>
          <w:szCs w:val="21"/>
          <w:color w:val="auto"/>
        </w:rPr>
        <w:t>Nothing in this Agreement or in the Plan shall confer upon you the right to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Service in any capacity for any period of specific duration or interfere with or otherwise restrict in any way the rights of the Company (or any Parent or Subsidiary employing or retaining you) or you, which rights are hereby expressly reserved by each, to terminate your Service at any time and for any reason, with or without cause.</w:t>
      </w:r>
    </w:p>
    <w:p>
      <w:pPr>
        <w:spacing w:after="0" w:line="167" w:lineRule="exact"/>
        <w:rPr>
          <w:rFonts w:ascii="Arial" w:cs="Arial" w:eastAsia="Arial" w:hAnsi="Arial"/>
          <w:sz w:val="21"/>
          <w:szCs w:val="21"/>
          <w:color w:val="auto"/>
        </w:rPr>
      </w:pPr>
    </w:p>
    <w:p>
      <w:pPr>
        <w:ind w:firstLine="1304"/>
        <w:spacing w:after="0" w:line="248" w:lineRule="auto"/>
        <w:tabs>
          <w:tab w:leader="none" w:pos="1939" w:val="left"/>
        </w:tabs>
        <w:numPr>
          <w:ilvl w:val="0"/>
          <w:numId w:val="606"/>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Any notice required by the terms of this Agreement shall be given in writing. It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you at the address that you most recently provided to the Company in accordance with this Section 9(b).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770" w:name="page771"/>
    <w:bookmarkEnd w:id="770"/>
    <w:p>
      <w:pPr>
        <w:ind w:right="680"/>
        <w:spacing w:after="0" w:line="263" w:lineRule="auto"/>
        <w:rPr>
          <w:sz w:val="20"/>
          <w:szCs w:val="20"/>
          <w:color w:val="auto"/>
        </w:rPr>
      </w:pPr>
      <w:r>
        <w:rPr>
          <w:rFonts w:ascii="Arial" w:cs="Arial" w:eastAsia="Arial" w:hAnsi="Arial"/>
          <w:sz w:val="22"/>
          <w:szCs w:val="22"/>
          <w:color w:val="auto"/>
        </w:rPr>
        <w:t>the extent required or permitted pursuant to rules established by the Company from time to time, notices may be delivered electronically.</w:t>
      </w:r>
    </w:p>
    <w:p>
      <w:pPr>
        <w:spacing w:after="0" w:line="169" w:lineRule="exact"/>
        <w:rPr>
          <w:sz w:val="20"/>
          <w:szCs w:val="20"/>
          <w:color w:val="auto"/>
        </w:rPr>
      </w:pPr>
    </w:p>
    <w:p>
      <w:pPr>
        <w:ind w:right="160" w:firstLine="1304"/>
        <w:spacing w:after="0" w:line="249" w:lineRule="auto"/>
        <w:tabs>
          <w:tab w:leader="none" w:pos="1941" w:val="left"/>
        </w:tabs>
        <w:numPr>
          <w:ilvl w:val="0"/>
          <w:numId w:val="607"/>
        </w:numPr>
        <w:rPr>
          <w:rFonts w:ascii="Arial" w:cs="Arial" w:eastAsia="Arial" w:hAnsi="Arial"/>
          <w:sz w:val="22"/>
          <w:szCs w:val="22"/>
          <w:color w:val="auto"/>
        </w:rPr>
      </w:pPr>
      <w:r>
        <w:rPr>
          <w:rFonts w:ascii="Arial" w:cs="Arial" w:eastAsia="Arial" w:hAnsi="Arial"/>
          <w:sz w:val="22"/>
          <w:szCs w:val="22"/>
          <w:b w:val="1"/>
          <w:bCs w:val="1"/>
          <w:color w:val="auto"/>
        </w:rPr>
        <w:t xml:space="preserve">Modifications and Waivers. </w:t>
      </w:r>
      <w:r>
        <w:rPr>
          <w:rFonts w:ascii="Arial" w:cs="Arial" w:eastAsia="Arial" w:hAnsi="Arial"/>
          <w:sz w:val="22"/>
          <w:szCs w:val="22"/>
          <w:color w:val="auto"/>
        </w:rPr>
        <w:t>No provision of this Agreement shall be modified, waived or discharged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modification, waiver or discharge is agreed to in writing and signed by you and by an authorized officer of the Company (other than you).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22"/>
          <w:szCs w:val="22"/>
          <w:color w:val="auto"/>
        </w:rPr>
      </w:pPr>
    </w:p>
    <w:p>
      <w:pPr>
        <w:ind w:right="80" w:firstLine="1304"/>
        <w:spacing w:after="0" w:line="260" w:lineRule="auto"/>
        <w:tabs>
          <w:tab w:leader="none" w:pos="1939" w:val="left"/>
        </w:tabs>
        <w:numPr>
          <w:ilvl w:val="0"/>
          <w:numId w:val="607"/>
        </w:numPr>
        <w:rPr>
          <w:rFonts w:ascii="Arial" w:cs="Arial" w:eastAsia="Arial" w:hAnsi="Arial"/>
          <w:sz w:val="21"/>
          <w:szCs w:val="21"/>
          <w:color w:val="auto"/>
        </w:rPr>
      </w:pPr>
      <w:r>
        <w:rPr>
          <w:rFonts w:ascii="Arial" w:cs="Arial" w:eastAsia="Arial" w:hAnsi="Arial"/>
          <w:sz w:val="21"/>
          <w:szCs w:val="21"/>
          <w:b w:val="1"/>
          <w:bCs w:val="1"/>
          <w:color w:val="auto"/>
        </w:rPr>
        <w:t xml:space="preserve">Entire Agreement. </w:t>
      </w:r>
      <w:r>
        <w:rPr>
          <w:rFonts w:ascii="Arial" w:cs="Arial" w:eastAsia="Arial" w:hAnsi="Arial"/>
          <w:sz w:val="21"/>
          <w:szCs w:val="21"/>
          <w:color w:val="auto"/>
        </w:rPr>
        <w:t>The Amended and Restricted Notice of Restricted Stock Unit Award,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Plan constitute the entire understanding between you and the Company regarding the subject matter hereof. They supersede any other agreements, representations or understandings (whether oral or written and whether express or implied) that relate to the subject matter hereof, including any prior grant notice; provided, however, this Section 9(d) shall not apply to that certain notice of Restricted Stock Unit award and applicable agreement between you and the Company, dated October 8, 2019, whereby the Company granted to you 2,904,024 “time-vested” Restricted Stock Units or that certain notice of Restricted Stock Unit award and applicable agreement between you and the Company, dated May 26, 2021, whereby the Company granted to you [22,200,000][13,320,000] Restricted Stock Units.</w:t>
      </w:r>
    </w:p>
    <w:p>
      <w:pPr>
        <w:spacing w:after="0" w:line="175" w:lineRule="exact"/>
        <w:rPr>
          <w:rFonts w:ascii="Arial" w:cs="Arial" w:eastAsia="Arial" w:hAnsi="Arial"/>
          <w:sz w:val="21"/>
          <w:szCs w:val="21"/>
          <w:color w:val="auto"/>
        </w:rPr>
      </w:pPr>
    </w:p>
    <w:p>
      <w:pPr>
        <w:ind w:right="260" w:firstLine="1304"/>
        <w:spacing w:after="0" w:line="293" w:lineRule="auto"/>
        <w:tabs>
          <w:tab w:leader="none" w:pos="1941" w:val="left"/>
        </w:tabs>
        <w:numPr>
          <w:ilvl w:val="0"/>
          <w:numId w:val="607"/>
        </w:numPr>
        <w:rPr>
          <w:rFonts w:ascii="Arial" w:cs="Arial" w:eastAsia="Arial" w:hAnsi="Arial"/>
          <w:sz w:val="21"/>
          <w:szCs w:val="21"/>
          <w:color w:val="auto"/>
        </w:rPr>
      </w:pPr>
      <w:r>
        <w:rPr>
          <w:rFonts w:ascii="Arial" w:cs="Arial" w:eastAsia="Arial" w:hAnsi="Arial"/>
          <w:sz w:val="21"/>
          <w:szCs w:val="21"/>
          <w:b w:val="1"/>
          <w:bCs w:val="1"/>
          <w:color w:val="auto"/>
        </w:rPr>
        <w:t xml:space="preserve">Choice of Law. </w:t>
      </w:r>
      <w:r>
        <w:rPr>
          <w:rFonts w:ascii="Arial" w:cs="Arial" w:eastAsia="Arial" w:hAnsi="Arial"/>
          <w:sz w:val="21"/>
          <w:szCs w:val="21"/>
          <w:color w:val="auto"/>
        </w:rPr>
        <w:t>This Agreement shall be governed by, and construed in accordance with,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Delaware, as such laws are applied to contracts entered into and performed in such State.</w:t>
      </w:r>
    </w:p>
    <w:p>
      <w:pPr>
        <w:spacing w:after="0" w:line="139" w:lineRule="exact"/>
        <w:rPr>
          <w:rFonts w:ascii="Arial" w:cs="Arial" w:eastAsia="Arial" w:hAnsi="Arial"/>
          <w:sz w:val="21"/>
          <w:szCs w:val="21"/>
          <w:color w:val="auto"/>
        </w:rPr>
      </w:pPr>
    </w:p>
    <w:p>
      <w:pPr>
        <w:jc w:val="both"/>
        <w:ind w:right="140" w:firstLine="1304"/>
        <w:spacing w:after="0" w:line="267" w:lineRule="auto"/>
        <w:tabs>
          <w:tab w:leader="none" w:pos="1944" w:val="left"/>
        </w:tabs>
        <w:numPr>
          <w:ilvl w:val="0"/>
          <w:numId w:val="607"/>
        </w:numPr>
        <w:rPr>
          <w:rFonts w:ascii="Arial" w:cs="Arial" w:eastAsia="Arial" w:hAnsi="Arial"/>
          <w:sz w:val="21"/>
          <w:szCs w:val="21"/>
          <w:color w:val="auto"/>
        </w:rPr>
      </w:pP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Whenever possible, each provision of this Agreement shall be interpreted in such manner as</w:t>
      </w:r>
      <w:r>
        <w:rPr>
          <w:rFonts w:ascii="Arial" w:cs="Arial" w:eastAsia="Arial" w:hAnsi="Arial"/>
          <w:sz w:val="21"/>
          <w:szCs w:val="21"/>
          <w:b w:val="1"/>
          <w:bCs w:val="1"/>
          <w:color w:val="auto"/>
        </w:rPr>
        <w:t xml:space="preserve"> </w:t>
      </w:r>
      <w:r>
        <w:rPr>
          <w:rFonts w:ascii="Arial" w:cs="Arial" w:eastAsia="Arial" w:hAnsi="Arial"/>
          <w:sz w:val="21"/>
          <w:szCs w:val="21"/>
          <w:color w:val="auto"/>
        </w:rPr>
        <w:t>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67" w:lineRule="exact"/>
        <w:rPr>
          <w:rFonts w:ascii="Arial" w:cs="Arial" w:eastAsia="Arial" w:hAnsi="Arial"/>
          <w:sz w:val="21"/>
          <w:szCs w:val="21"/>
          <w:color w:val="auto"/>
        </w:rPr>
      </w:pPr>
    </w:p>
    <w:p>
      <w:pPr>
        <w:ind w:firstLine="1304"/>
        <w:spacing w:after="0" w:line="249" w:lineRule="auto"/>
        <w:tabs>
          <w:tab w:leader="none" w:pos="1939" w:val="left"/>
        </w:tabs>
        <w:numPr>
          <w:ilvl w:val="0"/>
          <w:numId w:val="607"/>
        </w:numPr>
        <w:rPr>
          <w:rFonts w:ascii="Arial" w:cs="Arial" w:eastAsia="Arial" w:hAnsi="Arial"/>
          <w:sz w:val="22"/>
          <w:szCs w:val="22"/>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Except as otherwise expressly provided to the contrary,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inure to the benefit of, and be binding upon, the Company and its successors and assigns and be binding upon you and your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ACKNOWLEDGEMENTS.</w:t>
      </w:r>
    </w:p>
    <w:p>
      <w:pPr>
        <w:spacing w:after="0" w:line="226"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In addition to the other terms, conditions and restrictions imposed on your RSUs and the Shares issuable upon settlement of your RSUs pursuant to this Agreement and the Plan, you expressly acknowledge being subject to Sections 6 (Right of First Refusal) and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71" w:name="page772"/>
    <w:bookmarkEnd w:id="771"/>
    <w:p>
      <w:pPr>
        <w:spacing w:after="0"/>
        <w:rPr>
          <w:sz w:val="20"/>
          <w:szCs w:val="20"/>
          <w:color w:val="auto"/>
        </w:rPr>
      </w:pPr>
      <w:r>
        <w:rPr>
          <w:rFonts w:ascii="Arial" w:cs="Arial" w:eastAsia="Arial" w:hAnsi="Arial"/>
          <w:sz w:val="21"/>
          <w:szCs w:val="21"/>
          <w:color w:val="auto"/>
        </w:rPr>
        <w:t>(Restrictions Applicable to Shares, including without limitation the Market Stand-Off), as well as the following provisions:</w:t>
      </w:r>
    </w:p>
    <w:p>
      <w:pPr>
        <w:spacing w:after="0" w:line="225" w:lineRule="exact"/>
        <w:rPr>
          <w:sz w:val="20"/>
          <w:szCs w:val="20"/>
          <w:color w:val="auto"/>
        </w:rPr>
      </w:pPr>
    </w:p>
    <w:p>
      <w:pPr>
        <w:ind w:firstLine="1304"/>
        <w:spacing w:after="0" w:line="287" w:lineRule="auto"/>
        <w:tabs>
          <w:tab w:leader="none" w:pos="1941" w:val="left"/>
        </w:tabs>
        <w:numPr>
          <w:ilvl w:val="0"/>
          <w:numId w:val="608"/>
        </w:numPr>
        <w:rPr>
          <w:rFonts w:ascii="Arial" w:cs="Arial" w:eastAsia="Arial" w:hAnsi="Arial"/>
          <w:sz w:val="19"/>
          <w:szCs w:val="19"/>
          <w:color w:val="auto"/>
        </w:rPr>
      </w:pPr>
      <w:r>
        <w:rPr>
          <w:rFonts w:ascii="Arial" w:cs="Arial" w:eastAsia="Arial" w:hAnsi="Arial"/>
          <w:sz w:val="19"/>
          <w:szCs w:val="19"/>
          <w:b w:val="1"/>
          <w:bCs w:val="1"/>
          <w:color w:val="auto"/>
        </w:rPr>
        <w:t xml:space="preserve">Tax Consequences. </w:t>
      </w:r>
      <w:r>
        <w:rPr>
          <w:rFonts w:ascii="Arial" w:cs="Arial" w:eastAsia="Arial" w:hAnsi="Arial"/>
          <w:sz w:val="19"/>
          <w:szCs w:val="19"/>
          <w:color w:val="auto"/>
        </w:rPr>
        <w:t>You acknowledge that there will be tax consequences upon vesting and/or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RSUs and/or disposition of the Shares, if any, received hereunder, and you should consult a tax adviser regarding your tax obligations prior to such event. You acknowledge that the Company is not providing any tax, legal, or financial advice, nor is the Company making any recommendations regarding your participation in the Plan or acquisition or sale of Shares subject to this award. You are hereby advised to consult with your own personal tax, legal, and financial advisors regarding your participation in the Plan. You further acknowledge that the Company (i) makes no representations or undertakings regarding the tax treatment of the award of RSUs, including, but not limited to the grant, vesting, or settlement of the RSUs, the subsequent sale of Shares acquired pursuant to such RSUs, and the receipt of any dividends; and (ii) does not commit to and is under no obligation to structure the terms of the grant of the RSUs to reduce or eliminate your tax liability or achieve any particular tax result. You agree that the Company does not have a duty to design or administer the RSUs, the Plan or its other compensation programs in a manner that minimizes your tax liability. You shall not make any claim against the Company or its Board of Directors, officers, or employees related to tax matters arising from this award or your other compensation.</w:t>
      </w:r>
    </w:p>
    <w:p>
      <w:pPr>
        <w:spacing w:after="0" w:line="158" w:lineRule="exact"/>
        <w:rPr>
          <w:rFonts w:ascii="Arial" w:cs="Arial" w:eastAsia="Arial" w:hAnsi="Arial"/>
          <w:sz w:val="19"/>
          <w:szCs w:val="19"/>
          <w:color w:val="auto"/>
        </w:rPr>
      </w:pPr>
    </w:p>
    <w:p>
      <w:pPr>
        <w:ind w:right="200" w:firstLine="1304"/>
        <w:spacing w:after="0" w:line="259" w:lineRule="auto"/>
        <w:tabs>
          <w:tab w:leader="none" w:pos="1939" w:val="left"/>
        </w:tabs>
        <w:numPr>
          <w:ilvl w:val="0"/>
          <w:numId w:val="608"/>
        </w:numPr>
        <w:rPr>
          <w:rFonts w:ascii="Arial" w:cs="Arial" w:eastAsia="Arial" w:hAnsi="Arial"/>
          <w:sz w:val="21"/>
          <w:szCs w:val="21"/>
          <w:color w:val="auto"/>
        </w:rPr>
      </w:pPr>
      <w:r>
        <w:rPr>
          <w:rFonts w:ascii="Arial" w:cs="Arial" w:eastAsia="Arial" w:hAnsi="Arial"/>
          <w:sz w:val="21"/>
          <w:szCs w:val="21"/>
          <w:b w:val="1"/>
          <w:bCs w:val="1"/>
          <w:color w:val="auto"/>
        </w:rPr>
        <w:t xml:space="preserve">Electronic Delivery of Documents. </w:t>
      </w:r>
      <w:r>
        <w:rPr>
          <w:rFonts w:ascii="Arial" w:cs="Arial" w:eastAsia="Arial" w:hAnsi="Arial"/>
          <w:sz w:val="21"/>
          <w:szCs w:val="21"/>
          <w:color w:val="auto"/>
        </w:rPr>
        <w:t>You acknowledge and agree that the Company may, in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deliver all documents relating the Company, the Plan or these RSUs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provided that, concurrently with any such delivery, you are notified of such delivery at your Company e-mail address, with instructions on how to access the relevant document. You acknowledge that you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79" w:lineRule="exact"/>
        <w:rPr>
          <w:rFonts w:ascii="Arial" w:cs="Arial" w:eastAsia="Arial" w:hAnsi="Arial"/>
          <w:sz w:val="21"/>
          <w:szCs w:val="21"/>
          <w:color w:val="auto"/>
        </w:rPr>
      </w:pPr>
    </w:p>
    <w:p>
      <w:pPr>
        <w:ind w:right="100" w:firstLine="1304"/>
        <w:spacing w:after="0" w:line="248" w:lineRule="auto"/>
        <w:tabs>
          <w:tab w:leader="none" w:pos="1941" w:val="left"/>
        </w:tabs>
        <w:numPr>
          <w:ilvl w:val="0"/>
          <w:numId w:val="608"/>
        </w:numPr>
        <w:rPr>
          <w:rFonts w:ascii="Arial" w:cs="Arial" w:eastAsia="Arial" w:hAnsi="Arial"/>
          <w:sz w:val="22"/>
          <w:szCs w:val="22"/>
          <w:color w:val="auto"/>
        </w:rPr>
      </w:pPr>
      <w:r>
        <w:rPr>
          <w:rFonts w:ascii="Arial" w:cs="Arial" w:eastAsia="Arial" w:hAnsi="Arial"/>
          <w:sz w:val="22"/>
          <w:szCs w:val="22"/>
          <w:b w:val="1"/>
          <w:bCs w:val="1"/>
          <w:color w:val="auto"/>
        </w:rPr>
        <w:t xml:space="preserve">Plan Discretionary. </w:t>
      </w:r>
      <w:r>
        <w:rPr>
          <w:rFonts w:ascii="Arial" w:cs="Arial" w:eastAsia="Arial" w:hAnsi="Arial"/>
          <w:sz w:val="22"/>
          <w:szCs w:val="22"/>
          <w:color w:val="auto"/>
        </w:rPr>
        <w:t>You understand and acknowledge that (i) the Plan is entirely discretionary, (ii)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your employer have reserved the right to amend, suspend or terminate the Plan at any time, (iii) the grant of the RSUs does not in any way create any contractual or other right to receive additional grants of RSUs (or benefits in lieu of RSUs) at any time or in any amount and (iv) all determinations with respect to any additional grants, including (without limitation) the times when RSUs will be granted, the number of Shares offered, and the vesting schedule, will be at the sole discretion of the Company.</w:t>
      </w:r>
    </w:p>
    <w:p>
      <w:pPr>
        <w:spacing w:after="0" w:line="186" w:lineRule="exact"/>
        <w:rPr>
          <w:rFonts w:ascii="Arial" w:cs="Arial" w:eastAsia="Arial" w:hAnsi="Arial"/>
          <w:sz w:val="22"/>
          <w:szCs w:val="22"/>
          <w:color w:val="auto"/>
        </w:rPr>
      </w:pPr>
    </w:p>
    <w:p>
      <w:pPr>
        <w:ind w:right="580" w:firstLine="1304"/>
        <w:spacing w:after="0" w:line="349" w:lineRule="auto"/>
        <w:tabs>
          <w:tab w:leader="none" w:pos="1939" w:val="left"/>
        </w:tabs>
        <w:numPr>
          <w:ilvl w:val="0"/>
          <w:numId w:val="608"/>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Service. </w:t>
      </w:r>
      <w:r>
        <w:rPr>
          <w:rFonts w:ascii="Arial" w:cs="Arial" w:eastAsia="Arial" w:hAnsi="Arial"/>
          <w:sz w:val="19"/>
          <w:szCs w:val="19"/>
          <w:color w:val="auto"/>
        </w:rPr>
        <w:t>You understand and acknowledge that participation in the Plan ceases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your Service for any reason, except as may explicitly be provided otherwise in the Plan or this Agreement.</w:t>
      </w:r>
    </w:p>
    <w:p>
      <w:pPr>
        <w:spacing w:after="0" w:line="93" w:lineRule="exact"/>
        <w:rPr>
          <w:rFonts w:ascii="Arial" w:cs="Arial" w:eastAsia="Arial" w:hAnsi="Arial"/>
          <w:sz w:val="19"/>
          <w:szCs w:val="19"/>
          <w:color w:val="auto"/>
        </w:rPr>
      </w:pPr>
    </w:p>
    <w:p>
      <w:pPr>
        <w:ind w:right="340" w:firstLine="1304"/>
        <w:spacing w:after="0" w:line="269" w:lineRule="auto"/>
        <w:tabs>
          <w:tab w:leader="none" w:pos="1941" w:val="left"/>
        </w:tabs>
        <w:numPr>
          <w:ilvl w:val="0"/>
          <w:numId w:val="608"/>
        </w:numPr>
        <w:rPr>
          <w:rFonts w:ascii="Arial" w:cs="Arial" w:eastAsia="Arial" w:hAnsi="Arial"/>
          <w:sz w:val="22"/>
          <w:szCs w:val="22"/>
          <w:color w:val="auto"/>
        </w:rPr>
      </w:pPr>
      <w:r>
        <w:rPr>
          <w:rFonts w:ascii="Arial" w:cs="Arial" w:eastAsia="Arial" w:hAnsi="Arial"/>
          <w:sz w:val="22"/>
          <w:szCs w:val="22"/>
          <w:b w:val="1"/>
          <w:bCs w:val="1"/>
          <w:color w:val="auto"/>
        </w:rPr>
        <w:t xml:space="preserve">Extraordinary Compensation. </w:t>
      </w:r>
      <w:r>
        <w:rPr>
          <w:rFonts w:ascii="Arial" w:cs="Arial" w:eastAsia="Arial" w:hAnsi="Arial"/>
          <w:sz w:val="22"/>
          <w:szCs w:val="22"/>
          <w:color w:val="auto"/>
        </w:rPr>
        <w:t>The value of your RSUs and the Shares issuable thereunder shall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extraordinary item of compensation outside the scope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72" w:name="page773"/>
    <w:bookmarkEnd w:id="772"/>
    <w:p>
      <w:pPr>
        <w:ind w:right="160"/>
        <w:spacing w:after="0" w:line="253" w:lineRule="auto"/>
        <w:rPr>
          <w:sz w:val="20"/>
          <w:szCs w:val="20"/>
          <w:color w:val="auto"/>
        </w:rPr>
      </w:pPr>
      <w:r>
        <w:rPr>
          <w:rFonts w:ascii="Arial" w:cs="Arial" w:eastAsia="Arial" w:hAnsi="Arial"/>
          <w:sz w:val="22"/>
          <w:szCs w:val="22"/>
          <w:color w:val="auto"/>
        </w:rPr>
        <w:t>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79" w:lineRule="exact"/>
        <w:rPr>
          <w:sz w:val="20"/>
          <w:szCs w:val="20"/>
          <w:color w:val="auto"/>
        </w:rPr>
      </w:pPr>
    </w:p>
    <w:p>
      <w:pPr>
        <w:ind w:right="120" w:firstLine="1304"/>
        <w:spacing w:after="0" w:line="252" w:lineRule="auto"/>
        <w:tabs>
          <w:tab w:leader="none" w:pos="1944" w:val="left"/>
        </w:tabs>
        <w:numPr>
          <w:ilvl w:val="0"/>
          <w:numId w:val="609"/>
        </w:numPr>
        <w:rPr>
          <w:rFonts w:ascii="Arial" w:cs="Arial" w:eastAsia="Arial" w:hAnsi="Arial"/>
          <w:sz w:val="22"/>
          <w:szCs w:val="22"/>
          <w:color w:val="auto"/>
        </w:rPr>
      </w:pPr>
      <w:r>
        <w:rPr>
          <w:rFonts w:ascii="Arial" w:cs="Arial" w:eastAsia="Arial" w:hAnsi="Arial"/>
          <w:sz w:val="22"/>
          <w:szCs w:val="22"/>
          <w:b w:val="1"/>
          <w:bCs w:val="1"/>
          <w:color w:val="auto"/>
        </w:rPr>
        <w:t xml:space="preserve">Authorization to Disclose. </w:t>
      </w:r>
      <w:r>
        <w:rPr>
          <w:rFonts w:ascii="Arial" w:cs="Arial" w:eastAsia="Arial" w:hAnsi="Arial"/>
          <w:sz w:val="22"/>
          <w:szCs w:val="22"/>
          <w:color w:val="auto"/>
        </w:rPr>
        <w:t>You hereby authorize and direct your employer to disclose to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Subsidiary any information regarding your employment, the nature and amount of your compensation and the fact and conditions of your participation in the Plan, to the extent your employer reasonably deems necessary or appropriate to facilitate the administration of the Plan.</w:t>
      </w:r>
    </w:p>
    <w:p>
      <w:pPr>
        <w:spacing w:after="0" w:line="179" w:lineRule="exact"/>
        <w:rPr>
          <w:rFonts w:ascii="Arial" w:cs="Arial" w:eastAsia="Arial" w:hAnsi="Arial"/>
          <w:sz w:val="22"/>
          <w:szCs w:val="22"/>
          <w:color w:val="auto"/>
        </w:rPr>
      </w:pPr>
    </w:p>
    <w:p>
      <w:pPr>
        <w:ind w:right="20" w:firstLine="1304"/>
        <w:spacing w:after="0" w:line="286" w:lineRule="auto"/>
        <w:tabs>
          <w:tab w:leader="none" w:pos="1939" w:val="left"/>
        </w:tabs>
        <w:numPr>
          <w:ilvl w:val="0"/>
          <w:numId w:val="609"/>
        </w:numPr>
        <w:rPr>
          <w:rFonts w:ascii="Arial" w:cs="Arial" w:eastAsia="Arial" w:hAnsi="Arial"/>
          <w:sz w:val="19"/>
          <w:szCs w:val="19"/>
          <w:color w:val="auto"/>
        </w:rPr>
      </w:pPr>
      <w:r>
        <w:rPr>
          <w:rFonts w:ascii="Arial" w:cs="Arial" w:eastAsia="Arial" w:hAnsi="Arial"/>
          <w:sz w:val="19"/>
          <w:szCs w:val="19"/>
          <w:b w:val="1"/>
          <w:bCs w:val="1"/>
          <w:color w:val="auto"/>
        </w:rPr>
        <w:t xml:space="preserve">Personal Data Authorization. </w:t>
      </w:r>
      <w:r>
        <w:rPr>
          <w:rFonts w:ascii="Arial" w:cs="Arial" w:eastAsia="Arial" w:hAnsi="Arial"/>
          <w:sz w:val="19"/>
          <w:szCs w:val="19"/>
          <w:color w:val="auto"/>
        </w:rPr>
        <w:t>You consent to the collection, use and transfer of personal data as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this Subsection (g). You understand and acknowledge that the Company, your employer and the Company’s other Subsidiaries retain and process certain personal information about you in order to manage and administer the Plan, including, without limitation, your name, home address, telephone number, date of birth, social insurance number, salary, nationality, job title, any Shares or directorships held in the Company and details of all RSUs or any other entitlements to Shares awarded, canceled, exercised, vested, unvested or outstanding in your favor (the “</w:t>
      </w:r>
      <w:r>
        <w:rPr>
          <w:rFonts w:ascii="Arial" w:cs="Arial" w:eastAsia="Arial" w:hAnsi="Arial"/>
          <w:sz w:val="19"/>
          <w:szCs w:val="19"/>
          <w:b w:val="1"/>
          <w:bCs w:val="1"/>
          <w:color w:val="auto"/>
        </w:rPr>
        <w:t>Data</w:t>
      </w:r>
      <w:r>
        <w:rPr>
          <w:rFonts w:ascii="Arial" w:cs="Arial" w:eastAsia="Arial" w:hAnsi="Arial"/>
          <w:sz w:val="19"/>
          <w:szCs w:val="19"/>
          <w:color w:val="auto"/>
        </w:rPr>
        <w:t>”).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solely for the purpose of administrating your participation in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receive a copy of the Data, require any necessary modifications of the Data or withdraw the consents set forth in this Subsection (g) by contacting the Company in writing.</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98" w:lineRule="auto"/>
        <w:tabs>
          <w:tab w:leader="none" w:pos="1939" w:val="left"/>
        </w:tabs>
        <w:numPr>
          <w:ilvl w:val="0"/>
          <w:numId w:val="609"/>
        </w:numPr>
        <w:rPr>
          <w:rFonts w:ascii="Arial" w:cs="Arial" w:eastAsia="Arial" w:hAnsi="Arial"/>
          <w:sz w:val="19"/>
          <w:szCs w:val="19"/>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You acknowledge that the RSUs and/or the Shares acquired upon settlement of the RSUs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(including on a retroactive basis) to clawback, recoupment, forfeiture or similar requirements (and such requirements shall be deemed incorporated by reference into this Agreement) to the extent required by the Company’s clawback or recoupment policy as may be established and/or amended from time to time or Applicable Laws (including, without limitation, Section 304 of the Sarbanes-Oxley Act and Section 954 of the Dodd-Frank Wall Street Reform and Consumer Protection Act).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DEFINITIONS.</w:t>
      </w:r>
    </w:p>
    <w:p>
      <w:pPr>
        <w:spacing w:after="0" w:line="220" w:lineRule="exact"/>
        <w:rPr>
          <w:sz w:val="20"/>
          <w:szCs w:val="20"/>
          <w:color w:val="auto"/>
        </w:rPr>
      </w:pPr>
    </w:p>
    <w:p>
      <w:pPr>
        <w:ind w:left="1940" w:hanging="636"/>
        <w:spacing w:after="0"/>
        <w:tabs>
          <w:tab w:leader="none" w:pos="1940" w:val="left"/>
        </w:tabs>
        <w:numPr>
          <w:ilvl w:val="0"/>
          <w:numId w:val="6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Amended and Restated Restricted Stock Unit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11</w:t>
      </w:r>
    </w:p>
    <w:p>
      <w:pPr>
        <w:sectPr>
          <w:pgSz w:w="11900" w:h="16838" w:orient="portrait"/>
          <w:cols w:equalWidth="0" w:num="1">
            <w:col w:w="11220"/>
          </w:cols>
          <w:pgMar w:left="320" w:top="1428" w:right="359" w:bottom="1440" w:gutter="0" w:footer="0" w:header="0"/>
        </w:sectPr>
      </w:pPr>
    </w:p>
    <w:bookmarkStart w:id="773" w:name="page774"/>
    <w:bookmarkEnd w:id="773"/>
    <w:p>
      <w:pPr>
        <w:jc w:val="both"/>
        <w:ind w:left="-8" w:right="100" w:firstLine="1304"/>
        <w:spacing w:after="0" w:line="304" w:lineRule="auto"/>
        <w:tabs>
          <w:tab w:leader="none" w:pos="1931" w:val="left"/>
        </w:tabs>
        <w:numPr>
          <w:ilvl w:val="1"/>
          <w:numId w:val="611"/>
        </w:numPr>
        <w:rPr>
          <w:rFonts w:ascii="Arial" w:cs="Arial" w:eastAsia="Arial" w:hAnsi="Arial"/>
          <w:sz w:val="19"/>
          <w:szCs w:val="19"/>
          <w:color w:val="auto"/>
        </w:rPr>
      </w:pPr>
      <w:r>
        <w:rPr>
          <w:rFonts w:ascii="Arial" w:cs="Arial" w:eastAsia="Arial" w:hAnsi="Arial"/>
          <w:sz w:val="19"/>
          <w:szCs w:val="19"/>
          <w:b w:val="1"/>
          <w:bCs w:val="1"/>
          <w:color w:val="auto"/>
        </w:rPr>
        <w:t xml:space="preserve">“Applicable Share Price” </w:t>
      </w:r>
      <w:r>
        <w:rPr>
          <w:rFonts w:ascii="Arial" w:cs="Arial" w:eastAsia="Arial" w:hAnsi="Arial"/>
          <w:sz w:val="19"/>
          <w:szCs w:val="19"/>
          <w:color w:val="auto"/>
        </w:rPr>
        <w:t>means in connection with an IPO, the initial public offering price per share,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an IPO, the average of the volume weighted average trading prices of a Share as reported on a Securities Exchange for each trading day during </w:t>
      </w:r>
      <w:r>
        <w:rPr>
          <w:rFonts w:ascii="Arial" w:cs="Arial" w:eastAsia="Arial" w:hAnsi="Arial"/>
          <w:sz w:val="19"/>
          <w:szCs w:val="19"/>
          <w:u w:val="single" w:color="auto"/>
          <w:color w:val="auto"/>
        </w:rPr>
        <w:t>any</w:t>
      </w:r>
      <w:r>
        <w:rPr>
          <w:rFonts w:ascii="Arial" w:cs="Arial" w:eastAsia="Arial" w:hAnsi="Arial"/>
          <w:sz w:val="19"/>
          <w:szCs w:val="19"/>
          <w:color w:val="auto"/>
        </w:rPr>
        <w:t xml:space="preserve"> sixty (60) consecutive trading days through and including the Expiration Date (or, if the Expiration Date is not a trading day, the last trading day immediately preceding the Expiration Date).</w:t>
      </w:r>
    </w:p>
    <w:p>
      <w:pPr>
        <w:spacing w:after="0" w:line="135" w:lineRule="exact"/>
        <w:rPr>
          <w:rFonts w:ascii="Arial" w:cs="Arial" w:eastAsia="Arial" w:hAnsi="Arial"/>
          <w:sz w:val="19"/>
          <w:szCs w:val="19"/>
          <w:color w:val="auto"/>
        </w:rPr>
      </w:pPr>
    </w:p>
    <w:p>
      <w:pPr>
        <w:ind w:left="-8" w:right="20" w:firstLine="1304"/>
        <w:spacing w:after="0" w:line="269" w:lineRule="auto"/>
        <w:tabs>
          <w:tab w:leader="none" w:pos="1933" w:val="left"/>
        </w:tabs>
        <w:numPr>
          <w:ilvl w:val="1"/>
          <w:numId w:val="6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as constituted from time to time or, if a Committee has been appointed, such Committee.</w:t>
      </w:r>
    </w:p>
    <w:p>
      <w:pPr>
        <w:spacing w:after="0" w:line="161" w:lineRule="exact"/>
        <w:rPr>
          <w:rFonts w:ascii="Arial" w:cs="Arial" w:eastAsia="Arial" w:hAnsi="Arial"/>
          <w:sz w:val="22"/>
          <w:szCs w:val="22"/>
          <w:color w:val="auto"/>
        </w:rPr>
      </w:pPr>
    </w:p>
    <w:p>
      <w:pPr>
        <w:jc w:val="both"/>
        <w:ind w:left="-8" w:right="100" w:firstLine="1304"/>
        <w:spacing w:after="0" w:line="294" w:lineRule="auto"/>
        <w:tabs>
          <w:tab w:leader="none" w:pos="1924" w:val="left"/>
        </w:tabs>
        <w:numPr>
          <w:ilvl w:val="1"/>
          <w:numId w:val="611"/>
        </w:numPr>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(i) your willful and material unauthorized use or disclosure of the Company’s confidential information or trade secrets, which use or disclosure causes material harm to the Company and its subsidiaries, taken as a whole;</w:t>
      </w:r>
    </w:p>
    <w:p>
      <w:pPr>
        <w:spacing w:after="0" w:line="1" w:lineRule="exact"/>
        <w:rPr>
          <w:rFonts w:ascii="Arial" w:cs="Arial" w:eastAsia="Arial" w:hAnsi="Arial"/>
          <w:sz w:val="18"/>
          <w:szCs w:val="18"/>
          <w:color w:val="auto"/>
        </w:rPr>
      </w:pPr>
    </w:p>
    <w:p>
      <w:pPr>
        <w:ind w:left="-8" w:right="140" w:firstLine="8"/>
        <w:spacing w:after="0" w:line="281" w:lineRule="auto"/>
        <w:tabs>
          <w:tab w:leader="none" w:pos="310" w:val="left"/>
        </w:tabs>
        <w:numPr>
          <w:ilvl w:val="0"/>
          <w:numId w:val="612"/>
        </w:numPr>
        <w:rPr>
          <w:rFonts w:ascii="Arial" w:cs="Arial" w:eastAsia="Arial" w:hAnsi="Arial"/>
          <w:sz w:val="19"/>
          <w:szCs w:val="19"/>
          <w:color w:val="auto"/>
        </w:rPr>
      </w:pPr>
      <w:r>
        <w:rPr>
          <w:rFonts w:ascii="Arial" w:cs="Arial" w:eastAsia="Arial" w:hAnsi="Arial"/>
          <w:sz w:val="19"/>
          <w:szCs w:val="19"/>
          <w:color w:val="auto"/>
        </w:rPr>
        <w:t>a willful and material breach by you of any agreement between you and the Company, which breach causes material harm to the Company and its subsidiaries, taken as a whole; (iii) a willful and material failure by you to comply with the Company’s material written policies or rules, which failure causes material harm to the Company and its subsidiaries, taken as a whole;</w:t>
      </w:r>
    </w:p>
    <w:p>
      <w:pPr>
        <w:spacing w:after="0" w:line="2" w:lineRule="exact"/>
        <w:rPr>
          <w:rFonts w:ascii="Arial" w:cs="Arial" w:eastAsia="Arial" w:hAnsi="Arial"/>
          <w:sz w:val="19"/>
          <w:szCs w:val="19"/>
          <w:color w:val="auto"/>
        </w:rPr>
      </w:pPr>
    </w:p>
    <w:p>
      <w:pPr>
        <w:ind w:left="-8" w:firstLine="8"/>
        <w:spacing w:after="0" w:line="285" w:lineRule="auto"/>
        <w:tabs>
          <w:tab w:leader="none" w:pos="358" w:val="left"/>
        </w:tabs>
        <w:numPr>
          <w:ilvl w:val="0"/>
          <w:numId w:val="613"/>
        </w:numPr>
        <w:rPr>
          <w:rFonts w:ascii="Arial" w:cs="Arial" w:eastAsia="Arial" w:hAnsi="Arial"/>
          <w:sz w:val="19"/>
          <w:szCs w:val="19"/>
          <w:color w:val="auto"/>
        </w:rPr>
      </w:pPr>
      <w:r>
        <w:rPr>
          <w:rFonts w:ascii="Arial" w:cs="Arial" w:eastAsia="Arial" w:hAnsi="Arial"/>
          <w:sz w:val="19"/>
          <w:szCs w:val="19"/>
          <w:color w:val="auto"/>
        </w:rPr>
        <w:t>your conviction of, or plea of “guilty” or “no contest” to, a felony (other than an automobile offense) under the laws of the United States or any state thereof (or equivalent laws of a foreign jurisdiction); (v) your gross negligence or willful misconduct, which causes material harm to the Company and its subsidiaries, taken as a whole; (vi) a continuing failure by you to perform material assigned duties; or (vii) a failure by you to cooperate in good faith with a governmental or internal investigation of the Company or its directors, officers or employees, if the Company has reasonably requested your cooperation and which failure causes material harm to the Company and its subsidiaries, taken as a whole; provided, that “Cause” pursuant to the foregoing clauses (i), (ii), (iii), (v), (vi) and (vii) shall exist only after the Board of Directors or your supervisor, as applicable, provides you with written notice of the applicable Cause event (which specifically identifies, in reasonable detail, the basis for alleging a Cause event) and you fail to cure the same (to the extent capable of cure) within thirty (30) days after receipt of such notice. For the avoidance of doubt, without limiting other instances in which your act or failure shall not be deemed willful, no act or failure to act by you shall be considered “willful” if done or omitted by you in good faith with reasonable belief that your action or omission was in the best interests of the Company and its subsidiaries.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32" w:hanging="636"/>
        <w:spacing w:after="0"/>
        <w:tabs>
          <w:tab w:leader="none" w:pos="1932" w:val="left"/>
        </w:tabs>
        <w:numPr>
          <w:ilvl w:val="1"/>
          <w:numId w:val="6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1952" w:hanging="656"/>
        <w:spacing w:after="0"/>
        <w:tabs>
          <w:tab w:leader="none" w:pos="1952" w:val="left"/>
        </w:tabs>
        <w:numPr>
          <w:ilvl w:val="1"/>
          <w:numId w:val="6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Robinhood Markets, Inc., a Delaware corporation.</w:t>
      </w:r>
    </w:p>
    <w:p>
      <w:pPr>
        <w:spacing w:after="0" w:line="219" w:lineRule="exact"/>
        <w:rPr>
          <w:rFonts w:ascii="Arial" w:cs="Arial" w:eastAsia="Arial" w:hAnsi="Arial"/>
          <w:sz w:val="22"/>
          <w:szCs w:val="22"/>
          <w:color w:val="auto"/>
        </w:rPr>
      </w:pPr>
    </w:p>
    <w:p>
      <w:pPr>
        <w:ind w:left="-8" w:right="100" w:firstLine="1304"/>
        <w:spacing w:after="0" w:line="256" w:lineRule="auto"/>
        <w:tabs>
          <w:tab w:leader="none" w:pos="1931" w:val="left"/>
        </w:tabs>
        <w:numPr>
          <w:ilvl w:val="1"/>
          <w:numId w:val="6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Grant</w:t>
      </w:r>
      <w:r>
        <w:rPr>
          <w:rFonts w:ascii="Arial" w:cs="Arial" w:eastAsia="Arial" w:hAnsi="Arial"/>
          <w:sz w:val="22"/>
          <w:szCs w:val="22"/>
          <w:color w:val="auto"/>
        </w:rPr>
        <w:t>” means the date specified in the Amended and Restated Notice of Restricted Stock Unit Award, which date shall be the later of (i) the date on which the Board of Directors resolved to grant these RSUs or (ii) your first date of Service.</w:t>
      </w:r>
    </w:p>
    <w:p>
      <w:pPr>
        <w:spacing w:after="0" w:line="176" w:lineRule="exact"/>
        <w:rPr>
          <w:rFonts w:ascii="Arial" w:cs="Arial" w:eastAsia="Arial" w:hAnsi="Arial"/>
          <w:sz w:val="22"/>
          <w:szCs w:val="22"/>
          <w:color w:val="auto"/>
        </w:rPr>
      </w:pPr>
    </w:p>
    <w:p>
      <w:pPr>
        <w:ind w:left="-8" w:right="120" w:firstLine="1304"/>
        <w:spacing w:after="0" w:line="269" w:lineRule="auto"/>
        <w:tabs>
          <w:tab w:leader="none" w:pos="1931" w:val="left"/>
        </w:tabs>
        <w:numPr>
          <w:ilvl w:val="1"/>
          <w:numId w:val="6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Exchange Agreement</w:t>
      </w:r>
      <w:r>
        <w:rPr>
          <w:rFonts w:ascii="Arial" w:cs="Arial" w:eastAsia="Arial" w:hAnsi="Arial"/>
          <w:sz w:val="22"/>
          <w:szCs w:val="22"/>
          <w:color w:val="auto"/>
        </w:rPr>
        <w:t>” means that certain equity exchange right agreement to be entered into by and between you and the Company, as may hereinafter be amended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422" w:right="339" w:bottom="1440" w:gutter="0" w:footer="0" w:header="0"/>
        </w:sectPr>
      </w:pPr>
    </w:p>
    <w:bookmarkStart w:id="774" w:name="page775"/>
    <w:bookmarkEnd w:id="774"/>
    <w:p>
      <w:pPr>
        <w:ind w:right="20" w:firstLine="1304"/>
        <w:spacing w:after="0" w:line="269" w:lineRule="auto"/>
        <w:tabs>
          <w:tab w:leader="none" w:pos="1932" w:val="left"/>
        </w:tabs>
        <w:numPr>
          <w:ilvl w:val="0"/>
          <w:numId w:val="6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 means the expiration date of the RSUs as set forth in the Amended and Restated Notice of Restricted Stock Unit Award.</w:t>
      </w:r>
    </w:p>
    <w:p>
      <w:pPr>
        <w:spacing w:after="0" w:line="161" w:lineRule="exact"/>
        <w:rPr>
          <w:rFonts w:ascii="Arial" w:cs="Arial" w:eastAsia="Arial" w:hAnsi="Arial"/>
          <w:sz w:val="22"/>
          <w:szCs w:val="22"/>
          <w:color w:val="auto"/>
        </w:rPr>
      </w:pPr>
    </w:p>
    <w:p>
      <w:pPr>
        <w:ind w:left="1940" w:hanging="636"/>
        <w:spacing w:after="0"/>
        <w:tabs>
          <w:tab w:leader="none" w:pos="1940" w:val="left"/>
        </w:tabs>
        <w:numPr>
          <w:ilvl w:val="0"/>
          <w:numId w:val="6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as of any date, the value of a Share determined as follows:</w:t>
      </w:r>
    </w:p>
    <w:p>
      <w:pPr>
        <w:spacing w:after="0" w:line="225" w:lineRule="exact"/>
        <w:rPr>
          <w:rFonts w:ascii="Arial" w:cs="Arial" w:eastAsia="Arial" w:hAnsi="Arial"/>
          <w:sz w:val="22"/>
          <w:szCs w:val="22"/>
          <w:color w:val="auto"/>
        </w:rPr>
      </w:pPr>
    </w:p>
    <w:p>
      <w:pPr>
        <w:ind w:left="660" w:right="100" w:firstLine="1292"/>
        <w:spacing w:after="0" w:line="253" w:lineRule="auto"/>
        <w:tabs>
          <w:tab w:leader="none" w:pos="2592" w:val="left"/>
        </w:tabs>
        <w:numPr>
          <w:ilvl w:val="1"/>
          <w:numId w:val="614"/>
        </w:numPr>
        <w:rPr>
          <w:rFonts w:ascii="Arial" w:cs="Arial" w:eastAsia="Arial" w:hAnsi="Arial"/>
          <w:sz w:val="22"/>
          <w:szCs w:val="22"/>
          <w:color w:val="auto"/>
        </w:rPr>
      </w:pPr>
      <w:r>
        <w:rPr>
          <w:rFonts w:ascii="Arial" w:cs="Arial" w:eastAsia="Arial" w:hAnsi="Arial"/>
          <w:sz w:val="22"/>
          <w:szCs w:val="22"/>
          <w:color w:val="auto"/>
        </w:rPr>
        <w:t xml:space="preserve">if such Share is then publicly traded on a Securities Exchange, its closing price on the date of determination on the principal Securities Exchange on which the Share is listed or administer to trading as reported in the </w:t>
      </w:r>
      <w:r>
        <w:rPr>
          <w:rFonts w:ascii="Arial" w:cs="Arial" w:eastAsia="Arial" w:hAnsi="Arial"/>
          <w:sz w:val="22"/>
          <w:szCs w:val="22"/>
          <w:i w:val="1"/>
          <w:iCs w:val="1"/>
          <w:color w:val="auto"/>
        </w:rPr>
        <w:t>Wall Street Journal</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right="40" w:firstLine="1292"/>
        <w:spacing w:after="0" w:line="271" w:lineRule="auto"/>
        <w:tabs>
          <w:tab w:leader="none" w:pos="2598" w:val="left"/>
        </w:tabs>
        <w:numPr>
          <w:ilvl w:val="1"/>
          <w:numId w:val="614"/>
        </w:numPr>
        <w:rPr>
          <w:rFonts w:ascii="Arial" w:cs="Arial" w:eastAsia="Arial" w:hAnsi="Arial"/>
          <w:sz w:val="21"/>
          <w:szCs w:val="21"/>
          <w:color w:val="auto"/>
        </w:rPr>
      </w:pPr>
      <w:r>
        <w:rPr>
          <w:rFonts w:ascii="Arial" w:cs="Arial" w:eastAsia="Arial" w:hAnsi="Arial"/>
          <w:sz w:val="21"/>
          <w:szCs w:val="21"/>
          <w:color w:val="auto"/>
        </w:rPr>
        <w:t xml:space="preserve">if such Share is publicly traded but is not listed or admitted to trading on a Securities Exchange, the average of the closing bid and ask prices on the date of determination as reported in the </w:t>
      </w:r>
      <w:r>
        <w:rPr>
          <w:rFonts w:ascii="Arial" w:cs="Arial" w:eastAsia="Arial" w:hAnsi="Arial"/>
          <w:sz w:val="21"/>
          <w:szCs w:val="21"/>
          <w:i w:val="1"/>
          <w:iCs w:val="1"/>
          <w:color w:val="auto"/>
        </w:rPr>
        <w:t>Wall Street Journal</w:t>
      </w:r>
      <w:r>
        <w:rPr>
          <w:rFonts w:ascii="Arial" w:cs="Arial" w:eastAsia="Arial" w:hAnsi="Arial"/>
          <w:sz w:val="21"/>
          <w:szCs w:val="21"/>
          <w:color w:val="auto"/>
        </w:rPr>
        <w:t xml:space="preserve"> (or as otherwise reported by any newspaper or other source as the Committee may determine); or</w:t>
      </w:r>
    </w:p>
    <w:p>
      <w:pPr>
        <w:spacing w:after="0" w:line="167" w:lineRule="exact"/>
        <w:rPr>
          <w:rFonts w:ascii="Arial" w:cs="Arial" w:eastAsia="Arial" w:hAnsi="Arial"/>
          <w:sz w:val="21"/>
          <w:szCs w:val="21"/>
          <w:color w:val="auto"/>
        </w:rPr>
      </w:pPr>
    </w:p>
    <w:p>
      <w:pPr>
        <w:ind w:left="2600" w:hanging="648"/>
        <w:spacing w:after="0"/>
        <w:tabs>
          <w:tab w:leader="none" w:pos="2600" w:val="left"/>
        </w:tabs>
        <w:numPr>
          <w:ilvl w:val="1"/>
          <w:numId w:val="614"/>
        </w:numPr>
        <w:rPr>
          <w:rFonts w:ascii="Arial" w:cs="Arial" w:eastAsia="Arial" w:hAnsi="Arial"/>
          <w:sz w:val="19"/>
          <w:szCs w:val="19"/>
          <w:color w:val="auto"/>
        </w:rPr>
      </w:pPr>
      <w:r>
        <w:rPr>
          <w:rFonts w:ascii="Arial" w:cs="Arial" w:eastAsia="Arial" w:hAnsi="Arial"/>
          <w:sz w:val="19"/>
          <w:szCs w:val="19"/>
          <w:color w:val="auto"/>
        </w:rPr>
        <w:t>if none of the foregoing is applicable to the valuation in question, by the Committee in good faith.</w:t>
      </w:r>
    </w:p>
    <w:p>
      <w:pPr>
        <w:spacing w:after="0" w:line="248" w:lineRule="exact"/>
        <w:rPr>
          <w:rFonts w:ascii="Arial" w:cs="Arial" w:eastAsia="Arial" w:hAnsi="Arial"/>
          <w:sz w:val="19"/>
          <w:szCs w:val="19"/>
          <w:color w:val="auto"/>
        </w:rPr>
      </w:pPr>
    </w:p>
    <w:p>
      <w:pPr>
        <w:ind w:right="40" w:firstLine="1304"/>
        <w:spacing w:after="0" w:line="246" w:lineRule="auto"/>
        <w:tabs>
          <w:tab w:leader="none" w:pos="1939" w:val="left"/>
        </w:tabs>
        <w:numPr>
          <w:ilvl w:val="0"/>
          <w:numId w:val="6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the occurrence of one or more of the following, without your express written consent: (i) a material reduction of your duties, authority or responsibilities; (ii) a reduction in your title or change in your reporting relationship; (iii) a reduction in your base salary by more than 10%; (iv) a relocation of your principal workplace by more than thirty (30) miles; or (v) a material breach by the Company or any of its subsidiaries of any agreement between you and the Company or any of its subsidiaries, as applicable. Notwithstanding the foregoing, you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the resignation occurring within 90 days following the end of such cure period.</w:t>
      </w:r>
    </w:p>
    <w:p>
      <w:pPr>
        <w:spacing w:after="0" w:line="190" w:lineRule="exact"/>
        <w:rPr>
          <w:rFonts w:ascii="Arial" w:cs="Arial" w:eastAsia="Arial" w:hAnsi="Arial"/>
          <w:sz w:val="22"/>
          <w:szCs w:val="22"/>
          <w:color w:val="auto"/>
        </w:rPr>
      </w:pPr>
    </w:p>
    <w:p>
      <w:pPr>
        <w:ind w:right="500" w:firstLine="1304"/>
        <w:spacing w:after="0" w:line="256" w:lineRule="auto"/>
        <w:tabs>
          <w:tab w:leader="none" w:pos="1932" w:val="left"/>
        </w:tabs>
        <w:numPr>
          <w:ilvl w:val="0"/>
          <w:numId w:val="6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Family</w:t>
      </w:r>
      <w:r>
        <w:rPr>
          <w:rFonts w:ascii="Arial" w:cs="Arial" w:eastAsia="Arial" w:hAnsi="Arial"/>
          <w:sz w:val="22"/>
          <w:szCs w:val="22"/>
          <w:color w:val="auto"/>
        </w:rPr>
        <w:t>” means any child, stepchild, grandchild, parent, stepparent, grandparent, spouse, sibling, mother-in-law, father-in-law, son-in-law, daughter-in-law, brother-in-law or sister-in-law and shall include adoptive relationships.</w:t>
      </w:r>
    </w:p>
    <w:p>
      <w:pPr>
        <w:spacing w:after="0" w:line="176" w:lineRule="exact"/>
        <w:rPr>
          <w:rFonts w:ascii="Arial" w:cs="Arial" w:eastAsia="Arial" w:hAnsi="Arial"/>
          <w:sz w:val="22"/>
          <w:szCs w:val="22"/>
          <w:color w:val="auto"/>
        </w:rPr>
      </w:pPr>
    </w:p>
    <w:p>
      <w:pPr>
        <w:ind w:right="340" w:firstLine="1304"/>
        <w:spacing w:after="0" w:line="269" w:lineRule="auto"/>
        <w:tabs>
          <w:tab w:leader="none" w:pos="1932" w:val="left"/>
        </w:tabs>
        <w:numPr>
          <w:ilvl w:val="0"/>
          <w:numId w:val="6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w:t>
      </w:r>
      <w:r>
        <w:rPr>
          <w:rFonts w:ascii="Arial" w:cs="Arial" w:eastAsia="Arial" w:hAnsi="Arial"/>
          <w:sz w:val="22"/>
          <w:szCs w:val="22"/>
          <w:color w:val="auto"/>
        </w:rPr>
        <w:t>” shall mean your termination by the Company other than for Cause or your resignation for Good Reason.</w:t>
      </w:r>
    </w:p>
    <w:p>
      <w:pPr>
        <w:spacing w:after="0" w:line="161" w:lineRule="exact"/>
        <w:rPr>
          <w:rFonts w:ascii="Arial" w:cs="Arial" w:eastAsia="Arial" w:hAnsi="Arial"/>
          <w:sz w:val="22"/>
          <w:szCs w:val="22"/>
          <w:color w:val="auto"/>
        </w:rPr>
      </w:pPr>
    </w:p>
    <w:p>
      <w:pPr>
        <w:ind w:firstLine="1304"/>
        <w:spacing w:after="0" w:line="274" w:lineRule="auto"/>
        <w:tabs>
          <w:tab w:leader="none" w:pos="1939" w:val="left"/>
        </w:tabs>
        <w:numPr>
          <w:ilvl w:val="0"/>
          <w:numId w:val="6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IPO</w:t>
      </w:r>
      <w:r>
        <w:rPr>
          <w:rFonts w:ascii="Arial" w:cs="Arial" w:eastAsia="Arial" w:hAnsi="Arial"/>
          <w:sz w:val="21"/>
          <w:szCs w:val="21"/>
          <w:color w:val="auto"/>
        </w:rPr>
        <w:t>” means the initial public offering or direct listing on a Securities Market pursuant to an effective registration statement under the Securities Act covering the offer and sale by the Company of its equity securities, as a result of or following which the Shares shall be publicly held, and “</w:t>
      </w:r>
      <w:r>
        <w:rPr>
          <w:rFonts w:ascii="Arial" w:cs="Arial" w:eastAsia="Arial" w:hAnsi="Arial"/>
          <w:sz w:val="21"/>
          <w:szCs w:val="21"/>
          <w:b w:val="1"/>
          <w:bCs w:val="1"/>
          <w:color w:val="auto"/>
        </w:rPr>
        <w:t>IPO Date</w:t>
      </w:r>
      <w:r>
        <w:rPr>
          <w:rFonts w:ascii="Arial" w:cs="Arial" w:eastAsia="Arial" w:hAnsi="Arial"/>
          <w:sz w:val="21"/>
          <w:szCs w:val="21"/>
          <w:color w:val="auto"/>
        </w:rPr>
        <w:t>” means the date on which the IPO occurs.</w:t>
      </w:r>
    </w:p>
    <w:p>
      <w:pPr>
        <w:spacing w:after="0" w:line="158" w:lineRule="exact"/>
        <w:rPr>
          <w:rFonts w:ascii="Arial" w:cs="Arial" w:eastAsia="Arial" w:hAnsi="Arial"/>
          <w:sz w:val="21"/>
          <w:szCs w:val="21"/>
          <w:color w:val="auto"/>
        </w:rPr>
      </w:pPr>
    </w:p>
    <w:p>
      <w:pPr>
        <w:jc w:val="both"/>
        <w:ind w:right="120" w:firstLine="1304"/>
        <w:spacing w:after="0" w:line="315" w:lineRule="auto"/>
        <w:tabs>
          <w:tab w:leader="none" w:pos="1939" w:val="left"/>
        </w:tabs>
        <w:numPr>
          <w:ilvl w:val="0"/>
          <w:numId w:val="6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Share Deal Price</w:t>
      </w:r>
      <w:r>
        <w:rPr>
          <w:rFonts w:ascii="Arial" w:cs="Arial" w:eastAsia="Arial" w:hAnsi="Arial"/>
          <w:sz w:val="19"/>
          <w:szCs w:val="19"/>
          <w:color w:val="auto"/>
        </w:rPr>
        <w:t>” means the total present value of the amount of cash consideration and the present value of any non-cash consideration received or potentially receivable for a Share by holders of Shares in connection with a Sale Event or, if no such consideration will be received for a Share, the Fair Market Value of a Share on the day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2" w:right="339" w:bottom="1440" w:gutter="0" w:footer="0" w:header="0"/>
        </w:sectPr>
      </w:pPr>
    </w:p>
    <w:bookmarkStart w:id="775" w:name="page776"/>
    <w:bookmarkEnd w:id="775"/>
    <w:p>
      <w:pPr>
        <w:ind w:right="60"/>
        <w:spacing w:after="0" w:line="294" w:lineRule="auto"/>
        <w:rPr>
          <w:sz w:val="20"/>
          <w:szCs w:val="20"/>
          <w:color w:val="auto"/>
        </w:rPr>
      </w:pPr>
      <w:r>
        <w:rPr>
          <w:rFonts w:ascii="Arial" w:cs="Arial" w:eastAsia="Arial" w:hAnsi="Arial"/>
          <w:sz w:val="19"/>
          <w:szCs w:val="19"/>
          <w:color w:val="auto"/>
        </w:rPr>
        <w:t>Shares are then publicly traded on a Securities Exchange, the trading day) immediately prior to the Sale Event. The present value of any cash consideration and the present value of any non-cash consideration potentially receivable (including any consideration being held in escrow or subject to an earn-out or similar concept) will be reasonably determined in good faith by the Board, except that if such non-cash consideration is in the form of publicly traded securities, then the value of such publicly traded securities will be based on the volume weighted average trading price of such publicly traded securities over the five (5) trading day period ending three (3) business days prior to the date the Sale Event occurs.</w:t>
      </w:r>
    </w:p>
    <w:p>
      <w:pPr>
        <w:spacing w:after="0" w:line="143" w:lineRule="exact"/>
        <w:rPr>
          <w:sz w:val="20"/>
          <w:szCs w:val="20"/>
          <w:color w:val="auto"/>
        </w:rPr>
      </w:pPr>
    </w:p>
    <w:p>
      <w:pPr>
        <w:ind w:left="1940" w:hanging="636"/>
        <w:spacing w:after="0"/>
        <w:tabs>
          <w:tab w:leader="none" w:pos="1940" w:val="left"/>
        </w:tabs>
        <w:numPr>
          <w:ilvl w:val="0"/>
          <w:numId w:val="6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Robinhood Markets, Inc. Amended and Restated 2013 Stock Plan, as in effect on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 of Grant.</w:t>
      </w:r>
    </w:p>
    <w:p>
      <w:pPr>
        <w:spacing w:after="0" w:line="196" w:lineRule="exact"/>
        <w:rPr>
          <w:sz w:val="20"/>
          <w:szCs w:val="20"/>
          <w:color w:val="auto"/>
        </w:rPr>
      </w:pPr>
    </w:p>
    <w:p>
      <w:pPr>
        <w:ind w:left="1940" w:hanging="636"/>
        <w:spacing w:after="0"/>
        <w:tabs>
          <w:tab w:leader="none" w:pos="1940" w:val="left"/>
        </w:tabs>
        <w:numPr>
          <w:ilvl w:val="0"/>
          <w:numId w:val="6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 of First Refusal</w:t>
      </w:r>
      <w:r>
        <w:rPr>
          <w:rFonts w:ascii="Arial" w:cs="Arial" w:eastAsia="Arial" w:hAnsi="Arial"/>
          <w:sz w:val="22"/>
          <w:szCs w:val="22"/>
          <w:color w:val="auto"/>
        </w:rPr>
        <w:t>” means the Company’s right of first refusal described in Section 6.</w:t>
      </w:r>
    </w:p>
    <w:p>
      <w:pPr>
        <w:spacing w:after="0" w:line="219" w:lineRule="exact"/>
        <w:rPr>
          <w:rFonts w:ascii="Arial" w:cs="Arial" w:eastAsia="Arial" w:hAnsi="Arial"/>
          <w:sz w:val="22"/>
          <w:szCs w:val="22"/>
          <w:color w:val="auto"/>
        </w:rPr>
      </w:pPr>
    </w:p>
    <w:p>
      <w:pPr>
        <w:ind w:right="80" w:firstLine="1304"/>
        <w:spacing w:after="0" w:line="269" w:lineRule="auto"/>
        <w:tabs>
          <w:tab w:leader="none" w:pos="1944" w:val="left"/>
        </w:tabs>
        <w:numPr>
          <w:ilvl w:val="0"/>
          <w:numId w:val="6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RSUs</w:t>
      </w:r>
      <w:r>
        <w:rPr>
          <w:rFonts w:ascii="Arial" w:cs="Arial" w:eastAsia="Arial" w:hAnsi="Arial"/>
          <w:sz w:val="22"/>
          <w:szCs w:val="22"/>
          <w:color w:val="auto"/>
        </w:rPr>
        <w:t>” means the Restricted Stock Units granted to you by the Company as set forth in the Amended and Restated Notice of Restricted Stock Unit Award.</w:t>
      </w:r>
    </w:p>
    <w:p>
      <w:pPr>
        <w:spacing w:after="0" w:line="161" w:lineRule="exact"/>
        <w:rPr>
          <w:rFonts w:ascii="Arial" w:cs="Arial" w:eastAsia="Arial" w:hAnsi="Arial"/>
          <w:sz w:val="22"/>
          <w:szCs w:val="22"/>
          <w:color w:val="auto"/>
        </w:rPr>
      </w:pPr>
    </w:p>
    <w:p>
      <w:pPr>
        <w:ind w:right="40" w:firstLine="1304"/>
        <w:spacing w:after="0" w:line="287" w:lineRule="auto"/>
        <w:tabs>
          <w:tab w:leader="none" w:pos="1942" w:val="left"/>
        </w:tabs>
        <w:numPr>
          <w:ilvl w:val="0"/>
          <w:numId w:val="6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Event</w:t>
      </w:r>
      <w:r>
        <w:rPr>
          <w:rFonts w:ascii="Arial" w:cs="Arial" w:eastAsia="Arial" w:hAnsi="Arial"/>
          <w:sz w:val="19"/>
          <w:szCs w:val="19"/>
          <w:color w:val="auto"/>
        </w:rPr>
        <w:t>” means the consummation of the following transactions in which holders of Shares receive cash and/or marketable securities tradable on an established national or foreign securities exchange: (i) a sale of all or substantially all of the assets of the Company determined on a consolidated basis to an unrelated person or entity; (ii) a merger, reorganization, or consolidation involving the Company in which the shares of voting stock of the Company outstanding immediately prior to such transaction represent or are converted into or exchanged for securities of the surviving or resulting entity immediately upon completion of such transaction which represent less than 50% of the outstanding voting power of such surviving or resulting entity; or (iii) the acquisition of all or a majority of the outstanding voting stock of the Company in a single transaction or series of related transactions by a person or group of persons. For the avoidance of doubt, an initial public offering, any subsequent public offering, another capital raising event, and a merger effected solely to change the Company’s domicile shall not constitute a “Sale Event.” In addition, a transaction shall not constitute a Sale Event unless such transaction also qualifies as an event under Treasury Regulation Section 1.409A-3(i)(5)(v) (change in the ownership of a corporation), Treasury Regulation Section 1.409A-3(i)(5)(vi) (change in the effective control of a corporation), or Treasury Regulation Section 1.409A-3(i)(5)(vii) (change in the ownership of a substantial portion of a corporation’s assets).</w:t>
      </w:r>
    </w:p>
    <w:p>
      <w:pPr>
        <w:spacing w:after="0" w:line="153" w:lineRule="exact"/>
        <w:rPr>
          <w:rFonts w:ascii="Arial" w:cs="Arial" w:eastAsia="Arial" w:hAnsi="Arial"/>
          <w:sz w:val="19"/>
          <w:szCs w:val="19"/>
          <w:color w:val="auto"/>
        </w:rPr>
      </w:pPr>
    </w:p>
    <w:p>
      <w:pPr>
        <w:ind w:right="180" w:firstLine="1304"/>
        <w:spacing w:after="0" w:line="349" w:lineRule="auto"/>
        <w:tabs>
          <w:tab w:leader="none" w:pos="1932" w:val="left"/>
        </w:tabs>
        <w:numPr>
          <w:ilvl w:val="0"/>
          <w:numId w:val="6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Exchange</w:t>
      </w:r>
      <w:r>
        <w:rPr>
          <w:rFonts w:ascii="Arial" w:cs="Arial" w:eastAsia="Arial" w:hAnsi="Arial"/>
          <w:sz w:val="19"/>
          <w:szCs w:val="19"/>
          <w:color w:val="auto"/>
        </w:rPr>
        <w:t>” means an established national securities exchange or automated quotation system (e.g., the New York Stock Exchange, The Nasdaq Global Select Market, or The Nasdaq Global Market).</w:t>
      </w:r>
    </w:p>
    <w:p>
      <w:pPr>
        <w:spacing w:after="0" w:line="93" w:lineRule="exact"/>
        <w:rPr>
          <w:rFonts w:ascii="Arial" w:cs="Arial" w:eastAsia="Arial" w:hAnsi="Arial"/>
          <w:sz w:val="19"/>
          <w:szCs w:val="19"/>
          <w:color w:val="auto"/>
        </w:rPr>
      </w:pPr>
    </w:p>
    <w:p>
      <w:pPr>
        <w:ind w:firstLine="1304"/>
        <w:spacing w:after="0" w:line="315" w:lineRule="auto"/>
        <w:tabs>
          <w:tab w:leader="none" w:pos="1939" w:val="left"/>
        </w:tabs>
        <w:numPr>
          <w:ilvl w:val="0"/>
          <w:numId w:val="6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w:t>
      </w:r>
      <w:r>
        <w:rPr>
          <w:rFonts w:ascii="Arial" w:cs="Arial" w:eastAsia="Arial" w:hAnsi="Arial"/>
          <w:sz w:val="19"/>
          <w:szCs w:val="19"/>
          <w:color w:val="auto"/>
        </w:rPr>
        <w:t>” means service as an Employee (including as Executive Chairman of the Company) or a Consultant. In the event of any dispute over whether and when Service has terminated, the Board of Directors shall have sole discretion to reasonably determine in good faith whether such termination has occurred and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76" w:name="page777"/>
    <w:bookmarkEnd w:id="776"/>
    <w:p>
      <w:pPr>
        <w:ind w:right="220" w:firstLine="1304"/>
        <w:spacing w:after="0" w:line="294" w:lineRule="auto"/>
        <w:tabs>
          <w:tab w:leader="none" w:pos="1939" w:val="left"/>
        </w:tabs>
        <w:numPr>
          <w:ilvl w:val="1"/>
          <w:numId w:val="6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Price Condition</w:t>
      </w:r>
      <w:r>
        <w:rPr>
          <w:rFonts w:ascii="Arial" w:cs="Arial" w:eastAsia="Arial" w:hAnsi="Arial"/>
          <w:sz w:val="19"/>
          <w:szCs w:val="19"/>
          <w:color w:val="auto"/>
        </w:rPr>
        <w:t>” means (i) with respect to 20% of the RSUs covered by this Award Agreement, the Applicable Share Price or, if applicable, the Per Share Deal Price, is greater than or equal to $30.45 and less than $50.75;</w:t>
      </w:r>
    </w:p>
    <w:p>
      <w:pPr>
        <w:spacing w:after="0" w:line="1" w:lineRule="exact"/>
        <w:rPr>
          <w:rFonts w:ascii="Arial" w:cs="Arial" w:eastAsia="Arial" w:hAnsi="Arial"/>
          <w:sz w:val="19"/>
          <w:szCs w:val="19"/>
          <w:color w:val="auto"/>
        </w:rPr>
      </w:pPr>
    </w:p>
    <w:p>
      <w:pPr>
        <w:ind w:right="80" w:firstLine="8"/>
        <w:spacing w:after="0" w:line="257" w:lineRule="auto"/>
        <w:tabs>
          <w:tab w:leader="none" w:pos="318" w:val="left"/>
        </w:tabs>
        <w:numPr>
          <w:ilvl w:val="0"/>
          <w:numId w:val="618"/>
        </w:numPr>
        <w:rPr>
          <w:rFonts w:ascii="Arial" w:cs="Arial" w:eastAsia="Arial" w:hAnsi="Arial"/>
          <w:sz w:val="21"/>
          <w:szCs w:val="21"/>
          <w:color w:val="auto"/>
        </w:rPr>
      </w:pPr>
      <w:r>
        <w:rPr>
          <w:rFonts w:ascii="Arial" w:cs="Arial" w:eastAsia="Arial" w:hAnsi="Arial"/>
          <w:sz w:val="21"/>
          <w:szCs w:val="21"/>
          <w:color w:val="auto"/>
        </w:rPr>
        <w:t>with respect to 50% of the RSUs covered by this Award Agreement, the Applicable Share Price or, if applicable, the Per Share Deal Price, is greater than or equal to $50.75 and less than $101.50; and (iii) with respect to 100% of the RSUs covered by this Award Agreement, the Applicable Share Price or, if applicable, the Per Share Deal Price, is greater than or equal to $101.50. For the avoidance of doubt, once a Share Price Condition is satisfied, it does not need to be maintained. Each per Share dollar figures set forth in this paragraph shall be referred to as a “</w:t>
      </w:r>
      <w:r>
        <w:rPr>
          <w:rFonts w:ascii="Arial" w:cs="Arial" w:eastAsia="Arial" w:hAnsi="Arial"/>
          <w:sz w:val="21"/>
          <w:szCs w:val="21"/>
          <w:b w:val="1"/>
          <w:bCs w:val="1"/>
          <w:color w:val="auto"/>
        </w:rPr>
        <w:t>Stock Price Target</w:t>
      </w:r>
      <w:r>
        <w:rPr>
          <w:rFonts w:ascii="Arial" w:cs="Arial" w:eastAsia="Arial" w:hAnsi="Arial"/>
          <w:sz w:val="21"/>
          <w:szCs w:val="21"/>
          <w:color w:val="auto"/>
        </w:rPr>
        <w:t>” and shall be automatically and appropriately adjusted, without any further action required, in the event of any stock dividend, stock split, combination or other similar recapitalization with respect to the Stock, and such as-adjusted dollar figures shall apply in lieu of the dollar figures set forth above.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In addition, solely in the event of a Sale Event, if the Per Share Deal Price is greater than $30.45 but falls between two Stock Price Targets, the number of RSUs for which the Share Price Condition shall be satisfied shall be determined based on a linear interpolation using the Stock Price Target that is greater than but closest to the Per Share Deal Price and the Stock Price Target that is less than but closest to the Per Share Deal Price, with such number rounded to the nearest Share (such number, the “</w:t>
      </w:r>
      <w:r>
        <w:rPr>
          <w:rFonts w:ascii="Arial" w:cs="Arial" w:eastAsia="Arial" w:hAnsi="Arial"/>
          <w:sz w:val="19"/>
          <w:szCs w:val="19"/>
          <w:b w:val="1"/>
          <w:bCs w:val="1"/>
          <w:color w:val="auto"/>
        </w:rPr>
        <w:t>Incremental RSUs</w:t>
      </w:r>
      <w:r>
        <w:rPr>
          <w:rFonts w:ascii="Arial" w:cs="Arial" w:eastAsia="Arial" w:hAnsi="Arial"/>
          <w:sz w:val="19"/>
          <w:szCs w:val="19"/>
          <w:color w:val="auto"/>
        </w:rPr>
        <w:t>”). For the avoidance of doubt, if, prior to the Sale Event, an RSU already satisfied the Share Price Condition, such RSU will not again become eligible to vest with respect to that Stock Price Target, but such RSUs, to the extent they have not yet been settled, shall be settled immediately prior to the Sale Event, subject to the applicable time-based service requirement (including any accelerated vesting in the event of an Involuntary Termination) set forth in the Amended and Restated Notice of Restricted Stock Unit Award. The number of RSUs that shall have satisfied the Share Price Condition and will be eligible to vest in the event of a Sale Event shall equal the sum of all RSUs corresponding to the applicable Stock Price Target plus the Incremental RSUs (if any) (such sum, the “</w:t>
      </w:r>
      <w:r>
        <w:rPr>
          <w:rFonts w:ascii="Arial" w:cs="Arial" w:eastAsia="Arial" w:hAnsi="Arial"/>
          <w:sz w:val="19"/>
          <w:szCs w:val="19"/>
          <w:b w:val="1"/>
          <w:bCs w:val="1"/>
          <w:color w:val="auto"/>
        </w:rPr>
        <w:t>Acquisition Eligible RSUs</w:t>
      </w:r>
      <w:r>
        <w:rPr>
          <w:rFonts w:ascii="Arial" w:cs="Arial" w:eastAsia="Arial" w:hAnsi="Arial"/>
          <w:sz w:val="19"/>
          <w:szCs w:val="19"/>
          <w:color w:val="auto"/>
        </w:rPr>
        <w:t>”), subject to the applicable time-based service requirement (including any accelerated vesting in the event of an Involuntary Termination) set forth in the Amended and Restated Notice of Restricted Stock Unit Award. Unless otherwise determined by the Board or Committee, any remaining RSUs that have not become Acquisition Eligible RSUs immediately will be forfeited as of the Sale Event for no consideration and you will have no further rights with respect to such RSUs or Shares.</w:t>
      </w:r>
    </w:p>
    <w:p>
      <w:pPr>
        <w:spacing w:after="0" w:line="200" w:lineRule="exact"/>
        <w:rPr>
          <w:sz w:val="20"/>
          <w:szCs w:val="20"/>
          <w:color w:val="auto"/>
        </w:rPr>
      </w:pPr>
    </w:p>
    <w:p>
      <w:pPr>
        <w:spacing w:after="0" w:line="212" w:lineRule="exact"/>
        <w:rPr>
          <w:sz w:val="20"/>
          <w:szCs w:val="20"/>
          <w:color w:val="auto"/>
        </w:rPr>
      </w:pPr>
    </w:p>
    <w:p>
      <w:pPr>
        <w:ind w:right="360" w:firstLine="1304"/>
        <w:spacing w:after="0" w:line="274" w:lineRule="auto"/>
        <w:tabs>
          <w:tab w:leader="none" w:pos="1933" w:val="left"/>
        </w:tabs>
        <w:numPr>
          <w:ilvl w:val="0"/>
          <w:numId w:val="6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Short-Term Deferral End Date</w:t>
      </w:r>
      <w:r>
        <w:rPr>
          <w:rFonts w:ascii="Arial" w:cs="Arial" w:eastAsia="Arial" w:hAnsi="Arial"/>
          <w:sz w:val="21"/>
          <w:szCs w:val="21"/>
          <w:color w:val="auto"/>
        </w:rPr>
        <w:t>” means the date that is the later of (i) two and one-half months following the end of the calendar year in which the Vesting Date applicable to an RSU occurs or (ii) two and one-half months following the end of the Company’s taxable year in which the Vesting Date applicable to an RSU occurs.</w:t>
      </w:r>
    </w:p>
    <w:p>
      <w:pPr>
        <w:spacing w:after="0" w:line="158" w:lineRule="exact"/>
        <w:rPr>
          <w:rFonts w:ascii="Arial" w:cs="Arial" w:eastAsia="Arial" w:hAnsi="Arial"/>
          <w:sz w:val="21"/>
          <w:szCs w:val="21"/>
          <w:color w:val="auto"/>
        </w:rPr>
      </w:pPr>
    </w:p>
    <w:p>
      <w:pPr>
        <w:ind w:left="1940" w:hanging="636"/>
        <w:spacing w:after="0"/>
        <w:tabs>
          <w:tab w:leader="none" w:pos="1940" w:val="left"/>
        </w:tabs>
        <w:numPr>
          <w:ilvl w:val="0"/>
          <w:numId w:val="6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Transferee</w:t>
      </w:r>
      <w:r>
        <w:rPr>
          <w:rFonts w:ascii="Arial" w:cs="Arial" w:eastAsia="Arial" w:hAnsi="Arial"/>
          <w:sz w:val="19"/>
          <w:szCs w:val="19"/>
          <w:color w:val="auto"/>
        </w:rPr>
        <w:t>” means any person to whom you have directly or indirectly transferred any Shares acquired</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95" w:lineRule="exact"/>
        <w:rPr>
          <w:rFonts w:ascii="Arial" w:cs="Arial" w:eastAsia="Arial" w:hAnsi="Arial"/>
          <w:sz w:val="19"/>
          <w:szCs w:val="19"/>
          <w:color w:val="auto"/>
        </w:rPr>
      </w:pPr>
    </w:p>
    <w:p>
      <w:pPr>
        <w:ind w:left="1940" w:hanging="636"/>
        <w:spacing w:after="0"/>
        <w:tabs>
          <w:tab w:leader="none" w:pos="1940" w:val="left"/>
        </w:tabs>
        <w:numPr>
          <w:ilvl w:val="0"/>
          <w:numId w:val="6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means the notice of a proposed transfer of Shares described in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2" w:right="359" w:bottom="1440" w:gutter="0" w:footer="0" w:header="0"/>
        </w:sectPr>
      </w:pPr>
    </w:p>
    <w:bookmarkStart w:id="777" w:name="page778"/>
    <w:bookmarkEnd w:id="777"/>
    <w:p>
      <w:pPr>
        <w:ind w:left="-120" w:firstLine="1304"/>
        <w:spacing w:after="0" w:line="315" w:lineRule="auto"/>
        <w:tabs>
          <w:tab w:leader="none" w:pos="1821" w:val="left"/>
        </w:tabs>
        <w:numPr>
          <w:ilvl w:val="0"/>
          <w:numId w:val="6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00"/>
          </w:cols>
          <w:pgMar w:left="440" w:top="1422" w:right="459" w:bottom="1440" w:gutter="0" w:footer="0" w:header="0"/>
        </w:sectPr>
      </w:pPr>
    </w:p>
    <w:bookmarkStart w:id="778" w:name="page779"/>
    <w:bookmarkEnd w:id="778"/>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Unless otherwise defined herein, the terms defined in the Company’s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defined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w:t>
      </w:r>
    </w:p>
    <w:p>
      <w:pPr>
        <w:spacing w:after="0" w:line="177"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The Participant named below has been granted an award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xml:space="preserve">”), subject to the terms and conditions of the Plan,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Participant Name:</w:t>
            </w:r>
          </w:p>
        </w:tc>
        <w:tc>
          <w:tcPr>
            <w:tcW w:w="3520" w:type="dxa"/>
            <w:vAlign w:val="bottom"/>
          </w:tcPr>
          <w:p>
            <w:pPr>
              <w:ind w:left="780"/>
              <w:spacing w:after="0"/>
              <w:rPr>
                <w:sz w:val="20"/>
                <w:szCs w:val="20"/>
                <w:color w:val="auto"/>
              </w:rPr>
            </w:pPr>
            <w:r>
              <w:rPr>
                <w:rFonts w:ascii="Arial" w:cs="Arial" w:eastAsia="Arial" w:hAnsi="Arial"/>
                <w:sz w:val="18"/>
                <w:szCs w:val="18"/>
                <w:color w:val="auto"/>
              </w:rPr>
              <w:t>[Vladimir Tenev]</w:t>
            </w:r>
          </w:p>
        </w:tc>
        <w:tc>
          <w:tcPr>
            <w:tcW w:w="2420" w:type="dxa"/>
            <w:vAlign w:val="bottom"/>
          </w:tcPr>
          <w:p>
            <w:pPr>
              <w:ind w:left="1480"/>
              <w:spacing w:after="0"/>
              <w:rPr>
                <w:sz w:val="20"/>
                <w:szCs w:val="20"/>
                <w:color w:val="auto"/>
              </w:rPr>
            </w:pPr>
            <w:r>
              <w:rPr>
                <w:rFonts w:ascii="Arial" w:cs="Arial" w:eastAsia="Arial" w:hAnsi="Arial"/>
                <w:sz w:val="18"/>
                <w:szCs w:val="18"/>
                <w:color w:val="auto"/>
                <w:w w:val="94"/>
              </w:rPr>
              <w:t>[Baiju Bhatt]</w:t>
            </w:r>
          </w:p>
        </w:tc>
      </w:tr>
      <w:tr>
        <w:trPr>
          <w:trHeight w:val="540"/>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Number of RSUs:</w:t>
            </w:r>
          </w:p>
        </w:tc>
        <w:tc>
          <w:tcPr>
            <w:tcW w:w="3520" w:type="dxa"/>
            <w:vAlign w:val="bottom"/>
          </w:tcPr>
          <w:p>
            <w:pPr>
              <w:ind w:left="780"/>
              <w:spacing w:after="0"/>
              <w:rPr>
                <w:sz w:val="20"/>
                <w:szCs w:val="20"/>
                <w:color w:val="auto"/>
              </w:rPr>
            </w:pPr>
            <w:r>
              <w:rPr>
                <w:rFonts w:ascii="Arial" w:cs="Arial" w:eastAsia="Arial" w:hAnsi="Arial"/>
                <w:sz w:val="18"/>
                <w:szCs w:val="18"/>
                <w:color w:val="auto"/>
              </w:rPr>
              <w:t>[22,200,000]</w:t>
            </w:r>
          </w:p>
        </w:tc>
        <w:tc>
          <w:tcPr>
            <w:tcW w:w="2420" w:type="dxa"/>
            <w:vAlign w:val="bottom"/>
          </w:tcPr>
          <w:p>
            <w:pPr>
              <w:ind w:left="1480"/>
              <w:spacing w:after="0"/>
              <w:rPr>
                <w:sz w:val="20"/>
                <w:szCs w:val="20"/>
                <w:color w:val="auto"/>
              </w:rPr>
            </w:pPr>
            <w:r>
              <w:rPr>
                <w:rFonts w:ascii="Arial" w:cs="Arial" w:eastAsia="Arial" w:hAnsi="Arial"/>
                <w:sz w:val="18"/>
                <w:szCs w:val="18"/>
                <w:color w:val="auto"/>
                <w:w w:val="91"/>
              </w:rPr>
              <w:t>[13,320,000]</w:t>
            </w:r>
          </w:p>
        </w:tc>
      </w:tr>
      <w:tr>
        <w:trPr>
          <w:trHeight w:val="540"/>
        </w:trPr>
        <w:tc>
          <w:tcPr>
            <w:tcW w:w="2620" w:type="dxa"/>
            <w:vAlign w:val="bottom"/>
          </w:tcPr>
          <w:p>
            <w:pPr>
              <w:spacing w:after="0"/>
              <w:rPr>
                <w:sz w:val="20"/>
                <w:szCs w:val="20"/>
                <w:color w:val="auto"/>
              </w:rPr>
            </w:pPr>
            <w:r>
              <w:rPr>
                <w:rFonts w:ascii="Arial" w:cs="Arial" w:eastAsia="Arial" w:hAnsi="Arial"/>
                <w:sz w:val="18"/>
                <w:szCs w:val="18"/>
                <w:b w:val="1"/>
                <w:bCs w:val="1"/>
                <w:color w:val="auto"/>
              </w:rPr>
              <w:t>RSU Grant Date:</w:t>
            </w:r>
          </w:p>
        </w:tc>
        <w:tc>
          <w:tcPr>
            <w:tcW w:w="3520" w:type="dxa"/>
            <w:vAlign w:val="bottom"/>
          </w:tcPr>
          <w:p>
            <w:pPr>
              <w:ind w:left="780"/>
              <w:spacing w:after="0"/>
              <w:rPr>
                <w:sz w:val="20"/>
                <w:szCs w:val="20"/>
                <w:color w:val="auto"/>
              </w:rPr>
            </w:pPr>
            <w:r>
              <w:rPr>
                <w:rFonts w:ascii="Arial" w:cs="Arial" w:eastAsia="Arial" w:hAnsi="Arial"/>
                <w:sz w:val="18"/>
                <w:szCs w:val="18"/>
                <w:color w:val="auto"/>
              </w:rPr>
              <w:t>May 26, 2021</w:t>
            </w:r>
          </w:p>
        </w:tc>
        <w:tc>
          <w:tcPr>
            <w:tcW w:w="2420" w:type="dxa"/>
            <w:vAlign w:val="bottom"/>
          </w:tcPr>
          <w:p>
            <w:pPr>
              <w:spacing w:after="0"/>
              <w:rPr>
                <w:sz w:val="24"/>
                <w:szCs w:val="24"/>
                <w:color w:val="auto"/>
              </w:rPr>
            </w:pPr>
          </w:p>
        </w:tc>
      </w:tr>
    </w:tbl>
    <w:p>
      <w:pPr>
        <w:spacing w:after="0" w:line="315"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 The RSUs will vest (if at all) based upon the achievement of the service-based and performance-based conditions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provisions of the RSU Agreement. The actual number of RSUs that vest, if any, may be lower than the Total Number of RSUs set forth above depending on the extent to which the vesting criteria are satisfied.</w:t>
      </w:r>
    </w:p>
    <w:p>
      <w:pPr>
        <w:spacing w:after="0" w:line="177"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Settlement of RSUs refers to the issuance of a Share once an RSU is vested. If an RSU vests as a result of satisfaction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vesting requirements as described above, the Company will deliver one Share for such RSU at the time of settlement specified in the Restricted Stock Unit Agreement and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3"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 xml:space="preserve">Participant understands that Participant’s employment or consulting relationship with the Company is for an unspecified duration, can be terminated at any time (i.e. is “at-will”) and that nothing in this Notice of Grant, the RSU Agreement,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the Plan changes the at-will nature of that relationship. Participant also understands that this Notice of Grant is subject to the terms and conditions of the RSU Agreement,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Plan, each of which are incorporated herein by reference. Participant has read the RSU Agreement,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Plan.</w:t>
      </w:r>
    </w:p>
    <w:p>
      <w:pPr>
        <w:spacing w:after="0" w:line="19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this Notice of Grant, the RSU Agreement,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any disclosures provided pursuant to Rule 701, account statements or other communications or information) whether via the Company’s intranet or the internet site of another such third party or via email, or such other means of electronic delivery specified by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concurrently with any such delivery, Participant is notified of such delivery at the Company e-mail address of such Participant, with instructions on how to access the relevant document.</w:t>
      </w:r>
    </w:p>
    <w:p>
      <w:pPr>
        <w:sectPr>
          <w:pgSz w:w="11900" w:h="16838" w:orient="portrait"/>
          <w:cols w:equalWidth="0" w:num="1">
            <w:col w:w="11240"/>
          </w:cols>
          <w:pgMar w:left="320" w:top="122" w:right="339" w:bottom="1440" w:gutter="0" w:footer="0" w:header="0"/>
        </w:sectPr>
      </w:pPr>
    </w:p>
    <w:bookmarkStart w:id="779" w:name="page780"/>
    <w:bookmarkEnd w:id="779"/>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By Participant’s and the Company’s acceptance hereof (in each case, whether written, electronic or otherwise), Participant and the Company agree that this RSU is granted under and governed by the terms and conditions of the Plan, this Notice of Grant, the RSU Agreement and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320" w:top="1440" w:right="459" w:bottom="1440" w:gutter="0" w:footer="0" w:header="0"/>
        </w:sectPr>
      </w:pPr>
    </w:p>
    <w:bookmarkStart w:id="780" w:name="page781"/>
    <w:bookmarkEnd w:id="780"/>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Unless otherwise defined herein or in the Notice of Grant or </w:t>
      </w:r>
      <w:r>
        <w:rPr>
          <w:rFonts w:ascii="Arial" w:cs="Arial" w:eastAsia="Arial" w:hAnsi="Arial"/>
          <w:sz w:val="20"/>
          <w:szCs w:val="20"/>
          <w:u w:val="single" w:color="auto"/>
          <w:color w:val="auto"/>
        </w:rPr>
        <w:t>Exhibit A</w:t>
      </w:r>
      <w:r>
        <w:rPr>
          <w:rFonts w:ascii="Arial" w:cs="Arial" w:eastAsia="Arial" w:hAnsi="Arial"/>
          <w:sz w:val="20"/>
          <w:szCs w:val="20"/>
          <w:color w:val="auto"/>
        </w:rPr>
        <w:t>, the terms defined in the Plan shall have the same defined meanings in this Agreement.</w:t>
      </w:r>
    </w:p>
    <w:p>
      <w:pPr>
        <w:spacing w:after="0" w:line="185" w:lineRule="exact"/>
        <w:rPr>
          <w:sz w:val="20"/>
          <w:szCs w:val="20"/>
          <w:color w:val="auto"/>
        </w:rPr>
      </w:pPr>
    </w:p>
    <w:p>
      <w:pPr>
        <w:ind w:right="60" w:firstLine="8"/>
        <w:spacing w:after="0" w:line="246" w:lineRule="auto"/>
        <w:tabs>
          <w:tab w:leader="none" w:pos="648" w:val="left"/>
        </w:tabs>
        <w:numPr>
          <w:ilvl w:val="0"/>
          <w:numId w:val="6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 The Shares issued following the vesting and settlement of RSUs under this Agreement will be subject to the Equity Exchange Agreement.</w:t>
      </w:r>
    </w:p>
    <w:p>
      <w:pPr>
        <w:spacing w:after="0" w:line="184" w:lineRule="exact"/>
        <w:rPr>
          <w:rFonts w:ascii="Arial" w:cs="Arial" w:eastAsia="Arial" w:hAnsi="Arial"/>
          <w:sz w:val="20"/>
          <w:szCs w:val="20"/>
          <w:b w:val="1"/>
          <w:bCs w:val="1"/>
          <w:color w:val="auto"/>
        </w:rPr>
      </w:pPr>
    </w:p>
    <w:p>
      <w:pPr>
        <w:ind w:right="220" w:firstLine="8"/>
        <w:spacing w:after="0" w:line="267" w:lineRule="auto"/>
        <w:tabs>
          <w:tab w:leader="none" w:pos="648" w:val="left"/>
        </w:tabs>
        <w:numPr>
          <w:ilvl w:val="0"/>
          <w:numId w:val="6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permitted by the Committee.</w:t>
      </w:r>
    </w:p>
    <w:p>
      <w:pPr>
        <w:spacing w:after="0" w:line="163" w:lineRule="exact"/>
        <w:rPr>
          <w:rFonts w:ascii="Arial" w:cs="Arial" w:eastAsia="Arial" w:hAnsi="Arial"/>
          <w:sz w:val="20"/>
          <w:szCs w:val="20"/>
          <w:b w:val="1"/>
          <w:bCs w:val="1"/>
          <w:color w:val="auto"/>
        </w:rPr>
      </w:pPr>
    </w:p>
    <w:p>
      <w:pPr>
        <w:ind w:right="20" w:firstLine="8"/>
        <w:spacing w:after="0" w:line="277" w:lineRule="auto"/>
        <w:tabs>
          <w:tab w:leader="none" w:pos="648"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w:t>
      </w:r>
      <w:r>
        <w:rPr>
          <w:rFonts w:ascii="Arial" w:cs="Arial" w:eastAsia="Arial" w:hAnsi="Arial"/>
          <w:sz w:val="18"/>
          <w:szCs w:val="18"/>
          <w:b w:val="1"/>
          <w:bCs w:val="1"/>
          <w:color w:val="auto"/>
        </w:rPr>
        <w:t xml:space="preserve"> </w:t>
      </w:r>
      <w:r>
        <w:rPr>
          <w:rFonts w:ascii="Arial" w:cs="Arial" w:eastAsia="Arial" w:hAnsi="Arial"/>
          <w:sz w:val="18"/>
          <w:szCs w:val="18"/>
          <w:color w:val="auto"/>
        </w:rPr>
        <w:t>of, 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 For the avoidance of doubt, this Section 3 shall not apply to any Shares issued pursuant to the settlement of any RSUs.</w:t>
      </w:r>
    </w:p>
    <w:p>
      <w:pPr>
        <w:spacing w:after="0" w:line="159" w:lineRule="exact"/>
        <w:rPr>
          <w:rFonts w:ascii="Arial" w:cs="Arial" w:eastAsia="Arial" w:hAnsi="Arial"/>
          <w:sz w:val="18"/>
          <w:szCs w:val="18"/>
          <w:b w:val="1"/>
          <w:bCs w:val="1"/>
          <w:color w:val="auto"/>
        </w:rPr>
      </w:pPr>
    </w:p>
    <w:p>
      <w:pPr>
        <w:ind w:right="240" w:firstLine="8"/>
        <w:spacing w:after="0" w:line="280" w:lineRule="auto"/>
        <w:tabs>
          <w:tab w:leader="none" w:pos="648"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shall terminate on the Expiration Date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or earlier as provided in this Section 4.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Participant’s service with the Company terminates for any reason, all RSUs for which vesting is no longer possible under the terms of the Notice of Grant, this Agreement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forfeited to the Company forthwith, and all rights of Participant to such RSUs shall immediately terminate. In case of any dispute as to whether such termination has occurred, the Committee shall have sole discretion to reasonably determine in good faith whether such termination has occurred and the effective date of such termination.</w:t>
      </w:r>
    </w:p>
    <w:p>
      <w:pPr>
        <w:spacing w:after="0" w:line="156" w:lineRule="exact"/>
        <w:rPr>
          <w:rFonts w:ascii="Arial" w:cs="Arial" w:eastAsia="Arial" w:hAnsi="Arial"/>
          <w:sz w:val="18"/>
          <w:szCs w:val="18"/>
          <w:b w:val="1"/>
          <w:bCs w:val="1"/>
          <w:color w:val="auto"/>
        </w:rPr>
      </w:pPr>
    </w:p>
    <w:p>
      <w:pPr>
        <w:ind w:right="40" w:firstLine="8"/>
        <w:spacing w:after="0" w:line="246" w:lineRule="auto"/>
        <w:tabs>
          <w:tab w:leader="none" w:pos="648" w:val="left"/>
        </w:tabs>
        <w:numPr>
          <w:ilvl w:val="0"/>
          <w:numId w:val="6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Participant agree that the RSUs are granted under and governed by the Notice of Grant,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the Notice of Grant and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84" w:lineRule="exact"/>
        <w:rPr>
          <w:rFonts w:ascii="Arial" w:cs="Arial" w:eastAsia="Arial" w:hAnsi="Arial"/>
          <w:sz w:val="20"/>
          <w:szCs w:val="20"/>
          <w:b w:val="1"/>
          <w:bCs w:val="1"/>
          <w:color w:val="auto"/>
        </w:rPr>
      </w:pPr>
    </w:p>
    <w:p>
      <w:pPr>
        <w:jc w:val="both"/>
        <w:ind w:firstLine="8"/>
        <w:spacing w:after="0" w:line="253" w:lineRule="auto"/>
        <w:tabs>
          <w:tab w:leader="none" w:pos="648" w:val="left"/>
        </w:tabs>
        <w:numPr>
          <w:ilvl w:val="0"/>
          <w:numId w:val="6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Limitations on Transfer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shall not assign, encumber or dispose of any interest in the Shares issued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except (i) prior to the Company becoming subject to the reporting requirements of the Exchange Act (defined below), with the Company’s prior written</w:t>
      </w:r>
    </w:p>
    <w:p>
      <w:pPr>
        <w:sectPr>
          <w:pgSz w:w="11900" w:h="16838" w:orient="portrait"/>
          <w:cols w:equalWidth="0" w:num="1">
            <w:col w:w="11240"/>
          </w:cols>
          <w:pgMar w:left="320" w:top="1413" w:right="339" w:bottom="1440" w:gutter="0" w:footer="0" w:header="0"/>
        </w:sectPr>
      </w:pPr>
    </w:p>
    <w:bookmarkStart w:id="781" w:name="page782"/>
    <w:bookmarkEnd w:id="781"/>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consent and in compliance with the provisions of Sections 9 and 10 of the Plan, and (ii) in compliance with the Company’s then-current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w:t>
      </w:r>
    </w:p>
    <w:p>
      <w:pPr>
        <w:spacing w:after="0" w:line="188" w:lineRule="exact"/>
        <w:rPr>
          <w:sz w:val="20"/>
          <w:szCs w:val="20"/>
          <w:color w:val="auto"/>
        </w:rPr>
      </w:pPr>
    </w:p>
    <w:p>
      <w:pPr>
        <w:ind w:right="100" w:firstLine="8"/>
        <w:spacing w:after="0" w:line="346" w:lineRule="auto"/>
        <w:tabs>
          <w:tab w:leader="none" w:pos="648" w:val="left"/>
        </w:tabs>
        <w:numPr>
          <w:ilvl w:val="0"/>
          <w:numId w:val="6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08" w:lineRule="exact"/>
        <w:rPr>
          <w:rFonts w:ascii="Arial" w:cs="Arial" w:eastAsia="Arial" w:hAnsi="Arial"/>
          <w:sz w:val="16"/>
          <w:szCs w:val="16"/>
          <w:b w:val="1"/>
          <w:bCs w:val="1"/>
          <w:color w:val="auto"/>
        </w:rPr>
      </w:pPr>
    </w:p>
    <w:p>
      <w:pPr>
        <w:ind w:right="20" w:firstLine="8"/>
        <w:spacing w:after="0" w:line="269" w:lineRule="auto"/>
        <w:tabs>
          <w:tab w:leader="none" w:pos="648"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The Tax-Related Obligations shall be satisfied by, if permissible under local law, (i) withholding Shares that otherwise would be issued to Participant when Participant’s RSUs are settled (“</w:t>
      </w:r>
      <w:r>
        <w:rPr>
          <w:rFonts w:ascii="Arial" w:cs="Arial" w:eastAsia="Arial" w:hAnsi="Arial"/>
          <w:sz w:val="18"/>
          <w:szCs w:val="18"/>
          <w:b w:val="1"/>
          <w:bCs w:val="1"/>
          <w:i w:val="1"/>
          <w:iCs w:val="1"/>
          <w:color w:val="auto"/>
        </w:rPr>
        <w:t>Net Settlement</w:t>
      </w:r>
      <w:r>
        <w:rPr>
          <w:rFonts w:ascii="Arial" w:cs="Arial" w:eastAsia="Arial" w:hAnsi="Arial"/>
          <w:sz w:val="18"/>
          <w:szCs w:val="18"/>
          <w:color w:val="auto"/>
        </w:rPr>
        <w:t>”) or (ii) having the Company withhold taxes from the proceeds of the sale of the Shares, through a voluntary sale or through a mandatory sale arranged by the Company (on Participant’s behalf and Participant hereby authorizes such sales by this authorization), in either case, under such rules as may be established by the Committee and in compliance with the Company’s insider trading policy and 10b5-1 trading plan policy, if applicable.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Net Settlement,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76" w:lineRule="exact"/>
        <w:rPr>
          <w:rFonts w:ascii="Arial" w:cs="Arial" w:eastAsia="Arial" w:hAnsi="Arial"/>
          <w:sz w:val="18"/>
          <w:szCs w:val="18"/>
          <w:b w:val="1"/>
          <w:bCs w:val="1"/>
          <w:color w:val="auto"/>
        </w:rPr>
      </w:pPr>
    </w:p>
    <w:p>
      <w:pPr>
        <w:ind w:right="100" w:firstLine="8"/>
        <w:spacing w:after="0" w:line="271" w:lineRule="auto"/>
        <w:tabs>
          <w:tab w:leader="none" w:pos="648"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 termination of employment will be determined consistent with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82" w:name="page783"/>
    <w:bookmarkEnd w:id="782"/>
    <w:p>
      <w:pPr>
        <w:spacing w:after="0" w:line="19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installments (if any) will be payable in accordance with their original schedule. The RSUs are intended to be an exempt “short-term deferral,” within the meaning of Section 409A. To the extent that any provision of this Agreement is ambiguous as to its compliance with</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All payments made pursuant to, or under, this Agreement are intended to constitute separate payments for purposes of Section 1.409A-2(b)(2) of the Treasury Regulations.</w:t>
      </w:r>
    </w:p>
    <w:p>
      <w:pPr>
        <w:spacing w:after="0" w:line="192" w:lineRule="exact"/>
        <w:rPr>
          <w:sz w:val="20"/>
          <w:szCs w:val="20"/>
          <w:color w:val="auto"/>
        </w:rPr>
      </w:pPr>
    </w:p>
    <w:p>
      <w:pPr>
        <w:ind w:right="60" w:firstLine="8"/>
        <w:spacing w:after="0" w:line="253" w:lineRule="auto"/>
        <w:tabs>
          <w:tab w:leader="none" w:pos="639" w:val="left"/>
        </w:tabs>
        <w:numPr>
          <w:ilvl w:val="0"/>
          <w:numId w:val="6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b w:val="1"/>
          <w:bCs w:val="1"/>
          <w:color w:val="auto"/>
        </w:rPr>
      </w:pPr>
    </w:p>
    <w:p>
      <w:pPr>
        <w:ind w:right="40" w:firstLine="8"/>
        <w:spacing w:after="0" w:line="272" w:lineRule="auto"/>
        <w:tabs>
          <w:tab w:leader="none" w:pos="628"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will be subject to and conditioned upon compliance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shares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In the event the Company is unable to issue Shares to Participant, it shall pay to Participant, via a wire transfer of immediately available funds, an amount equal to the Fair Market Value of such Shares.</w:t>
      </w:r>
    </w:p>
    <w:p>
      <w:pPr>
        <w:spacing w:after="0" w:line="165" w:lineRule="exact"/>
        <w:rPr>
          <w:rFonts w:ascii="Arial" w:cs="Arial" w:eastAsia="Arial" w:hAnsi="Arial"/>
          <w:sz w:val="18"/>
          <w:szCs w:val="18"/>
          <w:b w:val="1"/>
          <w:bCs w:val="1"/>
          <w:color w:val="auto"/>
        </w:rPr>
      </w:pPr>
    </w:p>
    <w:p>
      <w:pPr>
        <w:ind w:right="180" w:firstLine="8"/>
        <w:spacing w:after="0" w:line="246" w:lineRule="auto"/>
        <w:tabs>
          <w:tab w:leader="none" w:pos="639" w:val="left"/>
        </w:tabs>
        <w:numPr>
          <w:ilvl w:val="0"/>
          <w:numId w:val="6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b w:val="1"/>
          <w:bCs w:val="1"/>
          <w:color w:val="auto"/>
        </w:rPr>
      </w:pPr>
    </w:p>
    <w:p>
      <w:pPr>
        <w:ind w:right="160" w:firstLine="8"/>
        <w:spacing w:after="0" w:line="346" w:lineRule="auto"/>
        <w:tabs>
          <w:tab w:leader="none" w:pos="639" w:val="left"/>
        </w:tabs>
        <w:numPr>
          <w:ilvl w:val="0"/>
          <w:numId w:val="6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any of its rights under this Agreement. This Agreement shall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and 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08" w:lineRule="exact"/>
        <w:rPr>
          <w:rFonts w:ascii="Arial" w:cs="Arial" w:eastAsia="Arial" w:hAnsi="Arial"/>
          <w:sz w:val="16"/>
          <w:szCs w:val="16"/>
          <w:b w:val="1"/>
          <w:bCs w:val="1"/>
          <w:color w:val="auto"/>
        </w:rPr>
      </w:pPr>
    </w:p>
    <w:p>
      <w:pPr>
        <w:ind w:right="20" w:firstLine="8"/>
        <w:spacing w:after="0" w:line="245" w:lineRule="auto"/>
        <w:tabs>
          <w:tab w:leader="none" w:pos="639" w:val="left"/>
        </w:tabs>
        <w:numPr>
          <w:ilvl w:val="0"/>
          <w:numId w:val="6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the Notice of Grant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are incorporated herein by reference.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Notice of Grant, this Agreement,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Equity Award Exchange Agreement constitutes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this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83" w:name="page784"/>
    <w:bookmarkEnd w:id="783"/>
    <w:p>
      <w:pPr>
        <w:spacing w:after="0" w:line="19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shall not apply to that certain notice of RSU award and applicable agreement between Participant and the Company, dated October 8, 2019, whereby the Company granted to Participant 2,904,024 “time-vested” RSUs or that certain amended and restated notice of RSU award and applicable amended and restated RSU agreement between Participant and the Company, dated May 26, 2021, whereby the Company granted to Participant 13,831,829 RSUs. If any provision of this Agreement is determined by a court of law to be illegal or unenforceable, then such provision will be enforced to the maximum extent possible and the other provisions will remain fully effective and enforceable.</w:t>
      </w:r>
    </w:p>
    <w:p>
      <w:pPr>
        <w:spacing w:after="0" w:line="159" w:lineRule="exact"/>
        <w:rPr>
          <w:sz w:val="20"/>
          <w:szCs w:val="20"/>
          <w:color w:val="auto"/>
        </w:rPr>
      </w:pPr>
    </w:p>
    <w:p>
      <w:pPr>
        <w:ind w:firstLine="8"/>
        <w:spacing w:after="0" w:line="268" w:lineRule="auto"/>
        <w:tabs>
          <w:tab w:leader="none" w:pos="639"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w:t>
      </w:r>
    </w:p>
    <w:p>
      <w:pPr>
        <w:spacing w:after="0" w:line="7" w:lineRule="exact"/>
        <w:rPr>
          <w:rFonts w:ascii="Arial" w:cs="Arial" w:eastAsia="Arial" w:hAnsi="Arial"/>
          <w:sz w:val="18"/>
          <w:szCs w:val="18"/>
          <w:b w:val="1"/>
          <w:bCs w:val="1"/>
          <w:color w:val="auto"/>
        </w:rPr>
      </w:pPr>
    </w:p>
    <w:p>
      <w:pPr>
        <w:ind w:right="2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3" w:lineRule="exact"/>
        <w:rPr>
          <w:rFonts w:ascii="Arial" w:cs="Arial" w:eastAsia="Arial" w:hAnsi="Arial"/>
          <w:sz w:val="18"/>
          <w:szCs w:val="18"/>
          <w:b w:val="1"/>
          <w:bCs w:val="1"/>
          <w:color w:val="auto"/>
        </w:rPr>
      </w:pPr>
    </w:p>
    <w:p>
      <w:pPr>
        <w:ind w:right="100" w:firstLine="8"/>
        <w:spacing w:after="0" w:line="253" w:lineRule="auto"/>
        <w:tabs>
          <w:tab w:leader="none" w:pos="639" w:val="left"/>
        </w:tabs>
        <w:numPr>
          <w:ilvl w:val="0"/>
          <w:numId w:val="6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affect in any manner whatsoever the right or</w:t>
      </w:r>
      <w:r>
        <w:rPr>
          <w:rFonts w:ascii="Arial" w:cs="Arial" w:eastAsia="Arial" w:hAnsi="Arial"/>
          <w:sz w:val="20"/>
          <w:szCs w:val="20"/>
          <w:b w:val="1"/>
          <w:bCs w:val="1"/>
          <w:color w:val="auto"/>
        </w:rPr>
        <w:t xml:space="preserve"> </w:t>
      </w:r>
      <w:r>
        <w:rPr>
          <w:rFonts w:ascii="Arial" w:cs="Arial" w:eastAsia="Arial" w:hAnsi="Arial"/>
          <w:sz w:val="20"/>
          <w:szCs w:val="20"/>
          <w:color w:val="auto"/>
        </w:rPr>
        <w:t>power of the Company, or a Parent or Subsidiary of the Company, to terminate Participant’s Continuous Service Status, for any reason, with or without cause.</w:t>
      </w:r>
    </w:p>
    <w:p>
      <w:pPr>
        <w:spacing w:after="0" w:line="177" w:lineRule="exact"/>
        <w:rPr>
          <w:rFonts w:ascii="Arial" w:cs="Arial" w:eastAsia="Arial" w:hAnsi="Arial"/>
          <w:sz w:val="20"/>
          <w:szCs w:val="20"/>
          <w:b w:val="1"/>
          <w:bCs w:val="1"/>
          <w:color w:val="auto"/>
        </w:rPr>
      </w:pPr>
    </w:p>
    <w:p>
      <w:pPr>
        <w:ind w:right="120" w:firstLine="8"/>
        <w:spacing w:after="0" w:line="274" w:lineRule="auto"/>
        <w:tabs>
          <w:tab w:leader="none" w:pos="639"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is relying on an exemption from registration under Section 12(h)-1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such information is required to be provided by such Section 12(h)-1, the Company shall provide the information described in Rules 701(e)(3), (4) and (5) of the Securities Act by a method allowed under Section 12(h)-1 of the Exchange Act in accordance with</w:t>
      </w:r>
    </w:p>
    <w:p>
      <w:pPr>
        <w:spacing w:after="0" w:line="1" w:lineRule="exact"/>
        <w:rPr>
          <w:rFonts w:ascii="Arial" w:cs="Arial" w:eastAsia="Arial" w:hAnsi="Arial"/>
          <w:sz w:val="18"/>
          <w:szCs w:val="18"/>
          <w:b w:val="1"/>
          <w:bCs w:val="1"/>
          <w:color w:val="auto"/>
        </w:rPr>
      </w:pPr>
    </w:p>
    <w:p>
      <w:pPr>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 xml:space="preserve">Section 12(h)-1 of the Exchange Act,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that Participant agrees to keep the information confidential to the extent such information has not otherwise been publicly disclosed not in violation of this Agreement.</w:t>
      </w:r>
    </w:p>
    <w:p>
      <w:pPr>
        <w:spacing w:after="0" w:line="185" w:lineRule="exact"/>
        <w:rPr>
          <w:rFonts w:ascii="Arial" w:cs="Arial" w:eastAsia="Arial" w:hAnsi="Arial"/>
          <w:sz w:val="18"/>
          <w:szCs w:val="18"/>
          <w:b w:val="1"/>
          <w:bCs w:val="1"/>
          <w:color w:val="auto"/>
        </w:rPr>
      </w:pPr>
    </w:p>
    <w:p>
      <w:pPr>
        <w:ind w:right="20" w:firstLine="8"/>
        <w:spacing w:after="0" w:line="280" w:lineRule="auto"/>
        <w:tabs>
          <w:tab w:leader="none" w:pos="639"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40" w:right="379" w:bottom="1440" w:gutter="0" w:footer="0" w:header="0"/>
        </w:sectPr>
      </w:pPr>
    </w:p>
    <w:bookmarkStart w:id="784" w:name="page785"/>
    <w:bookmarkEnd w:id="784"/>
    <w:p>
      <w:pPr>
        <w:spacing w:after="0" w:line="190" w:lineRule="exact"/>
        <w:rPr>
          <w:sz w:val="20"/>
          <w:szCs w:val="20"/>
          <w:color w:val="auto"/>
        </w:rPr>
      </w:pPr>
    </w:p>
    <w:p>
      <w:pPr>
        <w:ind w:right="300" w:firstLine="8"/>
        <w:spacing w:after="0" w:line="262" w:lineRule="auto"/>
        <w:tabs>
          <w:tab w:leader="none" w:pos="639" w:val="left"/>
        </w:tabs>
        <w:numPr>
          <w:ilvl w:val="0"/>
          <w:numId w:val="6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as such laws are applied to contracts entered into and performed in such State.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70" w:lineRule="exact"/>
        <w:rPr>
          <w:rFonts w:ascii="Arial" w:cs="Arial" w:eastAsia="Arial" w:hAnsi="Arial"/>
          <w:sz w:val="19"/>
          <w:szCs w:val="19"/>
          <w:b w:val="1"/>
          <w:bCs w:val="1"/>
          <w:color w:val="auto"/>
        </w:rPr>
      </w:pPr>
    </w:p>
    <w:p>
      <w:pPr>
        <w:ind w:right="380" w:firstLine="8"/>
        <w:spacing w:after="0" w:line="293" w:lineRule="auto"/>
        <w:tabs>
          <w:tab w:leader="none" w:pos="639" w:val="left"/>
        </w:tabs>
        <w:numPr>
          <w:ilvl w:val="0"/>
          <w:numId w:val="6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Uncertificated Shares</w:t>
      </w:r>
      <w:r>
        <w:rPr>
          <w:rFonts w:ascii="Arial" w:cs="Arial" w:eastAsia="Arial" w:hAnsi="Arial"/>
          <w:sz w:val="19"/>
          <w:szCs w:val="19"/>
          <w:color w:val="auto"/>
        </w:rPr>
        <w:t>. Participant agrees and acknowledges that to the extent the shares issued upon settlement of the RSUs are</w:t>
      </w:r>
      <w:r>
        <w:rPr>
          <w:rFonts w:ascii="Arial" w:cs="Arial" w:eastAsia="Arial" w:hAnsi="Arial"/>
          <w:sz w:val="19"/>
          <w:szCs w:val="19"/>
          <w:b w:val="1"/>
          <w:bCs w:val="1"/>
          <w:color w:val="auto"/>
        </w:rPr>
        <w:t xml:space="preserve"> </w:t>
      </w:r>
      <w:r>
        <w:rPr>
          <w:rFonts w:ascii="Arial" w:cs="Arial" w:eastAsia="Arial" w:hAnsi="Arial"/>
          <w:sz w:val="19"/>
          <w:szCs w:val="19"/>
          <w:color w:val="auto"/>
        </w:rPr>
        <w:t>uncertificated then all references herein to stock certificates also includes electronic or uncertificated equivalents.</w:t>
      </w:r>
    </w:p>
    <w:p>
      <w:pPr>
        <w:spacing w:after="0" w:line="141" w:lineRule="exact"/>
        <w:rPr>
          <w:rFonts w:ascii="Arial" w:cs="Arial" w:eastAsia="Arial" w:hAnsi="Arial"/>
          <w:sz w:val="19"/>
          <w:szCs w:val="19"/>
          <w:b w:val="1"/>
          <w:bCs w:val="1"/>
          <w:color w:val="auto"/>
        </w:rPr>
      </w:pPr>
    </w:p>
    <w:p>
      <w:pPr>
        <w:jc w:val="both"/>
        <w:ind w:firstLine="8"/>
        <w:spacing w:after="0" w:line="246" w:lineRule="auto"/>
        <w:tabs>
          <w:tab w:leader="none" w:pos="639" w:val="left"/>
        </w:tabs>
        <w:numPr>
          <w:ilvl w:val="0"/>
          <w:numId w:val="6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and/or the Shares acquired upon settlement of the RSUs shall be subject (including on a retroactive basis)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recoupment, forfeiture or similar requirements (and such requirements shall be deemed incorporated by reference into this Agreement) to the extent required by the Company’s clawback or recoupment policy as may be established and/or amended from time to time or Applicable Laws (including, without limitation, Section 304 of the Sarbanes-Oxley Act and Section 954 of the Dodd-Frank Wall Street Reform and Consumer Protection Act).</w:t>
      </w:r>
    </w:p>
    <w:p>
      <w:pPr>
        <w:spacing w:after="0" w:line="190" w:lineRule="exact"/>
        <w:rPr>
          <w:rFonts w:ascii="Arial" w:cs="Arial" w:eastAsia="Arial" w:hAnsi="Arial"/>
          <w:sz w:val="20"/>
          <w:szCs w:val="20"/>
          <w:b w:val="1"/>
          <w:bCs w:val="1"/>
          <w:color w:val="auto"/>
        </w:rPr>
      </w:pPr>
    </w:p>
    <w:p>
      <w:pPr>
        <w:ind w:left="4900"/>
        <w:spacing w:after="0"/>
        <w:rPr>
          <w:rFonts w:ascii="Arial" w:cs="Arial" w:eastAsia="Arial" w:hAnsi="Arial"/>
          <w:sz w:val="20"/>
          <w:szCs w:val="20"/>
          <w:b w:val="1"/>
          <w:bCs w:val="1"/>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785" w:name="page786"/>
    <w:bookmarkEnd w:id="785"/>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VESTING CRITERIA AND CERTAIN DEFINITIONS</w:t>
      </w:r>
    </w:p>
    <w:p>
      <w:pPr>
        <w:spacing w:after="0" w:line="222"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 xml:space="preserve">Capitalized terms used in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will have the meanings prescribed to them under the Plan or the Restricted Stock Unit Agreement, as applicable, unless otherwise defined herein.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RSU VESTING SCHEDULE.</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20"/>
          <w:szCs w:val="20"/>
          <w:color w:val="auto"/>
        </w:rPr>
        <w:t xml:space="preserve">Subject to Sections 2 and 3 below, an RSU will vest on the first Achievement Date on which </w:t>
      </w:r>
      <w:r>
        <w:rPr>
          <w:rFonts w:ascii="Arial" w:cs="Arial" w:eastAsia="Arial" w:hAnsi="Arial"/>
          <w:sz w:val="20"/>
          <w:szCs w:val="20"/>
          <w:b w:val="1"/>
          <w:bCs w:val="1"/>
          <w:u w:val="single" w:color="auto"/>
          <w:color w:val="auto"/>
        </w:rPr>
        <w:t>both</w:t>
      </w:r>
      <w:r>
        <w:rPr>
          <w:rFonts w:ascii="Arial" w:cs="Arial" w:eastAsia="Arial" w:hAnsi="Arial"/>
          <w:sz w:val="20"/>
          <w:szCs w:val="20"/>
          <w:color w:val="auto"/>
        </w:rPr>
        <w:t xml:space="preserve"> the Service-Based Condition and the Performance-Based Condition are satisfied. Each RSU that vests on an Achievement Date will be settled on the first Settlement Date occurring on or after such Achievement Date.</w:t>
      </w:r>
    </w:p>
    <w:p>
      <w:pPr>
        <w:spacing w:after="0" w:line="183" w:lineRule="exact"/>
        <w:rPr>
          <w:sz w:val="20"/>
          <w:szCs w:val="20"/>
          <w:color w:val="auto"/>
        </w:rPr>
      </w:pPr>
    </w:p>
    <w:p>
      <w:pPr>
        <w:ind w:firstLine="1304"/>
        <w:spacing w:after="0" w:line="276" w:lineRule="auto"/>
        <w:tabs>
          <w:tab w:leader="none" w:pos="1763" w:val="left"/>
        </w:tabs>
        <w:numPr>
          <w:ilvl w:val="0"/>
          <w:numId w:val="6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Achievement Date</w:t>
      </w:r>
      <w:r>
        <w:rPr>
          <w:rFonts w:ascii="Arial" w:cs="Arial" w:eastAsia="Arial" w:hAnsi="Arial"/>
          <w:sz w:val="18"/>
          <w:szCs w:val="18"/>
          <w:color w:val="auto"/>
        </w:rPr>
        <w:t>” means the first date occurring during the Performance Period on which the Company Stock Price (as calculated hereunder) achieves a Company Stock Price Target. Once the Company Stock Price Target has been achieved during the Performance Period, such Company Stock Price Target cannot be achieved again. For the avoidance of doubt, once a Company Stock Price Target has been achieved (as calculated hereunder), it does not need to be maintained. More than one Company Stock Price Target may be achieved on a particular date. Except in connection with a Change in Control as set forth herein, no partial achievement will occur and no RSUs will become Eligible RSUs for achievement between two Company Stock Price Targets.</w:t>
      </w:r>
    </w:p>
    <w:p>
      <w:pPr>
        <w:spacing w:after="0" w:line="164" w:lineRule="exact"/>
        <w:rPr>
          <w:rFonts w:ascii="Arial" w:cs="Arial" w:eastAsia="Arial" w:hAnsi="Arial"/>
          <w:sz w:val="18"/>
          <w:szCs w:val="18"/>
          <w:color w:val="auto"/>
        </w:rPr>
      </w:pPr>
    </w:p>
    <w:p>
      <w:pPr>
        <w:ind w:right="400" w:firstLine="1304"/>
        <w:spacing w:after="0" w:line="260" w:lineRule="auto"/>
        <w:tabs>
          <w:tab w:leader="none" w:pos="1725" w:val="left"/>
        </w:tabs>
        <w:numPr>
          <w:ilvl w:val="0"/>
          <w:numId w:val="6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Service-Based Condition</w:t>
      </w:r>
      <w:r>
        <w:rPr>
          <w:rFonts w:ascii="Arial" w:cs="Arial" w:eastAsia="Arial" w:hAnsi="Arial"/>
          <w:sz w:val="20"/>
          <w:szCs w:val="20"/>
          <w:color w:val="auto"/>
        </w:rPr>
        <w:t>” is satisfied as to any RSU subject to this RSU Agreement on the Achievement Date if Participant has satisfied the Service Condition through (and including) such date.</w:t>
      </w:r>
    </w:p>
    <w:p>
      <w:pPr>
        <w:spacing w:after="0" w:line="176" w:lineRule="exact"/>
        <w:rPr>
          <w:rFonts w:ascii="Arial" w:cs="Arial" w:eastAsia="Arial" w:hAnsi="Arial"/>
          <w:sz w:val="20"/>
          <w:szCs w:val="20"/>
          <w:color w:val="auto"/>
        </w:rPr>
      </w:pPr>
    </w:p>
    <w:p>
      <w:pPr>
        <w:ind w:right="40" w:firstLine="1304"/>
        <w:spacing w:after="0" w:line="269" w:lineRule="auto"/>
        <w:tabs>
          <w:tab w:leader="none" w:pos="1763" w:val="left"/>
        </w:tabs>
        <w:numPr>
          <w:ilvl w:val="0"/>
          <w:numId w:val="6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Performance-Based Condition</w:t>
      </w:r>
      <w:r>
        <w:rPr>
          <w:rFonts w:ascii="Arial" w:cs="Arial" w:eastAsia="Arial" w:hAnsi="Arial"/>
          <w:sz w:val="19"/>
          <w:szCs w:val="19"/>
          <w:color w:val="auto"/>
        </w:rPr>
        <w:t>” is satisfied on the applicable Achievement Date during the Performance Period on which an RSU becomes an Eligible RSU. On an Achievement Date, the number of RSUs eligible for vesting will equal the number of RSUs corresponding to the applicable Company Stock Price Target in the table below (such RSUs, the “</w:t>
      </w:r>
      <w:r>
        <w:rPr>
          <w:rFonts w:ascii="Arial" w:cs="Arial" w:eastAsia="Arial" w:hAnsi="Arial"/>
          <w:sz w:val="19"/>
          <w:szCs w:val="19"/>
          <w:b w:val="1"/>
          <w:bCs w:val="1"/>
          <w:i w:val="1"/>
          <w:iCs w:val="1"/>
          <w:color w:val="auto"/>
        </w:rPr>
        <w:t>Eligible RSUs</w:t>
      </w:r>
      <w:r>
        <w:rPr>
          <w:rFonts w:ascii="Arial" w:cs="Arial" w:eastAsia="Arial" w:hAnsi="Arial"/>
          <w:sz w:val="19"/>
          <w:szCs w:val="19"/>
          <w:color w:val="auto"/>
        </w:rPr>
        <w:t>”).</w:t>
      </w:r>
    </w:p>
    <w:p>
      <w:pPr>
        <w:spacing w:after="0" w:line="194" w:lineRule="exact"/>
        <w:rPr>
          <w:sz w:val="20"/>
          <w:szCs w:val="20"/>
          <w:color w:val="auto"/>
        </w:rPr>
      </w:pPr>
    </w:p>
    <w:tbl>
      <w:tblPr>
        <w:tblLayout w:type="fixed"/>
        <w:tblInd w:w="2290" w:type="dxa"/>
        <w:tblCellMar>
          <w:top w:w="0" w:type="dxa"/>
          <w:left w:w="0" w:type="dxa"/>
          <w:bottom w:w="0" w:type="dxa"/>
          <w:right w:w="0" w:type="dxa"/>
        </w:tblCellMar>
      </w:tblPr>
      <w:tr>
        <w:trPr>
          <w:trHeight w:val="302"/>
        </w:trPr>
        <w:tc>
          <w:tcPr>
            <w:tcW w:w="3780" w:type="dxa"/>
            <w:vAlign w:val="bottom"/>
            <w:tcBorders>
              <w:top w:val="single" w:sz="8" w:color="auto"/>
              <w:left w:val="single" w:sz="8" w:color="auto"/>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20"/>
                <w:szCs w:val="20"/>
                <w:b w:val="1"/>
                <w:bCs w:val="1"/>
                <w:color w:val="auto"/>
                <w:w w:val="91"/>
              </w:rPr>
              <w:t>Company Stock Price Target **</w:t>
            </w:r>
          </w:p>
        </w:tc>
        <w:tc>
          <w:tcPr>
            <w:tcW w:w="2920" w:type="dxa"/>
            <w:vAlign w:val="bottom"/>
            <w:tcBorders>
              <w:top w:val="single" w:sz="8" w:color="auto"/>
              <w:bottom w:val="single" w:sz="8" w:color="DBDBDB"/>
              <w:right w:val="single" w:sz="8" w:color="auto"/>
            </w:tcBorders>
            <w:shd w:val="clear" w:color="auto" w:fill="DBDBDB"/>
          </w:tcPr>
          <w:p>
            <w:pPr>
              <w:jc w:val="center"/>
              <w:spacing w:after="0"/>
              <w:rPr>
                <w:sz w:val="20"/>
                <w:szCs w:val="20"/>
                <w:color w:val="auto"/>
              </w:rPr>
            </w:pPr>
            <w:r>
              <w:rPr>
                <w:rFonts w:ascii="Arial" w:cs="Arial" w:eastAsia="Arial" w:hAnsi="Arial"/>
                <w:sz w:val="20"/>
                <w:szCs w:val="20"/>
                <w:b w:val="1"/>
                <w:bCs w:val="1"/>
                <w:color w:val="auto"/>
                <w:w w:val="94"/>
              </w:rPr>
              <w:t>Number of RSUs **</w:t>
            </w:r>
          </w:p>
        </w:tc>
      </w:tr>
      <w:tr>
        <w:trPr>
          <w:trHeight w:val="25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$120.00</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[2,850,000][1,710,000]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$150.00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[2,850,000][1,710,000]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$180.00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[3,300,000][1,980,000]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$210.00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[3,300,000][1,980,000]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$240.00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[3,300,000][1,980,000]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$270.00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[3,300,000][1,980,000]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$300.00</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[3,300,000][1,980,000]</w:t>
            </w:r>
          </w:p>
        </w:tc>
      </w:tr>
      <w:tr>
        <w:trPr>
          <w:trHeight w:val="2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left="400" w:right="200" w:hanging="392"/>
        <w:spacing w:after="0" w:line="246" w:lineRule="auto"/>
        <w:tabs>
          <w:tab w:leader="none" w:pos="456" w:val="left"/>
        </w:tabs>
        <w:numPr>
          <w:ilvl w:val="0"/>
          <w:numId w:val="627"/>
        </w:numPr>
        <w:rPr>
          <w:rFonts w:ascii="Arial" w:cs="Arial" w:eastAsia="Arial" w:hAnsi="Arial"/>
          <w:sz w:val="20"/>
          <w:szCs w:val="20"/>
          <w:color w:val="auto"/>
        </w:rPr>
      </w:pPr>
      <w:r>
        <w:rPr>
          <w:rFonts w:ascii="Arial" w:cs="Arial" w:eastAsia="Arial" w:hAnsi="Arial"/>
          <w:sz w:val="20"/>
          <w:szCs w:val="20"/>
          <w:color w:val="auto"/>
        </w:rPr>
        <w:t>The Company Stock Price Targets and Number of RSUs are subject to adjustment to reflect any transaction described in Section 2 of the Plan. The Committee, in order to prevent diminution or enlargement of the benefits or potential benefits intended to be made available under this Agreement, will make the determination of any such adjustments required (and whether any such adjustment is required) in connection with any such event.</w:t>
      </w:r>
    </w:p>
    <w:p>
      <w:pPr>
        <w:sectPr>
          <w:pgSz w:w="11900" w:h="16838" w:orient="portrait"/>
          <w:cols w:equalWidth="0" w:num="1">
            <w:col w:w="11160"/>
          </w:cols>
          <w:pgMar w:left="320" w:top="1440" w:right="419" w:bottom="1440" w:gutter="0" w:footer="0" w:header="0"/>
        </w:sectPr>
      </w:pPr>
    </w:p>
    <w:bookmarkStart w:id="786" w:name="page787"/>
    <w:bookmarkEnd w:id="786"/>
    <w:p>
      <w:pPr>
        <w:spacing w:after="0" w:line="230"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2.</w:t>
        <w:tab/>
        <w:t>SERVICE CONDITION AND FORFEITURE.</w:t>
      </w:r>
    </w:p>
    <w:p>
      <w:pPr>
        <w:spacing w:after="0" w:line="22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For any RSUs under this Agreement to vest, Participant must have continuously satisfied the Service Condition through (and including) the applicable Achievement Date. For the avoidance of doubt, if Participant satisfies the Service Condition on an applicable Achievement Date (which is not a Settlement Date) but fails to satisfy the Service Condition on the Settlement Date occurring after such Achievement Date, any RSUs that vested on such Achievement Date will be settled on such Settlement Date.</w:t>
      </w:r>
    </w:p>
    <w:p>
      <w:pPr>
        <w:spacing w:after="0" w:line="161"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On the Expiration Date, any RSUs covered by this Agreement that have not vested immediately will be forfeited and returned to the Company, and Participant will have no further rights with respect to such RSUs or the underlying Shares.</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3.</w:t>
        <w:tab/>
        <w:t>CHANGE IN CONTROL.</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With respect to any RSUs that remain outstanding and unvested as of immediately prior to the consummation of a Change in Control, the following rules will apply.</w:t>
      </w:r>
    </w:p>
    <w:p>
      <w:pPr>
        <w:spacing w:after="0" w:line="177" w:lineRule="exact"/>
        <w:rPr>
          <w:sz w:val="20"/>
          <w:szCs w:val="20"/>
          <w:color w:val="auto"/>
        </w:rPr>
      </w:pPr>
    </w:p>
    <w:p>
      <w:pPr>
        <w:ind w:right="160" w:firstLine="656"/>
        <w:spacing w:after="0" w:line="260" w:lineRule="auto"/>
        <w:tabs>
          <w:tab w:leader="none" w:pos="1065" w:val="left"/>
        </w:tabs>
        <w:numPr>
          <w:ilvl w:val="0"/>
          <w:numId w:val="628"/>
        </w:numPr>
        <w:rPr>
          <w:rFonts w:ascii="Arial" w:cs="Arial" w:eastAsia="Arial" w:hAnsi="Arial"/>
          <w:sz w:val="20"/>
          <w:szCs w:val="20"/>
          <w:color w:val="auto"/>
        </w:rPr>
      </w:pPr>
      <w:r>
        <w:rPr>
          <w:rFonts w:ascii="Arial" w:cs="Arial" w:eastAsia="Arial" w:hAnsi="Arial"/>
          <w:sz w:val="20"/>
          <w:szCs w:val="20"/>
          <w:color w:val="auto"/>
        </w:rPr>
        <w:t>Immediately prior to such Change in Control, rather than applying the definition of “Company Stock Price” below, “Company Stock Price” instead will mean the Per Share Deal Price.</w:t>
      </w:r>
    </w:p>
    <w:p>
      <w:pPr>
        <w:spacing w:after="0" w:line="176" w:lineRule="exact"/>
        <w:rPr>
          <w:rFonts w:ascii="Arial" w:cs="Arial" w:eastAsia="Arial" w:hAnsi="Arial"/>
          <w:sz w:val="20"/>
          <w:szCs w:val="20"/>
          <w:color w:val="auto"/>
        </w:rPr>
      </w:pPr>
    </w:p>
    <w:p>
      <w:pPr>
        <w:ind w:right="20" w:firstLine="656"/>
        <w:spacing w:after="0" w:line="254" w:lineRule="auto"/>
        <w:tabs>
          <w:tab w:leader="none" w:pos="1066" w:val="left"/>
        </w:tabs>
        <w:numPr>
          <w:ilvl w:val="0"/>
          <w:numId w:val="628"/>
        </w:numPr>
        <w:rPr>
          <w:rFonts w:ascii="Arial" w:cs="Arial" w:eastAsia="Arial" w:hAnsi="Arial"/>
          <w:sz w:val="19"/>
          <w:szCs w:val="19"/>
          <w:color w:val="auto"/>
        </w:rPr>
      </w:pPr>
      <w:r>
        <w:rPr>
          <w:rFonts w:ascii="Arial" w:cs="Arial" w:eastAsia="Arial" w:hAnsi="Arial"/>
          <w:sz w:val="19"/>
          <w:szCs w:val="19"/>
          <w:color w:val="auto"/>
        </w:rPr>
        <w:t xml:space="preserve">After determining the “Company Stock Price” under Section 3(a) of this Exhibit A, the same rules under the table under Section 1 of this Exhibit A apply in determining whether any additional “Company Stock Price Targets” are achieved and additional RSUs will become Eligible RSUs;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Company Stock Price as determined under Section 3(a) of this Exhibit A is greater than $120.00 (as adjusted pursuant to Section 2 of the Plan) but falls between two Company Stock Price Targets set forth in the table under Section 1 of this Exhibit A, the Eligible RSUs will be determined based on a linear interpolation using the Company Stock Price Target in the table that is greater than but closest to the actual Company Stock Price determined under Section 3(a) of this Exhibit A and the amount in the table that is less than but closest to the actual Company Stock Price determined under Section 3(a) of this Exhibit A, with such number rounded to the nearest Share (such number, the “</w:t>
      </w:r>
      <w:r>
        <w:rPr>
          <w:rFonts w:ascii="Arial" w:cs="Arial" w:eastAsia="Arial" w:hAnsi="Arial"/>
          <w:sz w:val="19"/>
          <w:szCs w:val="19"/>
          <w:b w:val="1"/>
          <w:bCs w:val="1"/>
          <w:i w:val="1"/>
          <w:iCs w:val="1"/>
          <w:color w:val="auto"/>
        </w:rPr>
        <w:t>Incremental Eligible RSUs</w:t>
      </w:r>
      <w:r>
        <w:rPr>
          <w:rFonts w:ascii="Arial" w:cs="Arial" w:eastAsia="Arial" w:hAnsi="Arial"/>
          <w:sz w:val="19"/>
          <w:szCs w:val="19"/>
          <w:color w:val="auto"/>
        </w:rPr>
        <w:t xml:space="preserve">”). For the avoidance of doubt, if, prior to the Change in Control, an RSU already became an Eligible RSU based on the achievement of a Company Stock Price Target occurring as of the Achievement Date corresponding to such achievement, such RSUs will not again become Eligible RSUs with respect to that Company Stock Price Target achievement, but such RSUs, to the extent they have not yet been settled, will be settled immediately prior to the Change in Control subject to Participant satisfying the Service Condition through the applicable Achievement Date;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Participant is terminated by the Company other than for Cause (defined below) during the thirty-day period ending on the closing of a Change in Control and a Performance-Based Condition would have been satisfied in connection with the closing of a Change in Control, then all of the RSUs for which the Performance-Based Condition would have been satisfied in connection with the Change in Control shall vest (and become Acquisition Eligible RSUs) immediately prior to the occurrence of the Change in Control notwithstanding Participant’s termination other than for Cause.</w:t>
      </w:r>
    </w:p>
    <w:p>
      <w:pPr>
        <w:spacing w:after="0" w:line="186" w:lineRule="exact"/>
        <w:rPr>
          <w:rFonts w:ascii="Arial" w:cs="Arial" w:eastAsia="Arial" w:hAnsi="Arial"/>
          <w:sz w:val="19"/>
          <w:szCs w:val="19"/>
          <w:color w:val="auto"/>
        </w:rPr>
      </w:pPr>
    </w:p>
    <w:p>
      <w:pPr>
        <w:ind w:right="60" w:firstLine="656"/>
        <w:spacing w:after="0" w:line="260" w:lineRule="auto"/>
        <w:tabs>
          <w:tab w:leader="none" w:pos="1065" w:val="left"/>
        </w:tabs>
        <w:numPr>
          <w:ilvl w:val="0"/>
          <w:numId w:val="628"/>
        </w:numPr>
        <w:rPr>
          <w:rFonts w:ascii="Arial" w:cs="Arial" w:eastAsia="Arial" w:hAnsi="Arial"/>
          <w:sz w:val="19"/>
          <w:szCs w:val="19"/>
          <w:color w:val="auto"/>
        </w:rPr>
      </w:pPr>
      <w:r>
        <w:rPr>
          <w:rFonts w:ascii="Arial" w:cs="Arial" w:eastAsia="Arial" w:hAnsi="Arial"/>
          <w:sz w:val="19"/>
          <w:szCs w:val="19"/>
          <w:color w:val="auto"/>
        </w:rPr>
        <w:t>If, after applying the rules in Sections 3(a) and 3(b) of this Exhibit A, an additional number of RSUs will become Eligible RSUs, then (i) the Achievement Date will be the date immediately prior to the Change in Control subject to Participant satisfying the Service Condition; (ii) the number of additional RSUs that will become Eligible RSUs will equal the sum of: (A) all RSUs (as determined under the table in Section 1 of this Exhibit A) corresponding to the Company Stock Price Target achievement(s) in connection with the Change in Control that have not yet become Eligible RSUs plus (B) the Incremental Eligible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87" w:name="page788"/>
    <w:bookmarkEnd w:id="787"/>
    <w:p>
      <w:pPr>
        <w:spacing w:after="0" w:line="23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(if any) (such sum, the “</w:t>
      </w:r>
      <w:r>
        <w:rPr>
          <w:rFonts w:ascii="Arial" w:cs="Arial" w:eastAsia="Arial" w:hAnsi="Arial"/>
          <w:sz w:val="20"/>
          <w:szCs w:val="20"/>
          <w:b w:val="1"/>
          <w:bCs w:val="1"/>
          <w:i w:val="1"/>
          <w:iCs w:val="1"/>
          <w:color w:val="auto"/>
        </w:rPr>
        <w:t>Acquisition Eligible RSUs</w:t>
      </w:r>
      <w:r>
        <w:rPr>
          <w:rFonts w:ascii="Arial" w:cs="Arial" w:eastAsia="Arial" w:hAnsi="Arial"/>
          <w:sz w:val="20"/>
          <w:szCs w:val="20"/>
          <w:color w:val="auto"/>
        </w:rPr>
        <w:t>”); and (iii) any Acquisition Eligible RSUs vest on the date immediately prior to the Change in Control, and all Eligible RSUs (including all Acquisition Eligible RSUs) that have not yet been settled will be settled immediately prior to the Change in Control. Unless otherwise determined by the Board or Committee, any remaining RSUs that have not become Acquisition Eligible RSUs immediately will be forfeited as of the Change of Control for no consideration and Participant will have no further rights with respect to such RSUs or Shares.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tab/>
        <w:t>DEFINITIONS</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(i) Participant’s willful and material unauthorized use or disclosure of the Company’s confidential information or trade secrets, which use or disclosure causes material harm to the Company and its Subsidiaries, taken as a whole; (ii) a willful and material breach by Participant of any agreement between Participant and the Company, which breach causes material harm to the Company and its Subsidiaries, taken as a whole; (iii) a willful and material failure by Participant to comply with the Company’s material written policies or rules, which failure causes material harm to the Company and its Subsidiaries, taken as a whole; (iv) Participant’s conviction of, or plea of “guilty” or “no contest” to, a felony (other than an automobile offense) under the laws of the United States or any state thereof (or equivalent laws of a foreign jurisdiction); (v) Participant’s gross negligence or willful misconduct, which causes material harm to the Company and its Subsidiaries, taken as a whole; (vi) a continuing failure by Participant to perform material assigned duties; or (vii) a failure by Participant to cooperate in good faith with a governmental or internal investigation of the Company or its directors, officers or employees, if the Company has reasonably requested Participant’s cooperation and which failure causes material harm to the Company and its Subsidiaries, taken as a whole;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“Cause” pursuant to the foregoing clauses (i), (ii), (iii), (v), (vi) and (vii) shall exist only after the Board of Directors or Participant’s supervisor, as applicable, provides Participant with written notice of the applicable Cause event (which specifically identifies, in reasonable detail, the basis for alleging a Cause event) and Participant fails to cure the same (to the extent capable of cure) within thirty (30) days after receipt of such notice. For the avoidance of doubt, without limiting other instances in which Participant’s act or failure shall not be deemed willful, no act or failure to act by Participant shall be considered “willful” if done or omitted by Participant in good faith with reasonable belief that Participant’s action or omission was in the best interests of the Company and its Subsidiaries.</w:t>
      </w:r>
    </w:p>
    <w:p>
      <w:pPr>
        <w:spacing w:after="0" w:line="17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 of Incorporation</w:t>
      </w:r>
      <w:r>
        <w:rPr>
          <w:rFonts w:ascii="Arial" w:cs="Arial" w:eastAsia="Arial" w:hAnsi="Arial"/>
          <w:sz w:val="20"/>
          <w:szCs w:val="20"/>
          <w:color w:val="auto"/>
        </w:rPr>
        <w:t>” means the Company’s Amended and Restated Certificate of Incorporation, as may be amended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of any of the following events:</w:t>
      </w:r>
    </w:p>
    <w:p>
      <w:pPr>
        <w:spacing w:after="0" w:line="216" w:lineRule="exact"/>
        <w:rPr>
          <w:sz w:val="20"/>
          <w:szCs w:val="20"/>
          <w:color w:val="auto"/>
        </w:rPr>
      </w:pPr>
    </w:p>
    <w:p>
      <w:pPr>
        <w:ind w:right="40" w:firstLine="1547"/>
        <w:spacing w:after="0" w:line="259" w:lineRule="auto"/>
        <w:tabs>
          <w:tab w:leader="none" w:pos="1942" w:val="left"/>
        </w:tabs>
        <w:numPr>
          <w:ilvl w:val="0"/>
          <w:numId w:val="629"/>
        </w:numPr>
        <w:rPr>
          <w:rFonts w:ascii="Arial" w:cs="Arial" w:eastAsia="Arial" w:hAnsi="Arial"/>
          <w:sz w:val="19"/>
          <w:szCs w:val="19"/>
          <w:color w:val="auto"/>
        </w:rPr>
      </w:pPr>
      <w:r>
        <w:rPr>
          <w:rFonts w:ascii="Arial" w:cs="Arial" w:eastAsia="Arial" w:hAnsi="Arial"/>
          <w:sz w:val="19"/>
          <w:szCs w:val="19"/>
          <w:color w:val="auto"/>
        </w:rPr>
        <w:t>a merger, reorganization, consolidation or similar form of business transaction directly involving the Company or indirectly involving the Company through one or more intermediaries, unless, immediately following such transaction, more than 50% of the voting power of the then-outstanding voting stock or other securities of the Person resulting from consummation of the transaction (which Person may be any Parent that as a result of the transaction owns directly or indirectly the Company and all or substantially all of the Company’s assets) entitled to vote generally in elections of directors of such Person is held by the existing Company stockholders (determined immediately prior to the transaction and related transactions);</w:t>
      </w:r>
    </w:p>
    <w:p>
      <w:pPr>
        <w:spacing w:after="0" w:line="178" w:lineRule="exact"/>
        <w:rPr>
          <w:rFonts w:ascii="Arial" w:cs="Arial" w:eastAsia="Arial" w:hAnsi="Arial"/>
          <w:sz w:val="19"/>
          <w:szCs w:val="19"/>
          <w:color w:val="auto"/>
        </w:rPr>
      </w:pPr>
    </w:p>
    <w:p>
      <w:pPr>
        <w:ind w:right="120" w:firstLine="1547"/>
        <w:spacing w:after="0" w:line="250" w:lineRule="auto"/>
        <w:tabs>
          <w:tab w:leader="none" w:pos="1943" w:val="left"/>
        </w:tabs>
        <w:numPr>
          <w:ilvl w:val="0"/>
          <w:numId w:val="629"/>
        </w:numPr>
        <w:rPr>
          <w:rFonts w:ascii="Arial" w:cs="Arial" w:eastAsia="Arial" w:hAnsi="Arial"/>
          <w:sz w:val="20"/>
          <w:szCs w:val="20"/>
          <w:color w:val="auto"/>
        </w:rPr>
      </w:pPr>
      <w:r>
        <w:rPr>
          <w:rFonts w:ascii="Arial" w:cs="Arial" w:eastAsia="Arial" w:hAnsi="Arial"/>
          <w:sz w:val="20"/>
          <w:szCs w:val="20"/>
          <w:color w:val="auto"/>
        </w:rPr>
        <w:t>a single transaction or series of related transactions in which a Person (other than any employee benefit plan of the Company or an Affiliate, or any trustee or other fiduciary holding securities under an employee benefit plan of the Company or an Affiliate) is or becomes the beneficial owner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40" w:right="359" w:bottom="1440" w:gutter="0" w:footer="0" w:header="0"/>
        </w:sectPr>
      </w:pPr>
    </w:p>
    <w:bookmarkStart w:id="788" w:name="page789"/>
    <w:bookmarkEnd w:id="788"/>
    <w:p>
      <w:pPr>
        <w:spacing w:after="0" w:line="200" w:lineRule="exact"/>
        <w:rPr>
          <w:sz w:val="20"/>
          <w:szCs w:val="20"/>
          <w:color w:val="auto"/>
        </w:rPr>
      </w:pPr>
    </w:p>
    <w:p>
      <w:pPr>
        <w:spacing w:after="0" w:line="252" w:lineRule="exact"/>
        <w:rPr>
          <w:sz w:val="20"/>
          <w:szCs w:val="20"/>
          <w:color w:val="auto"/>
        </w:rPr>
      </w:pPr>
    </w:p>
    <w:p>
      <w:pPr>
        <w:ind w:right="880"/>
        <w:spacing w:after="0" w:line="260" w:lineRule="auto"/>
        <w:rPr>
          <w:sz w:val="20"/>
          <w:szCs w:val="20"/>
          <w:color w:val="auto"/>
        </w:rPr>
      </w:pPr>
      <w:r>
        <w:rPr>
          <w:rFonts w:ascii="Arial" w:cs="Arial" w:eastAsia="Arial" w:hAnsi="Arial"/>
          <w:sz w:val="20"/>
          <w:szCs w:val="20"/>
          <w:color w:val="auto"/>
        </w:rPr>
        <w:t>defined in Rule 13d-3 of the Exchange Act), directly or indirectly, of securities of the Company representing more than 50% of the outstanding voting power of the Company’s then-outstanding voting securities;</w:t>
      </w:r>
    </w:p>
    <w:p>
      <w:pPr>
        <w:spacing w:after="0" w:line="177" w:lineRule="exact"/>
        <w:rPr>
          <w:sz w:val="20"/>
          <w:szCs w:val="20"/>
          <w:color w:val="auto"/>
        </w:rPr>
      </w:pPr>
    </w:p>
    <w:p>
      <w:pPr>
        <w:ind w:right="540" w:firstLine="1547"/>
        <w:spacing w:after="0" w:line="385" w:lineRule="auto"/>
        <w:tabs>
          <w:tab w:leader="none" w:pos="1944" w:val="left"/>
        </w:tabs>
        <w:numPr>
          <w:ilvl w:val="0"/>
          <w:numId w:val="630"/>
        </w:numPr>
        <w:rPr>
          <w:rFonts w:ascii="Arial" w:cs="Arial" w:eastAsia="Arial" w:hAnsi="Arial"/>
          <w:sz w:val="16"/>
          <w:szCs w:val="16"/>
          <w:color w:val="auto"/>
        </w:rPr>
      </w:pPr>
      <w:r>
        <w:rPr>
          <w:rFonts w:ascii="Arial" w:cs="Arial" w:eastAsia="Arial" w:hAnsi="Arial"/>
          <w:sz w:val="16"/>
          <w:szCs w:val="16"/>
          <w:color w:val="auto"/>
        </w:rPr>
        <w:t>a single transaction or series of related transactions in which the Company, directly or indirectly, sells, assigns, conveys, transfers, leases or otherwise disposes of all or substantially all of its assets to another Person other than an Affiliate; or</w:t>
      </w:r>
    </w:p>
    <w:p>
      <w:pPr>
        <w:spacing w:after="0" w:line="84" w:lineRule="exact"/>
        <w:rPr>
          <w:rFonts w:ascii="Arial" w:cs="Arial" w:eastAsia="Arial" w:hAnsi="Arial"/>
          <w:sz w:val="16"/>
          <w:szCs w:val="16"/>
          <w:color w:val="auto"/>
        </w:rPr>
      </w:pPr>
    </w:p>
    <w:p>
      <w:pPr>
        <w:ind w:left="1940" w:hanging="393"/>
        <w:spacing w:after="0"/>
        <w:tabs>
          <w:tab w:leader="none" w:pos="1940" w:val="left"/>
        </w:tabs>
        <w:numPr>
          <w:ilvl w:val="0"/>
          <w:numId w:val="630"/>
        </w:numPr>
        <w:rPr>
          <w:rFonts w:ascii="Arial" w:cs="Arial" w:eastAsia="Arial" w:hAnsi="Arial"/>
          <w:sz w:val="20"/>
          <w:szCs w:val="20"/>
          <w:color w:val="auto"/>
        </w:rPr>
      </w:pPr>
      <w:r>
        <w:rPr>
          <w:rFonts w:ascii="Arial" w:cs="Arial" w:eastAsia="Arial" w:hAnsi="Arial"/>
          <w:sz w:val="20"/>
          <w:szCs w:val="20"/>
          <w:color w:val="auto"/>
        </w:rPr>
        <w:t>the liquidation or dissolution of the Company.</w:t>
      </w:r>
    </w:p>
    <w:p>
      <w:pPr>
        <w:spacing w:after="0" w:line="216" w:lineRule="exact"/>
        <w:rPr>
          <w:sz w:val="20"/>
          <w:szCs w:val="20"/>
          <w:color w:val="auto"/>
        </w:rPr>
      </w:pPr>
    </w:p>
    <w:p>
      <w:pPr>
        <w:ind w:right="120" w:firstLine="648"/>
        <w:spacing w:after="0" w:line="269" w:lineRule="auto"/>
        <w:rPr>
          <w:sz w:val="20"/>
          <w:szCs w:val="20"/>
          <w:color w:val="auto"/>
        </w:rPr>
      </w:pPr>
      <w:r>
        <w:rPr>
          <w:rFonts w:ascii="Arial" w:cs="Arial" w:eastAsia="Arial" w:hAnsi="Arial"/>
          <w:sz w:val="18"/>
          <w:szCs w:val="18"/>
          <w:color w:val="auto"/>
        </w:rPr>
        <w:t>Notwithstanding anything to the contrary herein, a Change in Control will not be deemed to have occurred by virtue of (A) the consummation of any transaction or series of related transactions immediately following which the holders of the shares of the Company immediately prior to the transaction or series of transactions continue to have substantially the same proportionate ownership and voting power in an entity which owns all or substantially all of the assets of the Company immediately following the transaction or series of transactions, (B) any acquisition of additional securities of the Company or voting power with respect to the Common Stock by any or some combination of the Specified Stockholders (as defined below), including as a result of a Permitted Transfer (as defined in the Certificate of Incorporation) or in connection with a transaction or issuance (including pursuant to outstanding equity-based awards) or any other transaction approved by the Board or a Committee thereof, (C) any change in the Specified Stockholders’ voting power with respect to the Common Stock resulting from a conversion of shares of Common Stock reducing the number of shares or votes outstanding or (D) any acquisition or disposition of shares of Class B Common Stock by the Specified Stockholders or change in the total voting power of the Common Stock held by the Specified Stockholders as a result of (x) the conversion of any shares of Common Stock into shares of Class B Common Stock, (y) the conversion of any shares of Class B Common Stock into shares of any other class of Common Stock or (z) any change in the voting power of the holders of the Class B Common Stock, including solely as a result of any decrease in the total number of shares of Common Stock or of any series of class thereof, as applicable, outstanding. For the avoidance of doubt, an initial public offering, any subsequent public offering or any other capital raising event shall not constitute a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A Common Stock</w:t>
      </w:r>
      <w:r>
        <w:rPr>
          <w:rFonts w:ascii="Arial" w:cs="Arial" w:eastAsia="Arial" w:hAnsi="Arial"/>
          <w:sz w:val="20"/>
          <w:szCs w:val="20"/>
          <w:color w:val="auto"/>
        </w:rPr>
        <w:t>” means the Company’s Class A Common Stock, par value $0.0001 per share.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B Common Stock</w:t>
      </w:r>
      <w:r>
        <w:rPr>
          <w:rFonts w:ascii="Arial" w:cs="Arial" w:eastAsia="Arial" w:hAnsi="Arial"/>
          <w:sz w:val="20"/>
          <w:szCs w:val="20"/>
          <w:color w:val="auto"/>
        </w:rPr>
        <w:t>” means the Company’s Class B Common Stock, par value $0.0001 per share.</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Class A Common Stock, the Class B Common Stock or the Company’s Class C common stock, par value $0.0001 per share.</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Stock Price</w:t>
      </w:r>
      <w:r>
        <w:rPr>
          <w:rFonts w:ascii="Arial" w:cs="Arial" w:eastAsia="Arial" w:hAnsi="Arial"/>
          <w:sz w:val="20"/>
          <w:szCs w:val="20"/>
          <w:color w:val="auto"/>
        </w:rPr>
        <w:t xml:space="preserve">” means the average of the volume weighted average trading prices of a Share as reported on a Securities Exchange for each trading day during </w:t>
      </w:r>
      <w:r>
        <w:rPr>
          <w:rFonts w:ascii="Arial" w:cs="Arial" w:eastAsia="Arial" w:hAnsi="Arial"/>
          <w:sz w:val="20"/>
          <w:szCs w:val="20"/>
          <w:u w:val="single" w:color="auto"/>
          <w:color w:val="auto"/>
        </w:rPr>
        <w:t>any</w:t>
      </w:r>
      <w:r>
        <w:rPr>
          <w:rFonts w:ascii="Arial" w:cs="Arial" w:eastAsia="Arial" w:hAnsi="Arial"/>
          <w:sz w:val="20"/>
          <w:szCs w:val="20"/>
          <w:color w:val="auto"/>
        </w:rPr>
        <w:t xml:space="preserve"> sixty (60) consecutive trading days during the Performance Period.</w:t>
      </w:r>
    </w:p>
    <w:p>
      <w:pPr>
        <w:spacing w:after="0" w:line="17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Exchange Agreement</w:t>
      </w:r>
      <w:r>
        <w:rPr>
          <w:rFonts w:ascii="Arial" w:cs="Arial" w:eastAsia="Arial" w:hAnsi="Arial"/>
          <w:sz w:val="20"/>
          <w:szCs w:val="20"/>
          <w:color w:val="auto"/>
        </w:rPr>
        <w:t>” means that certain equity exchange right agreement to be entered into by and between Participant and the Company, as may hereinafter be amended in accordance with its terms.</w:t>
      </w:r>
    </w:p>
    <w:p>
      <w:pPr>
        <w:spacing w:after="0" w:line="17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means the earliest to occur of: (i) the date on which all RSUs granted hereunder vest, (ii) the date Participant ceases to satisfy the Service Condition and (iii) the eighth anniversary of the RSU Grant Date.</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i w:val="1"/>
          <w:iCs w:val="1"/>
          <w:color w:val="auto"/>
        </w:rPr>
        <w:t>”</w:t>
      </w:r>
      <w:r>
        <w:rPr>
          <w:rFonts w:ascii="Arial" w:cs="Arial" w:eastAsia="Arial" w:hAnsi="Arial"/>
          <w:sz w:val="20"/>
          <w:szCs w:val="20"/>
          <w:color w:val="auto"/>
        </w:rPr>
        <w:t xml:space="preserve"> means the period commencing on the RSU Grant Date and ending on the Expiration Date, provided that, if the Shares commence publicly trading on a Securities Exchange following the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89" w:name="page790"/>
    <w:bookmarkEnd w:id="789"/>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Grant Date and the Expiration Date is not a trading day, the last trading day immediately preceding the Expiration Date.</w:t>
      </w:r>
    </w:p>
    <w:p>
      <w:pPr>
        <w:spacing w:after="0" w:line="21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 Share Deal Price</w:t>
      </w:r>
      <w:r>
        <w:rPr>
          <w:rFonts w:ascii="Arial" w:cs="Arial" w:eastAsia="Arial" w:hAnsi="Arial"/>
          <w:sz w:val="20"/>
          <w:szCs w:val="20"/>
          <w:color w:val="auto"/>
        </w:rPr>
        <w:t>” means the total present value of the amount of cash consideration and the present value of any non-cash consideration received or potentially receivable for a Share by holders of Shares in connection with the Change in Control or, if no such consideration will be received for a Share, the Fair Market Value of a Share on the day (or, if the Shares are then publicly traded on a Securities Exchange, the trading day) immediately prior to the Change in Control. The present value of any cash consideration and the present value of any non-cash consideration potentially receivable (including any consideration being held in escrow or subject to an earn-out or similar concept) will be reasonably determined in good faith by the Board, except that if such non-cash consideration is in the form of publicly traded securities, then the value of such publicly traded securities will be based on the volume weighted average trading price of such publicly traded securities over the five (5) trading day period ending three (3) business days prior to the date the Change in Control occurs.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corporation, firm, partnership, joint venture, limited liability company, estate, trust, business association, organization, governmental entity or other entity, or a “group” within the meaning of Section 13(d)(3) or Section 14(d)(2) of the Exchange Act.</w:t>
      </w:r>
    </w:p>
    <w:p>
      <w:pPr>
        <w:spacing w:after="0" w:line="186"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Exchange</w:t>
      </w:r>
      <w:r>
        <w:rPr>
          <w:rFonts w:ascii="Arial" w:cs="Arial" w:eastAsia="Arial" w:hAnsi="Arial"/>
          <w:sz w:val="20"/>
          <w:szCs w:val="20"/>
          <w:color w:val="auto"/>
        </w:rPr>
        <w:t>” means an established national securities exchange or automated quotation system (e.g., the New York Stock Exchange, The Nasdaq Global Select Market, or The Nasdaq Global Market).</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 Condition</w:t>
      </w:r>
      <w:r>
        <w:rPr>
          <w:rFonts w:ascii="Arial" w:cs="Arial" w:eastAsia="Arial" w:hAnsi="Arial"/>
          <w:sz w:val="17"/>
          <w:szCs w:val="17"/>
          <w:color w:val="auto"/>
        </w:rPr>
        <w:t>” means Participant’s full-time employment as a member of the senior management team of the Company [(including as the executive chairman of the Company (the “</w:t>
      </w:r>
      <w:r>
        <w:rPr>
          <w:rFonts w:ascii="Arial" w:cs="Arial" w:eastAsia="Arial" w:hAnsi="Arial"/>
          <w:sz w:val="17"/>
          <w:szCs w:val="17"/>
          <w:b w:val="1"/>
          <w:bCs w:val="1"/>
          <w:i w:val="1"/>
          <w:iCs w:val="1"/>
          <w:color w:val="auto"/>
        </w:rPr>
        <w:t>Executive Chairman</w:t>
      </w:r>
      <w:r>
        <w:rPr>
          <w:rFonts w:ascii="Arial" w:cs="Arial" w:eastAsia="Arial" w:hAnsi="Arial"/>
          <w:sz w:val="17"/>
          <w:szCs w:val="17"/>
          <w:color w:val="auto"/>
        </w:rPr>
        <w:t>”))]</w:t>
      </w:r>
      <w:r>
        <w:rPr>
          <w:rFonts w:ascii="Arial" w:cs="Arial" w:eastAsia="Arial" w:hAnsi="Arial"/>
          <w:sz w:val="21"/>
          <w:szCs w:val="21"/>
          <w:color w:val="auto"/>
          <w:vertAlign w:val="superscript"/>
        </w:rPr>
        <w:t>1</w:t>
      </w:r>
      <w:r>
        <w:rPr>
          <w:rFonts w:ascii="Arial" w:cs="Arial" w:eastAsia="Arial" w:hAnsi="Arial"/>
          <w:sz w:val="17"/>
          <w:szCs w:val="17"/>
          <w:color w:val="auto"/>
        </w:rPr>
        <w:t>. In the event of any dispute over whether Participant fails to meet the Service Condition, the Board will have sole discretion, which it shall exercise reasonably and in good faith, to determine whether such termination has occurred and the effective date of such termination, and such determination will be binding on Participant, the Company, and the respective successors. [Notwithstanding the foregoing, in the event Participant ceases to serve as Executive Chairman or Chief Executive Officer, but remains employed as a member of the senior management team of the Company, the number of RSUs eligible to vest on an Achievement Date that occurs after the cessation of service as Executive Chairman or Chief Executive Officer shall be multiplied by 0.6.]</w:t>
      </w:r>
      <w:r>
        <w:rPr>
          <w:rFonts w:ascii="Arial" w:cs="Arial" w:eastAsia="Arial" w:hAnsi="Arial"/>
          <w:sz w:val="21"/>
          <w:szCs w:val="21"/>
          <w:color w:val="auto"/>
          <w:vertAlign w:val="superscript"/>
        </w:rPr>
        <w:t>2</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Settlement Date</w:t>
      </w:r>
      <w:r>
        <w:rPr>
          <w:rFonts w:ascii="Arial" w:cs="Arial" w:eastAsia="Arial" w:hAnsi="Arial"/>
          <w:sz w:val="20"/>
          <w:szCs w:val="20"/>
          <w:color w:val="auto"/>
        </w:rPr>
        <w:t>” means the tenth trading day of the calendar month following the Achievement Date.</w:t>
      </w:r>
    </w:p>
    <w:p>
      <w:pPr>
        <w:spacing w:after="0" w:line="21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b w:val="1"/>
          <w:bCs w:val="1"/>
          <w:i w:val="1"/>
          <w:iCs w:val="1"/>
          <w:color w:val="auto"/>
        </w:rPr>
        <w:t xml:space="preserve">“Specified Stockholders” </w:t>
      </w:r>
      <w:r>
        <w:rPr>
          <w:rFonts w:ascii="Arial" w:cs="Arial" w:eastAsia="Arial" w:hAnsi="Arial"/>
          <w:sz w:val="20"/>
          <w:szCs w:val="20"/>
          <w:color w:val="auto"/>
        </w:rPr>
        <w:t>means, individually or collectively (in any combination thereof), any Founder (as defined in the Certificate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Incorporation) or a Permitted Entity (as defined in the Certificate of Incorporation) of such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3" w:lineRule="exact"/>
        <w:rPr>
          <w:sz w:val="20"/>
          <w:szCs w:val="20"/>
          <w:color w:val="auto"/>
        </w:rPr>
      </w:pPr>
    </w:p>
    <w:p>
      <w:pPr>
        <w:ind w:left="440" w:hanging="108"/>
        <w:spacing w:after="0"/>
        <w:tabs>
          <w:tab w:leader="none" w:pos="440" w:val="left"/>
        </w:tabs>
        <w:numPr>
          <w:ilvl w:val="0"/>
          <w:numId w:val="631"/>
        </w:numPr>
        <w:rPr>
          <w:rFonts w:ascii="Arial" w:cs="Arial" w:eastAsia="Arial" w:hAnsi="Arial"/>
          <w:sz w:val="26"/>
          <w:szCs w:val="26"/>
          <w:color w:val="auto"/>
          <w:vertAlign w:val="superscript"/>
        </w:rPr>
      </w:pPr>
      <w:r>
        <w:rPr>
          <w:rFonts w:ascii="Arial" w:cs="Arial" w:eastAsia="Arial" w:hAnsi="Arial"/>
          <w:sz w:val="20"/>
          <w:szCs w:val="20"/>
          <w:u w:val="single" w:color="auto"/>
          <w:color w:val="auto"/>
        </w:rPr>
        <w:t>Note to Draft:</w:t>
      </w:r>
      <w:r>
        <w:rPr>
          <w:rFonts w:ascii="Arial" w:cs="Arial" w:eastAsia="Arial" w:hAnsi="Arial"/>
          <w:sz w:val="20"/>
          <w:szCs w:val="20"/>
          <w:color w:val="auto"/>
        </w:rPr>
        <w:t xml:space="preserve"> Provision applicable only to Mr. Tenev.</w:t>
      </w:r>
    </w:p>
    <w:p>
      <w:pPr>
        <w:spacing w:after="0" w:line="87" w:lineRule="exact"/>
        <w:rPr>
          <w:rFonts w:ascii="Arial" w:cs="Arial" w:eastAsia="Arial" w:hAnsi="Arial"/>
          <w:sz w:val="26"/>
          <w:szCs w:val="26"/>
          <w:color w:val="auto"/>
          <w:vertAlign w:val="superscript"/>
        </w:rPr>
      </w:pPr>
    </w:p>
    <w:p>
      <w:pPr>
        <w:ind w:left="340"/>
        <w:spacing w:after="0"/>
        <w:rPr>
          <w:rFonts w:ascii="Arial" w:cs="Arial" w:eastAsia="Arial" w:hAnsi="Arial"/>
          <w:sz w:val="26"/>
          <w:szCs w:val="26"/>
          <w:color w:val="auto"/>
          <w:vertAlign w:val="superscript"/>
        </w:rPr>
      </w:pPr>
      <w:r>
        <w:rPr>
          <w:rFonts w:ascii="Arial" w:cs="Arial" w:eastAsia="Arial" w:hAnsi="Arial"/>
          <w:sz w:val="25"/>
          <w:szCs w:val="25"/>
          <w:color w:val="auto"/>
          <w:vertAlign w:val="superscript"/>
        </w:rPr>
        <w:t>2</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Note to Draft:</w:t>
      </w:r>
      <w:r>
        <w:rPr>
          <w:rFonts w:ascii="Arial" w:cs="Arial" w:eastAsia="Arial" w:hAnsi="Arial"/>
          <w:sz w:val="20"/>
          <w:szCs w:val="20"/>
          <w:color w:val="auto"/>
        </w:rPr>
        <w:t xml:space="preserve"> Provision applicable only to Mr. Tenev.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790" w:name="page791"/>
    <w:bookmarkEnd w:id="790"/>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 (DIRECTOR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defined in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shall have the same meanings in this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Unless otherwise defined herein, the terms defined in the Plan shall have the same defined meanings in this Notice of Grant.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references to the “Platform” in this Notice of Grant or in the RSU Agreement (as defined below) shall be interpreted as the equity management software currently in use by the Company.</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Participant named below has been granted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subject to the terms and conditions of the Plan, this Notice of Grant and the Restricted Stock Unit Agreement,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RSU Agreement</w:t>
      </w:r>
      <w:r>
        <w:rPr>
          <w:rFonts w:ascii="Arial" w:cs="Arial" w:eastAsia="Arial" w:hAnsi="Arial"/>
          <w:sz w:val="20"/>
          <w:szCs w:val="20"/>
          <w:color w:val="auto"/>
        </w:rPr>
        <w:t>”). Each RSU represents the right to receive one Share. The RSUs shall be credited to a separate book-entry account maintained for the Participant on the books of the Company.</w:t>
      </w:r>
    </w:p>
    <w:p>
      <w:pPr>
        <w:sectPr>
          <w:pgSz w:w="11900" w:h="16838" w:orient="portrait"/>
          <w:cols w:equalWidth="0" w:num="1">
            <w:col w:w="11240"/>
          </w:cols>
          <w:pgMar w:left="320" w:top="122"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Participant 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80" w:space="720"/>
            <w:col w:w="6940"/>
          </w:cols>
          <w:pgMar w:left="320" w:top="122"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Number of RSUs: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80" w:space="720"/>
            <w:col w:w="6940"/>
          </w:cols>
          <w:pgMar w:left="320" w:top="122"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RSU Grant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80" w:space="720"/>
            <w:col w:w="6940"/>
          </w:cols>
          <w:pgMar w:left="320" w:top="122"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[1st day of first full calendar month after the RSU Grant Date]</w:t>
      </w:r>
    </w:p>
    <w:p>
      <w:pPr>
        <w:spacing w:after="0" w:line="200" w:lineRule="exact"/>
        <w:rPr>
          <w:sz w:val="20"/>
          <w:szCs w:val="20"/>
          <w:color w:val="auto"/>
        </w:rPr>
      </w:pPr>
    </w:p>
    <w:p>
      <w:pPr>
        <w:sectPr>
          <w:pgSz w:w="11900" w:h="16838" w:orient="portrait"/>
          <w:cols w:equalWidth="0" w:num="2">
            <w:col w:w="3580" w:space="720"/>
            <w:col w:w="6940"/>
          </w:cols>
          <w:pgMar w:left="320" w:top="122" w:right="339" w:bottom="1440" w:gutter="0" w:footer="0" w:header="0"/>
          <w:type w:val="continuous"/>
        </w:sectPr>
      </w:pPr>
    </w:p>
    <w:p>
      <w:pPr>
        <w:spacing w:after="0" w:line="152" w:lineRule="exact"/>
        <w:rPr>
          <w:sz w:val="20"/>
          <w:szCs w:val="20"/>
          <w:color w:val="auto"/>
        </w:rPr>
      </w:pPr>
    </w:p>
    <w:p>
      <w:pPr>
        <w:ind w:left="20" w:right="800"/>
        <w:spacing w:after="0" w:line="282" w:lineRule="auto"/>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The earlier to occur of: (a) the date on which settlement of all vested RSUs granted hereunder occurs and (b) the seventh (7th)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Grant Date.</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16" w:lineRule="exact"/>
        <w:rPr>
          <w:sz w:val="20"/>
          <w:szCs w:val="20"/>
          <w:color w:val="auto"/>
        </w:rPr>
      </w:pPr>
    </w:p>
    <w:p>
      <w:pPr>
        <w:jc w:val="both"/>
        <w:ind w:left="660" w:hanging="652"/>
        <w:spacing w:after="0" w:line="294" w:lineRule="auto"/>
        <w:tabs>
          <w:tab w:leader="none" w:pos="650" w:val="left"/>
        </w:tabs>
        <w:numPr>
          <w:ilvl w:val="0"/>
          <w:numId w:val="632"/>
        </w:numPr>
        <w:rPr>
          <w:rFonts w:ascii="Arial" w:cs="Arial" w:eastAsia="Arial" w:hAnsi="Arial"/>
          <w:sz w:val="18"/>
          <w:szCs w:val="18"/>
          <w:color w:val="auto"/>
        </w:rPr>
      </w:pPr>
      <w:r>
        <w:rPr>
          <w:rFonts w:ascii="Arial" w:cs="Arial" w:eastAsia="Arial" w:hAnsi="Arial"/>
          <w:sz w:val="18"/>
          <w:szCs w:val="18"/>
          <w:b w:val="1"/>
          <w:bCs w:val="1"/>
          <w:color w:val="auto"/>
        </w:rPr>
        <w:t xml:space="preserve">Two-Tiered Vesting. </w:t>
      </w:r>
      <w:r>
        <w:rPr>
          <w:rFonts w:ascii="Arial" w:cs="Arial" w:eastAsia="Arial" w:hAnsi="Arial"/>
          <w:sz w:val="18"/>
          <w:szCs w:val="18"/>
          <w:color w:val="auto"/>
        </w:rPr>
        <w:t>The vesting of the RSUs is conditioned on satisfaction of two vesting requirements before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or earlier termination of the RSUs pursuant to the Plan or the RSU Agreement: a time- and service-based requirement (the “</w:t>
      </w:r>
      <w:r>
        <w:rPr>
          <w:rFonts w:ascii="Arial" w:cs="Arial" w:eastAsia="Arial" w:hAnsi="Arial"/>
          <w:sz w:val="18"/>
          <w:szCs w:val="18"/>
          <w:b w:val="1"/>
          <w:bCs w:val="1"/>
          <w:i w:val="1"/>
          <w:iCs w:val="1"/>
          <w:color w:val="auto"/>
        </w:rPr>
        <w:t>Time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 Requirement</w:t>
      </w:r>
      <w:r>
        <w:rPr>
          <w:rFonts w:ascii="Arial" w:cs="Arial" w:eastAsia="Arial" w:hAnsi="Arial"/>
          <w:sz w:val="18"/>
          <w:szCs w:val="18"/>
          <w:color w:val="auto"/>
        </w:rPr>
        <w:t>”) and a liquidity-event requirement (the “</w:t>
      </w:r>
      <w:r>
        <w:rPr>
          <w:rFonts w:ascii="Arial" w:cs="Arial" w:eastAsia="Arial" w:hAnsi="Arial"/>
          <w:sz w:val="18"/>
          <w:szCs w:val="18"/>
          <w:b w:val="1"/>
          <w:bCs w:val="1"/>
          <w:i w:val="1"/>
          <w:iCs w:val="1"/>
          <w:color w:val="auto"/>
        </w:rPr>
        <w:t>Liquidity Event Requirement</w:t>
      </w:r>
      <w:r>
        <w:rPr>
          <w:rFonts w:ascii="Arial" w:cs="Arial" w:eastAsia="Arial" w:hAnsi="Arial"/>
          <w:sz w:val="18"/>
          <w:szCs w:val="18"/>
          <w:color w:val="auto"/>
        </w:rPr>
        <w:t>”), each as described below.</w:t>
      </w:r>
    </w:p>
    <w:p>
      <w:pPr>
        <w:spacing w:after="0" w:line="143" w:lineRule="exact"/>
        <w:rPr>
          <w:rFonts w:ascii="Arial" w:cs="Arial" w:eastAsia="Arial" w:hAnsi="Arial"/>
          <w:sz w:val="18"/>
          <w:szCs w:val="18"/>
          <w:color w:val="auto"/>
        </w:rPr>
      </w:pPr>
    </w:p>
    <w:p>
      <w:pPr>
        <w:jc w:val="both"/>
        <w:ind w:left="660" w:firstLine="1292"/>
        <w:spacing w:after="0" w:line="253" w:lineRule="auto"/>
        <w:tabs>
          <w:tab w:leader="none" w:pos="2602" w:val="left"/>
        </w:tabs>
        <w:numPr>
          <w:ilvl w:val="2"/>
          <w:numId w:val="632"/>
        </w:numPr>
        <w:rPr>
          <w:rFonts w:ascii="Arial" w:cs="Arial" w:eastAsia="Arial" w:hAnsi="Arial"/>
          <w:sz w:val="20"/>
          <w:szCs w:val="20"/>
          <w:color w:val="auto"/>
        </w:rPr>
      </w:pPr>
      <w:r>
        <w:rPr>
          <w:rFonts w:ascii="Arial" w:cs="Arial" w:eastAsia="Arial" w:hAnsi="Arial"/>
          <w:sz w:val="20"/>
          <w:szCs w:val="20"/>
          <w:b w:val="1"/>
          <w:bCs w:val="1"/>
          <w:color w:val="auto"/>
        </w:rPr>
        <w:t xml:space="preserve">Time and Service Requirement. </w:t>
      </w:r>
      <w:r>
        <w:rPr>
          <w:rFonts w:ascii="Arial" w:cs="Arial" w:eastAsia="Arial" w:hAnsi="Arial"/>
          <w:sz w:val="20"/>
          <w:szCs w:val="20"/>
          <w:color w:val="auto"/>
        </w:rPr>
        <w:t>The Time and Service Requirement will be satisfied in 16 equal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installments on each three month anniversary of the Vesting Commencement Date;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Participant remains in Continuous Service Status (as defined below) from the RSU Grant Date through each such three month anniversary.</w:t>
      </w:r>
    </w:p>
    <w:p>
      <w:pPr>
        <w:spacing w:after="0" w:line="177" w:lineRule="exact"/>
        <w:rPr>
          <w:rFonts w:ascii="Arial" w:cs="Arial" w:eastAsia="Arial" w:hAnsi="Arial"/>
          <w:sz w:val="20"/>
          <w:szCs w:val="20"/>
          <w:color w:val="auto"/>
        </w:rPr>
      </w:pPr>
    </w:p>
    <w:p>
      <w:pPr>
        <w:ind w:left="2600" w:hanging="648"/>
        <w:spacing w:after="0"/>
        <w:tabs>
          <w:tab w:leader="none" w:pos="2600" w:val="left"/>
        </w:tabs>
        <w:numPr>
          <w:ilvl w:val="2"/>
          <w:numId w:val="632"/>
        </w:numPr>
        <w:rPr>
          <w:rFonts w:ascii="Arial" w:cs="Arial" w:eastAsia="Arial" w:hAnsi="Arial"/>
          <w:sz w:val="18"/>
          <w:szCs w:val="18"/>
          <w:color w:val="auto"/>
        </w:rPr>
      </w:pPr>
      <w:r>
        <w:rPr>
          <w:rFonts w:ascii="Arial" w:cs="Arial" w:eastAsia="Arial" w:hAnsi="Arial"/>
          <w:sz w:val="18"/>
          <w:szCs w:val="18"/>
          <w:b w:val="1"/>
          <w:bCs w:val="1"/>
          <w:color w:val="auto"/>
        </w:rPr>
        <w:t xml:space="preserve">Liquidity Event Requirement. </w:t>
      </w:r>
      <w:r>
        <w:rPr>
          <w:rFonts w:ascii="Arial" w:cs="Arial" w:eastAsia="Arial" w:hAnsi="Arial"/>
          <w:sz w:val="18"/>
          <w:szCs w:val="18"/>
          <w:color w:val="auto"/>
        </w:rPr>
        <w:t>The Liquidity Event Requirement will be satisfied on the earlier to occur of:</w:t>
      </w:r>
    </w:p>
    <w:p>
      <w:pPr>
        <w:spacing w:after="0" w:line="44" w:lineRule="exact"/>
        <w:rPr>
          <w:rFonts w:ascii="Arial" w:cs="Arial" w:eastAsia="Arial" w:hAnsi="Arial"/>
          <w:sz w:val="18"/>
          <w:szCs w:val="18"/>
          <w:color w:val="auto"/>
        </w:rPr>
      </w:pPr>
    </w:p>
    <w:p>
      <w:pPr>
        <w:jc w:val="both"/>
        <w:ind w:left="660" w:hanging="4"/>
        <w:spacing w:after="0" w:line="241" w:lineRule="auto"/>
        <w:tabs>
          <w:tab w:leader="none" w:pos="1015" w:val="left"/>
        </w:tabs>
        <w:numPr>
          <w:ilvl w:val="1"/>
          <w:numId w:val="632"/>
        </w:numPr>
        <w:rPr>
          <w:rFonts w:ascii="Arial" w:cs="Arial" w:eastAsia="Arial" w:hAnsi="Arial"/>
          <w:sz w:val="20"/>
          <w:szCs w:val="20"/>
          <w:color w:val="auto"/>
        </w:rPr>
      </w:pPr>
      <w:r>
        <w:rPr>
          <w:rFonts w:ascii="Arial" w:cs="Arial" w:eastAsia="Arial" w:hAnsi="Arial"/>
          <w:sz w:val="20"/>
          <w:szCs w:val="20"/>
          <w:color w:val="auto"/>
        </w:rPr>
        <w:t>the date (the “</w:t>
      </w:r>
      <w:r>
        <w:rPr>
          <w:rFonts w:ascii="Arial" w:cs="Arial" w:eastAsia="Arial" w:hAnsi="Arial"/>
          <w:sz w:val="20"/>
          <w:szCs w:val="20"/>
          <w:b w:val="1"/>
          <w:bCs w:val="1"/>
          <w:i w:val="1"/>
          <w:iCs w:val="1"/>
          <w:color w:val="auto"/>
        </w:rPr>
        <w:t>Registration Date</w:t>
      </w:r>
      <w:r>
        <w:rPr>
          <w:rFonts w:ascii="Arial" w:cs="Arial" w:eastAsia="Arial" w:hAnsi="Arial"/>
          <w:sz w:val="20"/>
          <w:szCs w:val="20"/>
          <w:color w:val="auto"/>
        </w:rPr>
        <w:t>”) on which the SEC declares effective a registration statement regarding the initial public offering of the Company’s common stock (the “</w:t>
      </w:r>
      <w:r>
        <w:rPr>
          <w:rFonts w:ascii="Arial" w:cs="Arial" w:eastAsia="Arial" w:hAnsi="Arial"/>
          <w:sz w:val="20"/>
          <w:szCs w:val="20"/>
          <w:b w:val="1"/>
          <w:bCs w:val="1"/>
          <w:i w:val="1"/>
          <w:iCs w:val="1"/>
          <w:color w:val="auto"/>
        </w:rPr>
        <w:t>IPO</w:t>
      </w:r>
      <w:r>
        <w:rPr>
          <w:rFonts w:ascii="Arial" w:cs="Arial" w:eastAsia="Arial" w:hAnsi="Arial"/>
          <w:sz w:val="20"/>
          <w:szCs w:val="20"/>
          <w:color w:val="auto"/>
        </w:rPr>
        <w:t>”) (provided that the IPO occurs by the seventh year anniversary of the RSU Grant Date); and (B) the date of an Acquisition (as defined in the Plan), but only if</w:t>
      </w:r>
    </w:p>
    <w:p>
      <w:pPr>
        <w:sectPr>
          <w:pgSz w:w="11900" w:h="16838" w:orient="portrait"/>
          <w:cols w:equalWidth="0" w:num="1">
            <w:col w:w="11240"/>
          </w:cols>
          <w:pgMar w:left="320" w:top="122" w:right="339" w:bottom="1440" w:gutter="0" w:footer="0" w:header="0"/>
          <w:type w:val="continuous"/>
        </w:sectPr>
      </w:pPr>
    </w:p>
    <w:bookmarkStart w:id="791" w:name="page792"/>
    <w:bookmarkEnd w:id="791"/>
    <w:p>
      <w:pPr>
        <w:spacing w:after="0" w:line="19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constituting a permissible payment event as a change in ownership, effective control, or sale of substantially all of the assets, as provided under Section 409A (provided that such date occurs by the seventh year anniversary of the RSU Grant Date) (the earlier of prong (A) or (B) to occur, the “</w:t>
      </w:r>
      <w:r>
        <w:rPr>
          <w:rFonts w:ascii="Arial" w:cs="Arial" w:eastAsia="Arial" w:hAnsi="Arial"/>
          <w:sz w:val="20"/>
          <w:szCs w:val="20"/>
          <w:b w:val="1"/>
          <w:bCs w:val="1"/>
          <w:i w:val="1"/>
          <w:iCs w:val="1"/>
          <w:color w:val="auto"/>
        </w:rPr>
        <w:t>Initial Vesting Event</w:t>
      </w:r>
      <w:r>
        <w:rPr>
          <w:rFonts w:ascii="Arial" w:cs="Arial" w:eastAsia="Arial" w:hAnsi="Arial"/>
          <w:sz w:val="20"/>
          <w:szCs w:val="20"/>
          <w:color w:val="auto"/>
        </w:rPr>
        <w:t>”).</w:t>
      </w:r>
    </w:p>
    <w:p>
      <w:pPr>
        <w:spacing w:after="0" w:line="186" w:lineRule="exact"/>
        <w:rPr>
          <w:sz w:val="20"/>
          <w:szCs w:val="20"/>
          <w:color w:val="auto"/>
        </w:rPr>
      </w:pPr>
    </w:p>
    <w:p>
      <w:pPr>
        <w:jc w:val="both"/>
        <w:ind w:left="660" w:hanging="652"/>
        <w:spacing w:after="0" w:line="257" w:lineRule="auto"/>
        <w:tabs>
          <w:tab w:leader="none" w:pos="648" w:val="left"/>
        </w:tabs>
        <w:numPr>
          <w:ilvl w:val="0"/>
          <w:numId w:val="633"/>
        </w:numPr>
        <w:rPr>
          <w:rFonts w:ascii="Arial" w:cs="Arial" w:eastAsia="Arial" w:hAnsi="Arial"/>
          <w:sz w:val="19"/>
          <w:szCs w:val="19"/>
          <w:color w:val="auto"/>
        </w:rPr>
      </w:pPr>
      <w:r>
        <w:rPr>
          <w:rFonts w:ascii="Arial" w:cs="Arial" w:eastAsia="Arial" w:hAnsi="Arial"/>
          <w:sz w:val="19"/>
          <w:szCs w:val="19"/>
          <w:u w:val="single" w:color="auto"/>
          <w:color w:val="auto"/>
        </w:rPr>
        <w:t>RSUs Vested at Initial Vesting Event</w:t>
      </w:r>
      <w:r>
        <w:rPr>
          <w:rFonts w:ascii="Arial" w:cs="Arial" w:eastAsia="Arial" w:hAnsi="Arial"/>
          <w:sz w:val="19"/>
          <w:szCs w:val="19"/>
          <w:color w:val="auto"/>
        </w:rPr>
        <w:t>. If at the time of the Initial Vesting Event, Participant is not in Continuous Service Status and did not meet the Time and Service Requirement with respect to any portion of the RSUs, then no portion of the RSUs shall vest. If at the time of the Initial Vesting Event, Participant is in Continuous Service Status or has ceased to be in Continuous Service Status but did meet the Time and Service Requirement with respect to any portion of the RSUs, then the RSUs shall vest as to the number of RSUs that have satisfied the Time and Service Requirement as of the Initial Vesting Event in accordance with clause (a)(i) above. “</w:t>
      </w:r>
      <w:r>
        <w:rPr>
          <w:rFonts w:ascii="Arial" w:cs="Arial" w:eastAsia="Arial" w:hAnsi="Arial"/>
          <w:sz w:val="19"/>
          <w:szCs w:val="19"/>
          <w:b w:val="1"/>
          <w:bCs w:val="1"/>
          <w:i w:val="1"/>
          <w:iCs w:val="1"/>
          <w:color w:val="auto"/>
        </w:rPr>
        <w:t>Continuous Service Status</w:t>
      </w:r>
      <w:r>
        <w:rPr>
          <w:rFonts w:ascii="Arial" w:cs="Arial" w:eastAsia="Arial" w:hAnsi="Arial"/>
          <w:sz w:val="19"/>
          <w:szCs w:val="19"/>
          <w:color w:val="auto"/>
        </w:rPr>
        <w:t>” means Participant continues to provide services as an employee, officer, director or consultant to the Company or a Subsidiary, Parent or Affiliate of the Company.</w:t>
      </w:r>
    </w:p>
    <w:p>
      <w:pPr>
        <w:spacing w:after="0" w:line="184" w:lineRule="exact"/>
        <w:rPr>
          <w:rFonts w:ascii="Arial" w:cs="Arial" w:eastAsia="Arial" w:hAnsi="Arial"/>
          <w:sz w:val="19"/>
          <w:szCs w:val="19"/>
          <w:color w:val="auto"/>
        </w:rPr>
      </w:pPr>
    </w:p>
    <w:p>
      <w:pPr>
        <w:jc w:val="both"/>
        <w:ind w:left="660" w:hanging="652"/>
        <w:spacing w:after="0" w:line="246" w:lineRule="auto"/>
        <w:tabs>
          <w:tab w:leader="none" w:pos="650" w:val="left"/>
        </w:tabs>
        <w:numPr>
          <w:ilvl w:val="0"/>
          <w:numId w:val="633"/>
        </w:numPr>
        <w:rPr>
          <w:rFonts w:ascii="Arial" w:cs="Arial" w:eastAsia="Arial" w:hAnsi="Arial"/>
          <w:sz w:val="20"/>
          <w:szCs w:val="20"/>
          <w:color w:val="auto"/>
        </w:rPr>
      </w:pPr>
      <w:r>
        <w:rPr>
          <w:rFonts w:ascii="Arial" w:cs="Arial" w:eastAsia="Arial" w:hAnsi="Arial"/>
          <w:sz w:val="20"/>
          <w:szCs w:val="20"/>
          <w:u w:val="single" w:color="auto"/>
          <w:color w:val="auto"/>
        </w:rPr>
        <w:t>RSUs Vested after Initial Vesting Event</w:t>
      </w:r>
      <w:r>
        <w:rPr>
          <w:rFonts w:ascii="Arial" w:cs="Arial" w:eastAsia="Arial" w:hAnsi="Arial"/>
          <w:sz w:val="20"/>
          <w:szCs w:val="20"/>
          <w:color w:val="auto"/>
        </w:rPr>
        <w:t>. If Participant is in Continuous Service Status at the time of the Initial Vesting Event, then with respect to RSUs that have not vested as of such Initial Vesting Event under clause (b) above, vesting shall continue after the Initial Vesting Event in accordance with the Time and Service Requirement set forth in clause (a)(i) above (each subsequent vesting date, a “</w:t>
      </w:r>
      <w:r>
        <w:rPr>
          <w:rFonts w:ascii="Arial" w:cs="Arial" w:eastAsia="Arial" w:hAnsi="Arial"/>
          <w:sz w:val="20"/>
          <w:szCs w:val="20"/>
          <w:b w:val="1"/>
          <w:bCs w:val="1"/>
          <w:i w:val="1"/>
          <w:iCs w:val="1"/>
          <w:color w:val="auto"/>
        </w:rPr>
        <w:t>Subsequent Vesting Event</w:t>
      </w:r>
      <w:r>
        <w:rPr>
          <w:rFonts w:ascii="Arial" w:cs="Arial" w:eastAsia="Arial" w:hAnsi="Arial"/>
          <w:sz w:val="20"/>
          <w:szCs w:val="20"/>
          <w:color w:val="auto"/>
        </w:rPr>
        <w: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RSUs that vest as of the Initial Vesting Event shall be settled no later than 30 days following such Initial Vesting Event.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means the delivery of the Shares vested under an RSU. Settlement of RSUs on the Initial Vesting Event or any Subsequent Vesting Event shall be in Shares. Settlement of vested RSUs shall occur whether or not Participant is in Continuous Service Status at the time of settlement. No fractional RSUs or rights for fractional Shares shall be created pursuant to this Notice of Grant. Notwithstanding the foregoing, any RSUs that vest upon a Subsequent Vesting Event that falls within the restricted period set forth in Section 15 of the RSU Agreement shall be settled no later than 30 days following the expiration of such restricted period, and in all cases all RSUs shall be settled no later than 74 days after the end of the calendar year in which such Subsequent Vesting Event occurs.</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 provision contained in this Notice of Grant, the Plan or the RSU Agreement to the contrary, if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(as defined below) occurs while the Participant is in Continuous Service Status, then the RSUs, to the extent then outstanding and unvested, shall vest in full. Such vested RSUs shall be settled no later than 30 days following such Change in Control.</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For purposes of this Notice of Grant and the RSU Agreement: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corporation or any other entity (including, but not limited to, partnerships and joint ventures) controlling, controlled by, or under common control with the Company.</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 of Incorporation</w:t>
      </w:r>
      <w:r>
        <w:rPr>
          <w:rFonts w:ascii="Arial" w:cs="Arial" w:eastAsia="Arial" w:hAnsi="Arial"/>
          <w:sz w:val="20"/>
          <w:szCs w:val="20"/>
          <w:color w:val="auto"/>
        </w:rPr>
        <w:t>” means the Company’s Amended and Restated Certificate of Incorporation, as may be amended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of any of the following events:</w:t>
      </w:r>
    </w:p>
    <w:p>
      <w:pPr>
        <w:spacing w:after="0" w:line="216" w:lineRule="exact"/>
        <w:rPr>
          <w:sz w:val="20"/>
          <w:szCs w:val="20"/>
          <w:color w:val="auto"/>
        </w:rPr>
      </w:pPr>
    </w:p>
    <w:p>
      <w:pPr>
        <w:ind w:left="660" w:hanging="490"/>
        <w:spacing w:after="0" w:line="250" w:lineRule="auto"/>
        <w:tabs>
          <w:tab w:leader="none" w:pos="578" w:val="left"/>
        </w:tabs>
        <w:numPr>
          <w:ilvl w:val="0"/>
          <w:numId w:val="634"/>
        </w:numPr>
        <w:rPr>
          <w:rFonts w:ascii="Arial" w:cs="Arial" w:eastAsia="Arial" w:hAnsi="Arial"/>
          <w:sz w:val="20"/>
          <w:szCs w:val="20"/>
          <w:color w:val="auto"/>
        </w:rPr>
      </w:pPr>
      <w:r>
        <w:rPr>
          <w:rFonts w:ascii="Arial" w:cs="Arial" w:eastAsia="Arial" w:hAnsi="Arial"/>
          <w:sz w:val="20"/>
          <w:szCs w:val="20"/>
          <w:color w:val="auto"/>
        </w:rPr>
        <w:t>a merger, reorganization, consolidation or similar form of business transaction directly involving the Company or indirectly involving the Company through one or more intermediaries, unless, immediately following such transaction, more than 50% of the voting power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92" w:name="page793"/>
    <w:bookmarkEnd w:id="792"/>
    <w:p>
      <w:pPr>
        <w:spacing w:after="0" w:line="19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outstanding voting stock or other securities of the Person resulting from consummation of the transaction (which Person may be any Parent that as a result of the transaction owns directly or indirectly the Company and all or substantially all of the Company’s assets) entitled to vote generally in elections of directors of such Person is held by the existing Company stockholders (determined immediately prior to the transaction and related transactions);</w:t>
      </w:r>
    </w:p>
    <w:p>
      <w:pPr>
        <w:spacing w:after="0" w:line="191" w:lineRule="exact"/>
        <w:rPr>
          <w:sz w:val="20"/>
          <w:szCs w:val="20"/>
          <w:color w:val="auto"/>
        </w:rPr>
      </w:pPr>
    </w:p>
    <w:p>
      <w:pPr>
        <w:jc w:val="both"/>
        <w:ind w:left="660" w:hanging="490"/>
        <w:spacing w:after="0" w:line="244" w:lineRule="auto"/>
        <w:tabs>
          <w:tab w:leader="none" w:pos="659" w:val="left"/>
        </w:tabs>
        <w:numPr>
          <w:ilvl w:val="0"/>
          <w:numId w:val="635"/>
        </w:numPr>
        <w:rPr>
          <w:rFonts w:ascii="Arial" w:cs="Arial" w:eastAsia="Arial" w:hAnsi="Arial"/>
          <w:sz w:val="20"/>
          <w:szCs w:val="20"/>
          <w:color w:val="auto"/>
        </w:rPr>
      </w:pPr>
      <w:r>
        <w:rPr>
          <w:rFonts w:ascii="Arial" w:cs="Arial" w:eastAsia="Arial" w:hAnsi="Arial"/>
          <w:sz w:val="20"/>
          <w:szCs w:val="20"/>
          <w:color w:val="auto"/>
        </w:rPr>
        <w:t>a single transaction or series of related transactions in which a Person (other than any employee benefit plan of the Company or an Affiliate, or any trustee or other fiduciary holding securities under an employee benefit plan of the Company or an Affiliate) is or becomes the beneficial owner (as defined in Rule 13d-3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directly or indirectly, of securities of the Company representing more than 50% of the outstanding voting power of the Company’s then-outstanding voting securities;</w:t>
      </w:r>
    </w:p>
    <w:p>
      <w:pPr>
        <w:spacing w:after="0" w:line="194" w:lineRule="exact"/>
        <w:rPr>
          <w:rFonts w:ascii="Arial" w:cs="Arial" w:eastAsia="Arial" w:hAnsi="Arial"/>
          <w:sz w:val="20"/>
          <w:szCs w:val="20"/>
          <w:color w:val="auto"/>
        </w:rPr>
      </w:pPr>
    </w:p>
    <w:p>
      <w:pPr>
        <w:ind w:left="660" w:hanging="490"/>
        <w:spacing w:after="0" w:line="287" w:lineRule="auto"/>
        <w:tabs>
          <w:tab w:leader="none" w:pos="720" w:val="left"/>
        </w:tabs>
        <w:numPr>
          <w:ilvl w:val="0"/>
          <w:numId w:val="635"/>
        </w:numPr>
        <w:rPr>
          <w:rFonts w:ascii="Arial" w:cs="Arial" w:eastAsia="Arial" w:hAnsi="Arial"/>
          <w:sz w:val="19"/>
          <w:szCs w:val="19"/>
          <w:color w:val="auto"/>
        </w:rPr>
      </w:pPr>
      <w:r>
        <w:rPr>
          <w:rFonts w:ascii="Arial" w:cs="Arial" w:eastAsia="Arial" w:hAnsi="Arial"/>
          <w:sz w:val="19"/>
          <w:szCs w:val="19"/>
          <w:color w:val="auto"/>
        </w:rPr>
        <w:t>a single transaction or series of related transactions in which the Company, directly or indirectly, sells, assigns, conveys, transfers, leases or otherwise disposes of all or substantially all of its assets to another Person other than an Affiliate;</w:t>
      </w:r>
    </w:p>
    <w:p>
      <w:pPr>
        <w:spacing w:after="0" w:line="152" w:lineRule="exact"/>
        <w:rPr>
          <w:rFonts w:ascii="Arial" w:cs="Arial" w:eastAsia="Arial" w:hAnsi="Arial"/>
          <w:sz w:val="19"/>
          <w:szCs w:val="19"/>
          <w:color w:val="auto"/>
        </w:rPr>
      </w:pPr>
    </w:p>
    <w:p>
      <w:pPr>
        <w:jc w:val="both"/>
        <w:ind w:left="660" w:hanging="490"/>
        <w:spacing w:after="0" w:line="273" w:lineRule="auto"/>
        <w:tabs>
          <w:tab w:leader="none" w:pos="694"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at any time during any period of two consecutive years (not including any period prior to the Registration Date) individuals who at the beginning of such period constituted the Board (the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xml:space="preserve">”) cease for any reason to constitute at least a majority thereof;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individual becoming a member of the Board subsequent to the first day of such period whose election, or nomination for election, by the Company’s stockholders was approved by a vote of at least a majority of the Incumbent Directors shall be considered as though such individual were an Incumbent Director, but excluding, for purposes of this proviso, any such individual whose initial assumption of office occurs as a result of, or in connection with, an actual or threatened proxy contest with respect to the election or removal of Board members or other actual or threatened solicitation of proxies or consents by or on behalf of any Person or Persons (whether or not acting in concert) other than the Board; or</w:t>
      </w:r>
    </w:p>
    <w:p>
      <w:pPr>
        <w:spacing w:after="0" w:line="168" w:lineRule="exact"/>
        <w:rPr>
          <w:rFonts w:ascii="Arial" w:cs="Arial" w:eastAsia="Arial" w:hAnsi="Arial"/>
          <w:sz w:val="18"/>
          <w:szCs w:val="18"/>
          <w:color w:val="auto"/>
        </w:rPr>
      </w:pPr>
    </w:p>
    <w:p>
      <w:pPr>
        <w:ind w:left="600" w:hanging="430"/>
        <w:spacing w:after="0"/>
        <w:tabs>
          <w:tab w:leader="none" w:pos="600" w:val="left"/>
        </w:tabs>
        <w:numPr>
          <w:ilvl w:val="0"/>
          <w:numId w:val="635"/>
        </w:numPr>
        <w:rPr>
          <w:rFonts w:ascii="Arial" w:cs="Arial" w:eastAsia="Arial" w:hAnsi="Arial"/>
          <w:sz w:val="20"/>
          <w:szCs w:val="20"/>
          <w:color w:val="auto"/>
        </w:rPr>
      </w:pPr>
      <w:r>
        <w:rPr>
          <w:rFonts w:ascii="Arial" w:cs="Arial" w:eastAsia="Arial" w:hAnsi="Arial"/>
          <w:sz w:val="20"/>
          <w:szCs w:val="20"/>
          <w:color w:val="auto"/>
        </w:rPr>
        <w:t>the liquidation or dissolution of the Company.</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Notwithstanding anything to the contrary herein, a Change in Control will not be deemed to have occurred by virtue of (A) the consummation of any transaction or series of related transactions immediately following which the holders of the shares of the Company immediately prior to the transaction or series of transactions continue to have substantially the same proportionate ownership and voting power in an entity which owns all or substantially all of the assets of the Company immediately following the transaction or series of transactions, (B) any acquisition of additional securities of the Company or voting power with respect to the Common Stock by any or some combination of the Specified Stockholders (as defined below), including as a result of a Permitted Transfer (as defined in the Certificate of Incorporation) or in connection with a transaction or issuance (including pursuant to outstanding equity-based awards) or any other transaction approved by the Board or a Committee thereof, (C) any change in the Specified Stockholders’ voting power with respect to the Common Stock resulting from a conversion of shares of Common Stock reducing the number of shares or votes outstanding or (D) any acquisition or disposition of shares of Class B Common Stock by the Specified Stockholders or change in the total voting power of the Common Stock held by the Specified Stockholders as a result of (x) the conversion of any shares of Common Stock into shares of Class B Common Stock, (y) the conversion of any shares of Class B Common Stock into shares of any other class of Common Stock or (z) any change in the voting power of the holders of the Class B Common Stock, including solely as a result of any decrease in the total number of shares of Common Stock or of any series of class thereof,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93" w:name="page794"/>
    <w:bookmarkEnd w:id="793"/>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applicable, outstanding. For the avoidance of doubt, an initial public offering, any subsequent public offering or any other capital raising event shall not constitute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A Common Stock</w:t>
      </w:r>
      <w:r>
        <w:rPr>
          <w:rFonts w:ascii="Arial" w:cs="Arial" w:eastAsia="Arial" w:hAnsi="Arial"/>
          <w:sz w:val="20"/>
          <w:szCs w:val="20"/>
          <w:color w:val="auto"/>
        </w:rPr>
        <w:t>” means the Company’s Class A Common Stock, par value $0.0001 per share.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B Common Stock</w:t>
      </w:r>
      <w:r>
        <w:rPr>
          <w:rFonts w:ascii="Arial" w:cs="Arial" w:eastAsia="Arial" w:hAnsi="Arial"/>
          <w:sz w:val="20"/>
          <w:szCs w:val="20"/>
          <w:color w:val="auto"/>
        </w:rPr>
        <w:t>” means the Company’s Class B Common Stock, par value $0.0001 per share.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Class A Common Stock, the Class B Common Stock or the Company’s Class C common stock, par value $0.0001 per share.</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means a “parent corporation”, whether now or hereafter existing, as defined in Section 424(e) of the Internal Code of 1986, as amended.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corporation, firm, partnership, joint venture, limited liability company, estate, trust, business association, organization, governmental entity or other entity, or a “group” within the meaning of Section 13(d)(3) or Section 14(d)(2) of the Exchange Act.</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 xml:space="preserve">“Specified Stockholders” </w:t>
      </w:r>
      <w:r>
        <w:rPr>
          <w:rFonts w:ascii="Arial" w:cs="Arial" w:eastAsia="Arial" w:hAnsi="Arial"/>
          <w:sz w:val="20"/>
          <w:szCs w:val="20"/>
          <w:color w:val="auto"/>
        </w:rPr>
        <w:t>means, individually or collectively (in any combination thereof), any Founder (as defined in the Certificate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Incorporation) or a Permitted Entity (as defined in the Certificate of Incorporation) of such Founder.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Participant understands that Participant’s service relationship with the Company is for an unspecified duration, can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at any time (i.e. is “at-will”) and that nothing in this Notice of Grant, the RSU Agreement or the Plan changes the at-will nature of that relationship. Participant acknowledges that the vesting of the RSUs pursuant to this Notice of Grant is conditioned on (1) the occurrence of a Change in Control while the Participant is in Continuous Service Status or (2) the occurrence of an Initial Vesting Event or a Subsequent Vesting Event. Participant also understands that this Notice of Grant is subject to the terms and conditions of both the RSU Agreement and the Plan, each of which are incorporated herein by reference. Participant has read both the RSU Agreement and the Plan.</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Agreement, any disclosures provided pursuant to Rule 701, account statements or other communications or information) whether via the Company’s intranet or the internet site of another such third party or via email, or such other means of electronic delivery specified by the Company.</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By Participant’s and the Company’s acceptance hereof (in each case, whether written, electronic or otherwise), Participant and the Company agree that this RSU is granted under and governed by the terms and conditions of the Plan, this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94" w:name="page795"/>
    <w:bookmarkEnd w:id="794"/>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AGREEMENT (DIRECTOR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ROBINHOOD MARKETS,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Participant has been granted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terms, restrictions and conditions of the Company’s 2020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Notice of Restricted Stock Unit Award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and 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Unless otherwise defined herein or in the Notice of Grant, the terms defined in the Plan shall have the same defined meanings in this Agreement.</w:t>
      </w:r>
    </w:p>
    <w:p>
      <w:pPr>
        <w:spacing w:after="0" w:line="185" w:lineRule="exact"/>
        <w:rPr>
          <w:sz w:val="20"/>
          <w:szCs w:val="20"/>
          <w:color w:val="auto"/>
        </w:rPr>
      </w:pPr>
    </w:p>
    <w:p>
      <w:pPr>
        <w:jc w:val="both"/>
        <w:ind w:firstLine="8"/>
        <w:spacing w:after="0" w:line="248" w:lineRule="auto"/>
        <w:tabs>
          <w:tab w:leader="none" w:pos="648" w:val="left"/>
        </w:tabs>
        <w:numPr>
          <w:ilvl w:val="0"/>
          <w:numId w:val="6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shall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allocated to the RSUs and shall have no right to dividends or to vote such Shares. As a condition to the issuance of any Shares in settlement of vested RSUs, Participant agrees to enter into a joinder to be bound by any stockholders’ agreement by and between the Company and its stockholders in force from time to time.</w:t>
      </w:r>
    </w:p>
    <w:p>
      <w:pPr>
        <w:spacing w:after="0" w:line="183" w:lineRule="exact"/>
        <w:rPr>
          <w:rFonts w:ascii="Arial" w:cs="Arial" w:eastAsia="Arial" w:hAnsi="Arial"/>
          <w:sz w:val="20"/>
          <w:szCs w:val="20"/>
          <w:b w:val="1"/>
          <w:bCs w:val="1"/>
          <w:color w:val="auto"/>
        </w:rPr>
      </w:pPr>
    </w:p>
    <w:p>
      <w:pPr>
        <w:ind w:firstLine="8"/>
        <w:spacing w:after="0" w:line="267" w:lineRule="auto"/>
        <w:tabs>
          <w:tab w:leader="none" w:pos="648" w:val="left"/>
        </w:tabs>
        <w:numPr>
          <w:ilvl w:val="0"/>
          <w:numId w:val="6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shall not be credited to Participant in respect of Participant’s RSUs,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permitted by the Committee.</w:t>
      </w:r>
    </w:p>
    <w:p>
      <w:pPr>
        <w:spacing w:after="0" w:line="163" w:lineRule="exact"/>
        <w:rPr>
          <w:rFonts w:ascii="Arial" w:cs="Arial" w:eastAsia="Arial" w:hAnsi="Arial"/>
          <w:sz w:val="20"/>
          <w:szCs w:val="20"/>
          <w:b w:val="1"/>
          <w:bCs w:val="1"/>
          <w:color w:val="auto"/>
        </w:rPr>
      </w:pPr>
    </w:p>
    <w:p>
      <w:pPr>
        <w:jc w:val="both"/>
        <w:ind w:firstLine="8"/>
        <w:spacing w:after="0" w:line="322" w:lineRule="auto"/>
        <w:tabs>
          <w:tab w:leader="none" w:pos="648" w:val="left"/>
        </w:tabs>
        <w:numPr>
          <w:ilvl w:val="0"/>
          <w:numId w:val="6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RSUs and any interest therein shall not be sold, assigned, transferred, pledged, hypothecated or otherwise disposed</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than by will or by the laws of descent and 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29" w:lineRule="exact"/>
        <w:rPr>
          <w:rFonts w:ascii="Arial" w:cs="Arial" w:eastAsia="Arial" w:hAnsi="Arial"/>
          <w:sz w:val="16"/>
          <w:szCs w:val="16"/>
          <w:b w:val="1"/>
          <w:bCs w:val="1"/>
          <w:color w:val="auto"/>
        </w:rPr>
      </w:pPr>
    </w:p>
    <w:p>
      <w:pPr>
        <w:jc w:val="both"/>
        <w:ind w:firstLine="8"/>
        <w:spacing w:after="0" w:line="246" w:lineRule="auto"/>
        <w:tabs>
          <w:tab w:leader="none" w:pos="648" w:val="left"/>
        </w:tabs>
        <w:numPr>
          <w:ilvl w:val="0"/>
          <w:numId w:val="6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shall terminate on the Expiration Date or earlier as provided in this Section 4. If Participant’s service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terminates for any reason, all RSUs for 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84" w:lineRule="exact"/>
        <w:rPr>
          <w:rFonts w:ascii="Arial" w:cs="Arial" w:eastAsia="Arial" w:hAnsi="Arial"/>
          <w:sz w:val="20"/>
          <w:szCs w:val="20"/>
          <w:b w:val="1"/>
          <w:bCs w:val="1"/>
          <w:color w:val="auto"/>
        </w:rPr>
      </w:pPr>
    </w:p>
    <w:p>
      <w:pPr>
        <w:jc w:val="both"/>
        <w:ind w:firstLine="8"/>
        <w:spacing w:after="0" w:line="285" w:lineRule="auto"/>
        <w:tabs>
          <w:tab w:leader="none" w:pos="648" w:val="left"/>
        </w:tabs>
        <w:numPr>
          <w:ilvl w:val="0"/>
          <w:numId w:val="6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of Grant,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provisions of the Plan (incorporated herein by reference). Participant (i) acknowledges receipt of a copy of each of the foregoing documents via the Platform, (ii) represents that Participant has carefully read and is familiar with their provisions and (iii) hereby accepts the RSUs subject to all of the terms and conditions set forth herein and those set forth in the Plan and the Notice of Grant.</w:t>
      </w:r>
    </w:p>
    <w:p>
      <w:pPr>
        <w:spacing w:after="0" w:line="150" w:lineRule="exact"/>
        <w:rPr>
          <w:rFonts w:ascii="Arial" w:cs="Arial" w:eastAsia="Arial" w:hAnsi="Arial"/>
          <w:sz w:val="18"/>
          <w:szCs w:val="18"/>
          <w:b w:val="1"/>
          <w:bCs w:val="1"/>
          <w:color w:val="auto"/>
        </w:rPr>
      </w:pPr>
    </w:p>
    <w:p>
      <w:pPr>
        <w:jc w:val="both"/>
        <w:ind w:firstLine="8"/>
        <w:spacing w:after="0" w:line="246" w:lineRule="auto"/>
        <w:tabs>
          <w:tab w:leader="none" w:pos="648" w:val="left"/>
        </w:tabs>
        <w:numPr>
          <w:ilvl w:val="0"/>
          <w:numId w:val="6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Limitations on Transfer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any other limitation on transfer created by applicable securities laws,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assign, encumber or dispose of any interest in the Shares issued pursuant to this Agreement except with the Company’s prior written consent and in compliance with the provisions of Sections 9 and 10 of the Plan, the Company’s then-current insider trading policy and applicable securities laws. The restrictions on transfer also include a prohibition on any short position, any “put equivalent position” or any “call equivalent position” by the RSU holder with respect</w:t>
      </w:r>
    </w:p>
    <w:p>
      <w:pPr>
        <w:sectPr>
          <w:pgSz w:w="11900" w:h="16838" w:orient="portrait"/>
          <w:cols w:equalWidth="0" w:num="1">
            <w:col w:w="11240"/>
          </w:cols>
          <w:pgMar w:left="320" w:top="1413" w:right="339" w:bottom="1440" w:gutter="0" w:footer="0" w:header="0"/>
        </w:sectPr>
      </w:pPr>
    </w:p>
    <w:bookmarkStart w:id="795" w:name="page796"/>
    <w:bookmarkEnd w:id="795"/>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to the RSU itself as well as any Shares issuable upon settlement of the RSU prior to the settlement thereof until the Company becomes subject to the reporting requirements of Section 13 or 15(d) of the Securities Exchange Act of 1934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w:t>
      </w:r>
    </w:p>
    <w:p>
      <w:pPr>
        <w:spacing w:after="0" w:line="146" w:lineRule="exact"/>
        <w:rPr>
          <w:sz w:val="20"/>
          <w:szCs w:val="20"/>
          <w:color w:val="auto"/>
        </w:rPr>
      </w:pPr>
    </w:p>
    <w:p>
      <w:pPr>
        <w:jc w:val="both"/>
        <w:ind w:firstLine="8"/>
        <w:spacing w:after="0" w:line="294" w:lineRule="auto"/>
        <w:tabs>
          <w:tab w:leader="none" w:pos="648"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including the transfer restrictions of Sections 3 and 6, and the transferee shall acknowledge such restrictions in writing. Any sale or transfer of the Shares shall be void unless the provisions of this Agreement are satisfied.</w:t>
      </w:r>
    </w:p>
    <w:p>
      <w:pPr>
        <w:spacing w:after="0" w:line="143" w:lineRule="exact"/>
        <w:rPr>
          <w:rFonts w:ascii="Arial" w:cs="Arial" w:eastAsia="Arial" w:hAnsi="Arial"/>
          <w:sz w:val="18"/>
          <w:szCs w:val="18"/>
          <w:b w:val="1"/>
          <w:bCs w:val="1"/>
          <w:color w:val="auto"/>
        </w:rPr>
      </w:pPr>
    </w:p>
    <w:p>
      <w:pPr>
        <w:jc w:val="both"/>
        <w:ind w:firstLine="8"/>
        <w:spacing w:after="0" w:line="269" w:lineRule="auto"/>
        <w:tabs>
          <w:tab w:leader="none" w:pos="648"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RSUs are vested and/or settled, the fair market value of the Shares shall be treated as income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withholding by the 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8"/>
          <w:szCs w:val="18"/>
          <w:b w:val="1"/>
          <w:bCs w:val="1"/>
          <w:i w:val="1"/>
          <w:iCs w:val="1"/>
          <w:color w:val="auto"/>
        </w:rPr>
        <w:t>Tax-Related Obligations</w:t>
      </w:r>
      <w:r>
        <w:rPr>
          <w:rFonts w:ascii="Arial" w:cs="Arial" w:eastAsia="Arial" w:hAnsi="Arial"/>
          <w:sz w:val="18"/>
          <w:szCs w:val="18"/>
          <w:color w:val="auto"/>
        </w:rPr>
        <w:t>”). In this regard, Participant authorizes the Company to withhold all applicable Tax-Related Obligations legally payable by Participant from Participant’s 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or (iii) any other arrangement approved by the Company; all under such rules as may be established by the Committee and in compliance with the Company’s insider trading policy and 10b5-1 trading plan policy, if applicable.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received the value of the full number of Shares subject to the vested RSUs, notwithstanding that a number of the Shares is held back solely for the purpose of paying the Tax-Related Obligations.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jc w:val="both"/>
        <w:ind w:firstLine="8"/>
        <w:spacing w:after="0" w:line="271" w:lineRule="auto"/>
        <w:tabs>
          <w:tab w:leader="none" w:pos="648"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 termination of service will be determined consistent with the rules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Notwithstanding anything else provided herein, to the extent any payments provided under this Agreement in connection with Participant’s termination of service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service and the first payment date but for the application of this provision, and the balance of the installments (if 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96" w:name="page797"/>
    <w:bookmarkEnd w:id="796"/>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be payable in accordance with their original schedule. The occurrence of the Initial Vesting Event prior to the Expiration Date is intended to be a “substantial risk of forfeiture,” within the meaning of Section 409A, and the settlements related to the Initial Vesting Date and any Subsequent Vesting Date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4" w:lineRule="exact"/>
        <w:rPr>
          <w:sz w:val="20"/>
          <w:szCs w:val="20"/>
          <w:color w:val="auto"/>
        </w:rPr>
      </w:pPr>
    </w:p>
    <w:p>
      <w:pPr>
        <w:jc w:val="both"/>
        <w:ind w:firstLine="8"/>
        <w:spacing w:after="0" w:line="253" w:lineRule="auto"/>
        <w:tabs>
          <w:tab w:leader="none" w:pos="639" w:val="left"/>
        </w:tabs>
        <w:numPr>
          <w:ilvl w:val="0"/>
          <w:numId w:val="6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acknowledges that there will be tax consequences upon vesting and/or settlement of the RSUs and/or</w:t>
      </w:r>
      <w:r>
        <w:rPr>
          <w:rFonts w:ascii="Arial" w:cs="Arial" w:eastAsia="Arial" w:hAnsi="Arial"/>
          <w:sz w:val="20"/>
          <w:szCs w:val="20"/>
          <w:b w:val="1"/>
          <w:bCs w:val="1"/>
          <w:color w:val="auto"/>
        </w:rPr>
        <w:t xml:space="preserve"> </w:t>
      </w:r>
      <w:r>
        <w:rPr>
          <w:rFonts w:ascii="Arial" w:cs="Arial" w:eastAsia="Arial" w:hAnsi="Arial"/>
          <w:sz w:val="20"/>
          <w:szCs w:val="20"/>
          <w:color w:val="auto"/>
        </w:rPr>
        <w:t>disposition of the Shares, if any, received in connection therewith, and Participant should consult a tax adviser regarding Participant’s tax obligations prior to such settlement or disposition.</w:t>
      </w:r>
    </w:p>
    <w:p>
      <w:pPr>
        <w:spacing w:after="0" w:line="177" w:lineRule="exact"/>
        <w:rPr>
          <w:rFonts w:ascii="Arial" w:cs="Arial" w:eastAsia="Arial" w:hAnsi="Arial"/>
          <w:sz w:val="20"/>
          <w:szCs w:val="20"/>
          <w:b w:val="1"/>
          <w:bCs w:val="1"/>
          <w:color w:val="auto"/>
        </w:rPr>
      </w:pPr>
    </w:p>
    <w:p>
      <w:pPr>
        <w:jc w:val="both"/>
        <w:ind w:firstLine="8"/>
        <w:spacing w:after="0" w:line="257" w:lineRule="auto"/>
        <w:tabs>
          <w:tab w:leader="none" w:pos="628" w:val="left"/>
        </w:tabs>
        <w:numPr>
          <w:ilvl w:val="0"/>
          <w:numId w:val="6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75" w:lineRule="exact"/>
        <w:rPr>
          <w:rFonts w:ascii="Arial" w:cs="Arial" w:eastAsia="Arial" w:hAnsi="Arial"/>
          <w:sz w:val="19"/>
          <w:szCs w:val="19"/>
          <w:b w:val="1"/>
          <w:bCs w:val="1"/>
          <w:color w:val="auto"/>
        </w:rPr>
      </w:pPr>
    </w:p>
    <w:p>
      <w:pPr>
        <w:jc w:val="both"/>
        <w:ind w:firstLine="8"/>
        <w:spacing w:after="0" w:line="246" w:lineRule="auto"/>
        <w:tabs>
          <w:tab w:leader="none" w:pos="639" w:val="left"/>
        </w:tabs>
        <w:numPr>
          <w:ilvl w:val="0"/>
          <w:numId w:val="6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Legend on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certificates representing the Shares issued hereunder shall be subject to such stop transfer orders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restrictions as the 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84" w:lineRule="exact"/>
        <w:rPr>
          <w:rFonts w:ascii="Arial" w:cs="Arial" w:eastAsia="Arial" w:hAnsi="Arial"/>
          <w:sz w:val="20"/>
          <w:szCs w:val="20"/>
          <w:b w:val="1"/>
          <w:bCs w:val="1"/>
          <w:color w:val="auto"/>
        </w:rPr>
      </w:pPr>
    </w:p>
    <w:p>
      <w:pPr>
        <w:jc w:val="both"/>
        <w:ind w:firstLine="8"/>
        <w:spacing w:after="0" w:line="294" w:lineRule="auto"/>
        <w:tabs>
          <w:tab w:leader="none" w:pos="639" w:val="left"/>
        </w:tabs>
        <w:numPr>
          <w:ilvl w:val="0"/>
          <w:numId w:val="6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Agreement. This Agreement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inure to the benefit of the successors and assigns of the Company. Subject to the restrictions on transfer set forth herein, this Agreement will be binding upon Participant and Participant’s heirs, executors, administrators, legal representatives, successors and assigns.</w:t>
      </w:r>
    </w:p>
    <w:p>
      <w:pPr>
        <w:spacing w:after="0" w:line="143" w:lineRule="exact"/>
        <w:rPr>
          <w:rFonts w:ascii="Arial" w:cs="Arial" w:eastAsia="Arial" w:hAnsi="Arial"/>
          <w:sz w:val="18"/>
          <w:szCs w:val="18"/>
          <w:b w:val="1"/>
          <w:bCs w:val="1"/>
          <w:color w:val="auto"/>
        </w:rPr>
      </w:pPr>
    </w:p>
    <w:p>
      <w:pPr>
        <w:jc w:val="both"/>
        <w:ind w:firstLine="8"/>
        <w:spacing w:after="0" w:line="246" w:lineRule="auto"/>
        <w:tabs>
          <w:tab w:leader="none" w:pos="639" w:val="left"/>
        </w:tabs>
        <w:numPr>
          <w:ilvl w:val="0"/>
          <w:numId w:val="6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Notice of Grant are incorporated herein by reference. The Plan, the Notice of</w:t>
      </w:r>
      <w:r>
        <w:rPr>
          <w:rFonts w:ascii="Arial" w:cs="Arial" w:eastAsia="Arial" w:hAnsi="Arial"/>
          <w:sz w:val="20"/>
          <w:szCs w:val="20"/>
          <w:b w:val="1"/>
          <w:bCs w:val="1"/>
          <w:color w:val="auto"/>
        </w:rPr>
        <w:t xml:space="preserve"> </w:t>
      </w:r>
      <w:r>
        <w:rPr>
          <w:rFonts w:ascii="Arial" w:cs="Arial" w:eastAsia="Arial" w:hAnsi="Arial"/>
          <w:sz w:val="20"/>
          <w:szCs w:val="20"/>
          <w:color w:val="auto"/>
        </w:rPr>
        <w:t>Grant and this Agreement constitute the entire agreement of the parties with respect to the subject matter hereof and shall satisfy and supersede in their entirety all prior undertakings and agreements of the Company and Participant with respect to the subject matter hereof (including, without limitation, any commitment to make any grant of equity-based awards that may have been set forth in any offer letter or other agreement between the parties). If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97" w:name="page798"/>
    <w:bookmarkEnd w:id="797"/>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Agreement is determined by a court of law to be illegal or unenforceable, then such provision will be enforced to the maximum extent possible and the other provisions will remain fully effective and enforceable.</w:t>
      </w:r>
    </w:p>
    <w:p>
      <w:pPr>
        <w:spacing w:after="0" w:line="171" w:lineRule="exact"/>
        <w:rPr>
          <w:sz w:val="20"/>
          <w:szCs w:val="20"/>
          <w:color w:val="auto"/>
        </w:rPr>
      </w:pPr>
    </w:p>
    <w:p>
      <w:pPr>
        <w:jc w:val="both"/>
        <w:ind w:firstLine="8"/>
        <w:spacing w:after="0" w:line="270" w:lineRule="auto"/>
        <w:tabs>
          <w:tab w:leader="none" w:pos="639"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in connection with any registration of the Company’s securities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other public offering that, upon the request of the Company or the underwriters managing any registered public offering of the Company’s securities, Participant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director- or employee-stockholders generally. Further,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if required by the underwriters or the Company, the restrictions imposed by this Section 15 shall continue to apply until the expiration of the 18-day period beginning on the issuance of the earnings release or the occurrence of the material news or material event. For purposes of this Section 15,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that the underwriters of any such public offering shall be third party beneficiaries of this Section 15 and agrees to enter into any agreement reasonably required by the underwriters to implement the foregoing.</w:t>
      </w:r>
    </w:p>
    <w:p>
      <w:pPr>
        <w:spacing w:after="0" w:line="165" w:lineRule="exact"/>
        <w:rPr>
          <w:rFonts w:ascii="Arial" w:cs="Arial" w:eastAsia="Arial" w:hAnsi="Arial"/>
          <w:sz w:val="18"/>
          <w:szCs w:val="18"/>
          <w:b w:val="1"/>
          <w:bCs w:val="1"/>
          <w:color w:val="auto"/>
        </w:rPr>
      </w:pPr>
    </w:p>
    <w:p>
      <w:pPr>
        <w:ind w:firstLine="8"/>
        <w:spacing w:after="0" w:line="323" w:lineRule="auto"/>
        <w:tabs>
          <w:tab w:leader="none" w:pos="639"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affect in any manner whatsoever the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Company, or a Parent or Subsidiary of the Company, to terminate Participant’s Continuous Service Status, for any reason.</w:t>
      </w:r>
    </w:p>
    <w:p>
      <w:pPr>
        <w:spacing w:after="0" w:line="117" w:lineRule="exact"/>
        <w:rPr>
          <w:rFonts w:ascii="Arial" w:cs="Arial" w:eastAsia="Arial" w:hAnsi="Arial"/>
          <w:sz w:val="18"/>
          <w:szCs w:val="18"/>
          <w:b w:val="1"/>
          <w:bCs w:val="1"/>
          <w:color w:val="auto"/>
        </w:rPr>
      </w:pPr>
    </w:p>
    <w:p>
      <w:pPr>
        <w:jc w:val="both"/>
        <w:ind w:firstLine="8"/>
        <w:spacing w:after="0" w:line="265" w:lineRule="auto"/>
        <w:tabs>
          <w:tab w:leader="none" w:pos="639" w:val="left"/>
        </w:tabs>
        <w:numPr>
          <w:ilvl w:val="0"/>
          <w:numId w:val="6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Information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is relying on an exemption from registration under Section 12(h)-1 of the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 and such information is required to be provided by such Section 12(h)-1, the Company shall provide the information described in Rules 701(e)(3), (4) and (5) of the Securities Act by a method allowed under Section 12(h)-1 of the Exchange Act in accordance with Section 12(h)-1 of the Exchange Act,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Participant agrees to keep the information confidential.</w:t>
      </w:r>
    </w:p>
    <w:p>
      <w:pPr>
        <w:spacing w:after="0" w:line="169" w:lineRule="exact"/>
        <w:rPr>
          <w:rFonts w:ascii="Arial" w:cs="Arial" w:eastAsia="Arial" w:hAnsi="Arial"/>
          <w:sz w:val="19"/>
          <w:szCs w:val="19"/>
          <w:b w:val="1"/>
          <w:bCs w:val="1"/>
          <w:color w:val="auto"/>
        </w:rPr>
      </w:pPr>
    </w:p>
    <w:p>
      <w:pPr>
        <w:jc w:val="both"/>
        <w:ind w:firstLine="8"/>
        <w:spacing w:after="0" w:line="280" w:lineRule="auto"/>
        <w:tabs>
          <w:tab w:leader="none" w:pos="639"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given in writing 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b w:val="1"/>
          <w:bCs w:val="1"/>
          <w:color w:val="auto"/>
        </w:rPr>
      </w:pPr>
    </w:p>
    <w:p>
      <w:pPr>
        <w:jc w:val="both"/>
        <w:ind w:firstLine="8"/>
        <w:spacing w:after="0" w:line="248" w:lineRule="auto"/>
        <w:tabs>
          <w:tab w:leader="none" w:pos="639" w:val="left"/>
        </w:tabs>
        <w:numPr>
          <w:ilvl w:val="0"/>
          <w:numId w:val="6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construed in accordance with,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as such laws are applied to contracts entered into and performed in such State.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98" w:name="page799"/>
    <w:bookmarkEnd w:id="798"/>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States for the Northern District of California, and no other courts, where this grant is made and/or to be performed.</w:t>
      </w:r>
    </w:p>
    <w:p>
      <w:pPr>
        <w:spacing w:after="0" w:line="210" w:lineRule="exact"/>
        <w:rPr>
          <w:sz w:val="20"/>
          <w:szCs w:val="20"/>
          <w:color w:val="auto"/>
        </w:rPr>
      </w:pPr>
    </w:p>
    <w:p>
      <w:pPr>
        <w:ind w:firstLine="8"/>
        <w:spacing w:after="0" w:line="293" w:lineRule="auto"/>
        <w:tabs>
          <w:tab w:leader="none" w:pos="639" w:val="left"/>
        </w:tabs>
        <w:numPr>
          <w:ilvl w:val="0"/>
          <w:numId w:val="6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Uncertificated Shares</w:t>
      </w:r>
      <w:r>
        <w:rPr>
          <w:rFonts w:ascii="Arial" w:cs="Arial" w:eastAsia="Arial" w:hAnsi="Arial"/>
          <w:sz w:val="19"/>
          <w:szCs w:val="19"/>
          <w:color w:val="auto"/>
        </w:rPr>
        <w:t>. The Participant agrees and acknowledges that to the extent the Shares issued upon settlement of the RSUs</w:t>
      </w:r>
      <w:r>
        <w:rPr>
          <w:rFonts w:ascii="Arial" w:cs="Arial" w:eastAsia="Arial" w:hAnsi="Arial"/>
          <w:sz w:val="19"/>
          <w:szCs w:val="19"/>
          <w:b w:val="1"/>
          <w:bCs w:val="1"/>
          <w:color w:val="auto"/>
        </w:rPr>
        <w:t xml:space="preserve"> </w:t>
      </w:r>
      <w:r>
        <w:rPr>
          <w:rFonts w:ascii="Arial" w:cs="Arial" w:eastAsia="Arial" w:hAnsi="Arial"/>
          <w:sz w:val="19"/>
          <w:szCs w:val="19"/>
          <w:color w:val="auto"/>
        </w:rPr>
        <w:t>are uncertificated then all references herein to stock certificates also includes electronic or uncertificated equivalents.</w:t>
      </w:r>
    </w:p>
    <w:p>
      <w:pPr>
        <w:spacing w:after="0" w:line="147" w:lineRule="exact"/>
        <w:rPr>
          <w:rFonts w:ascii="Arial" w:cs="Arial" w:eastAsia="Arial" w:hAnsi="Arial"/>
          <w:sz w:val="19"/>
          <w:szCs w:val="19"/>
          <w:b w:val="1"/>
          <w:bCs w:val="1"/>
          <w:color w:val="auto"/>
        </w:rPr>
      </w:pPr>
    </w:p>
    <w:p>
      <w:pPr>
        <w:ind w:left="4900"/>
        <w:spacing w:after="0"/>
        <w:rPr>
          <w:rFonts w:ascii="Arial" w:cs="Arial" w:eastAsia="Arial" w:hAnsi="Arial"/>
          <w:sz w:val="19"/>
          <w:szCs w:val="19"/>
          <w:b w:val="1"/>
          <w:bCs w:val="1"/>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799" w:name="page800"/>
    <w:bookmarkEnd w:id="799"/>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ROBINHOOD MARKETS,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2021 OMNIBUS INCENTIVE PLAN</w:t>
      </w:r>
    </w:p>
    <w:p>
      <w:pPr>
        <w:spacing w:after="0" w:line="22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Approved by the Board of Directors on June 8, 2021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Approved by Stockholders on June 15,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on [●], 2021</w:t>
      </w:r>
    </w:p>
    <w:p>
      <w:pPr>
        <w:spacing w:after="0" w:line="4" w:lineRule="exact"/>
        <w:rPr>
          <w:sz w:val="20"/>
          <w:szCs w:val="20"/>
          <w:color w:val="auto"/>
        </w:rPr>
      </w:pPr>
    </w:p>
    <w:p>
      <w:pPr>
        <w:jc w:val="both"/>
        <w:ind w:firstLine="656"/>
        <w:spacing w:after="0" w:line="259" w:lineRule="auto"/>
        <w:tabs>
          <w:tab w:leader="none" w:pos="1296" w:val="left"/>
        </w:tabs>
        <w:numPr>
          <w:ilvl w:val="0"/>
          <w:numId w:val="641"/>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the Company with the ability to grant equity- and/or cash-based incentives to promote the interests of the Company and its stockholders by (a) attracting and retaining Directors, Officers, Employees and Consultants (including prospective Directors, Officers, Employees and Consultants) and (b) enabling such individuals to participate in the long-term growth and financial success of the Company.</w:t>
      </w:r>
    </w:p>
    <w:p>
      <w:pPr>
        <w:spacing w:after="0" w:line="181" w:lineRule="exact"/>
        <w:rPr>
          <w:rFonts w:ascii="Arial" w:cs="Arial" w:eastAsia="Arial" w:hAnsi="Arial"/>
          <w:sz w:val="21"/>
          <w:szCs w:val="21"/>
          <w:color w:val="auto"/>
        </w:rPr>
      </w:pPr>
    </w:p>
    <w:p>
      <w:pPr>
        <w:jc w:val="both"/>
        <w:ind w:firstLine="656"/>
        <w:spacing w:after="0" w:line="263" w:lineRule="auto"/>
        <w:tabs>
          <w:tab w:leader="none" w:pos="1296" w:val="left"/>
        </w:tabs>
        <w:numPr>
          <w:ilvl w:val="0"/>
          <w:numId w:val="641"/>
        </w:numPr>
        <w:rPr>
          <w:rFonts w:ascii="Arial" w:cs="Arial" w:eastAsia="Arial" w:hAnsi="Arial"/>
          <w:sz w:val="21"/>
          <w:szCs w:val="21"/>
          <w:color w:val="auto"/>
        </w:rPr>
      </w:pPr>
      <w:r>
        <w:rPr>
          <w:rFonts w:ascii="Arial" w:cs="Arial" w:eastAsia="Arial" w:hAnsi="Arial"/>
          <w:sz w:val="21"/>
          <w:szCs w:val="21"/>
          <w:u w:val="single" w:color="auto"/>
          <w:color w:val="auto"/>
        </w:rPr>
        <w:t>Successor to Prior Plans</w:t>
      </w:r>
      <w:r>
        <w:rPr>
          <w:rFonts w:ascii="Arial" w:cs="Arial" w:eastAsia="Arial" w:hAnsi="Arial"/>
          <w:sz w:val="21"/>
          <w:szCs w:val="21"/>
          <w:color w:val="auto"/>
        </w:rPr>
        <w:t>. The Plan is intended to replace the Company’s 2020 Equity Incentive Plan (the “</w:t>
      </w:r>
      <w:r>
        <w:rPr>
          <w:rFonts w:ascii="Arial" w:cs="Arial" w:eastAsia="Arial" w:hAnsi="Arial"/>
          <w:sz w:val="21"/>
          <w:szCs w:val="21"/>
          <w:u w:val="single" w:color="auto"/>
          <w:color w:val="auto"/>
        </w:rPr>
        <w:t>2020</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which, as of the Effective Date, will automatically be terminated and replaced and superseded by the Plan, except that any awards granted under the 2020 Plan prior to the Effective Date will continue to be subject to the terms of the 2020 Plan and applicable award agreements, including any such terms that are intended to survive the termination of the 2020 Plan or the settlement of such awards, and will remain in effect pursuant to their terms.</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64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19" w:lineRule="exact"/>
        <w:rPr>
          <w:rFonts w:ascii="Arial" w:cs="Arial" w:eastAsia="Arial" w:hAnsi="Arial"/>
          <w:sz w:val="22"/>
          <w:szCs w:val="22"/>
          <w:color w:val="auto"/>
        </w:rPr>
      </w:pPr>
    </w:p>
    <w:p>
      <w:pPr>
        <w:ind w:firstLine="980"/>
        <w:spacing w:after="0" w:line="263" w:lineRule="auto"/>
        <w:tabs>
          <w:tab w:leader="none" w:pos="1293" w:val="left"/>
        </w:tabs>
        <w:numPr>
          <w:ilvl w:val="1"/>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Committee designated by the Board to administer the Plan pursuant to Section 5 hereof.</w:t>
      </w:r>
    </w:p>
    <w:p>
      <w:pPr>
        <w:spacing w:after="0" w:line="174" w:lineRule="exact"/>
        <w:rPr>
          <w:rFonts w:ascii="Arial" w:cs="Arial" w:eastAsia="Arial" w:hAnsi="Arial"/>
          <w:sz w:val="22"/>
          <w:szCs w:val="22"/>
          <w:color w:val="auto"/>
        </w:rPr>
      </w:pPr>
    </w:p>
    <w:p>
      <w:pPr>
        <w:ind w:firstLine="980"/>
        <w:spacing w:after="0" w:line="263" w:lineRule="auto"/>
        <w:tabs>
          <w:tab w:leader="none" w:pos="1291" w:val="left"/>
        </w:tabs>
        <w:numPr>
          <w:ilvl w:val="1"/>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corporation or any other entity (including, but not limited to, partnerships and joint ventures) controlling, controlled by, or under common control with the Company.</w:t>
      </w:r>
    </w:p>
    <w:p>
      <w:pPr>
        <w:spacing w:after="0" w:line="174" w:lineRule="exact"/>
        <w:rPr>
          <w:rFonts w:ascii="Arial" w:cs="Arial" w:eastAsia="Arial" w:hAnsi="Arial"/>
          <w:sz w:val="22"/>
          <w:szCs w:val="22"/>
          <w:color w:val="auto"/>
        </w:rPr>
      </w:pPr>
    </w:p>
    <w:p>
      <w:pPr>
        <w:jc w:val="both"/>
        <w:ind w:firstLine="980"/>
        <w:spacing w:after="0" w:line="271" w:lineRule="auto"/>
        <w:tabs>
          <w:tab w:leader="none" w:pos="1293" w:val="left"/>
        </w:tabs>
        <w:numPr>
          <w:ilvl w:val="1"/>
          <w:numId w:val="6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legal requirements relating to the Plan under U.S. federal and state corporate law, U.S. federal and state securities law, the Code, stock exchange listing requirements and the applicable securities, exchange control, tax and other laws of any non-U.S. country or jurisdiction where Awards are, or will be, granted.</w:t>
      </w:r>
    </w:p>
    <w:p>
      <w:pPr>
        <w:spacing w:after="0" w:line="167" w:lineRule="exact"/>
        <w:rPr>
          <w:rFonts w:ascii="Arial" w:cs="Arial" w:eastAsia="Arial" w:hAnsi="Arial"/>
          <w:sz w:val="21"/>
          <w:szCs w:val="21"/>
          <w:color w:val="auto"/>
        </w:rPr>
      </w:pPr>
    </w:p>
    <w:p>
      <w:pPr>
        <w:ind w:firstLine="980"/>
        <w:spacing w:after="0" w:line="343" w:lineRule="auto"/>
        <w:tabs>
          <w:tab w:leader="none" w:pos="1291" w:val="left"/>
        </w:tabs>
        <w:numPr>
          <w:ilvl w:val="1"/>
          <w:numId w:val="6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means, individually or collectively, any award of Options, Stock Appreciation Rights, Restricted Stock, Restricted Stock Units, Performance Units, other equity-based Awards and Cash-Based Awards granted under the Plan.</w:t>
      </w:r>
    </w:p>
    <w:p>
      <w:pPr>
        <w:spacing w:after="0" w:line="104" w:lineRule="exact"/>
        <w:rPr>
          <w:rFonts w:ascii="Arial" w:cs="Arial" w:eastAsia="Arial" w:hAnsi="Arial"/>
          <w:sz w:val="19"/>
          <w:szCs w:val="19"/>
          <w:color w:val="auto"/>
        </w:rPr>
      </w:pPr>
    </w:p>
    <w:p>
      <w:pPr>
        <w:jc w:val="both"/>
        <w:ind w:firstLine="980"/>
        <w:spacing w:after="0" w:line="265" w:lineRule="auto"/>
        <w:tabs>
          <w:tab w:leader="none" w:pos="1293" w:val="left"/>
        </w:tabs>
        <w:numPr>
          <w:ilvl w:val="1"/>
          <w:numId w:val="6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any written or electronic agreement, contract or other instrument or document setting forth the terms and provisions applicable to an Award, including any notice of grant. Each Award Agreement will contain such terms, provisions and conditions not inconsistent with the Plan as may be determined by the Administrator, in its sole discretion, at the time the Administrator approves the grant of the Award to which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2" w:right="339" w:bottom="1440" w:gutter="0" w:footer="0" w:header="0"/>
        </w:sectPr>
      </w:pPr>
    </w:p>
    <w:bookmarkStart w:id="800" w:name="page801"/>
    <w:bookmarkEnd w:id="800"/>
    <w:p>
      <w:pPr>
        <w:spacing w:after="0" w:line="263" w:lineRule="auto"/>
        <w:rPr>
          <w:sz w:val="20"/>
          <w:szCs w:val="20"/>
          <w:color w:val="auto"/>
        </w:rPr>
      </w:pPr>
      <w:r>
        <w:rPr>
          <w:rFonts w:ascii="Arial" w:cs="Arial" w:eastAsia="Arial" w:hAnsi="Arial"/>
          <w:sz w:val="22"/>
          <w:szCs w:val="22"/>
          <w:color w:val="auto"/>
        </w:rPr>
        <w:t>relates. The terms, provisions and conditions of Award Agreements may differ over time and between Participants (including as between Participants receiving the same type of Award).</w:t>
      </w:r>
    </w:p>
    <w:p>
      <w:pPr>
        <w:spacing w:after="0" w:line="175" w:lineRule="exact"/>
        <w:rPr>
          <w:sz w:val="20"/>
          <w:szCs w:val="20"/>
          <w:color w:val="auto"/>
        </w:rPr>
      </w:pPr>
    </w:p>
    <w:p>
      <w:pPr>
        <w:ind w:left="1300" w:hanging="320"/>
        <w:spacing w:after="0"/>
        <w:tabs>
          <w:tab w:leader="none" w:pos="1300"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firstLine="980"/>
        <w:spacing w:after="0" w:line="263" w:lineRule="auto"/>
        <w:tabs>
          <w:tab w:leader="none" w:pos="1291"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Cash-Based Award</w:t>
      </w:r>
      <w:r>
        <w:rPr>
          <w:rFonts w:ascii="Arial" w:cs="Arial" w:eastAsia="Arial" w:hAnsi="Arial"/>
          <w:sz w:val="22"/>
          <w:szCs w:val="22"/>
          <w:color w:val="auto"/>
        </w:rPr>
        <w:t xml:space="preserve"> “ means an Award granted pursuant to Section 13 that is settled in cash and the value of which is not calculated by reference to the Fair Market Value of a Share.</w:t>
      </w:r>
    </w:p>
    <w:p>
      <w:pPr>
        <w:spacing w:after="0" w:line="174" w:lineRule="exact"/>
        <w:rPr>
          <w:rFonts w:ascii="Arial" w:cs="Arial" w:eastAsia="Arial" w:hAnsi="Arial"/>
          <w:sz w:val="22"/>
          <w:szCs w:val="22"/>
          <w:color w:val="auto"/>
        </w:rPr>
      </w:pPr>
    </w:p>
    <w:p>
      <w:pPr>
        <w:jc w:val="both"/>
        <w:ind w:firstLine="980"/>
        <w:spacing w:after="0" w:line="287" w:lineRule="auto"/>
        <w:tabs>
          <w:tab w:leader="none" w:pos="1291" w:val="left"/>
        </w:tabs>
        <w:numPr>
          <w:ilvl w:val="0"/>
          <w:numId w:val="6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with respect to a Participant, (i) the definition of “Cause” (or words of similar import) set forth in the Award Agreement or in a Service Relationship Agreement in effect at the time of the termination of the Participant’s service relationship or (ii) if there is no such Service Relationship Agreement or such term is not defined therein or in the Award Agreement, as determined by the Administrator in good faith, the Participant’s: (A) unauthorized misuse of the trade secrets or proprietary information of the Company or any Affiliate; (B) conviction of or plea of nolo contendere to a felony or a crime involving moral turpitude; (C) commission of an act of fraud against the Company or any Affiliate; (D) gross negligence or willful misconduct in the performance of his or her duties that has had or will have a material adverse effect on the reputation or business of the Company or any Affiliate; (E) breach of any Service Relationship Agreement, which breach causes material harm to the Company; (F) failure to comply with the Company’s written policies or rules, which failure causes material harm to the Company; (G) willful failure to perform his or her assigned duties; or (H) failure to cooperate in good faith with a governmental or internal investigation of the Company, any Affiliate or any of their respective directors, officers or employees, if the Company has requested the Participant’s cooperation.</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980"/>
        <w:spacing w:after="0" w:line="263" w:lineRule="auto"/>
        <w:tabs>
          <w:tab w:leader="none" w:pos="1284"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means the Company’s Amended and Restated Certificate of Incorporation, as may be amended from time to time.</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19" w:lineRule="exact"/>
        <w:rPr>
          <w:rFonts w:ascii="Arial" w:cs="Arial" w:eastAsia="Arial" w:hAnsi="Arial"/>
          <w:sz w:val="22"/>
          <w:szCs w:val="22"/>
          <w:color w:val="auto"/>
        </w:rPr>
      </w:pPr>
    </w:p>
    <w:p>
      <w:pPr>
        <w:jc w:val="both"/>
        <w:ind w:left="660" w:firstLine="521"/>
        <w:spacing w:after="0" w:line="246" w:lineRule="auto"/>
        <w:tabs>
          <w:tab w:leader="none" w:pos="1956" w:val="left"/>
        </w:tabs>
        <w:numPr>
          <w:ilvl w:val="1"/>
          <w:numId w:val="642"/>
        </w:numPr>
        <w:rPr>
          <w:rFonts w:ascii="Arial" w:cs="Arial" w:eastAsia="Arial" w:hAnsi="Arial"/>
          <w:sz w:val="22"/>
          <w:szCs w:val="22"/>
          <w:color w:val="auto"/>
        </w:rPr>
      </w:pPr>
      <w:r>
        <w:rPr>
          <w:rFonts w:ascii="Arial" w:cs="Arial" w:eastAsia="Arial" w:hAnsi="Arial"/>
          <w:sz w:val="22"/>
          <w:szCs w:val="22"/>
          <w:color w:val="auto"/>
        </w:rPr>
        <w:t>a merger, reorganization, consolidation or similar form of business transaction directly involving the Company or indirectly involving the Company through one or more intermediaries, unless, immediately following such transaction, more than fifty percent (50%) of the voting power of the then-outstanding voting stock or other securities of the Person resulting from consummation of the transaction (which Person may be any Parent that as a result of the transaction owns directly or indirectly the Company and all or substantially all of the Company’s assets) entitled to vote generally in elections of directors of such Person is held by the existing Company stockholders (determined immediately prior to the transaction and related transactions);</w:t>
      </w:r>
    </w:p>
    <w:p>
      <w:pPr>
        <w:spacing w:after="0" w:line="196" w:lineRule="exact"/>
        <w:rPr>
          <w:rFonts w:ascii="Arial" w:cs="Arial" w:eastAsia="Arial" w:hAnsi="Arial"/>
          <w:sz w:val="22"/>
          <w:szCs w:val="22"/>
          <w:color w:val="auto"/>
        </w:rPr>
      </w:pPr>
    </w:p>
    <w:p>
      <w:pPr>
        <w:jc w:val="both"/>
        <w:ind w:left="660" w:firstLine="461"/>
        <w:spacing w:after="0" w:line="265" w:lineRule="auto"/>
        <w:tabs>
          <w:tab w:leader="none" w:pos="1956" w:val="left"/>
        </w:tabs>
        <w:numPr>
          <w:ilvl w:val="1"/>
          <w:numId w:val="642"/>
        </w:numPr>
        <w:rPr>
          <w:rFonts w:ascii="Arial" w:cs="Arial" w:eastAsia="Arial" w:hAnsi="Arial"/>
          <w:sz w:val="21"/>
          <w:szCs w:val="21"/>
          <w:color w:val="auto"/>
        </w:rPr>
      </w:pPr>
      <w:r>
        <w:rPr>
          <w:rFonts w:ascii="Arial" w:cs="Arial" w:eastAsia="Arial" w:hAnsi="Arial"/>
          <w:sz w:val="21"/>
          <w:szCs w:val="21"/>
          <w:color w:val="auto"/>
        </w:rPr>
        <w:t>a single transaction or series of related transactions in which a Person (other than any employee benefit plan of the Company or an Affiliate, or any trustee or other fiduciary holding securities under an employee benefit plan of the Company or an Affiliate) is or becomes the beneficial owner (as defined in Rule 13d-3 of the Exchange Act), directly or indirectly, of securities of the Company representing more than fifty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01" w:name="page802"/>
    <w:bookmarkEnd w:id="801"/>
    <w:p>
      <w:pPr>
        <w:ind w:left="660"/>
        <w:spacing w:after="0"/>
        <w:rPr>
          <w:sz w:val="20"/>
          <w:szCs w:val="20"/>
          <w:color w:val="auto"/>
        </w:rPr>
      </w:pPr>
      <w:r>
        <w:rPr>
          <w:rFonts w:ascii="Arial" w:cs="Arial" w:eastAsia="Arial" w:hAnsi="Arial"/>
          <w:sz w:val="22"/>
          <w:szCs w:val="22"/>
          <w:color w:val="auto"/>
        </w:rPr>
        <w:t>percent (50%) of the outstanding voting power of the Company’s then-outstanding voting securities;</w:t>
      </w:r>
    </w:p>
    <w:p>
      <w:pPr>
        <w:spacing w:after="0" w:line="220" w:lineRule="exact"/>
        <w:rPr>
          <w:sz w:val="20"/>
          <w:szCs w:val="20"/>
          <w:color w:val="auto"/>
        </w:rPr>
      </w:pPr>
    </w:p>
    <w:p>
      <w:pPr>
        <w:jc w:val="both"/>
        <w:ind w:left="660" w:firstLine="401"/>
        <w:spacing w:after="0" w:line="253" w:lineRule="auto"/>
        <w:tabs>
          <w:tab w:leader="none" w:pos="1956" w:val="left"/>
        </w:tabs>
        <w:numPr>
          <w:ilvl w:val="0"/>
          <w:numId w:val="643"/>
        </w:numPr>
        <w:rPr>
          <w:rFonts w:ascii="Arial" w:cs="Arial" w:eastAsia="Arial" w:hAnsi="Arial"/>
          <w:sz w:val="22"/>
          <w:szCs w:val="22"/>
          <w:color w:val="auto"/>
        </w:rPr>
      </w:pPr>
      <w:r>
        <w:rPr>
          <w:rFonts w:ascii="Arial" w:cs="Arial" w:eastAsia="Arial" w:hAnsi="Arial"/>
          <w:sz w:val="22"/>
          <w:szCs w:val="22"/>
          <w:color w:val="auto"/>
        </w:rPr>
        <w:t>a single transaction or series of related transactions in which the Company, directly or indirectly, sells, assigns, conveys, transfers, leases or otherwise disposes of all or substantially all of its assets to another Person other than an Affiliate;</w:t>
      </w:r>
    </w:p>
    <w:p>
      <w:pPr>
        <w:spacing w:after="0" w:line="185" w:lineRule="exact"/>
        <w:rPr>
          <w:rFonts w:ascii="Arial" w:cs="Arial" w:eastAsia="Arial" w:hAnsi="Arial"/>
          <w:sz w:val="22"/>
          <w:szCs w:val="22"/>
          <w:color w:val="auto"/>
        </w:rPr>
      </w:pPr>
    </w:p>
    <w:p>
      <w:pPr>
        <w:jc w:val="both"/>
        <w:ind w:left="660" w:firstLine="413"/>
        <w:spacing w:after="0" w:line="289" w:lineRule="auto"/>
        <w:tabs>
          <w:tab w:leader="none" w:pos="1956" w:val="left"/>
        </w:tabs>
        <w:numPr>
          <w:ilvl w:val="0"/>
          <w:numId w:val="643"/>
        </w:numPr>
        <w:rPr>
          <w:rFonts w:ascii="Arial" w:cs="Arial" w:eastAsia="Arial" w:hAnsi="Arial"/>
          <w:sz w:val="19"/>
          <w:szCs w:val="19"/>
          <w:color w:val="auto"/>
        </w:rPr>
      </w:pPr>
      <w:r>
        <w:rPr>
          <w:rFonts w:ascii="Arial" w:cs="Arial" w:eastAsia="Arial" w:hAnsi="Arial"/>
          <w:sz w:val="19"/>
          <w:szCs w:val="19"/>
          <w:color w:val="auto"/>
        </w:rPr>
        <w:t>at any time during any period of two consecutive years (not including any period prior to the Registration Date) individuals who at the beginning of such period constituted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cease for any reason to constitute at least a majority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member of the Board subsequent to the first day of such period whose election, or nomination for election, by the Company’s stockholders was approved by a vote of at least a majority of the Incumbent Directors shall be considered as though such individual were an Incumbent Director, but excluding, for purposes of this proviso, any such individual whose initial assumption of office occurs as a result of, or in connection with, an actual or threatened proxy contest with respect to the election or removal of Board members or other actual or threatened solicitation of proxies or consents by or on behalf of any Person or Persons (whether or not acting in concert) other than the Board; or</w:t>
      </w:r>
    </w:p>
    <w:p>
      <w:pPr>
        <w:spacing w:after="0" w:line="156" w:lineRule="exact"/>
        <w:rPr>
          <w:rFonts w:ascii="Arial" w:cs="Arial" w:eastAsia="Arial" w:hAnsi="Arial"/>
          <w:sz w:val="19"/>
          <w:szCs w:val="19"/>
          <w:color w:val="auto"/>
        </w:rPr>
      </w:pPr>
    </w:p>
    <w:p>
      <w:pPr>
        <w:ind w:left="1960" w:hanging="827"/>
        <w:spacing w:after="0"/>
        <w:tabs>
          <w:tab w:leader="none" w:pos="1960" w:val="left"/>
        </w:tabs>
        <w:numPr>
          <w:ilvl w:val="0"/>
          <w:numId w:val="643"/>
        </w:numPr>
        <w:rPr>
          <w:rFonts w:ascii="Arial" w:cs="Arial" w:eastAsia="Arial" w:hAnsi="Arial"/>
          <w:sz w:val="22"/>
          <w:szCs w:val="22"/>
          <w:color w:val="auto"/>
        </w:rPr>
      </w:pPr>
      <w:r>
        <w:rPr>
          <w:rFonts w:ascii="Arial" w:cs="Arial" w:eastAsia="Arial" w:hAnsi="Arial"/>
          <w:sz w:val="22"/>
          <w:szCs w:val="22"/>
          <w:color w:val="auto"/>
        </w:rPr>
        <w:t>the liquidation or dissolution of the Company.</w:t>
      </w:r>
    </w:p>
    <w:p>
      <w:pPr>
        <w:spacing w:after="0" w:line="2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Notwithstanding anything to the contrary herein or in any Award Agreement, a Change in Control will not be deemed to have occurred by virtue of (A) the consummation of any transaction or series of related transactions immediately following which the holders of the shares of the Company immediately prior to the transaction or series of transactions continue to have substantially the same proportionate ownership and voting power in an entity which owns all or substantially all of the assets of the Company immediately following the transaction or series of transactions, (B) any acquisition of additional securities of the Company or voting power with respect to the Common Stock by any or some combination of the Specified Stockholders (as defined below) after the Registration Date, including as a result of a Permitted Transfer (as defined in the Certificate of Incorporation) or in connection with a transaction or issuance (including pursuant to outstanding equity-based awards) or any other transaction approved by the Board or a Committee thereof, (C) any change in the Specified Stockholders’ voting power with respect to the Common Stock resulting from a conversion of shares of Common Stock reducing the number of shares or votes outstanding or (D) any acquisition or disposition of shares of Class B Common Stock by the Specified Stockholders or change in the total voting power of the Common Stock held by the Specified Stockholders as a result of (x) the conversion of any shares of Common Stock into shares of Class B Common Stock, (y) the conversion of any shares of Class B Common Stock into shares of any other class of Common Stock or (z) any change in the voting power of the holders of the Class B Common Stock, including solely as a result of any decrease in the total number of shares of Common Stock or of any series of class thereof, as applicable, outstanding.</w:t>
      </w:r>
    </w:p>
    <w:p>
      <w:pPr>
        <w:spacing w:after="0" w:line="200" w:lineRule="exact"/>
        <w:rPr>
          <w:sz w:val="20"/>
          <w:szCs w:val="20"/>
          <w:color w:val="auto"/>
        </w:rPr>
      </w:pPr>
    </w:p>
    <w:p>
      <w:pPr>
        <w:spacing w:after="0" w:line="215" w:lineRule="exact"/>
        <w:rPr>
          <w:sz w:val="20"/>
          <w:szCs w:val="20"/>
          <w:color w:val="auto"/>
        </w:rPr>
      </w:pPr>
    </w:p>
    <w:p>
      <w:pPr>
        <w:ind w:left="1300" w:hanging="320"/>
        <w:spacing w:after="0"/>
        <w:tabs>
          <w:tab w:leader="none" w:pos="1300" w:val="left"/>
        </w:tabs>
        <w:numPr>
          <w:ilvl w:val="0"/>
          <w:numId w:val="6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A Common Stock</w:t>
      </w:r>
      <w:r>
        <w:rPr>
          <w:rFonts w:ascii="Arial" w:cs="Arial" w:eastAsia="Arial" w:hAnsi="Arial"/>
          <w:sz w:val="21"/>
          <w:szCs w:val="21"/>
          <w:color w:val="auto"/>
        </w:rPr>
        <w:t>” means the Company’s Class A Common Stock, par value $0.0001 per share.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0" w:lineRule="exact"/>
        <w:rPr>
          <w:rFonts w:ascii="Arial" w:cs="Arial" w:eastAsia="Arial" w:hAnsi="Arial"/>
          <w:sz w:val="21"/>
          <w:szCs w:val="21"/>
          <w:color w:val="auto"/>
        </w:rPr>
      </w:pPr>
    </w:p>
    <w:p>
      <w:pPr>
        <w:ind w:left="5580"/>
        <w:spacing w:after="0"/>
        <w:rPr>
          <w:rFonts w:ascii="Arial" w:cs="Arial" w:eastAsia="Arial" w:hAnsi="Arial"/>
          <w:sz w:val="21"/>
          <w:szCs w:val="21"/>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02" w:name="page803"/>
    <w:bookmarkEnd w:id="802"/>
    <w:p>
      <w:pPr>
        <w:ind w:left="980" w:right="1040"/>
        <w:spacing w:after="0" w:line="448" w:lineRule="auto"/>
        <w:tabs>
          <w:tab w:leader="none" w:pos="1292" w:val="left"/>
        </w:tabs>
        <w:numPr>
          <w:ilvl w:val="0"/>
          <w:numId w:val="6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means the Company’s Class B Common Stock, par value $0.0001 per share. (m)“</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ind w:left="1300" w:hanging="320"/>
        <w:spacing w:after="0"/>
        <w:tabs>
          <w:tab w:leader="none" w:pos="1300" w:val="left"/>
        </w:tabs>
        <w:numPr>
          <w:ilvl w:val="0"/>
          <w:numId w:val="6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the Board appointed in accordance with Section 5 hereof.</w:t>
      </w:r>
    </w:p>
    <w:p>
      <w:pPr>
        <w:spacing w:after="0" w:line="220" w:lineRule="exact"/>
        <w:rPr>
          <w:sz w:val="20"/>
          <w:szCs w:val="20"/>
          <w:color w:val="auto"/>
        </w:rPr>
      </w:pPr>
    </w:p>
    <w:p>
      <w:pPr>
        <w:ind w:firstLine="980"/>
        <w:spacing w:after="0" w:line="263" w:lineRule="auto"/>
        <w:tabs>
          <w:tab w:leader="none" w:pos="1291"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the Class B Common Stock or the Company’s Class C common stock, par value $0.0001 per share.</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Robinhood Markets, Inc., a Delaware corporation, or any successor thereto.</w:t>
      </w:r>
    </w:p>
    <w:p>
      <w:pPr>
        <w:spacing w:after="0" w:line="219" w:lineRule="exact"/>
        <w:rPr>
          <w:rFonts w:ascii="Arial" w:cs="Arial" w:eastAsia="Arial" w:hAnsi="Arial"/>
          <w:sz w:val="22"/>
          <w:szCs w:val="22"/>
          <w:color w:val="auto"/>
        </w:rPr>
      </w:pPr>
    </w:p>
    <w:p>
      <w:pPr>
        <w:jc w:val="both"/>
        <w:ind w:firstLine="980"/>
        <w:spacing w:after="0" w:line="253" w:lineRule="auto"/>
        <w:tabs>
          <w:tab w:leader="none" w:pos="1291"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highlight w:val="white"/>
        </w:rPr>
        <w:t>” means any natural person, including an advisor, who renders bona fide consulting services to the</w:t>
      </w:r>
      <w:r>
        <w:rPr>
          <w:rFonts w:ascii="Arial" w:cs="Arial" w:eastAsia="Arial" w:hAnsi="Arial"/>
          <w:sz w:val="22"/>
          <w:szCs w:val="22"/>
          <w:color w:val="auto"/>
        </w:rPr>
        <w:t xml:space="preserve"> Company or any Affiliate;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Consultant will include only those persons to whom the issuance of Shares may be registered under Form S-8 promulgated under the Securities Act.</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color w:val="auto"/>
        </w:rPr>
      </w:pPr>
    </w:p>
    <w:p>
      <w:pPr>
        <w:jc w:val="both"/>
        <w:ind w:firstLine="980"/>
        <w:spacing w:after="0" w:line="265" w:lineRule="auto"/>
        <w:tabs>
          <w:tab w:leader="none" w:pos="1294" w:val="left"/>
        </w:tabs>
        <w:numPr>
          <w:ilvl w:val="0"/>
          <w:numId w:val="6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a Participant’s inability to perform the customary duties of his or her position of employment by reason of any medically determinable physical or mental impairment that can be expected to result in death or that can be expected to last for a continuous period of not less than 12 months. The Administrator may require such medical or other evidence as it deems necessary to judge the nature and permanency of the Participant’s condition.</w:t>
      </w:r>
    </w:p>
    <w:p>
      <w:pPr>
        <w:spacing w:after="0" w:line="175" w:lineRule="exact"/>
        <w:rPr>
          <w:rFonts w:ascii="Arial" w:cs="Arial" w:eastAsia="Arial" w:hAnsi="Arial"/>
          <w:sz w:val="21"/>
          <w:szCs w:val="21"/>
          <w:color w:val="auto"/>
        </w:rPr>
      </w:pPr>
    </w:p>
    <w:p>
      <w:pPr>
        <w:jc w:val="both"/>
        <w:ind w:firstLine="980"/>
        <w:spacing w:after="0" w:line="253" w:lineRule="auto"/>
        <w:tabs>
          <w:tab w:leader="none" w:pos="1284"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Equivalent</w:t>
      </w:r>
      <w:r>
        <w:rPr>
          <w:rFonts w:ascii="Arial" w:cs="Arial" w:eastAsia="Arial" w:hAnsi="Arial"/>
          <w:sz w:val="22"/>
          <w:szCs w:val="22"/>
          <w:color w:val="auto"/>
        </w:rPr>
        <w:t>” means a credit, made at the discretion of the Administrator or as otherwise provided by the Plan or in the Award Agreement, to the account of a Participant in an amount equal to any ordinary cash dividends paid on one Share for each Share subject to an Award held by such Participant.</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6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effective date of the Plan, as described in Section 17 hereof.</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6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means any person who provides services as an employee to the Company or any Affiliate.</w:t>
      </w:r>
    </w:p>
    <w:p>
      <w:pPr>
        <w:spacing w:after="0" w:line="231"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(w)“</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75" w:lineRule="exact"/>
        <w:rPr>
          <w:sz w:val="20"/>
          <w:szCs w:val="20"/>
          <w:color w:val="auto"/>
        </w:rPr>
      </w:pPr>
    </w:p>
    <w:p>
      <w:pPr>
        <w:jc w:val="both"/>
        <w:ind w:firstLine="980"/>
        <w:spacing w:after="0" w:line="265" w:lineRule="auto"/>
        <w:tabs>
          <w:tab w:leader="none" w:pos="1291" w:val="left"/>
        </w:tabs>
        <w:numPr>
          <w:ilvl w:val="0"/>
          <w:numId w:val="6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relevant date, the value of a Share determined as follows: (i) the closing sales price per Share on such relevant date, as quoted on any established stock exchange or national market system (including, without limitation, the New York Stock Exchange, NASDAQ Global Select Market, the NASDAQ Global Market or the NASDAQ Capital Market of The NASDAQ Stock Market) on which the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803" w:name="page804"/>
    <w:bookmarkEnd w:id="803"/>
    <w:p>
      <w:pPr>
        <w:jc w:val="both"/>
        <w:spacing w:after="0" w:line="292" w:lineRule="auto"/>
        <w:rPr>
          <w:sz w:val="20"/>
          <w:szCs w:val="20"/>
          <w:color w:val="auto"/>
        </w:rPr>
      </w:pPr>
      <w:r>
        <w:rPr>
          <w:rFonts w:ascii="Arial" w:cs="Arial" w:eastAsia="Arial" w:hAnsi="Arial"/>
          <w:sz w:val="19"/>
          <w:szCs w:val="19"/>
          <w:color w:val="auto"/>
        </w:rPr>
        <w:t xml:space="preserve">Stock is listed on such relevant date (or the closing bid, if no sales were reported),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relevant date is a non-Trading Day (</w:t>
      </w:r>
      <w:r>
        <w:rPr>
          <w:rFonts w:ascii="Arial" w:cs="Arial" w:eastAsia="Arial" w:hAnsi="Arial"/>
          <w:sz w:val="19"/>
          <w:szCs w:val="19"/>
          <w:u w:val="single" w:color="auto"/>
          <w:color w:val="auto"/>
        </w:rPr>
        <w:t>i.e</w:t>
      </w:r>
      <w:r>
        <w:rPr>
          <w:rFonts w:ascii="Arial" w:cs="Arial" w:eastAsia="Arial" w:hAnsi="Arial"/>
          <w:sz w:val="19"/>
          <w:szCs w:val="19"/>
          <w:i w:val="1"/>
          <w:iCs w:val="1"/>
          <w:color w:val="auto"/>
        </w:rPr>
        <w:t>.</w:t>
      </w:r>
      <w:r>
        <w:rPr>
          <w:rFonts w:ascii="Arial" w:cs="Arial" w:eastAsia="Arial" w:hAnsi="Arial"/>
          <w:sz w:val="19"/>
          <w:szCs w:val="19"/>
          <w:color w:val="auto"/>
        </w:rPr>
        <w:t>, a weekend or holiday), the Fair Market Value will be such price on the immediately preceding Trading Day, unless otherwise determined by the Administrator; or (ii) in the absence of an established market for the Class A Common Stock, the Fair Market Value thereof will be determined in good faith by the Administrator in a manner that complies with Applicable Laws. 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51" w:lineRule="exact"/>
        <w:rPr>
          <w:sz w:val="20"/>
          <w:szCs w:val="20"/>
          <w:color w:val="auto"/>
        </w:rPr>
      </w:pPr>
    </w:p>
    <w:p>
      <w:pPr>
        <w:ind w:firstLine="980"/>
        <w:spacing w:after="0" w:line="263" w:lineRule="auto"/>
        <w:tabs>
          <w:tab w:leader="none" w:pos="1291" w:val="left"/>
        </w:tabs>
        <w:numPr>
          <w:ilvl w:val="0"/>
          <w:numId w:val="6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for all purposes, the date on which the Administrator makes the determination granting such Award, or such other later date as is determined by the Administrator.</w:t>
      </w:r>
    </w:p>
    <w:p>
      <w:pPr>
        <w:spacing w:after="0" w:line="174" w:lineRule="exact"/>
        <w:rPr>
          <w:rFonts w:ascii="Arial" w:cs="Arial" w:eastAsia="Arial" w:hAnsi="Arial"/>
          <w:sz w:val="22"/>
          <w:szCs w:val="22"/>
          <w:color w:val="auto"/>
        </w:rPr>
      </w:pPr>
    </w:p>
    <w:p>
      <w:pPr>
        <w:ind w:firstLine="980"/>
        <w:spacing w:after="0" w:line="263" w:lineRule="auto"/>
        <w:tabs>
          <w:tab w:leader="none" w:pos="1293" w:val="left"/>
        </w:tabs>
        <w:numPr>
          <w:ilvl w:val="0"/>
          <w:numId w:val="6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and which actually qualifies, as an incentive stock option within the meaning of Section 422 of the Code and the regulations promulgated thereunder.</w:t>
      </w:r>
    </w:p>
    <w:p>
      <w:pPr>
        <w:spacing w:after="0" w:line="175" w:lineRule="exact"/>
        <w:rPr>
          <w:sz w:val="20"/>
          <w:szCs w:val="20"/>
          <w:color w:val="auto"/>
        </w:rPr>
      </w:pPr>
    </w:p>
    <w:p>
      <w:pPr>
        <w:ind w:left="1360" w:hanging="380"/>
        <w:spacing w:after="0"/>
        <w:tabs>
          <w:tab w:leader="none" w:pos="1360" w:val="left"/>
        </w:tabs>
        <w:numPr>
          <w:ilvl w:val="0"/>
          <w:numId w:val="6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Non-Employee Director</w:t>
      </w:r>
      <w:r>
        <w:rPr>
          <w:rFonts w:ascii="Arial" w:cs="Arial" w:eastAsia="Arial" w:hAnsi="Arial"/>
          <w:sz w:val="21"/>
          <w:szCs w:val="21"/>
          <w:color w:val="auto"/>
        </w:rPr>
        <w:t>” means a Director who is not an Employee.</w:t>
      </w:r>
    </w:p>
    <w:p>
      <w:pPr>
        <w:spacing w:after="0" w:line="231" w:lineRule="exact"/>
        <w:rPr>
          <w:rFonts w:ascii="Arial" w:cs="Arial" w:eastAsia="Arial" w:hAnsi="Arial"/>
          <w:sz w:val="21"/>
          <w:szCs w:val="21"/>
          <w:color w:val="auto"/>
        </w:rPr>
      </w:pPr>
    </w:p>
    <w:p>
      <w:pPr>
        <w:ind w:right="20" w:firstLine="980"/>
        <w:spacing w:after="0" w:line="263" w:lineRule="auto"/>
        <w:tabs>
          <w:tab w:leader="none" w:pos="1386"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74" w:lineRule="exact"/>
        <w:rPr>
          <w:rFonts w:ascii="Arial" w:cs="Arial" w:eastAsia="Arial" w:hAnsi="Arial"/>
          <w:sz w:val="22"/>
          <w:szCs w:val="22"/>
          <w:color w:val="auto"/>
        </w:rPr>
      </w:pPr>
    </w:p>
    <w:p>
      <w:pPr>
        <w:ind w:right="20" w:firstLine="980"/>
        <w:spacing w:after="0" w:line="263" w:lineRule="auto"/>
        <w:tabs>
          <w:tab w:leader="none" w:pos="1375"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174" w:lineRule="exact"/>
        <w:rPr>
          <w:rFonts w:ascii="Arial" w:cs="Arial" w:eastAsia="Arial" w:hAnsi="Arial"/>
          <w:sz w:val="22"/>
          <w:szCs w:val="22"/>
          <w:color w:val="auto"/>
        </w:rPr>
      </w:pPr>
    </w:p>
    <w:p>
      <w:pPr>
        <w:ind w:left="1400" w:hanging="420"/>
        <w:spacing w:after="0"/>
        <w:tabs>
          <w:tab w:leader="none" w:pos="1400" w:val="left"/>
        </w:tabs>
        <w:numPr>
          <w:ilvl w:val="0"/>
          <w:numId w:val="6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w:t>
      </w:r>
      <w:r>
        <w:rPr>
          <w:rFonts w:ascii="Arial" w:cs="Arial" w:eastAsia="Arial" w:hAnsi="Arial"/>
          <w:sz w:val="21"/>
          <w:szCs w:val="21"/>
          <w:color w:val="auto"/>
        </w:rPr>
        <w:t>” means an option to purchase Shares from the Company granted pursuant to Section 7 hereof.</w:t>
      </w:r>
    </w:p>
    <w:p>
      <w:pPr>
        <w:spacing w:after="0" w:line="231" w:lineRule="exact"/>
        <w:rPr>
          <w:rFonts w:ascii="Arial" w:cs="Arial" w:eastAsia="Arial" w:hAnsi="Arial"/>
          <w:sz w:val="21"/>
          <w:szCs w:val="21"/>
          <w:color w:val="auto"/>
        </w:rPr>
      </w:pPr>
    </w:p>
    <w:p>
      <w:pPr>
        <w:ind w:left="1380" w:hanging="400"/>
        <w:spacing w:after="0"/>
        <w:tabs>
          <w:tab w:leader="none" w:pos="1380" w:val="left"/>
        </w:tabs>
        <w:numPr>
          <w:ilvl w:val="0"/>
          <w:numId w:val="6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01" w:lineRule="exact"/>
        <w:rPr>
          <w:rFonts w:ascii="Arial" w:cs="Arial" w:eastAsia="Arial" w:hAnsi="Arial"/>
          <w:sz w:val="19"/>
          <w:szCs w:val="19"/>
          <w:color w:val="auto"/>
        </w:rPr>
      </w:pPr>
    </w:p>
    <w:p>
      <w:pPr>
        <w:ind w:left="1320" w:hanging="340"/>
        <w:spacing w:after="0"/>
        <w:tabs>
          <w:tab w:leader="none" w:pos="1320"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219" w:lineRule="exact"/>
        <w:rPr>
          <w:rFonts w:ascii="Arial" w:cs="Arial" w:eastAsia="Arial" w:hAnsi="Arial"/>
          <w:sz w:val="22"/>
          <w:szCs w:val="22"/>
          <w:color w:val="auto"/>
        </w:rPr>
      </w:pPr>
    </w:p>
    <w:p>
      <w:pPr>
        <w:jc w:val="both"/>
        <w:ind w:firstLine="980"/>
        <w:spacing w:after="0" w:line="253" w:lineRule="auto"/>
        <w:tabs>
          <w:tab w:leader="none" w:pos="1413"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Performance-Based Award</w:t>
      </w:r>
      <w:r>
        <w:rPr>
          <w:rFonts w:ascii="Arial" w:cs="Arial" w:eastAsia="Arial" w:hAnsi="Arial"/>
          <w:sz w:val="22"/>
          <w:szCs w:val="22"/>
          <w:color w:val="auto"/>
        </w:rPr>
        <w:t>” means any Award (including, for the avoidance of doubt, a Performance Unit) which may be earned in whole or in part upon attainment of performance goals or other performance-based vesting criteria as the Administrator may determine.</w:t>
      </w:r>
    </w:p>
    <w:p>
      <w:pPr>
        <w:spacing w:after="0" w:line="185" w:lineRule="exact"/>
        <w:rPr>
          <w:rFonts w:ascii="Arial" w:cs="Arial" w:eastAsia="Arial" w:hAnsi="Arial"/>
          <w:sz w:val="22"/>
          <w:szCs w:val="22"/>
          <w:color w:val="auto"/>
        </w:rPr>
      </w:pPr>
    </w:p>
    <w:p>
      <w:pPr>
        <w:ind w:firstLine="980"/>
        <w:spacing w:after="0" w:line="263" w:lineRule="auto"/>
        <w:tabs>
          <w:tab w:leader="none" w:pos="1413"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the time period during which the performance objectives or other performance-based vesting criteria applicable to a Performance-Based Award must be met.</w:t>
      </w:r>
    </w:p>
    <w:p>
      <w:pPr>
        <w:spacing w:after="0" w:line="174" w:lineRule="exact"/>
        <w:rPr>
          <w:rFonts w:ascii="Arial" w:cs="Arial" w:eastAsia="Arial" w:hAnsi="Arial"/>
          <w:sz w:val="22"/>
          <w:szCs w:val="22"/>
          <w:color w:val="auto"/>
        </w:rPr>
      </w:pPr>
    </w:p>
    <w:p>
      <w:pPr>
        <w:jc w:val="both"/>
        <w:ind w:firstLine="980"/>
        <w:spacing w:after="0" w:line="253" w:lineRule="auto"/>
        <w:tabs>
          <w:tab w:leader="none" w:pos="1303" w:val="left"/>
        </w:tabs>
        <w:numPr>
          <w:ilvl w:val="0"/>
          <w:numId w:val="6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an Award granted under Section 11 hereof which may be earned in whole or in part upon attainment of performance goals during the relevant Performance Period as the Administrator may determine. Each Performance Unit represents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804" w:name="page805"/>
    <w:bookmarkEnd w:id="804"/>
    <w:p>
      <w:pPr>
        <w:spacing w:after="0" w:line="263" w:lineRule="auto"/>
        <w:rPr>
          <w:sz w:val="20"/>
          <w:szCs w:val="20"/>
          <w:color w:val="auto"/>
        </w:rPr>
      </w:pPr>
      <w:r>
        <w:rPr>
          <w:rFonts w:ascii="Arial" w:cs="Arial" w:eastAsia="Arial" w:hAnsi="Arial"/>
          <w:sz w:val="22"/>
          <w:szCs w:val="22"/>
          <w:color w:val="auto"/>
        </w:rPr>
        <w:t>unfunded and unsecured obligation of the Company to deliver Shares, cash, other securities, other Awards or other property in accordance with the terms of the applicable Award Agreement.</w:t>
      </w:r>
    </w:p>
    <w:p>
      <w:pPr>
        <w:spacing w:after="0" w:line="175" w:lineRule="exact"/>
        <w:rPr>
          <w:sz w:val="20"/>
          <w:szCs w:val="20"/>
          <w:color w:val="auto"/>
        </w:rPr>
      </w:pPr>
    </w:p>
    <w:p>
      <w:pPr>
        <w:jc w:val="both"/>
        <w:ind w:firstLine="980"/>
        <w:spacing w:after="0" w:line="253" w:lineRule="auto"/>
        <w:tabs>
          <w:tab w:leader="none" w:pos="1317"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 or a “group” within the meaning of Section 13(d)(3) or Section 14(d)(2) of the Exchange Act.</w:t>
      </w:r>
    </w:p>
    <w:p>
      <w:pPr>
        <w:spacing w:after="0" w:line="185" w:lineRule="exact"/>
        <w:rPr>
          <w:rFonts w:ascii="Arial" w:cs="Arial" w:eastAsia="Arial" w:hAnsi="Arial"/>
          <w:sz w:val="22"/>
          <w:szCs w:val="22"/>
          <w:color w:val="auto"/>
        </w:rPr>
      </w:pPr>
    </w:p>
    <w:p>
      <w:pPr>
        <w:ind w:left="1400" w:hanging="420"/>
        <w:spacing w:after="0"/>
        <w:tabs>
          <w:tab w:leader="none" w:pos="1400" w:val="left"/>
        </w:tabs>
        <w:numPr>
          <w:ilvl w:val="0"/>
          <w:numId w:val="6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Robinhood Markets, Inc. 2021 Omnibus Incentive Plan, as may be amended from time to time.</w:t>
      </w:r>
    </w:p>
    <w:p>
      <w:pPr>
        <w:spacing w:after="0" w:line="254" w:lineRule="exact"/>
        <w:rPr>
          <w:rFonts w:ascii="Arial" w:cs="Arial" w:eastAsia="Arial" w:hAnsi="Arial"/>
          <w:sz w:val="19"/>
          <w:szCs w:val="19"/>
          <w:color w:val="auto"/>
        </w:rPr>
      </w:pPr>
    </w:p>
    <w:p>
      <w:pPr>
        <w:ind w:firstLine="980"/>
        <w:spacing w:after="0" w:line="263" w:lineRule="auto"/>
        <w:tabs>
          <w:tab w:leader="none" w:pos="1330"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Date</w:t>
      </w:r>
      <w:r>
        <w:rPr>
          <w:rFonts w:ascii="Arial" w:cs="Arial" w:eastAsia="Arial" w:hAnsi="Arial"/>
          <w:sz w:val="22"/>
          <w:szCs w:val="22"/>
          <w:color w:val="auto"/>
        </w:rPr>
        <w:t>” means the effective date of the registration statement on Form S-1 filed with the U.S. Securities and Exchange Commission for the initial public offering of the Class A Common Stock.</w:t>
      </w:r>
    </w:p>
    <w:p>
      <w:pPr>
        <w:spacing w:after="0" w:line="174" w:lineRule="exact"/>
        <w:rPr>
          <w:rFonts w:ascii="Arial" w:cs="Arial" w:eastAsia="Arial" w:hAnsi="Arial"/>
          <w:sz w:val="22"/>
          <w:szCs w:val="22"/>
          <w:color w:val="auto"/>
        </w:rPr>
      </w:pPr>
    </w:p>
    <w:p>
      <w:pPr>
        <w:ind w:left="1520" w:hanging="540"/>
        <w:spacing w:after="0"/>
        <w:tabs>
          <w:tab w:leader="none" w:pos="1520" w:val="left"/>
        </w:tabs>
        <w:numPr>
          <w:ilvl w:val="0"/>
          <w:numId w:val="6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w:t>
      </w:r>
      <w:r>
        <w:rPr>
          <w:rFonts w:ascii="Arial" w:cs="Arial" w:eastAsia="Arial" w:hAnsi="Arial"/>
          <w:sz w:val="21"/>
          <w:szCs w:val="21"/>
          <w:color w:val="auto"/>
        </w:rPr>
        <w:t>” means Shares issued pursuant to a Restricted Stock award under Section 9 hereof.</w:t>
      </w:r>
    </w:p>
    <w:p>
      <w:pPr>
        <w:spacing w:after="0" w:line="231" w:lineRule="exact"/>
        <w:rPr>
          <w:rFonts w:ascii="Arial" w:cs="Arial" w:eastAsia="Arial" w:hAnsi="Arial"/>
          <w:sz w:val="21"/>
          <w:szCs w:val="21"/>
          <w:color w:val="auto"/>
        </w:rPr>
      </w:pPr>
    </w:p>
    <w:p>
      <w:pPr>
        <w:jc w:val="both"/>
        <w:ind w:firstLine="980"/>
        <w:spacing w:after="0" w:line="250" w:lineRule="auto"/>
        <w:tabs>
          <w:tab w:leader="none" w:pos="1386"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of one Share granted pursuant to Section 10 hereof. Each Restricted Stock Unit represents an unfunded and unsecured obligation of the Company to deliver Shares, cash, other securities, other Awards or other property in accordance with the terms of the Award Agreement.</w:t>
      </w:r>
    </w:p>
    <w:p>
      <w:pPr>
        <w:spacing w:after="0" w:line="187" w:lineRule="exact"/>
        <w:rPr>
          <w:rFonts w:ascii="Arial" w:cs="Arial" w:eastAsia="Arial" w:hAnsi="Arial"/>
          <w:sz w:val="22"/>
          <w:szCs w:val="22"/>
          <w:color w:val="auto"/>
        </w:rPr>
      </w:pPr>
    </w:p>
    <w:p>
      <w:pPr>
        <w:ind w:firstLine="980"/>
        <w:spacing w:after="0" w:line="263" w:lineRule="auto"/>
        <w:tabs>
          <w:tab w:leader="none" w:pos="1386"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as amended, including the rules and regulations promulgated thereunder, or any state law equivalent.</w:t>
      </w:r>
    </w:p>
    <w:p>
      <w:pPr>
        <w:spacing w:after="0" w:line="174" w:lineRule="exact"/>
        <w:rPr>
          <w:rFonts w:ascii="Arial" w:cs="Arial" w:eastAsia="Arial" w:hAnsi="Arial"/>
          <w:sz w:val="22"/>
          <w:szCs w:val="22"/>
          <w:color w:val="auto"/>
        </w:rPr>
      </w:pPr>
    </w:p>
    <w:p>
      <w:pPr>
        <w:ind w:firstLine="980"/>
        <w:spacing w:after="0" w:line="263" w:lineRule="auto"/>
        <w:tabs>
          <w:tab w:leader="none" w:pos="1440"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including the rules and regulations promulgated thereunder.</w:t>
      </w:r>
    </w:p>
    <w:p>
      <w:pPr>
        <w:spacing w:after="0" w:line="174" w:lineRule="exact"/>
        <w:rPr>
          <w:rFonts w:ascii="Arial" w:cs="Arial" w:eastAsia="Arial" w:hAnsi="Arial"/>
          <w:sz w:val="22"/>
          <w:szCs w:val="22"/>
          <w:color w:val="auto"/>
        </w:rPr>
      </w:pPr>
    </w:p>
    <w:p>
      <w:pPr>
        <w:ind w:left="1400" w:hanging="420"/>
        <w:spacing w:after="0"/>
        <w:tabs>
          <w:tab w:leader="none" w:pos="1400"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 current or future Employee, Director or Consultant.</w:t>
      </w:r>
    </w:p>
    <w:p>
      <w:pPr>
        <w:spacing w:after="0" w:line="219" w:lineRule="exact"/>
        <w:rPr>
          <w:rFonts w:ascii="Arial" w:cs="Arial" w:eastAsia="Arial" w:hAnsi="Arial"/>
          <w:sz w:val="22"/>
          <w:szCs w:val="22"/>
          <w:color w:val="auto"/>
        </w:rPr>
      </w:pPr>
    </w:p>
    <w:p>
      <w:pPr>
        <w:ind w:firstLine="980"/>
        <w:spacing w:after="0" w:line="287" w:lineRule="auto"/>
        <w:tabs>
          <w:tab w:leader="none" w:pos="1314" w:val="left"/>
        </w:tabs>
        <w:numPr>
          <w:ilvl w:val="0"/>
          <w:numId w:val="6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Relationship Agreement</w:t>
      </w:r>
      <w:r>
        <w:rPr>
          <w:rFonts w:ascii="Arial" w:cs="Arial" w:eastAsia="Arial" w:hAnsi="Arial"/>
          <w:sz w:val="21"/>
          <w:szCs w:val="21"/>
          <w:color w:val="auto"/>
        </w:rPr>
        <w:t>” means, as to any Participant, any employment, independent contractor or other agreement with respect to the Participant’s service relationship with the Company or any Affiliate.</w:t>
      </w:r>
    </w:p>
    <w:p>
      <w:pPr>
        <w:spacing w:after="0" w:line="151" w:lineRule="exact"/>
        <w:rPr>
          <w:rFonts w:ascii="Arial" w:cs="Arial" w:eastAsia="Arial" w:hAnsi="Arial"/>
          <w:sz w:val="21"/>
          <w:szCs w:val="21"/>
          <w:color w:val="auto"/>
        </w:rPr>
      </w:pPr>
    </w:p>
    <w:p>
      <w:pPr>
        <w:ind w:left="1340" w:hanging="360"/>
        <w:spacing w:after="0"/>
        <w:tabs>
          <w:tab w:leader="none" w:pos="1340" w:val="left"/>
        </w:tabs>
        <w:numPr>
          <w:ilvl w:val="0"/>
          <w:numId w:val="6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w:t>
      </w:r>
      <w:r>
        <w:rPr>
          <w:rFonts w:ascii="Arial" w:cs="Arial" w:eastAsia="Arial" w:hAnsi="Arial"/>
          <w:sz w:val="21"/>
          <w:szCs w:val="21"/>
          <w:color w:val="auto"/>
        </w:rPr>
        <w:t>” means a share of Class A Common Stock, as adjusted in accordance with Section 15(a) hereof.</w:t>
      </w:r>
    </w:p>
    <w:p>
      <w:pPr>
        <w:spacing w:after="0" w:line="231" w:lineRule="exact"/>
        <w:rPr>
          <w:rFonts w:ascii="Arial" w:cs="Arial" w:eastAsia="Arial" w:hAnsi="Arial"/>
          <w:sz w:val="21"/>
          <w:szCs w:val="21"/>
          <w:color w:val="auto"/>
        </w:rPr>
      </w:pPr>
    </w:p>
    <w:p>
      <w:pPr>
        <w:ind w:right="20" w:firstLine="980"/>
        <w:spacing w:after="0" w:line="343" w:lineRule="auto"/>
        <w:tabs>
          <w:tab w:leader="none" w:pos="1290" w:val="left"/>
        </w:tabs>
        <w:numPr>
          <w:ilvl w:val="0"/>
          <w:numId w:val="6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Stockholder</w:t>
      </w:r>
      <w:r>
        <w:rPr>
          <w:rFonts w:ascii="Arial" w:cs="Arial" w:eastAsia="Arial" w:hAnsi="Arial"/>
          <w:sz w:val="19"/>
          <w:szCs w:val="19"/>
          <w:color w:val="auto"/>
        </w:rPr>
        <w:t>” means, individually or collectively (in any combination thereof), any Founder (as defined in the Certificate of Incorporation) or a Permitted Entity (as defined in the Certificate of Incorporation) of such Founder.</w:t>
      </w:r>
    </w:p>
    <w:p>
      <w:pPr>
        <w:spacing w:after="0" w:line="104" w:lineRule="exact"/>
        <w:rPr>
          <w:rFonts w:ascii="Arial" w:cs="Arial" w:eastAsia="Arial" w:hAnsi="Arial"/>
          <w:sz w:val="19"/>
          <w:szCs w:val="19"/>
          <w:color w:val="auto"/>
        </w:rPr>
      </w:pPr>
    </w:p>
    <w:p>
      <w:pPr>
        <w:ind w:firstLine="980"/>
        <w:spacing w:after="0" w:line="263" w:lineRule="auto"/>
        <w:tabs>
          <w:tab w:leader="none" w:pos="1399"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an Award, granted alone or in connection with an Option, that pursuant to Section 8 hereof is designated as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805" w:name="page806"/>
    <w:bookmarkEnd w:id="805"/>
    <w:p>
      <w:pPr>
        <w:ind w:left="980"/>
        <w:spacing w:after="0"/>
        <w:rPr>
          <w:sz w:val="20"/>
          <w:szCs w:val="20"/>
          <w:color w:val="auto"/>
        </w:rPr>
      </w:pPr>
      <w:r>
        <w:rPr>
          <w:rFonts w:ascii="Arial" w:cs="Arial" w:eastAsia="Arial" w:hAnsi="Arial"/>
          <w:sz w:val="19"/>
          <w:szCs w:val="19"/>
          <w:color w:val="auto"/>
        </w:rPr>
        <w:t>(vv) “</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 424(f)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Code.</w:t>
      </w:r>
    </w:p>
    <w:p>
      <w:pPr>
        <w:spacing w:after="0" w:line="202" w:lineRule="exact"/>
        <w:rPr>
          <w:sz w:val="20"/>
          <w:szCs w:val="20"/>
          <w:color w:val="auto"/>
        </w:rPr>
      </w:pPr>
    </w:p>
    <w:p>
      <w:pPr>
        <w:ind w:firstLine="980"/>
        <w:spacing w:after="0" w:line="263" w:lineRule="auto"/>
        <w:tabs>
          <w:tab w:leader="none" w:pos="1495" w:val="left"/>
        </w:tabs>
        <w:numPr>
          <w:ilvl w:val="1"/>
          <w:numId w:val="6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national stock exchange upon which the Class A Common Stock is listed is open for trading.</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53"/>
        </w:numPr>
        <w:rPr>
          <w:rFonts w:ascii="Arial" w:cs="Arial" w:eastAsia="Arial" w:hAnsi="Arial"/>
          <w:sz w:val="22"/>
          <w:szCs w:val="22"/>
          <w:color w:val="auto"/>
        </w:rPr>
      </w:pPr>
      <w:r>
        <w:rPr>
          <w:rFonts w:ascii="Arial" w:cs="Arial" w:eastAsia="Arial" w:hAnsi="Arial"/>
          <w:sz w:val="22"/>
          <w:szCs w:val="22"/>
          <w:u w:val="single" w:color="auto"/>
          <w:color w:val="auto"/>
        </w:rPr>
        <w:t>Share Limitations; Certain Provisions Relating to Class A Common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63" w:lineRule="auto"/>
        <w:tabs>
          <w:tab w:leader="none" w:pos="1293" w:val="left"/>
        </w:tabs>
        <w:numPr>
          <w:ilvl w:val="1"/>
          <w:numId w:val="653"/>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 Subject to the provisions of Section 15(a) hereof and the automatic increase set forth in Section 4(b) hereof, the maximum aggregate number of Shares that may be issued under the Plan is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Shares, plus (i) any Shares that, as of the Effective Date, have been reserved but not issued pursuant to any awards granted under the 2020 Plan and are not subject to any awards granted thereunder and (ii) any Shares subject to stock options, restricted stock units, or other equity-based awards granted under the 2020 Plan and the Company’s 2013 Stock Plan that, on or after the Effective Date, expire or otherwise terminate without having vested or been exercised in full, are tendered to or withheld by the Company for payment of any applicable exercise price or for tax withholding obligations, or are forfeited to or repurchased by the Company due to failure to vest. In addition, Shares may become available for issuance under the Plan pursuant to Sections 4(b) and (c) hereof. The Shares may be authorized, but unissued, or reacquired Class A Common Stock.</w:t>
      </w:r>
    </w:p>
    <w:p>
      <w:pPr>
        <w:spacing w:after="0" w:line="180" w:lineRule="exact"/>
        <w:rPr>
          <w:rFonts w:ascii="Arial" w:cs="Arial" w:eastAsia="Arial" w:hAnsi="Arial"/>
          <w:sz w:val="20"/>
          <w:szCs w:val="20"/>
          <w:color w:val="auto"/>
        </w:rPr>
      </w:pPr>
    </w:p>
    <w:p>
      <w:pPr>
        <w:jc w:val="both"/>
        <w:ind w:firstLine="980"/>
        <w:spacing w:after="0" w:line="248" w:lineRule="auto"/>
        <w:tabs>
          <w:tab w:leader="none" w:pos="1291" w:val="left"/>
        </w:tabs>
        <w:numPr>
          <w:ilvl w:val="1"/>
          <w:numId w:val="653"/>
        </w:numPr>
        <w:rPr>
          <w:rFonts w:ascii="Arial" w:cs="Arial" w:eastAsia="Arial" w:hAnsi="Arial"/>
          <w:sz w:val="22"/>
          <w:szCs w:val="22"/>
          <w:color w:val="auto"/>
        </w:rPr>
      </w:pPr>
      <w:r>
        <w:rPr>
          <w:rFonts w:ascii="Arial" w:cs="Arial" w:eastAsia="Arial" w:hAnsi="Arial"/>
          <w:sz w:val="22"/>
          <w:szCs w:val="22"/>
          <w:u w:val="single" w:color="auto"/>
          <w:color w:val="auto"/>
        </w:rPr>
        <w:t>Automatic Share Reserve Increase</w:t>
      </w:r>
      <w:r>
        <w:rPr>
          <w:rFonts w:ascii="Arial" w:cs="Arial" w:eastAsia="Arial" w:hAnsi="Arial"/>
          <w:sz w:val="22"/>
          <w:szCs w:val="22"/>
          <w:color w:val="auto"/>
          <w:highlight w:val="white"/>
        </w:rPr>
        <w:t>. Subject to the provisions of Section 15(a) hereof, the number of Shares</w:t>
      </w:r>
      <w:r>
        <w:rPr>
          <w:rFonts w:ascii="Arial" w:cs="Arial" w:eastAsia="Arial" w:hAnsi="Arial"/>
          <w:sz w:val="22"/>
          <w:szCs w:val="22"/>
          <w:color w:val="auto"/>
        </w:rPr>
        <w:t xml:space="preserve"> available for issuance under the Plan will be increased on the first day of each calendar year beginning with (and including) January 1, 2022 and ending with (and including) January 1, 2031, in an amount equal to the lesser of (i) five percent (5%) of the outstanding shares of all classes of Common Stock on the last day of the immediately preceding calendar year and (ii) such number of Shares determined by the Administrator.</w:t>
      </w:r>
    </w:p>
    <w:p>
      <w:pPr>
        <w:spacing w:after="0" w:line="191" w:lineRule="exact"/>
        <w:rPr>
          <w:rFonts w:ascii="Arial" w:cs="Arial" w:eastAsia="Arial" w:hAnsi="Arial"/>
          <w:sz w:val="22"/>
          <w:szCs w:val="22"/>
          <w:color w:val="auto"/>
        </w:rPr>
      </w:pPr>
    </w:p>
    <w:p>
      <w:pPr>
        <w:jc w:val="both"/>
        <w:ind w:firstLine="980"/>
        <w:spacing w:after="0" w:line="294" w:lineRule="auto"/>
        <w:tabs>
          <w:tab w:leader="none" w:pos="1293" w:val="left"/>
        </w:tabs>
        <w:numPr>
          <w:ilvl w:val="1"/>
          <w:numId w:val="653"/>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 Award is forfeited, or otherwise expires, terminates or is canceled without the delivery of Shares subject thereto or the Shares subject to such Award are reacquired by the Company pursuant to a forfeiture provision or repurchase right by the Company, then, in each case, the number of Shares subject to such Award that were not issued or that were reacquired, as applicable, will remain available for future grant or sale under the Plan (unless the Plan has terminated). With respect to Stock Appreciation Rights, only Shares actually issued (</w:t>
      </w:r>
      <w:r>
        <w:rPr>
          <w:rFonts w:ascii="Arial" w:cs="Arial" w:eastAsia="Arial" w:hAnsi="Arial"/>
          <w:sz w:val="19"/>
          <w:szCs w:val="19"/>
          <w:u w:val="single" w:color="auto"/>
          <w:color w:val="auto"/>
        </w:rPr>
        <w:t>i.e.</w:t>
      </w:r>
      <w:r>
        <w:rPr>
          <w:rFonts w:ascii="Arial" w:cs="Arial" w:eastAsia="Arial" w:hAnsi="Arial"/>
          <w:sz w:val="19"/>
          <w:szCs w:val="19"/>
          <w:color w:val="auto"/>
        </w:rPr>
        <w:t>, the net Shares issued) pursuant to a Stock Appreciation Right will cease to be available under the Plan and all remaining Shares under Stock Appreciation Rights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1" w:lineRule="exact"/>
        <w:rPr>
          <w:sz w:val="20"/>
          <w:szCs w:val="20"/>
          <w:color w:val="auto"/>
        </w:rPr>
      </w:pPr>
    </w:p>
    <w:p>
      <w:pPr>
        <w:ind w:right="20" w:firstLine="656"/>
        <w:spacing w:after="0" w:line="260" w:lineRule="auto"/>
        <w:tabs>
          <w:tab w:leader="none" w:pos="751" w:val="left"/>
        </w:tabs>
        <w:numPr>
          <w:ilvl w:val="0"/>
          <w:numId w:val="654"/>
        </w:numPr>
        <w:rPr>
          <w:rFonts w:ascii="Arial" w:cs="Arial" w:eastAsia="Arial" w:hAnsi="Arial"/>
          <w:sz w:val="22"/>
          <w:szCs w:val="22"/>
          <w:color w:val="auto"/>
          <w:vertAlign w:val="superscript"/>
        </w:rPr>
      </w:pPr>
      <w:r>
        <w:rPr>
          <w:rFonts w:ascii="Arial" w:cs="Arial" w:eastAsia="Arial" w:hAnsi="Arial"/>
          <w:sz w:val="17"/>
          <w:szCs w:val="17"/>
          <w:color w:val="auto"/>
        </w:rPr>
        <w:t>This blank shall be completed with the number that is equal to eleven percent (11%) of the outstanding shares of all classes of Common Stock on the Registration Date (after giving effect to (i) the issuance of shares of Class A Common Stock in the Company’s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(ii) the automatic conversion, immediately prior to the IPO, of all of the Company’s outstanding redeemable preferred stock into shares of Class A Common Stock, (iii) the automatic conversion, upon the IPO, of all of the Company’s outstanding Tranche I convertible notes and Tranche II convertible notes into shares of Class A Common Stock and (iv) the vesting and net settlement, upon the IPO, of restricted stock units into shares of Class A Common Stock with respect to restricted stock units that were granted prior to the IPO under other plans of the Company and for which the service-based and liquidity-based conditions were satisfied in connection with the IPO). When such amount becomes determinable, the Company’s Secretary is authorized to insert the numeral so determined into the text accompanying this footnote, and to delete this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806" w:name="page807"/>
    <w:bookmarkEnd w:id="806"/>
    <w:p>
      <w:pPr>
        <w:jc w:val="both"/>
        <w:spacing w:after="0" w:line="247" w:lineRule="auto"/>
        <w:rPr>
          <w:sz w:val="20"/>
          <w:szCs w:val="20"/>
          <w:color w:val="auto"/>
        </w:rPr>
      </w:pPr>
      <w:r>
        <w:rPr>
          <w:rFonts w:ascii="Arial" w:cs="Arial" w:eastAsia="Arial" w:hAnsi="Arial"/>
          <w:sz w:val="22"/>
          <w:szCs w:val="22"/>
          <w:color w:val="auto"/>
        </w:rPr>
        <w:t>remain available for future grant or sale under the Plan (unless the Plan has terminated). Shares used to pay the exercise price of an Award or to satisfy the tax withholding obligations related to an Award will remain or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15(a) hereof, the maximum number of Shares that may be issued upon the exercise of Incentive Stock Options is 400,000,000.</w:t>
      </w:r>
    </w:p>
    <w:p>
      <w:pPr>
        <w:spacing w:after="0" w:line="193" w:lineRule="exact"/>
        <w:rPr>
          <w:sz w:val="20"/>
          <w:szCs w:val="20"/>
          <w:color w:val="auto"/>
        </w:rPr>
      </w:pPr>
    </w:p>
    <w:p>
      <w:pPr>
        <w:jc w:val="both"/>
        <w:ind w:firstLine="980"/>
        <w:spacing w:after="0" w:line="312" w:lineRule="auto"/>
        <w:tabs>
          <w:tab w:leader="none" w:pos="1291" w:val="left"/>
        </w:tabs>
        <w:numPr>
          <w:ilvl w:val="1"/>
          <w:numId w:val="655"/>
        </w:numPr>
        <w:rPr>
          <w:rFonts w:ascii="Arial" w:cs="Arial" w:eastAsia="Arial" w:hAnsi="Arial"/>
          <w:sz w:val="19"/>
          <w:szCs w:val="19"/>
          <w:color w:val="auto"/>
        </w:rPr>
      </w:pPr>
      <w:r>
        <w:rPr>
          <w:rFonts w:ascii="Arial" w:cs="Arial" w:eastAsia="Arial" w:hAnsi="Arial"/>
          <w:sz w:val="19"/>
          <w:szCs w:val="19"/>
          <w:u w:val="single" w:color="auto"/>
          <w:color w:val="auto"/>
        </w:rPr>
        <w:t>Share Reserve; Source of Shares</w:t>
      </w:r>
      <w:r>
        <w:rPr>
          <w:rFonts w:ascii="Arial" w:cs="Arial" w:eastAsia="Arial" w:hAnsi="Arial"/>
          <w:sz w:val="19"/>
          <w:szCs w:val="19"/>
          <w:color w:val="auto"/>
        </w:rPr>
        <w:t>. The Company, during the term of the Plan, will at all times reserve and keep available such number of Shares as will be sufficient to satisfy the requirements of the Plan. The Shares issuable under the Plan will be authorized but unissued or forfeited shares, treasury shares or shares reacquired by the Company in any manner.</w:t>
      </w:r>
    </w:p>
    <w:p>
      <w:pPr>
        <w:spacing w:after="0" w:line="133" w:lineRule="exact"/>
        <w:rPr>
          <w:rFonts w:ascii="Arial" w:cs="Arial" w:eastAsia="Arial" w:hAnsi="Arial"/>
          <w:sz w:val="19"/>
          <w:szCs w:val="19"/>
          <w:color w:val="auto"/>
        </w:rPr>
      </w:pPr>
    </w:p>
    <w:p>
      <w:pPr>
        <w:jc w:val="both"/>
        <w:ind w:firstLine="980"/>
        <w:spacing w:after="0" w:line="292" w:lineRule="auto"/>
        <w:tabs>
          <w:tab w:leader="none" w:pos="1293" w:val="left"/>
        </w:tabs>
        <w:numPr>
          <w:ilvl w:val="1"/>
          <w:numId w:val="655"/>
        </w:numPr>
        <w:rPr>
          <w:rFonts w:ascii="Arial" w:cs="Arial" w:eastAsia="Arial" w:hAnsi="Arial"/>
          <w:sz w:val="19"/>
          <w:szCs w:val="19"/>
          <w:color w:val="auto"/>
        </w:rPr>
      </w:pPr>
      <w:r>
        <w:rPr>
          <w:rFonts w:ascii="Arial" w:cs="Arial" w:eastAsia="Arial" w:hAnsi="Arial"/>
          <w:sz w:val="19"/>
          <w:szCs w:val="19"/>
          <w:u w:val="single" w:color="auto"/>
          <w:color w:val="auto"/>
        </w:rPr>
        <w:t>Substitute Awards</w:t>
      </w:r>
      <w:r>
        <w:rPr>
          <w:rFonts w:ascii="Arial" w:cs="Arial" w:eastAsia="Arial" w:hAnsi="Arial"/>
          <w:sz w:val="19"/>
          <w:szCs w:val="19"/>
          <w:color w:val="auto"/>
        </w:rPr>
        <w:t>. Awards may, in the discretion of the Administrator, be granted in assumption of, or in substitution for, outstanding awards previously granted by a company acquired by the Company or any of its Affiliates or with which the Company or any of its Affiliates combines (“</w:t>
      </w:r>
      <w:r>
        <w:rPr>
          <w:rFonts w:ascii="Arial" w:cs="Arial" w:eastAsia="Arial" w:hAnsi="Arial"/>
          <w:sz w:val="19"/>
          <w:szCs w:val="19"/>
          <w:u w:val="single" w:color="auto"/>
          <w:color w:val="auto"/>
        </w:rPr>
        <w:t>Substitute Awards</w:t>
      </w:r>
      <w:r>
        <w:rPr>
          <w:rFonts w:ascii="Arial" w:cs="Arial" w:eastAsia="Arial" w:hAnsi="Arial"/>
          <w:sz w:val="19"/>
          <w:szCs w:val="19"/>
          <w:color w:val="auto"/>
        </w:rPr>
        <w:t xml:space="preserve">”). The number of Shares underlying any Substitute Awards will not be counted against the maximum number of Shares available for issuance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Substitute Awards issued or intended as Incentive Stock Options will be counted against the maximum number of Shares available for Incentive Stock Options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Shares underlying any Substitute Awards that are forfeited or otherwise expire, terminate or are canceled or reacquired, will not become available for issuance under the Plan.</w:t>
      </w:r>
    </w:p>
    <w:p>
      <w:pPr>
        <w:spacing w:after="0" w:line="150" w:lineRule="exact"/>
        <w:rPr>
          <w:rFonts w:ascii="Arial" w:cs="Arial" w:eastAsia="Arial" w:hAnsi="Arial"/>
          <w:sz w:val="19"/>
          <w:szCs w:val="19"/>
          <w:color w:val="auto"/>
        </w:rPr>
      </w:pPr>
    </w:p>
    <w:p>
      <w:pPr>
        <w:jc w:val="both"/>
        <w:ind w:firstLine="980"/>
        <w:spacing w:after="0" w:line="259" w:lineRule="auto"/>
        <w:tabs>
          <w:tab w:leader="none" w:pos="1296" w:val="left"/>
        </w:tabs>
        <w:numPr>
          <w:ilvl w:val="1"/>
          <w:numId w:val="655"/>
        </w:numPr>
        <w:rPr>
          <w:rFonts w:ascii="Arial" w:cs="Arial" w:eastAsia="Arial" w:hAnsi="Arial"/>
          <w:sz w:val="21"/>
          <w:szCs w:val="21"/>
          <w:color w:val="auto"/>
        </w:rPr>
      </w:pPr>
      <w:r>
        <w:rPr>
          <w:rFonts w:ascii="Arial" w:cs="Arial" w:eastAsia="Arial" w:hAnsi="Arial"/>
          <w:sz w:val="21"/>
          <w:szCs w:val="21"/>
          <w:u w:val="single" w:color="auto"/>
          <w:color w:val="auto"/>
        </w:rPr>
        <w:t>Non-Employee Director Limitations</w:t>
      </w:r>
      <w:r>
        <w:rPr>
          <w:rFonts w:ascii="Arial" w:cs="Arial" w:eastAsia="Arial" w:hAnsi="Arial"/>
          <w:sz w:val="21"/>
          <w:szCs w:val="21"/>
          <w:color w:val="auto"/>
        </w:rPr>
        <w:t>. No Non-Employee Director may be paid, issued or granted, in any calendar year, cash compensation and equity awards with an aggregate value greater than $1,000,000 (with the value of each equity award based on its grant date fair value (determined in accordance with U.S. generally accepted accounting principles) and counted toward this limit for the year in which it was granted). Any cash compensation paid or equity awards granted to an individual for his or her services as an Employee or as a Consultant (other than as an Non-Employee Director) or any cash compensation paid or equity awards granted to an individual prior to the Effective Date, in each case, will not count for purposes of the limitation under this Section 4(f). Any cash compensation that is deferred will be counted toward this limit for the calendar year in which it was first earned, and not when paid or settled if later.</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656"/>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50" w:lineRule="auto"/>
        <w:tabs>
          <w:tab w:leader="none" w:pos="1293" w:val="left"/>
        </w:tabs>
        <w:numPr>
          <w:ilvl w:val="1"/>
          <w:numId w:val="656"/>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Plan will be administered by the Board and/or a Committee appointed by the Board, which committee will be constituted to comply with Rule 16b-3 of the Exchange Act and other Applicable Laws. Nothing in such appointment shall preclude the Board from itself taking any administrative action set forth herein, except where such action is required by Applicable Laws to be taken by a Committee.</w:t>
      </w:r>
    </w:p>
    <w:p>
      <w:pPr>
        <w:spacing w:after="0" w:line="187" w:lineRule="exact"/>
        <w:rPr>
          <w:rFonts w:ascii="Arial" w:cs="Arial" w:eastAsia="Arial" w:hAnsi="Arial"/>
          <w:sz w:val="22"/>
          <w:szCs w:val="22"/>
          <w:color w:val="auto"/>
        </w:rPr>
      </w:pPr>
    </w:p>
    <w:p>
      <w:pPr>
        <w:ind w:firstLine="980"/>
        <w:spacing w:after="0" w:line="263" w:lineRule="auto"/>
        <w:tabs>
          <w:tab w:leader="none" w:pos="1291" w:val="left"/>
        </w:tabs>
        <w:numPr>
          <w:ilvl w:val="1"/>
          <w:numId w:val="656"/>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the provisions of the Plan, and in the case of a Committee, subject to the specific duties delegated by the Board to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807" w:name="page808"/>
    <w:bookmarkEnd w:id="807"/>
    <w:p>
      <w:pPr>
        <w:jc w:val="both"/>
        <w:spacing w:after="0" w:line="283" w:lineRule="auto"/>
        <w:rPr>
          <w:sz w:val="20"/>
          <w:szCs w:val="20"/>
          <w:color w:val="auto"/>
        </w:rPr>
      </w:pPr>
      <w:r>
        <w:rPr>
          <w:rFonts w:ascii="Arial" w:cs="Arial" w:eastAsia="Arial" w:hAnsi="Arial"/>
          <w:sz w:val="19"/>
          <w:szCs w:val="19"/>
          <w:color w:val="auto"/>
        </w:rPr>
        <w:t>the Administrator will have the authority, in its discretion: (i) to determine the Fair Market Value; (ii) to select the Service Providers to whom Awards may be granted; (iii) to determine the number and class of shares to be covered by each Award; (iv) to approve forms of Award Agreement for use under the Plan; (v) to determine, modify and amend from time to time the terms and conditions, not inconsistent with the terms of the Plan (including Section 18 hereof), of any Award granted hereunder, which terms and conditions may differ among individual Awards and Participants; (vi) to determine the vesting, exercisability, transferability and payment of Awards, including the authority to accelerate the vesting of Awards or waiving of applicable restrictions or limitations; (vii) to determine, subject to Applicable Laws, that vesting of an Award is earned only through service and therefore that vesting of such Award shall be paused during the holder’s approved leave of absence from service to the Company or any Affiliate (but, to the extent necessary to comply with Section 409A, only if such a provision is included in the Award Agreement relating to such Award at the time of grant); (viii) to construe and interpret the terms of the Plan and Awards;</w:t>
      </w:r>
    </w:p>
    <w:p>
      <w:pPr>
        <w:spacing w:after="0" w:line="7" w:lineRule="exact"/>
        <w:rPr>
          <w:sz w:val="20"/>
          <w:szCs w:val="20"/>
          <w:color w:val="auto"/>
        </w:rPr>
      </w:pPr>
    </w:p>
    <w:p>
      <w:pPr>
        <w:jc w:val="both"/>
        <w:ind w:firstLine="8"/>
        <w:spacing w:after="0" w:line="244" w:lineRule="auto"/>
        <w:tabs>
          <w:tab w:leader="none" w:pos="381" w:val="left"/>
        </w:tabs>
        <w:numPr>
          <w:ilvl w:val="0"/>
          <w:numId w:val="657"/>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adopting sub-plans to the Plan, for the purposes of facilitating compliance with non-U.S. laws, easing the administration of the Plan and/or taking advantage of tax-favorable treatment for Awards granted to Service Providers outside the U.S., in each case as the Administrator may deem necessary or advisable; (x) to allow a Participant to defer the receipt of the payment of cash or the delivery of Shares that would otherwise be due to such Participant under an Award; and (xi) to make all other determinations deemed necessary or advisable for administering the Plan.</w:t>
      </w:r>
    </w:p>
    <w:p>
      <w:pPr>
        <w:spacing w:after="0" w:line="193" w:lineRule="exact"/>
        <w:rPr>
          <w:rFonts w:ascii="Arial" w:cs="Arial" w:eastAsia="Arial" w:hAnsi="Arial"/>
          <w:sz w:val="22"/>
          <w:szCs w:val="22"/>
          <w:color w:val="auto"/>
        </w:rPr>
      </w:pPr>
    </w:p>
    <w:p>
      <w:pPr>
        <w:ind w:right="20" w:firstLine="980"/>
        <w:spacing w:after="0" w:line="263" w:lineRule="auto"/>
        <w:tabs>
          <w:tab w:leader="none" w:pos="1293" w:val="left"/>
        </w:tabs>
        <w:numPr>
          <w:ilvl w:val="1"/>
          <w:numId w:val="657"/>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174" w:lineRule="exact"/>
        <w:rPr>
          <w:rFonts w:ascii="Arial" w:cs="Arial" w:eastAsia="Arial" w:hAnsi="Arial"/>
          <w:sz w:val="22"/>
          <w:szCs w:val="22"/>
          <w:color w:val="auto"/>
        </w:rPr>
      </w:pPr>
    </w:p>
    <w:p>
      <w:pPr>
        <w:jc w:val="both"/>
        <w:ind w:firstLine="980"/>
        <w:spacing w:after="0" w:line="286" w:lineRule="auto"/>
        <w:tabs>
          <w:tab w:leader="none" w:pos="1291" w:val="left"/>
        </w:tabs>
        <w:numPr>
          <w:ilvl w:val="1"/>
          <w:numId w:val="657"/>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No Director, the Administrator or any Employee (each such person, a “</w:t>
      </w:r>
      <w:r>
        <w:rPr>
          <w:rFonts w:ascii="Arial" w:cs="Arial" w:eastAsia="Arial" w:hAnsi="Arial"/>
          <w:sz w:val="19"/>
          <w:szCs w:val="19"/>
          <w:u w:val="single" w:color="auto"/>
          <w:color w:val="auto"/>
        </w:rPr>
        <w:t>Covered Person</w:t>
      </w:r>
      <w:r>
        <w:rPr>
          <w:rFonts w:ascii="Arial" w:cs="Arial" w:eastAsia="Arial" w:hAnsi="Arial"/>
          <w:sz w:val="19"/>
          <w:szCs w:val="19"/>
          <w:color w:val="auto"/>
        </w:rPr>
        <w:t xml:space="preserve">”) will be liable for any action taken or omitted to be taken or any determination made in good faith with respect to the Plan or any Award. Each Covered Person will be indemnified and 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have the right, at its own expense, to assume and defend any such action, suit or proceeding, and, once the Company gives notice of its intent to assume the 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808" w:name="page809"/>
    <w:bookmarkEnd w:id="808"/>
    <w:p>
      <w:pPr>
        <w:jc w:val="both"/>
        <w:spacing w:after="0" w:line="250" w:lineRule="auto"/>
        <w:rPr>
          <w:sz w:val="20"/>
          <w:szCs w:val="20"/>
          <w:color w:val="auto"/>
        </w:rPr>
      </w:pPr>
      <w:r>
        <w:rPr>
          <w:rFonts w:ascii="Arial" w:cs="Arial" w:eastAsia="Arial" w:hAnsi="Arial"/>
          <w:sz w:val="22"/>
          <w:szCs w:val="22"/>
          <w:color w:val="auto"/>
        </w:rPr>
        <w:t>Incorporation or Bylaws, in each case, as may be amended from time to time. The foregoing right of indemnification will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88" w:lineRule="exact"/>
        <w:rPr>
          <w:sz w:val="20"/>
          <w:szCs w:val="20"/>
          <w:color w:val="auto"/>
        </w:rPr>
      </w:pPr>
    </w:p>
    <w:p>
      <w:pPr>
        <w:jc w:val="both"/>
        <w:ind w:firstLine="980"/>
        <w:spacing w:after="0" w:line="302" w:lineRule="auto"/>
        <w:tabs>
          <w:tab w:leader="none" w:pos="1293" w:val="left"/>
        </w:tabs>
        <w:numPr>
          <w:ilvl w:val="1"/>
          <w:numId w:val="658"/>
        </w:numPr>
        <w:rPr>
          <w:rFonts w:ascii="Arial" w:cs="Arial" w:eastAsia="Arial" w:hAnsi="Arial"/>
          <w:sz w:val="19"/>
          <w:szCs w:val="19"/>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Administrator may delegate, on such terms and conditions as it determines in its sole and plenary discretion, to (i) the Chief Executive Officer of the Company who also serves as a Director or (ii) one or more senior officers of the Company, in each case, the authority to make grants of Awards to Service Providers (other than any officer subject to Section 16 of the Exchange Act) and all necessary and appropriate decisions and determinations with respect thereto.</w:t>
      </w:r>
    </w:p>
    <w:p>
      <w:pPr>
        <w:spacing w:after="0" w:line="142"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659"/>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Nonstatutory Stock Options, Stock Appreciation Rights, Restricted Stock, Restricted Stock Units, Performance Units, other equity-based Awards and Cash-Based Awards may be granted to Service Providers. Incentive Stock Options may be granted only to Employees of the Company or any Parent or Subsidiary of the Company.</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659"/>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47" w:lineRule="auto"/>
        <w:tabs>
          <w:tab w:leader="none" w:pos="1293" w:val="left"/>
        </w:tabs>
        <w:numPr>
          <w:ilvl w:val="1"/>
          <w:numId w:val="659"/>
        </w:numPr>
        <w:rPr>
          <w:rFonts w:ascii="Arial" w:cs="Arial" w:eastAsia="Arial" w:hAnsi="Arial"/>
          <w:sz w:val="22"/>
          <w:szCs w:val="22"/>
          <w:color w:val="auto"/>
        </w:rPr>
      </w:pPr>
      <w:r>
        <w:rPr>
          <w:rFonts w:ascii="Arial" w:cs="Arial" w:eastAsia="Arial" w:hAnsi="Arial"/>
          <w:sz w:val="22"/>
          <w:szCs w:val="22"/>
          <w:u w:val="single" w:color="auto"/>
          <w:color w:val="auto"/>
        </w:rPr>
        <w:t>Grant of Options</w:t>
      </w:r>
      <w:r>
        <w:rPr>
          <w:rFonts w:ascii="Arial" w:cs="Arial" w:eastAsia="Arial" w:hAnsi="Arial"/>
          <w:sz w:val="22"/>
          <w:szCs w:val="22"/>
          <w:color w:val="auto"/>
        </w:rPr>
        <w:t>. Subject to the terms and provisions of the Plan, Options may be granted to Service Providers at any time and from time to time as determined by the Administrator, in its sole discretion, and as evidenced in an Award Agreement. The Administrator will have the authority to determine (i) subject to Section 4 hereof, the number of Shares subject to each Option to be granted to a Participant, (ii) whether each Option will be an Incentive Stock Option or a Nonqualified Stock Option and (iii) the terms and conditions of each Option, including the vesting criteria, term, methods of exercise and methods and form of settlement.</w:t>
      </w:r>
    </w:p>
    <w:p>
      <w:pPr>
        <w:spacing w:after="0" w:line="192" w:lineRule="exact"/>
        <w:rPr>
          <w:rFonts w:ascii="Arial" w:cs="Arial" w:eastAsia="Arial" w:hAnsi="Arial"/>
          <w:sz w:val="22"/>
          <w:szCs w:val="22"/>
          <w:color w:val="auto"/>
        </w:rPr>
      </w:pPr>
    </w:p>
    <w:p>
      <w:pPr>
        <w:jc w:val="both"/>
        <w:ind w:firstLine="980"/>
        <w:spacing w:after="0" w:line="290" w:lineRule="auto"/>
        <w:tabs>
          <w:tab w:leader="none" w:pos="1291" w:val="left"/>
        </w:tabs>
        <w:numPr>
          <w:ilvl w:val="1"/>
          <w:numId w:val="659"/>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Each Option will be designated in the Award Agreement as either an Incentive Stock Option or a Nonstatutory Stock Option. However, notwithstanding such designation, (i) to the extent that the aggregate Fair Market Value of the Shares with respect to which Incentive Stock Options are exercisable for the first time by the Participant during any calendar year (under all plans of the Company and any Parent or Subsidiary of the Company) exceeds $100,000, such Options will be treated as Nonstatutory Stock Options (and for purposes of this Section 7(b), Incentive Stock Options will be taken into account in the order in which they were granted and Fair Market Value of the Shares will be determined as of the time the Option with respect to such Shares is granted), and (ii) any Options granted after June 8, 2031 (which is the tenth annual anniversary of the date on which the Board first approved the Plan) will be treated as Nonstatutory Stock Options.</w:t>
      </w:r>
    </w:p>
    <w:p>
      <w:pPr>
        <w:spacing w:after="0" w:line="155" w:lineRule="exact"/>
        <w:rPr>
          <w:rFonts w:ascii="Arial" w:cs="Arial" w:eastAsia="Arial" w:hAnsi="Arial"/>
          <w:sz w:val="19"/>
          <w:szCs w:val="19"/>
          <w:color w:val="auto"/>
        </w:rPr>
      </w:pPr>
    </w:p>
    <w:p>
      <w:pPr>
        <w:jc w:val="both"/>
        <w:ind w:firstLine="980"/>
        <w:spacing w:after="0" w:line="312" w:lineRule="auto"/>
        <w:tabs>
          <w:tab w:leader="none" w:pos="1293" w:val="left"/>
        </w:tabs>
        <w:numPr>
          <w:ilvl w:val="1"/>
          <w:numId w:val="659"/>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Except as otherwise set forth in the Award Agreement, the term of each Option will be 10 years from the Grant Date (or, in the case of an Incentive Stock Option granted to a Participant who, at the time the Incentive Stock Option is granted, owns stock representing more than ten percent (10%) of the total combined voting power of all classes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809" w:name="page810"/>
    <w:bookmarkEnd w:id="809"/>
    <w:p>
      <w:pPr>
        <w:spacing w:after="0"/>
        <w:rPr>
          <w:sz w:val="20"/>
          <w:szCs w:val="20"/>
          <w:color w:val="auto"/>
        </w:rPr>
      </w:pPr>
      <w:r>
        <w:rPr>
          <w:rFonts w:ascii="Arial" w:cs="Arial" w:eastAsia="Arial" w:hAnsi="Arial"/>
          <w:sz w:val="22"/>
          <w:szCs w:val="22"/>
          <w:color w:val="auto"/>
        </w:rPr>
        <w:t>stock of the Company or any Parent or Subsidiary of the Company, five years from the Grant Date).</w:t>
      </w:r>
    </w:p>
    <w:p>
      <w:pPr>
        <w:spacing w:after="0" w:line="220" w:lineRule="exact"/>
        <w:rPr>
          <w:sz w:val="20"/>
          <w:szCs w:val="20"/>
          <w:color w:val="auto"/>
        </w:rPr>
      </w:pPr>
    </w:p>
    <w:p>
      <w:pPr>
        <w:jc w:val="both"/>
        <w:ind w:firstLine="980"/>
        <w:spacing w:after="0" w:line="290" w:lineRule="auto"/>
        <w:tabs>
          <w:tab w:leader="none" w:pos="1291" w:val="left"/>
        </w:tabs>
        <w:numPr>
          <w:ilvl w:val="1"/>
          <w:numId w:val="660"/>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The per Share exercise price for the Shares to be issued pursuant to exercise of an Option will not be less than one hundred percent (100%) of the Fair Market Value per Share on the Grant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 Incentive Stock Option granted to an Employee who, at the time the Incentive Stock Option is granted, owns stock representing more than ten percent (10%) of the voting power of all classes of stock of the Company or any Parent or Subsidiary of the Company, the per Share exercise price will be no less than one hundred and ten percent (110%) of the Fair Market Value per Share on the Grant Date. Notwithstanding the foregoing, an Option may be granted with a per Share exercise price of less than one hundred percent (100%) of the Fair Market Value per Share on the Grant Date pursuant to a transaction described in, and in a manner consistent with, Section 424(a) of the Code.</w:t>
      </w:r>
    </w:p>
    <w:p>
      <w:pPr>
        <w:spacing w:after="0" w:line="155" w:lineRule="exact"/>
        <w:rPr>
          <w:rFonts w:ascii="Arial" w:cs="Arial" w:eastAsia="Arial" w:hAnsi="Arial"/>
          <w:sz w:val="19"/>
          <w:szCs w:val="19"/>
          <w:color w:val="auto"/>
        </w:rPr>
      </w:pPr>
    </w:p>
    <w:p>
      <w:pPr>
        <w:ind w:right="20" w:firstLine="980"/>
        <w:spacing w:after="0" w:line="263" w:lineRule="auto"/>
        <w:tabs>
          <w:tab w:leader="none" w:pos="1293" w:val="left"/>
        </w:tabs>
        <w:numPr>
          <w:ilvl w:val="1"/>
          <w:numId w:val="660"/>
        </w:numPr>
        <w:rPr>
          <w:rFonts w:ascii="Arial" w:cs="Arial" w:eastAsia="Arial" w:hAnsi="Arial"/>
          <w:sz w:val="22"/>
          <w:szCs w:val="22"/>
          <w:color w:val="auto"/>
        </w:rPr>
      </w:pPr>
      <w:r>
        <w:rPr>
          <w:rFonts w:ascii="Arial" w:cs="Arial" w:eastAsia="Arial" w:hAnsi="Arial"/>
          <w:sz w:val="22"/>
          <w:szCs w:val="22"/>
          <w:u w:val="single" w:color="auto"/>
          <w:color w:val="auto"/>
        </w:rPr>
        <w:t>Exercise Period</w:t>
      </w:r>
      <w:r>
        <w:rPr>
          <w:rFonts w:ascii="Arial" w:cs="Arial" w:eastAsia="Arial" w:hAnsi="Arial"/>
          <w:sz w:val="22"/>
          <w:szCs w:val="22"/>
          <w:color w:val="auto"/>
        </w:rPr>
        <w:t>. Each Option will be exercisable at such times, in such manner and subject to such terms and conditions as the Administrator may, in its sole discretion, specify in the Award Agreement or thereafter.</w:t>
      </w:r>
    </w:p>
    <w:p>
      <w:pPr>
        <w:spacing w:after="0" w:line="174" w:lineRule="exact"/>
        <w:rPr>
          <w:rFonts w:ascii="Arial" w:cs="Arial" w:eastAsia="Arial" w:hAnsi="Arial"/>
          <w:sz w:val="22"/>
          <w:szCs w:val="22"/>
          <w:color w:val="auto"/>
        </w:rPr>
      </w:pPr>
    </w:p>
    <w:p>
      <w:pPr>
        <w:jc w:val="both"/>
        <w:ind w:firstLine="980"/>
        <w:spacing w:after="0" w:line="284" w:lineRule="auto"/>
        <w:tabs>
          <w:tab w:leader="none" w:pos="1296" w:val="left"/>
        </w:tabs>
        <w:numPr>
          <w:ilvl w:val="1"/>
          <w:numId w:val="660"/>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xml:space="preserve">. The Administrator will determine the acceptable form of consideration for exercising an Option, including the method of payment. Such consideration may consist entirely of: (i) cash; (ii) check; (iii) promissory note, to the extent permitted by Applicable Laws; (iv) other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other Shares have a Fair Market Value on the date of surrender equal to the aggregate exercise price of the Shares as to which such Option will be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accepting such other Shares will not result in any adverse accounting consequences to the Company, as the Administrator determines in its sole discretion; (v) consideration received by the Company under a broker-assisted (or other) cashless exercise program (whether through a broker or otherwise) implemented by the Company in connection with the Plan;</w:t>
      </w:r>
    </w:p>
    <w:p>
      <w:pPr>
        <w:spacing w:after="0" w:line="3" w:lineRule="exact"/>
        <w:rPr>
          <w:rFonts w:ascii="Arial" w:cs="Arial" w:eastAsia="Arial" w:hAnsi="Arial"/>
          <w:sz w:val="19"/>
          <w:szCs w:val="19"/>
          <w:color w:val="auto"/>
        </w:rPr>
      </w:pPr>
    </w:p>
    <w:p>
      <w:pPr>
        <w:ind w:firstLine="8"/>
        <w:spacing w:after="0" w:line="246" w:lineRule="auto"/>
        <w:tabs>
          <w:tab w:leader="none" w:pos="379" w:val="left"/>
        </w:tabs>
        <w:numPr>
          <w:ilvl w:val="0"/>
          <w:numId w:val="661"/>
        </w:numPr>
        <w:rPr>
          <w:rFonts w:ascii="Arial" w:cs="Arial" w:eastAsia="Arial" w:hAnsi="Arial"/>
          <w:sz w:val="22"/>
          <w:szCs w:val="22"/>
          <w:color w:val="auto"/>
        </w:rPr>
      </w:pPr>
      <w:r>
        <w:rPr>
          <w:rFonts w:ascii="Arial" w:cs="Arial" w:eastAsia="Arial" w:hAnsi="Arial"/>
          <w:sz w:val="22"/>
          <w:szCs w:val="22"/>
          <w:color w:val="auto"/>
        </w:rPr>
        <w:t>by net exercise; (vii) such other consideration and method of payment for the issuance of Shares to the extent permitted by Applicable Laws; or (viii) any combination of the foregoing methods of payment.</w:t>
      </w:r>
    </w:p>
    <w:p>
      <w:pPr>
        <w:spacing w:after="0" w:line="192" w:lineRule="exact"/>
        <w:rPr>
          <w:rFonts w:ascii="Arial" w:cs="Arial" w:eastAsia="Arial" w:hAnsi="Arial"/>
          <w:sz w:val="22"/>
          <w:szCs w:val="22"/>
          <w:color w:val="auto"/>
        </w:rPr>
      </w:pPr>
    </w:p>
    <w:p>
      <w:pPr>
        <w:jc w:val="both"/>
        <w:ind w:firstLine="980"/>
        <w:spacing w:after="0" w:line="288" w:lineRule="auto"/>
        <w:tabs>
          <w:tab w:leader="none" w:pos="1291" w:val="left"/>
        </w:tabs>
        <w:numPr>
          <w:ilvl w:val="1"/>
          <w:numId w:val="661"/>
        </w:numPr>
        <w:rPr>
          <w:rFonts w:ascii="Arial" w:cs="Arial" w:eastAsia="Arial" w:hAnsi="Arial"/>
          <w:sz w:val="19"/>
          <w:szCs w:val="19"/>
          <w:color w:val="auto"/>
        </w:rPr>
      </w:pPr>
      <w:r>
        <w:rPr>
          <w:rFonts w:ascii="Arial" w:cs="Arial" w:eastAsia="Arial" w:hAnsi="Arial"/>
          <w:sz w:val="19"/>
          <w:szCs w:val="19"/>
          <w:u w:val="single" w:color="auto"/>
          <w:color w:val="auto"/>
        </w:rPr>
        <w:t>Procedure for Exercise; Rights as a Stockholder</w:t>
      </w:r>
      <w:r>
        <w:rPr>
          <w:rFonts w:ascii="Arial" w:cs="Arial" w:eastAsia="Arial" w:hAnsi="Arial"/>
          <w:sz w:val="19"/>
          <w:szCs w:val="19"/>
          <w:color w:val="auto"/>
        </w:rPr>
        <w:t>. An Option may not be exercised for a fraction of a Share. 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any applicable withholding taxes) in accordance with Section 7(f) hereof and the Award Agreement. Shares issued upon exercise of an Option will be issued in the name of (or in street name for the account of) the Participant or, if required under Applicable Laws,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810" w:name="page811"/>
    <w:bookmarkEnd w:id="810"/>
    <w:p>
      <w:pPr>
        <w:spacing w:after="0"/>
        <w:rPr>
          <w:sz w:val="20"/>
          <w:szCs w:val="20"/>
          <w:color w:val="auto"/>
        </w:rPr>
      </w:pPr>
      <w:r>
        <w:rPr>
          <w:rFonts w:ascii="Arial" w:cs="Arial" w:eastAsia="Arial" w:hAnsi="Arial"/>
          <w:sz w:val="22"/>
          <w:szCs w:val="22"/>
          <w:color w:val="auto"/>
        </w:rPr>
        <w:t>the record date is prior to the date the Shares are issued, except as provided in Section 15(a) hereof.</w:t>
      </w:r>
    </w:p>
    <w:p>
      <w:pPr>
        <w:spacing w:after="0" w:line="220" w:lineRule="exact"/>
        <w:rPr>
          <w:sz w:val="20"/>
          <w:szCs w:val="20"/>
          <w:color w:val="auto"/>
        </w:rPr>
      </w:pPr>
    </w:p>
    <w:p>
      <w:pPr>
        <w:jc w:val="both"/>
        <w:ind w:firstLine="980"/>
        <w:spacing w:after="0" w:line="289" w:lineRule="auto"/>
        <w:tabs>
          <w:tab w:leader="none" w:pos="1291" w:val="left"/>
        </w:tabs>
        <w:numPr>
          <w:ilvl w:val="1"/>
          <w:numId w:val="662"/>
        </w:numPr>
        <w:rPr>
          <w:rFonts w:ascii="Arial" w:cs="Arial" w:eastAsia="Arial" w:hAnsi="Arial"/>
          <w:sz w:val="19"/>
          <w:szCs w:val="19"/>
          <w:color w:val="auto"/>
        </w:rPr>
      </w:pPr>
      <w:r>
        <w:rPr>
          <w:rFonts w:ascii="Arial" w:cs="Arial" w:eastAsia="Arial" w:hAnsi="Arial"/>
          <w:sz w:val="19"/>
          <w:szCs w:val="19"/>
          <w:u w:val="single" w:color="auto"/>
          <w:color w:val="auto"/>
        </w:rPr>
        <w:t>Post-Termination Exercise Period</w:t>
      </w:r>
      <w:r>
        <w:rPr>
          <w:rFonts w:ascii="Arial" w:cs="Arial" w:eastAsia="Arial" w:hAnsi="Arial"/>
          <w:sz w:val="19"/>
          <w:szCs w:val="19"/>
          <w:color w:val="auto"/>
        </w:rPr>
        <w:t>. Except as otherwise set forth in the Award Agreement or as otherwise determined by the Administrator and subject to the provisions of Section 15 hereof, if a Participant ceases to be a Service Provider, the Participant (or, in the case of death, the Participant’s designated beneficiary, as designated prior to the Participant’s death in a form acceptable to the Administrator, to the extent the Administrator has permitted such designation and subject to Applicable Laws) may exercise his or her Option (to the extent such Award was exercisable on the termination date) within the following period following the termination of the Participant’s status as a Service Provider: (i) three months following a termination of the Participant’s status as a Service Provider, other than as a result of the Participant’s death or Disability; (ii) 12 months following a termination of the Participant’s status as a Service Provider due to the Participant’s Disability; and (iii) 12 months following a termination of the Participant’s status as a Service Provider due to the Participant’s death.</w:t>
      </w:r>
    </w:p>
    <w:p>
      <w:pPr>
        <w:spacing w:after="0" w:line="156" w:lineRule="exact"/>
        <w:rPr>
          <w:rFonts w:ascii="Arial" w:cs="Arial" w:eastAsia="Arial" w:hAnsi="Arial"/>
          <w:sz w:val="19"/>
          <w:szCs w:val="19"/>
          <w:color w:val="auto"/>
        </w:rPr>
      </w:pPr>
    </w:p>
    <w:p>
      <w:pPr>
        <w:jc w:val="both"/>
        <w:ind w:firstLine="980"/>
        <w:spacing w:after="0" w:line="253" w:lineRule="auto"/>
        <w:tabs>
          <w:tab w:leader="none" w:pos="1284" w:val="left"/>
        </w:tabs>
        <w:numPr>
          <w:ilvl w:val="1"/>
          <w:numId w:val="662"/>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A Participant will have no voting rights with respect to Shares subject to an Option until the date of the issuance of such Shares (as evidenced by the appropriate entry on the books of the Company or of a duly authorized transfer agent of the Company).</w:t>
      </w:r>
    </w:p>
    <w:p>
      <w:pPr>
        <w:spacing w:after="0" w:line="185" w:lineRule="exact"/>
        <w:rPr>
          <w:rFonts w:ascii="Arial" w:cs="Arial" w:eastAsia="Arial" w:hAnsi="Arial"/>
          <w:sz w:val="22"/>
          <w:szCs w:val="22"/>
          <w:color w:val="auto"/>
        </w:rPr>
      </w:pPr>
    </w:p>
    <w:p>
      <w:pPr>
        <w:jc w:val="both"/>
        <w:ind w:firstLine="980"/>
        <w:spacing w:after="0" w:line="250" w:lineRule="auto"/>
        <w:tabs>
          <w:tab w:leader="none" w:pos="1284" w:val="left"/>
        </w:tabs>
        <w:numPr>
          <w:ilvl w:val="1"/>
          <w:numId w:val="662"/>
        </w:numPr>
        <w:rPr>
          <w:rFonts w:ascii="Arial" w:cs="Arial" w:eastAsia="Arial" w:hAnsi="Arial"/>
          <w:sz w:val="22"/>
          <w:szCs w:val="22"/>
          <w:color w:val="auto"/>
        </w:rPr>
      </w:pPr>
      <w:r>
        <w:rPr>
          <w:rFonts w:ascii="Arial" w:cs="Arial" w:eastAsia="Arial" w:hAnsi="Arial"/>
          <w:sz w:val="22"/>
          <w:szCs w:val="22"/>
          <w:u w:val="single" w:color="auto"/>
          <w:color w:val="auto"/>
        </w:rPr>
        <w:t>Requirement of Notification upon Disqualifying Disposition</w:t>
      </w:r>
      <w:r>
        <w:rPr>
          <w:rFonts w:ascii="Arial" w:cs="Arial" w:eastAsia="Arial" w:hAnsi="Arial"/>
          <w:sz w:val="22"/>
          <w:szCs w:val="22"/>
          <w:color w:val="auto"/>
        </w:rPr>
        <w:t>. If any Participant makes any disposition of Shares delivered pursuant to the exercise of an Incentive Stock Option under the circumstances described in Section 421(b) of the Code (relating to certain disqualifying dispositions) or any successor provision of the Code, such Participant will promptly notify the Company of such disposition.</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663"/>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47" w:lineRule="auto"/>
        <w:tabs>
          <w:tab w:leader="none" w:pos="1293" w:val="left"/>
        </w:tabs>
        <w:numPr>
          <w:ilvl w:val="1"/>
          <w:numId w:val="663"/>
        </w:numPr>
        <w:rPr>
          <w:rFonts w:ascii="Arial" w:cs="Arial" w:eastAsia="Arial" w:hAnsi="Arial"/>
          <w:sz w:val="22"/>
          <w:szCs w:val="22"/>
          <w:color w:val="auto"/>
        </w:rPr>
      </w:pP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provisions of the Plan, a Stock Appreciation Right may be granted to Service Providers at any time and from time to time as determined by the Administrator, in its sole discretion, and as evidenced in an Award Agreement. The Administrator will have the authority to determine (i) subject to Section 4 hereof, the number of Shares subject to each Stock Appreciation Right to be granted to a Participant and (ii) the terms and conditions of each Award of Stock Appreciation Right, including the vesting criteria, term, methods of exercise and methods and form of settlement.</w:t>
      </w:r>
    </w:p>
    <w:p>
      <w:pPr>
        <w:spacing w:after="0" w:line="192" w:lineRule="exact"/>
        <w:rPr>
          <w:rFonts w:ascii="Arial" w:cs="Arial" w:eastAsia="Arial" w:hAnsi="Arial"/>
          <w:sz w:val="22"/>
          <w:szCs w:val="22"/>
          <w:color w:val="auto"/>
        </w:rPr>
      </w:pPr>
    </w:p>
    <w:p>
      <w:pPr>
        <w:ind w:firstLine="980"/>
        <w:spacing w:after="0" w:line="263" w:lineRule="auto"/>
        <w:tabs>
          <w:tab w:leader="none" w:pos="1291" w:val="left"/>
        </w:tabs>
        <w:numPr>
          <w:ilvl w:val="1"/>
          <w:numId w:val="663"/>
        </w:numPr>
        <w:rPr>
          <w:rFonts w:ascii="Arial" w:cs="Arial" w:eastAsia="Arial" w:hAnsi="Arial"/>
          <w:sz w:val="22"/>
          <w:szCs w:val="22"/>
          <w:color w:val="auto"/>
        </w:rPr>
      </w:pPr>
      <w:r>
        <w:rPr>
          <w:rFonts w:ascii="Arial" w:cs="Arial" w:eastAsia="Arial" w:hAnsi="Arial"/>
          <w:sz w:val="22"/>
          <w:szCs w:val="22"/>
          <w:u w:val="single" w:color="auto"/>
          <w:color w:val="auto"/>
        </w:rPr>
        <w:t>Term of Stock Appreciation Right</w:t>
      </w:r>
      <w:r>
        <w:rPr>
          <w:rFonts w:ascii="Arial" w:cs="Arial" w:eastAsia="Arial" w:hAnsi="Arial"/>
          <w:sz w:val="22"/>
          <w:szCs w:val="22"/>
          <w:color w:val="auto"/>
        </w:rPr>
        <w:t>. Except as otherwise set forth in the Award Agreement, the term of each Stock Appreciation Right will be 10 years from the Grant Date.</w:t>
      </w:r>
    </w:p>
    <w:p>
      <w:pPr>
        <w:spacing w:after="0" w:line="174" w:lineRule="exact"/>
        <w:rPr>
          <w:rFonts w:ascii="Arial" w:cs="Arial" w:eastAsia="Arial" w:hAnsi="Arial"/>
          <w:sz w:val="22"/>
          <w:szCs w:val="22"/>
          <w:color w:val="auto"/>
        </w:rPr>
      </w:pPr>
    </w:p>
    <w:p>
      <w:pPr>
        <w:jc w:val="both"/>
        <w:ind w:firstLine="980"/>
        <w:spacing w:after="0" w:line="248" w:lineRule="auto"/>
        <w:tabs>
          <w:tab w:leader="none" w:pos="1293" w:val="left"/>
        </w:tabs>
        <w:numPr>
          <w:ilvl w:val="1"/>
          <w:numId w:val="663"/>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pursuant to exercise of a Stock Appreciation Right will not be less than one hundred percent (100%) of the Fair Market Value per Share on the Grant Date. Notwithstanding the foregoing, a Stock Appreciation Right may be granted with a per Share exercise price of less than one hundred percent (100%) of the Fair Market Value per Share on the Grant Date pursuant to a transaction described in, and in a manner consistent with, Section 424(a)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811" w:name="page812"/>
    <w:bookmarkEnd w:id="811"/>
    <w:p>
      <w:pPr>
        <w:ind w:right="20" w:firstLine="980"/>
        <w:spacing w:after="0" w:line="343" w:lineRule="auto"/>
        <w:tabs>
          <w:tab w:leader="none" w:pos="1291" w:val="left"/>
        </w:tabs>
        <w:numPr>
          <w:ilvl w:val="1"/>
          <w:numId w:val="664"/>
        </w:numPr>
        <w:rPr>
          <w:rFonts w:ascii="Arial" w:cs="Arial" w:eastAsia="Arial" w:hAnsi="Arial"/>
          <w:sz w:val="19"/>
          <w:szCs w:val="19"/>
          <w:color w:val="auto"/>
        </w:rPr>
      </w:pPr>
      <w:r>
        <w:rPr>
          <w:rFonts w:ascii="Arial" w:cs="Arial" w:eastAsia="Arial" w:hAnsi="Arial"/>
          <w:sz w:val="19"/>
          <w:szCs w:val="19"/>
          <w:u w:val="single" w:color="auto"/>
          <w:color w:val="auto"/>
        </w:rPr>
        <w:t>Exercise Period</w:t>
      </w:r>
      <w:r>
        <w:rPr>
          <w:rFonts w:ascii="Arial" w:cs="Arial" w:eastAsia="Arial" w:hAnsi="Arial"/>
          <w:sz w:val="19"/>
          <w:szCs w:val="19"/>
          <w:color w:val="auto"/>
        </w:rPr>
        <w:t>. Each Stock Appreciation Right will be exercisable at such times, in such manner and subject to such terms and conditions as the Administrator may, in its sole discretion, specify in the Award Agreement or thereafter.</w:t>
      </w:r>
    </w:p>
    <w:p>
      <w:pPr>
        <w:spacing w:after="0" w:line="104" w:lineRule="exact"/>
        <w:rPr>
          <w:rFonts w:ascii="Arial" w:cs="Arial" w:eastAsia="Arial" w:hAnsi="Arial"/>
          <w:sz w:val="19"/>
          <w:szCs w:val="19"/>
          <w:color w:val="auto"/>
        </w:rPr>
      </w:pPr>
    </w:p>
    <w:p>
      <w:pPr>
        <w:jc w:val="both"/>
        <w:ind w:firstLine="980"/>
        <w:spacing w:after="0" w:line="297" w:lineRule="auto"/>
        <w:tabs>
          <w:tab w:leader="none" w:pos="1293" w:val="left"/>
        </w:tabs>
        <w:numPr>
          <w:ilvl w:val="1"/>
          <w:numId w:val="664"/>
        </w:numPr>
        <w:rPr>
          <w:rFonts w:ascii="Arial" w:cs="Arial" w:eastAsia="Arial" w:hAnsi="Arial"/>
          <w:sz w:val="19"/>
          <w:szCs w:val="19"/>
          <w:color w:val="auto"/>
        </w:rPr>
      </w:pPr>
      <w:r>
        <w:rPr>
          <w:rFonts w:ascii="Arial" w:cs="Arial" w:eastAsia="Arial" w:hAnsi="Arial"/>
          <w:sz w:val="19"/>
          <w:szCs w:val="19"/>
          <w:u w:val="single" w:color="auto"/>
          <w:color w:val="auto"/>
        </w:rPr>
        <w:t>Payment of Stock Appreciation Right Amount</w:t>
      </w:r>
      <w:r>
        <w:rPr>
          <w:rFonts w:ascii="Arial" w:cs="Arial" w:eastAsia="Arial" w:hAnsi="Arial"/>
          <w:sz w:val="19"/>
          <w:szCs w:val="19"/>
          <w:color w:val="auto"/>
        </w:rPr>
        <w:t>. Upon exercise of a Stock Appreciation Right, a Participant will be entitled to receive payment from the Company in an amount equal to the product of (i) the difference between the Fair Market Value of a Share on the date of exercise over the applicable exercise price and (ii) the number of Shares with respect to which the Stock Appreciation Right is exercised. At the discretion of the Administrator, the payment upon the exercise of a Stock Appreciation Right may be in cash, in Shares of equivalent value, or in some combination thereof.</w:t>
      </w:r>
    </w:p>
    <w:p>
      <w:pPr>
        <w:spacing w:after="0" w:line="146" w:lineRule="exact"/>
        <w:rPr>
          <w:rFonts w:ascii="Arial" w:cs="Arial" w:eastAsia="Arial" w:hAnsi="Arial"/>
          <w:sz w:val="19"/>
          <w:szCs w:val="19"/>
          <w:color w:val="auto"/>
        </w:rPr>
      </w:pPr>
    </w:p>
    <w:p>
      <w:pPr>
        <w:jc w:val="both"/>
        <w:ind w:firstLine="980"/>
        <w:spacing w:after="0" w:line="253" w:lineRule="auto"/>
        <w:tabs>
          <w:tab w:leader="none" w:pos="1296" w:val="left"/>
        </w:tabs>
        <w:numPr>
          <w:ilvl w:val="1"/>
          <w:numId w:val="664"/>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A Participant will have no voting rights with respect to Shares subject to a Stock Appreciation Right until the date of the issuance of such Shares (as evidenced by the appropriate entry on the books of the Company or of a duly authorized transfer agent of the Company).</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665"/>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48" w:lineRule="auto"/>
        <w:tabs>
          <w:tab w:leader="none" w:pos="1293" w:val="left"/>
        </w:tabs>
        <w:numPr>
          <w:ilvl w:val="1"/>
          <w:numId w:val="665"/>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Shares of Restricted Stock may be granted to Service Providers at any time and from time to time as determined by the Administrator, in its sole discretion, and as evidenced in an Award Agreement. The Administrator will have the authority to determine (i) subject to Section 4 hereof, the number of Shares of Restricted Stock to be granted to a Participant and (ii) the terms and conditions of each Award of Restricted Stock, including the vesting criteria.</w:t>
      </w:r>
    </w:p>
    <w:p>
      <w:pPr>
        <w:spacing w:after="0" w:line="191" w:lineRule="exact"/>
        <w:rPr>
          <w:rFonts w:ascii="Arial" w:cs="Arial" w:eastAsia="Arial" w:hAnsi="Arial"/>
          <w:sz w:val="22"/>
          <w:szCs w:val="22"/>
          <w:color w:val="auto"/>
        </w:rPr>
      </w:pPr>
    </w:p>
    <w:p>
      <w:pPr>
        <w:jc w:val="both"/>
        <w:ind w:firstLine="980"/>
        <w:spacing w:after="0" w:line="292" w:lineRule="auto"/>
        <w:tabs>
          <w:tab w:leader="none" w:pos="1291" w:val="left"/>
        </w:tabs>
        <w:numPr>
          <w:ilvl w:val="1"/>
          <w:numId w:val="665"/>
        </w:numPr>
        <w:rPr>
          <w:rFonts w:ascii="Arial" w:cs="Arial" w:eastAsia="Arial" w:hAnsi="Arial"/>
          <w:sz w:val="19"/>
          <w:szCs w:val="19"/>
          <w:color w:val="auto"/>
        </w:rPr>
      </w:pPr>
      <w:r>
        <w:rPr>
          <w:rFonts w:ascii="Arial" w:cs="Arial" w:eastAsia="Arial" w:hAnsi="Arial"/>
          <w:sz w:val="19"/>
          <w:szCs w:val="19"/>
          <w:u w:val="single" w:color="auto"/>
          <w:color w:val="auto"/>
        </w:rPr>
        <w:t>Transferability and Other Restrictions</w:t>
      </w:r>
      <w:r>
        <w:rPr>
          <w:rFonts w:ascii="Arial" w:cs="Arial" w:eastAsia="Arial" w:hAnsi="Arial"/>
          <w:sz w:val="19"/>
          <w:szCs w:val="19"/>
          <w:color w:val="auto"/>
        </w:rPr>
        <w:t>. Except as provided in this Section 9 or the Award Agreement, Shares of Restricted Stock may not be sold, transferred, pledged, assigned, or otherwise alienated or hypothecated until the lapse of applicable restrictions. The Administrator, in its sole discretion, may impose such other restrictions on Shares of Restricted Stock as it may deem advisable or appropriate. The Administrator may require that the Participant deposit in escrow with the Company (or its designee) any stock certificates issued in respect of Shares of Restricted Stock, together with a stock power endorsed in blank, to hold in escrow until applicable restrictions have lapsed or terminated, and the Administrator may cause a legend or legends referencing such restrictions to be placed on such certificates.</w:t>
      </w:r>
    </w:p>
    <w:p>
      <w:pPr>
        <w:spacing w:after="0" w:line="150" w:lineRule="exact"/>
        <w:rPr>
          <w:rFonts w:ascii="Arial" w:cs="Arial" w:eastAsia="Arial" w:hAnsi="Arial"/>
          <w:sz w:val="19"/>
          <w:szCs w:val="19"/>
          <w:color w:val="auto"/>
        </w:rPr>
      </w:pPr>
    </w:p>
    <w:p>
      <w:pPr>
        <w:jc w:val="both"/>
        <w:ind w:firstLine="980"/>
        <w:spacing w:after="0" w:line="302" w:lineRule="auto"/>
        <w:tabs>
          <w:tab w:leader="none" w:pos="1293" w:val="left"/>
        </w:tabs>
        <w:numPr>
          <w:ilvl w:val="1"/>
          <w:numId w:val="665"/>
        </w:numPr>
        <w:rPr>
          <w:rFonts w:ascii="Arial" w:cs="Arial" w:eastAsia="Arial" w:hAnsi="Arial"/>
          <w:sz w:val="19"/>
          <w:szCs w:val="19"/>
          <w:color w:val="auto"/>
        </w:rPr>
      </w:pPr>
      <w:r>
        <w:rPr>
          <w:rFonts w:ascii="Arial" w:cs="Arial" w:eastAsia="Arial" w:hAnsi="Arial"/>
          <w:sz w:val="19"/>
          <w:szCs w:val="19"/>
          <w:u w:val="single" w:color="auto"/>
          <w:color w:val="auto"/>
        </w:rPr>
        <w:t>Stockholder Rights; Dividends</w:t>
      </w:r>
      <w:r>
        <w:rPr>
          <w:rFonts w:ascii="Arial" w:cs="Arial" w:eastAsia="Arial" w:hAnsi="Arial"/>
          <w:sz w:val="19"/>
          <w:szCs w:val="19"/>
          <w:color w:val="auto"/>
        </w:rPr>
        <w:t>. Unless the Administrator determines otherwise, a Participant holding Shares of Restricted Stock granted hereunder may exercise full voting rights with respect to those Shares and will be entitled to receive all dividends paid with respect to such Shares. If any such dividends are paid in Shares, the Shares will be subject to the same restrictions on transferability and forfeitability as the Shares of Restricted Stock with respect to which they were paid.</w:t>
      </w:r>
    </w:p>
    <w:p>
      <w:pPr>
        <w:spacing w:after="0" w:line="142" w:lineRule="exact"/>
        <w:rPr>
          <w:rFonts w:ascii="Arial" w:cs="Arial" w:eastAsia="Arial" w:hAnsi="Arial"/>
          <w:sz w:val="19"/>
          <w:szCs w:val="19"/>
          <w:color w:val="auto"/>
        </w:rPr>
      </w:pPr>
    </w:p>
    <w:p>
      <w:pPr>
        <w:jc w:val="both"/>
        <w:ind w:firstLine="980"/>
        <w:spacing w:after="0" w:line="253" w:lineRule="auto"/>
        <w:tabs>
          <w:tab w:leader="none" w:pos="1291" w:val="left"/>
        </w:tabs>
        <w:numPr>
          <w:ilvl w:val="1"/>
          <w:numId w:val="665"/>
        </w:numPr>
        <w:rPr>
          <w:rFonts w:ascii="Arial" w:cs="Arial" w:eastAsia="Arial" w:hAnsi="Arial"/>
          <w:sz w:val="22"/>
          <w:szCs w:val="22"/>
          <w:color w:val="auto"/>
        </w:rPr>
      </w:pPr>
      <w:r>
        <w:rPr>
          <w:rFonts w:ascii="Arial" w:cs="Arial" w:eastAsia="Arial" w:hAnsi="Arial"/>
          <w:sz w:val="22"/>
          <w:szCs w:val="22"/>
          <w:u w:val="single" w:color="auto"/>
          <w:color w:val="auto"/>
        </w:rPr>
        <w:t>Section 83(b) Election</w:t>
      </w:r>
      <w:r>
        <w:rPr>
          <w:rFonts w:ascii="Arial" w:cs="Arial" w:eastAsia="Arial" w:hAnsi="Arial"/>
          <w:sz w:val="22"/>
          <w:szCs w:val="22"/>
          <w:color w:val="auto"/>
        </w:rPr>
        <w:t>. If a Participant makes an election under Section 83(b) of the Code to be taxed with respect to the Restricted Stock as of the date of transfer of the Restricted Stock rather than as of the date or dates upon which such Participant would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812" w:name="page813"/>
    <w:bookmarkEnd w:id="812"/>
    <w:p>
      <w:pPr>
        <w:spacing w:after="0" w:line="343" w:lineRule="auto"/>
        <w:rPr>
          <w:sz w:val="20"/>
          <w:szCs w:val="20"/>
          <w:color w:val="auto"/>
        </w:rPr>
      </w:pPr>
      <w:r>
        <w:rPr>
          <w:rFonts w:ascii="Arial" w:cs="Arial" w:eastAsia="Arial" w:hAnsi="Arial"/>
          <w:sz w:val="19"/>
          <w:szCs w:val="19"/>
          <w:color w:val="auto"/>
        </w:rPr>
        <w:t>be taxable under Section 83(a) of the Code, such Participant will be required to deliver a copy of such election to the Company promptly after filing such election with the U.S. Internal Revenue Service along with proof of the timely filing thereof.</w:t>
      </w:r>
    </w:p>
    <w:p>
      <w:pPr>
        <w:spacing w:after="0" w:line="104" w:lineRule="exact"/>
        <w:rPr>
          <w:sz w:val="20"/>
          <w:szCs w:val="20"/>
          <w:color w:val="auto"/>
        </w:rPr>
      </w:pPr>
    </w:p>
    <w:p>
      <w:pPr>
        <w:ind w:left="1300" w:hanging="644"/>
        <w:spacing w:after="0"/>
        <w:tabs>
          <w:tab w:leader="none" w:pos="1300" w:val="left"/>
        </w:tabs>
        <w:numPr>
          <w:ilvl w:val="0"/>
          <w:numId w:val="666"/>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63" w:lineRule="auto"/>
        <w:tabs>
          <w:tab w:leader="none" w:pos="1293" w:val="left"/>
        </w:tabs>
        <w:numPr>
          <w:ilvl w:val="1"/>
          <w:numId w:val="666"/>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Subject to the terms and provisions of the Plan, Restricted Stock Units may be granted to Service Providers at any time and from time to time as determined by the Administrator, in its sole discretion, and as evidenced in an Award Agreement. The Administrator will have the authority to determine (i) subject to Section 4 hereof, the number of Restricted Stock Units to be granted to a Participant and (ii) the terms and conditions of each Award of Restricted Stock Units, including the vesting criteria and methods and form of settlement.</w:t>
      </w:r>
    </w:p>
    <w:p>
      <w:pPr>
        <w:spacing w:after="0" w:line="175" w:lineRule="exact"/>
        <w:rPr>
          <w:rFonts w:ascii="Arial" w:cs="Arial" w:eastAsia="Arial" w:hAnsi="Arial"/>
          <w:sz w:val="21"/>
          <w:szCs w:val="21"/>
          <w:color w:val="auto"/>
        </w:rPr>
      </w:pPr>
    </w:p>
    <w:p>
      <w:pPr>
        <w:jc w:val="both"/>
        <w:ind w:firstLine="980"/>
        <w:spacing w:after="0" w:line="253" w:lineRule="auto"/>
        <w:tabs>
          <w:tab w:leader="none" w:pos="1291" w:val="left"/>
        </w:tabs>
        <w:numPr>
          <w:ilvl w:val="1"/>
          <w:numId w:val="666"/>
        </w:numPr>
        <w:rPr>
          <w:rFonts w:ascii="Arial" w:cs="Arial" w:eastAsia="Arial" w:hAnsi="Arial"/>
          <w:sz w:val="22"/>
          <w:szCs w:val="22"/>
          <w:color w:val="auto"/>
        </w:rPr>
      </w:pPr>
      <w:r>
        <w:rPr>
          <w:rFonts w:ascii="Arial" w:cs="Arial" w:eastAsia="Arial" w:hAnsi="Arial"/>
          <w:sz w:val="22"/>
          <w:szCs w:val="22"/>
          <w:u w:val="single" w:color="auto"/>
          <w:color w:val="auto"/>
        </w:rPr>
        <w:t>Form and Timing of Settlement</w:t>
      </w:r>
      <w:r>
        <w:rPr>
          <w:rFonts w:ascii="Arial" w:cs="Arial" w:eastAsia="Arial" w:hAnsi="Arial"/>
          <w:sz w:val="22"/>
          <w:szCs w:val="22"/>
          <w:color w:val="auto"/>
        </w:rPr>
        <w:t>. Payment of vested Restricted Stock Units will be at the time or times specified in the Award Agreement. The Administrator, in its sole discretion, may only settle vested Restricted Stock Units in the form of cash, Shares or a combination thereof.</w:t>
      </w:r>
    </w:p>
    <w:p>
      <w:pPr>
        <w:spacing w:after="0" w:line="185" w:lineRule="exact"/>
        <w:rPr>
          <w:rFonts w:ascii="Arial" w:cs="Arial" w:eastAsia="Arial" w:hAnsi="Arial"/>
          <w:sz w:val="22"/>
          <w:szCs w:val="22"/>
          <w:color w:val="auto"/>
        </w:rPr>
      </w:pPr>
    </w:p>
    <w:p>
      <w:pPr>
        <w:jc w:val="both"/>
        <w:ind w:firstLine="980"/>
        <w:spacing w:after="0" w:line="259" w:lineRule="auto"/>
        <w:tabs>
          <w:tab w:leader="none" w:pos="1293" w:val="left"/>
        </w:tabs>
        <w:numPr>
          <w:ilvl w:val="1"/>
          <w:numId w:val="666"/>
        </w:numPr>
        <w:rPr>
          <w:rFonts w:ascii="Arial" w:cs="Arial" w:eastAsia="Arial" w:hAnsi="Arial"/>
          <w:sz w:val="21"/>
          <w:szCs w:val="21"/>
          <w:color w:val="auto"/>
        </w:rPr>
      </w:pPr>
      <w:r>
        <w:rPr>
          <w:rFonts w:ascii="Arial" w:cs="Arial" w:eastAsia="Arial" w:hAnsi="Arial"/>
          <w:sz w:val="21"/>
          <w:szCs w:val="21"/>
          <w:u w:val="single" w:color="auto"/>
          <w:color w:val="auto"/>
        </w:rPr>
        <w:t>No Stockholder Rights; Dividend Equivalents</w:t>
      </w:r>
      <w:r>
        <w:rPr>
          <w:rFonts w:ascii="Arial" w:cs="Arial" w:eastAsia="Arial" w:hAnsi="Arial"/>
          <w:sz w:val="21"/>
          <w:szCs w:val="21"/>
          <w:color w:val="auto"/>
        </w:rPr>
        <w:t>. A Participant will have no voting rights with respect to Shares subject to Restricted Stock Units until the date of the issuance of such Shares (as evidenced by the appropriate entry on the books of the Company or of a duly authorized transfer agent of the Company). However, the Administrator, in its discretion, may provide in the Award Agreement (or thereafter) that the Participant will be entitled to receive Dividend Equivalents with respect to Shares underlying outstanding Restricted Stock Units held by such Participant if and when ordinary cash dividends are paid to stockholders on Shares. Dividend Equivalents will be subject to the same terms and conditions, including but not limited to vesting conditions, and will be settled at the same time as the Restricted Stock Units with respect to which such Dividend Equivalents are granted. Settlement of Dividend Equivalents may be made in cash, Shares, or a combination thereof as determined by the Administrator.</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666"/>
        </w:numPr>
        <w:rPr>
          <w:rFonts w:ascii="Arial" w:cs="Arial" w:eastAsia="Arial" w:hAnsi="Arial"/>
          <w:sz w:val="22"/>
          <w:szCs w:val="22"/>
          <w:color w:val="auto"/>
        </w:rPr>
      </w:pPr>
      <w:r>
        <w:rPr>
          <w:rFonts w:ascii="Arial" w:cs="Arial" w:eastAsia="Arial" w:hAnsi="Arial"/>
          <w:sz w:val="22"/>
          <w:szCs w:val="22"/>
          <w:u w:val="single" w:color="auto"/>
          <w:color w:val="auto"/>
        </w:rPr>
        <w:t>Performance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59" w:lineRule="auto"/>
        <w:tabs>
          <w:tab w:leader="none" w:pos="1293" w:val="left"/>
        </w:tabs>
        <w:numPr>
          <w:ilvl w:val="1"/>
          <w:numId w:val="666"/>
        </w:numPr>
        <w:rPr>
          <w:rFonts w:ascii="Arial" w:cs="Arial" w:eastAsia="Arial" w:hAnsi="Arial"/>
          <w:sz w:val="21"/>
          <w:szCs w:val="21"/>
          <w:color w:val="auto"/>
        </w:rPr>
      </w:pPr>
      <w:r>
        <w:rPr>
          <w:rFonts w:ascii="Arial" w:cs="Arial" w:eastAsia="Arial" w:hAnsi="Arial"/>
          <w:sz w:val="21"/>
          <w:szCs w:val="21"/>
          <w:u w:val="single" w:color="auto"/>
          <w:color w:val="auto"/>
        </w:rPr>
        <w:t>Grant of Performance Units</w:t>
      </w:r>
      <w:r>
        <w:rPr>
          <w:rFonts w:ascii="Arial" w:cs="Arial" w:eastAsia="Arial" w:hAnsi="Arial"/>
          <w:sz w:val="21"/>
          <w:szCs w:val="21"/>
          <w:color w:val="auto"/>
        </w:rPr>
        <w:t>. Subject to the terms and provisions of the Plan, Performance Units may be granted to Service Providers at any time and from time to time as determined by the Administrator, in its sole discretion, and as evidenced in an Award Agreement. The Administrator will have the authority to determine (i) subject to Section 4 hereof, the number of Shares subject to Performance Units to be granted to a Participant and (ii) the terms and conditions of each Award of Performance Units, including the performance and other vesting criteria and methods and form of settlement. The Administrator will set performance objectives or other vesting provisions (including, without limitation, continued status as a Service Provider) in its discretion which, depending on the extent to which they are met, will determine the number or value of Performance Units that will be paid out to the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813" w:name="page814"/>
    <w:bookmarkEnd w:id="813"/>
    <w:p>
      <w:pPr>
        <w:jc w:val="both"/>
        <w:ind w:firstLine="980"/>
        <w:spacing w:after="0" w:line="265" w:lineRule="auto"/>
        <w:tabs>
          <w:tab w:leader="none" w:pos="1291" w:val="left"/>
        </w:tabs>
        <w:numPr>
          <w:ilvl w:val="2"/>
          <w:numId w:val="667"/>
        </w:numPr>
        <w:rPr>
          <w:rFonts w:ascii="Arial" w:cs="Arial" w:eastAsia="Arial" w:hAnsi="Arial"/>
          <w:sz w:val="21"/>
          <w:szCs w:val="21"/>
          <w:color w:val="auto"/>
        </w:rPr>
      </w:pPr>
      <w:r>
        <w:rPr>
          <w:rFonts w:ascii="Arial" w:cs="Arial" w:eastAsia="Arial" w:hAnsi="Arial"/>
          <w:sz w:val="21"/>
          <w:szCs w:val="21"/>
          <w:u w:val="single" w:color="auto"/>
          <w:color w:val="auto"/>
        </w:rPr>
        <w:t>Form and Timing of Settlement</w:t>
      </w:r>
      <w:r>
        <w:rPr>
          <w:rFonts w:ascii="Arial" w:cs="Arial" w:eastAsia="Arial" w:hAnsi="Arial"/>
          <w:sz w:val="21"/>
          <w:szCs w:val="21"/>
          <w:color w:val="auto"/>
        </w:rPr>
        <w:t>. Payment of earned and vested Performance Units will be made at the time or times specified in the Award Agreement. The Administrator, in its sole discretion, may settle earned and vested Performance Units in the form of cash, in Shares (which have an aggregate Fair Market Value equal to the value of the earned and vested Performance Units at the close of the applicable Performance Period) or in a combination thereof.</w:t>
      </w:r>
    </w:p>
    <w:p>
      <w:pPr>
        <w:spacing w:after="0" w:line="175" w:lineRule="exact"/>
        <w:rPr>
          <w:rFonts w:ascii="Arial" w:cs="Arial" w:eastAsia="Arial" w:hAnsi="Arial"/>
          <w:sz w:val="21"/>
          <w:szCs w:val="21"/>
          <w:color w:val="auto"/>
        </w:rPr>
      </w:pPr>
    </w:p>
    <w:p>
      <w:pPr>
        <w:jc w:val="both"/>
        <w:ind w:firstLine="980"/>
        <w:spacing w:after="0" w:line="259" w:lineRule="auto"/>
        <w:tabs>
          <w:tab w:leader="none" w:pos="1293" w:val="left"/>
        </w:tabs>
        <w:numPr>
          <w:ilvl w:val="2"/>
          <w:numId w:val="667"/>
        </w:numPr>
        <w:rPr>
          <w:rFonts w:ascii="Arial" w:cs="Arial" w:eastAsia="Arial" w:hAnsi="Arial"/>
          <w:sz w:val="21"/>
          <w:szCs w:val="21"/>
          <w:color w:val="auto"/>
        </w:rPr>
      </w:pPr>
      <w:r>
        <w:rPr>
          <w:rFonts w:ascii="Arial" w:cs="Arial" w:eastAsia="Arial" w:hAnsi="Arial"/>
          <w:sz w:val="21"/>
          <w:szCs w:val="21"/>
          <w:u w:val="single" w:color="auto"/>
          <w:color w:val="auto"/>
        </w:rPr>
        <w:t>No Stockholder Rights; Dividend Equivalents</w:t>
      </w:r>
      <w:r>
        <w:rPr>
          <w:rFonts w:ascii="Arial" w:cs="Arial" w:eastAsia="Arial" w:hAnsi="Arial"/>
          <w:sz w:val="21"/>
          <w:szCs w:val="21"/>
          <w:color w:val="auto"/>
        </w:rPr>
        <w:t>. A Participant will have no voting rights with respect to Shares subject to Performance Units until the date of the issuance of such Shares (as evidenced by the appropriate entry on the books of the Company or of a duly authorized transfer agent of the Company). However, the Administrator, in its discretion, may provide in the Award Agreement (or thereafter) that the Participant will be entitled to receive Dividend Equivalents with respect to Shares underlying outstanding Performance Units if and when ordinary cash dividends are paid to stockholders on Shares. Dividend Equivalents will be subject to the same terms and conditions, including but not limited to vesting conditions (including performance criteria), and will be settled at the same time as the Performance Units with respect to which such Dividend Equivalents are granted. Settlement of Dividend Equivalents may be made in cash, Shares, or a combination thereof as determined by the Administrator.</w:t>
      </w:r>
    </w:p>
    <w:p>
      <w:pPr>
        <w:spacing w:after="0" w:line="179" w:lineRule="exact"/>
        <w:rPr>
          <w:rFonts w:ascii="Arial" w:cs="Arial" w:eastAsia="Arial" w:hAnsi="Arial"/>
          <w:sz w:val="21"/>
          <w:szCs w:val="21"/>
          <w:color w:val="auto"/>
        </w:rPr>
      </w:pPr>
    </w:p>
    <w:p>
      <w:pPr>
        <w:jc w:val="both"/>
        <w:ind w:firstLine="656"/>
        <w:spacing w:after="0" w:line="261" w:lineRule="auto"/>
        <w:tabs>
          <w:tab w:leader="none" w:pos="1296" w:val="left"/>
        </w:tabs>
        <w:numPr>
          <w:ilvl w:val="1"/>
          <w:numId w:val="668"/>
        </w:numPr>
        <w:rPr>
          <w:rFonts w:ascii="Arial" w:cs="Arial" w:eastAsia="Arial" w:hAnsi="Arial"/>
          <w:sz w:val="21"/>
          <w:szCs w:val="21"/>
          <w:color w:val="auto"/>
        </w:rPr>
      </w:pPr>
      <w:r>
        <w:rPr>
          <w:rFonts w:ascii="Arial" w:cs="Arial" w:eastAsia="Arial" w:hAnsi="Arial"/>
          <w:sz w:val="21"/>
          <w:szCs w:val="21"/>
          <w:u w:val="single" w:color="auto"/>
          <w:color w:val="auto"/>
        </w:rPr>
        <w:t>Other Equity-Based Awards</w:t>
      </w:r>
      <w:r>
        <w:rPr>
          <w:rFonts w:ascii="Arial" w:cs="Arial" w:eastAsia="Arial" w:hAnsi="Arial"/>
          <w:sz w:val="21"/>
          <w:szCs w:val="21"/>
          <w:color w:val="auto"/>
        </w:rPr>
        <w:t>. Subject to the provisions of the Plan, other Awards of Shares and other Awards that are valued in whole or in part by reference to, or are otherwise based upon, Shares may be granted under the Plan at any time and from time to time, as determined by the Administrator, in its sole discretion, and as evidenced in an Award Agreement. The Administrator will have the authority to determine (a) subject to Section 4 hereof, the number of shares subject to other equity-based Awards to be granted to a Participant and (b) the terms and conditions of each other equity-based Award, including the vesting criteria and methods and form of settlement.</w:t>
      </w:r>
    </w:p>
    <w:p>
      <w:pPr>
        <w:spacing w:after="0" w:line="179" w:lineRule="exact"/>
        <w:rPr>
          <w:rFonts w:ascii="Arial" w:cs="Arial" w:eastAsia="Arial" w:hAnsi="Arial"/>
          <w:sz w:val="21"/>
          <w:szCs w:val="21"/>
          <w:color w:val="auto"/>
        </w:rPr>
      </w:pPr>
    </w:p>
    <w:p>
      <w:pPr>
        <w:jc w:val="both"/>
        <w:ind w:firstLine="656"/>
        <w:spacing w:after="0" w:line="286" w:lineRule="auto"/>
        <w:tabs>
          <w:tab w:leader="none" w:pos="1296" w:val="left"/>
        </w:tabs>
        <w:numPr>
          <w:ilvl w:val="1"/>
          <w:numId w:val="668"/>
        </w:numPr>
        <w:rPr>
          <w:rFonts w:ascii="Arial" w:cs="Arial" w:eastAsia="Arial" w:hAnsi="Arial"/>
          <w:sz w:val="19"/>
          <w:szCs w:val="19"/>
          <w:color w:val="auto"/>
        </w:rPr>
      </w:pPr>
      <w:r>
        <w:rPr>
          <w:rFonts w:ascii="Arial" w:cs="Arial" w:eastAsia="Arial" w:hAnsi="Arial"/>
          <w:sz w:val="19"/>
          <w:szCs w:val="19"/>
          <w:u w:val="single" w:color="auto"/>
          <w:color w:val="auto"/>
        </w:rPr>
        <w:t>Cash-Based Awards</w:t>
      </w:r>
      <w:r>
        <w:rPr>
          <w:rFonts w:ascii="Arial" w:cs="Arial" w:eastAsia="Arial" w:hAnsi="Arial"/>
          <w:sz w:val="19"/>
          <w:szCs w:val="19"/>
          <w:color w:val="auto"/>
        </w:rPr>
        <w:t>. Subject to the provisions of the Plan, cash-based Awards that have a value payable in cash and are not based on the Fair Market Value of a Share may be granted under the Plan at any time and from time to time, as determined by the Administrator, in its sole discretion, and as evidenced in an Award Agreement. The Administrator will have the authority to determine (a) subject to Section 4(f) hereof, the amount of Cash-Based Awards to be granted to a Participant and</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669"/>
        </w:numPr>
        <w:rPr>
          <w:rFonts w:ascii="Arial" w:cs="Arial" w:eastAsia="Arial" w:hAnsi="Arial"/>
          <w:sz w:val="22"/>
          <w:szCs w:val="22"/>
          <w:color w:val="auto"/>
        </w:rPr>
      </w:pPr>
      <w:r>
        <w:rPr>
          <w:rFonts w:ascii="Arial" w:cs="Arial" w:eastAsia="Arial" w:hAnsi="Arial"/>
          <w:sz w:val="22"/>
          <w:szCs w:val="22"/>
          <w:color w:val="auto"/>
        </w:rPr>
        <w:t>the terms and conditions of each Cash-Based Award, including the vesting criteria and methods of payment.</w:t>
      </w:r>
    </w:p>
    <w:p>
      <w:pPr>
        <w:spacing w:after="0" w:line="201" w:lineRule="exact"/>
        <w:rPr>
          <w:rFonts w:ascii="Arial" w:cs="Arial" w:eastAsia="Arial" w:hAnsi="Arial"/>
          <w:sz w:val="22"/>
          <w:szCs w:val="22"/>
          <w:color w:val="auto"/>
        </w:rPr>
      </w:pPr>
    </w:p>
    <w:p>
      <w:pPr>
        <w:jc w:val="both"/>
        <w:ind w:firstLine="656"/>
        <w:spacing w:after="0" w:line="302" w:lineRule="auto"/>
        <w:tabs>
          <w:tab w:leader="none" w:pos="1296" w:val="left"/>
        </w:tabs>
        <w:numPr>
          <w:ilvl w:val="1"/>
          <w:numId w:val="669"/>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814" w:name="page815"/>
    <w:bookmarkEnd w:id="814"/>
    <w:p>
      <w:pPr>
        <w:ind w:left="1300" w:hanging="644"/>
        <w:spacing w:after="0"/>
        <w:tabs>
          <w:tab w:leader="none" w:pos="1300" w:val="left"/>
        </w:tabs>
        <w:numPr>
          <w:ilvl w:val="0"/>
          <w:numId w:val="670"/>
        </w:numPr>
        <w:rPr>
          <w:rFonts w:ascii="Arial" w:cs="Arial" w:eastAsia="Arial" w:hAnsi="Arial"/>
          <w:sz w:val="22"/>
          <w:szCs w:val="22"/>
          <w:color w:val="auto"/>
        </w:rPr>
      </w:pPr>
      <w:r>
        <w:rPr>
          <w:rFonts w:ascii="Arial" w:cs="Arial" w:eastAsia="Arial" w:hAnsi="Arial"/>
          <w:sz w:val="22"/>
          <w:szCs w:val="22"/>
          <w:u w:val="single" w:color="auto"/>
          <w:color w:val="auto"/>
        </w:rPr>
        <w:t>Adjustments; Change in Control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89" w:lineRule="auto"/>
        <w:tabs>
          <w:tab w:leader="none" w:pos="1293" w:val="left"/>
        </w:tabs>
        <w:numPr>
          <w:ilvl w:val="1"/>
          <w:numId w:val="67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(i) In the event of any extraordinary dividend or other extraordinary distribution (whether in the form of cash, Shares, other securities, or other property), recapitalization, stock split, reverse stock split, reorganization, merger, consolidation, split-up, spin-off, combination, repurchase, exchange of Shares or other securities of the Company or other change in the corporate structure of the Company affecting the Shares, the Administrator, in order to prevent diminution or enlargement of the benefits or potential benefits intended to be made available under the Plan, shall equitably adjust the number and class of Shares that may be delivered under the Plan, the numerical Share limits in Section 4 hereof and/or the terms of any outstanding Award, including, to the extent applicable, the number and class of Shares or the number and kind of other securities subject to such Award, the exercise price with respect to such Award and any performance goal, target or measure;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Administrator shall determine the method and manner in which to effect such equitable adjustment.</w:t>
      </w:r>
    </w:p>
    <w:p>
      <w:pPr>
        <w:spacing w:after="0" w:line="156" w:lineRule="exact"/>
        <w:rPr>
          <w:rFonts w:ascii="Arial" w:cs="Arial" w:eastAsia="Arial" w:hAnsi="Arial"/>
          <w:sz w:val="19"/>
          <w:szCs w:val="19"/>
          <w:color w:val="auto"/>
        </w:rPr>
      </w:pPr>
    </w:p>
    <w:p>
      <w:pPr>
        <w:jc w:val="both"/>
        <w:ind w:left="660" w:firstLine="644"/>
        <w:spacing w:after="0" w:line="285" w:lineRule="auto"/>
        <w:tabs>
          <w:tab w:leader="none" w:pos="1950" w:val="left"/>
        </w:tabs>
        <w:numPr>
          <w:ilvl w:val="2"/>
          <w:numId w:val="670"/>
        </w:numPr>
        <w:rPr>
          <w:rFonts w:ascii="Arial" w:cs="Arial" w:eastAsia="Arial" w:hAnsi="Arial"/>
          <w:sz w:val="19"/>
          <w:szCs w:val="19"/>
          <w:color w:val="auto"/>
        </w:rPr>
      </w:pPr>
      <w:r>
        <w:rPr>
          <w:rFonts w:ascii="Arial" w:cs="Arial" w:eastAsia="Arial" w:hAnsi="Arial"/>
          <w:sz w:val="19"/>
          <w:szCs w:val="19"/>
          <w:color w:val="auto"/>
        </w:rPr>
        <w:t>In the event that the Administrator determines in its discretion that an adjustment is appropriate or desirable upon (A) any reorganization, merger, consolidation, combination, repurchase or exchange of Shares or other securities of the Company, issuance of warrants or other rights to purchase Shares or other securities of the Company, or other similar corporate transaction or event affecting the Shares or the financial statements of the Company or any Affiliate (including any Change in Control), or (B) any changes in Applicable Laws, then the Administrator may (1) in such manner as it may deem appropriate or desirable, equitably adjust any or all of (x) the number of Shares or other securities of the Company (or number and kind of other securities or property) with respect to which Awards may be granted, including the numerical Share limits in Section 4 hereof, and/or (y) the terms of any outstanding Award, including, to the extent applicable, the number and class of Shares or the number and kind of other securities subject to such Award, the exercise price with respect to such Award and any performance goal, target or measure, (2) make provision for a cash payment to the holder of an outstanding Award in consideration for the cancelation of such Award, including, in the case of an outstanding Option or Stock Appreciation Right, a cash payment to the holder of such Award in consideration for the cancelation of such Award in an amount equal to the excess, if any, of the Fair Market Value (as of a date specified by the Administrator) of the Shares subject to such Award over the aggregate exercise price of such Option or Stock Appreciation Right, (3) if deemed appropriate or desirable by the Administrator, cancel and terminate any Option or Stock Appreciation Right having a per share exercise price equal to, or in excess of, the Fair Market Value of a Share subject to such Award (as of a date specified by the Administrator) without any payment or consideration therefor or (4) provide for a substitution or assumption of Awards, accelerating the exercisability of, lapse of restrictions on, or termination of, Awards or providing for a period of time for exercise prior to the occurrence of such event.</w:t>
      </w:r>
    </w:p>
    <w:p>
      <w:pPr>
        <w:spacing w:after="0" w:line="159" w:lineRule="exact"/>
        <w:rPr>
          <w:rFonts w:ascii="Arial" w:cs="Arial" w:eastAsia="Arial" w:hAnsi="Arial"/>
          <w:sz w:val="19"/>
          <w:szCs w:val="19"/>
          <w:color w:val="auto"/>
        </w:rPr>
      </w:pPr>
    </w:p>
    <w:p>
      <w:pPr>
        <w:ind w:left="660" w:firstLine="644"/>
        <w:spacing w:after="0" w:line="263" w:lineRule="auto"/>
        <w:tabs>
          <w:tab w:leader="none" w:pos="1956" w:val="left"/>
        </w:tabs>
        <w:numPr>
          <w:ilvl w:val="2"/>
          <w:numId w:val="670"/>
        </w:numPr>
        <w:rPr>
          <w:rFonts w:ascii="Arial" w:cs="Arial" w:eastAsia="Arial" w:hAnsi="Arial"/>
          <w:sz w:val="22"/>
          <w:szCs w:val="22"/>
          <w:color w:val="auto"/>
        </w:rPr>
      </w:pPr>
      <w:r>
        <w:rPr>
          <w:rFonts w:ascii="Arial" w:cs="Arial" w:eastAsia="Arial" w:hAnsi="Arial"/>
          <w:sz w:val="22"/>
          <w:szCs w:val="22"/>
          <w:color w:val="auto"/>
        </w:rPr>
        <w:t>Except as otherwise determined by the Administrator, any adjustment in Incentive Stock Options under this Section 15(a) (other than any cancellation of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815" w:name="page816"/>
    <w:bookmarkEnd w:id="815"/>
    <w:p>
      <w:pPr>
        <w:jc w:val="both"/>
        <w:ind w:left="660"/>
        <w:spacing w:after="0" w:line="248" w:lineRule="auto"/>
        <w:rPr>
          <w:sz w:val="20"/>
          <w:szCs w:val="20"/>
          <w:color w:val="auto"/>
        </w:rPr>
      </w:pPr>
      <w:r>
        <w:rPr>
          <w:rFonts w:ascii="Arial" w:cs="Arial" w:eastAsia="Arial" w:hAnsi="Arial"/>
          <w:sz w:val="22"/>
          <w:szCs w:val="22"/>
          <w:color w:val="auto"/>
        </w:rPr>
        <w:t>Stock Options) will be made only to the extent not constituting a “modification” within the meaning of Section 424(h)(3) of the Code, and any adjustments under this Section 15(a) will be made in a manner which does not adversely affect the exemption provided pursuant to Rule 16b-3 of the Exchange Act. The Administrator will give each Participant notice of an adjustment under this Section 15(a) and, upon such notice, such adjustment will be conclusive and binding for all purposes.</w:t>
      </w:r>
    </w:p>
    <w:p>
      <w:pPr>
        <w:spacing w:after="0" w:line="192" w:lineRule="exact"/>
        <w:rPr>
          <w:sz w:val="20"/>
          <w:szCs w:val="20"/>
          <w:color w:val="auto"/>
        </w:rPr>
      </w:pPr>
    </w:p>
    <w:p>
      <w:pPr>
        <w:jc w:val="both"/>
        <w:ind w:firstLine="980"/>
        <w:spacing w:after="0" w:line="283" w:lineRule="auto"/>
        <w:tabs>
          <w:tab w:leader="none" w:pos="1291" w:val="left"/>
        </w:tabs>
        <w:numPr>
          <w:ilvl w:val="1"/>
          <w:numId w:val="67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 Unless otherwise determined by the Administrator or otherwise provided in the Award Agreement, in the event of a Change in Control in which no provision is made for (x) assumption of Awards previously granted or (y) substitution for such Awards of new awards covering stock of a successor corporation or its Parent or any of its Subsidiaries with appropriate adjustments as to the number and kinds of shares and the exercise prices, if applicable, (A) any outstanding Options or Stock Appreciation rights then held by Participants that are unexercisable or otherwise unvested will automatically be deemed exercisable or otherwise vested, as the case may be, as of immediately prior to such Change in Control, and in accordance with this Section 15(b), the Administrator will have authority to (1) make provision for a cash payment to the holder of such Option or Stock Appreciation Rights in consideration for the cancelation of such Option or Stock Appreciation Rights in an amount equal to the excess, if any, of the Fair Market Value (as of a date specified by the Administrator) of the Shares subject to such Option or Stock Appreciation Right over the aggregate exercise price of such Option or Stock Appreciation Right or (2) if deemed appropriate or desirable by the Administrator, cancel and terminate any Option or Stock Appreciation Right having a per-Share exercise price equal to, or in excess of, the Fair Market Value of a Share subject to such Option or Stock Appreciation Right (as of a date specified by the Administrator) without any payment or consideration therefor,</w:t>
      </w:r>
    </w:p>
    <w:p>
      <w:pPr>
        <w:spacing w:after="0" w:line="3" w:lineRule="exact"/>
        <w:rPr>
          <w:rFonts w:ascii="Arial" w:cs="Arial" w:eastAsia="Arial" w:hAnsi="Arial"/>
          <w:sz w:val="19"/>
          <w:szCs w:val="19"/>
          <w:color w:val="auto"/>
        </w:rPr>
      </w:pPr>
    </w:p>
    <w:p>
      <w:pPr>
        <w:jc w:val="both"/>
        <w:ind w:firstLine="8"/>
        <w:spacing w:after="0" w:line="286" w:lineRule="auto"/>
        <w:tabs>
          <w:tab w:leader="none" w:pos="346" w:val="left"/>
        </w:tabs>
        <w:numPr>
          <w:ilvl w:val="0"/>
          <w:numId w:val="672"/>
        </w:numPr>
        <w:rPr>
          <w:rFonts w:ascii="Arial" w:cs="Arial" w:eastAsia="Arial" w:hAnsi="Arial"/>
          <w:sz w:val="19"/>
          <w:szCs w:val="19"/>
          <w:color w:val="auto"/>
        </w:rPr>
      </w:pPr>
      <w:r>
        <w:rPr>
          <w:rFonts w:ascii="Arial" w:cs="Arial" w:eastAsia="Arial" w:hAnsi="Arial"/>
          <w:sz w:val="19"/>
          <w:szCs w:val="19"/>
          <w:color w:val="auto"/>
        </w:rPr>
        <w:t>all Performance-Based Awards will automatically vest as of immediately prior to such Change in Control as if the date of the Change in Control were the last day of the applicable Performance Period, at either the target or actual level of performance (as determined by the Administrator), and will be paid out as soon as practicable following such Change in Control (in cash, securities or other property) or such later date as may be required to comply with Section 409A, to the extent Section 409A is or is likely to become applicable to any Participant and (C) all other outstanding Awards (</w:t>
      </w:r>
      <w:r>
        <w:rPr>
          <w:rFonts w:ascii="Arial" w:cs="Arial" w:eastAsia="Arial" w:hAnsi="Arial"/>
          <w:sz w:val="19"/>
          <w:szCs w:val="19"/>
          <w:u w:val="single" w:color="auto"/>
          <w:color w:val="auto"/>
        </w:rPr>
        <w:t>i.e.</w:t>
      </w:r>
      <w:r>
        <w:rPr>
          <w:rFonts w:ascii="Arial" w:cs="Arial" w:eastAsia="Arial" w:hAnsi="Arial"/>
          <w:sz w:val="19"/>
          <w:szCs w:val="19"/>
          <w:color w:val="auto"/>
        </w:rPr>
        <w:t>, other than Options, Stock Appreciation Rights and Performance-Based Awards) then held by Participants that are unexercisable, unvested or still subject to restrictions or forfeiture, will automatically be deemed exercisable and vested and all restrictions and forfeiture provisions related thereto will lapse as of immediately prior to such Change in Control and will be paid out (in cash, securities or other property) within 30 days following such Change in Control or such later date as may be required to comply with Section 409A, to the extent Section 409A is or is likely to become applicable to such Participants.</w:t>
      </w:r>
    </w:p>
    <w:p>
      <w:pPr>
        <w:spacing w:after="0" w:line="159" w:lineRule="exact"/>
        <w:rPr>
          <w:rFonts w:ascii="Arial" w:cs="Arial" w:eastAsia="Arial" w:hAnsi="Arial"/>
          <w:sz w:val="19"/>
          <w:szCs w:val="19"/>
          <w:color w:val="auto"/>
        </w:rPr>
      </w:pPr>
    </w:p>
    <w:p>
      <w:pPr>
        <w:jc w:val="both"/>
        <w:ind w:left="660" w:firstLine="644"/>
        <w:spacing w:after="0" w:line="248" w:lineRule="auto"/>
        <w:tabs>
          <w:tab w:leader="none" w:pos="1950" w:val="left"/>
        </w:tabs>
        <w:numPr>
          <w:ilvl w:val="2"/>
          <w:numId w:val="672"/>
        </w:numPr>
        <w:rPr>
          <w:rFonts w:ascii="Arial" w:cs="Arial" w:eastAsia="Arial" w:hAnsi="Arial"/>
          <w:sz w:val="22"/>
          <w:szCs w:val="22"/>
          <w:color w:val="auto"/>
        </w:rPr>
      </w:pPr>
      <w:r>
        <w:rPr>
          <w:rFonts w:ascii="Arial" w:cs="Arial" w:eastAsia="Arial" w:hAnsi="Arial"/>
          <w:sz w:val="22"/>
          <w:szCs w:val="22"/>
          <w:color w:val="auto"/>
        </w:rPr>
        <w:t>Unless otherwise determined by the Administrator or otherwise provided in the Award Agreement or Service Relationship Agreement, if within 12 months following a Change in Control in which the acquirer assumes Awards previously granted or substitutes Awards for new awards covering stock of a successor corporation or its Parent or any of its Subsidiaries in the manner set forth in Section 15(b)(iii) hereof, a Participant’s service relationship is terminated by the Company (or its successor)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816" w:name="page817"/>
    <w:bookmarkEnd w:id="816"/>
    <w:p>
      <w:pPr>
        <w:jc w:val="both"/>
        <w:spacing w:after="0" w:line="286" w:lineRule="auto"/>
        <w:rPr>
          <w:sz w:val="20"/>
          <w:szCs w:val="20"/>
          <w:color w:val="auto"/>
        </w:rPr>
      </w:pPr>
      <w:r>
        <w:rPr>
          <w:rFonts w:ascii="Arial" w:cs="Arial" w:eastAsia="Arial" w:hAnsi="Arial"/>
          <w:sz w:val="19"/>
          <w:szCs w:val="19"/>
          <w:color w:val="auto"/>
        </w:rPr>
        <w:t>Cause, (A) any outstanding Options or Stock Appreciation Rights then held by such Participant that are unexercisable or otherwise unvested will automatically be deemed exercisable or otherwise vested, as the case may be, as of the date of such termination, and will remain exercisable until the earlier of the expiration of the existing term of such Option or Stock Appreciation Right and 90 days following the date of such termination, (B) all Performance-Based Awards then held by such Participant will automatically vest as of the date of such termination, as if such date were the last day of the applicable Performance Period, at either the target or actual level of performance (as determined by the Administrator), and such deemed earned amount will be paid out as soon as practicable following such termination (in cash, securities or other property) or such later date as may be required to comply with Section 409A, to the extent Section 409A is or is likely to become applicable to such Participant and (C) all other outstanding Awards (i.e., other than Options, Stock Appreciation Rights and Performance-Based Awards) then held by such Participant that are unexercisable, unvested or still subject to restrictions or forfeiture, will automatically be deemed exercisable and vested and all restrictions and forfeiture provisions related thereto will lapse as of the date of such termination and will be paid out (in cash, securities or other property) as soon as practicable following such date of termination or such later date as may be required to comply with Section 409A, to the extent Section 409A is or is likely to become applicable to such Participant.</w:t>
      </w:r>
    </w:p>
    <w:p>
      <w:pPr>
        <w:spacing w:after="0" w:line="162" w:lineRule="exact"/>
        <w:rPr>
          <w:sz w:val="20"/>
          <w:szCs w:val="20"/>
          <w:color w:val="auto"/>
        </w:rPr>
      </w:pPr>
    </w:p>
    <w:p>
      <w:pPr>
        <w:jc w:val="both"/>
        <w:ind w:firstLine="644"/>
        <w:spacing w:after="0" w:line="286" w:lineRule="auto"/>
        <w:tabs>
          <w:tab w:leader="none" w:pos="1296" w:val="left"/>
        </w:tabs>
        <w:numPr>
          <w:ilvl w:val="0"/>
          <w:numId w:val="673"/>
        </w:numPr>
        <w:rPr>
          <w:rFonts w:ascii="Arial" w:cs="Arial" w:eastAsia="Arial" w:hAnsi="Arial"/>
          <w:sz w:val="19"/>
          <w:szCs w:val="19"/>
          <w:color w:val="auto"/>
        </w:rPr>
      </w:pPr>
      <w:r>
        <w:rPr>
          <w:rFonts w:ascii="Arial" w:cs="Arial" w:eastAsia="Arial" w:hAnsi="Arial"/>
          <w:sz w:val="19"/>
          <w:szCs w:val="19"/>
          <w:color w:val="auto"/>
        </w:rPr>
        <w:t xml:space="preserve">For the purposes of this Section 15(b), an Award will be considered assumed or substituted if appropriate adjustments are made to the number and kind of shares and exercise prices, if applicable, as the Administrator determines will preserve the material terms and conditions of such Award as in effect immediately prior to the Change in Control, including with respect to vesting schedule, intrinsic value of the Award (if any) as of the Change in Control, transferability of shares underlying such Award and that,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Class A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Performance-Based Award for each Share subject to such Award, to be solely common stock of the successor corporation or its Parent equal in fair market value to the per share consideration received by holders of Class A Common Stock in the Change in Control.</w:t>
      </w:r>
    </w:p>
    <w:p>
      <w:pPr>
        <w:spacing w:after="0" w:line="161" w:lineRule="exact"/>
        <w:rPr>
          <w:rFonts w:ascii="Arial" w:cs="Arial" w:eastAsia="Arial" w:hAnsi="Arial"/>
          <w:sz w:val="19"/>
          <w:szCs w:val="19"/>
          <w:color w:val="auto"/>
        </w:rPr>
      </w:pPr>
    </w:p>
    <w:p>
      <w:pPr>
        <w:jc w:val="both"/>
        <w:ind w:firstLine="644"/>
        <w:spacing w:after="0" w:line="312" w:lineRule="auto"/>
        <w:tabs>
          <w:tab w:leader="none" w:pos="1284" w:val="left"/>
        </w:tabs>
        <w:numPr>
          <w:ilvl w:val="0"/>
          <w:numId w:val="673"/>
        </w:numPr>
        <w:rPr>
          <w:rFonts w:ascii="Arial" w:cs="Arial" w:eastAsia="Arial" w:hAnsi="Arial"/>
          <w:sz w:val="19"/>
          <w:szCs w:val="19"/>
          <w:color w:val="auto"/>
        </w:rPr>
      </w:pPr>
      <w:r>
        <w:rPr>
          <w:rFonts w:ascii="Arial" w:cs="Arial" w:eastAsia="Arial" w:hAnsi="Arial"/>
          <w:sz w:val="19"/>
          <w:szCs w:val="19"/>
          <w:color w:val="auto"/>
        </w:rPr>
        <w:t>With respect to an Award that constitutes deferred compensation within the meaning of Section 409A, to the extent Section 409A is or is likely to become applicable to the Participant holding such Award, payment or settlement of such Award may accelerate upon a Change in Control for purposes of the Plan or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0"/>
          </w:cols>
          <w:pgMar w:left="980" w:top="1428" w:right="339" w:bottom="1440" w:gutter="0" w:footer="0" w:header="0"/>
        </w:sectPr>
      </w:pPr>
    </w:p>
    <w:bookmarkStart w:id="817" w:name="page818"/>
    <w:bookmarkEnd w:id="817"/>
    <w:p>
      <w:pPr>
        <w:jc w:val="both"/>
        <w:ind w:left="660"/>
        <w:spacing w:after="0" w:line="250" w:lineRule="auto"/>
        <w:rPr>
          <w:sz w:val="20"/>
          <w:szCs w:val="20"/>
          <w:color w:val="auto"/>
        </w:rPr>
      </w:pPr>
      <w:r>
        <w:rPr>
          <w:rFonts w:ascii="Arial" w:cs="Arial" w:eastAsia="Arial" w:hAnsi="Arial"/>
          <w:sz w:val="22"/>
          <w:szCs w:val="22"/>
          <w:color w:val="auto"/>
        </w:rPr>
        <w:t>Agreement only if such Change in Control also constitutes a “change in ownership”, “change in effective control” or “change in the ownership of a substantial portion of the Company’s assets” as defined under Section 409A (it being understood that vesting of the Award may accelerate upon a Change in Control, even if payment or settlement of the Award may not accelerate pursuant to this sentence).</w:t>
      </w:r>
    </w:p>
    <w:p>
      <w:pPr>
        <w:spacing w:after="0" w:line="188" w:lineRule="exact"/>
        <w:rPr>
          <w:sz w:val="20"/>
          <w:szCs w:val="20"/>
          <w:color w:val="auto"/>
        </w:rPr>
      </w:pPr>
    </w:p>
    <w:p>
      <w:pPr>
        <w:ind w:left="1300" w:hanging="644"/>
        <w:spacing w:after="0"/>
        <w:tabs>
          <w:tab w:leader="none" w:pos="1300" w:val="left"/>
        </w:tabs>
        <w:numPr>
          <w:ilvl w:val="0"/>
          <w:numId w:val="674"/>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86" w:lineRule="auto"/>
        <w:tabs>
          <w:tab w:leader="none" w:pos="1293" w:val="left"/>
        </w:tabs>
        <w:numPr>
          <w:ilvl w:val="1"/>
          <w:numId w:val="674"/>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or any Affiliate will have the right and is hereby authorized to withhold from any Award grant or payment due under the Plan or from any compensation or other amount owing to a Participant, the value (in cash, Shares, other securities, other Awards or other property) of any applicable tax or other withholding amounts in respect of any aspect of an Award, and to take such other action as may be necessary or appropriate in the opinion of the Administrator or the Company to satisfy any obligation, in whole or in part, for the payment of such taxes. Such other actions may include, without limitation, the requirement that the Participant, or the Company on behalf of the Participant, execute a market sale of Shares or other consideration received pursuant to the Award. The Administrator is hereby authorized (but not required) to establish procedures for elections by Participants to satisfy such obligation for the payment of such taxes by payment of cash, by delivery of or transfer of Shares to the Company (in a manner limited so as to avoid adverse accounting treatment for the Company), or by directing the Company to retain Shares (that would otherwise be deliverable in connection with the Award) with a value sufficient to cover the amount of taxes to be withheld (as such withholding amount may be determined by the Administrator or, if and to the extent the Administrator may allow, elected by the Participant, based on a withholding rate no less than the Participant’s minimum statutory tax withholding rate and no greater than the maximum statutory tax rate, in each case, applicable in the Participant’s jurisdiction(s)) (in a manner limited so as to avoid adverse accounting treatment for the Company and permitted under applicable withholding rules promulgated by the U.S. Internal Revenue Service or other applicable governmental entity in a Participant’s jurisdiction(s)).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980"/>
        <w:spacing w:after="0" w:line="263" w:lineRule="auto"/>
        <w:tabs>
          <w:tab w:leader="none" w:pos="1291" w:val="left"/>
        </w:tabs>
        <w:numPr>
          <w:ilvl w:val="1"/>
          <w:numId w:val="674"/>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 (i) The Plan and each Award Agreement under the Plan are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in order to avoid taxes or penalties under Section 409A.</w:t>
      </w:r>
    </w:p>
    <w:p>
      <w:pPr>
        <w:spacing w:after="0" w:line="175" w:lineRule="exact"/>
        <w:rPr>
          <w:rFonts w:ascii="Arial" w:cs="Arial" w:eastAsia="Arial" w:hAnsi="Arial"/>
          <w:sz w:val="21"/>
          <w:szCs w:val="21"/>
          <w:color w:val="auto"/>
        </w:rPr>
      </w:pPr>
    </w:p>
    <w:p>
      <w:pPr>
        <w:jc w:val="both"/>
        <w:ind w:left="660" w:firstLine="644"/>
        <w:spacing w:after="0" w:line="248" w:lineRule="auto"/>
        <w:tabs>
          <w:tab w:leader="none" w:pos="1950" w:val="left"/>
        </w:tabs>
        <w:numPr>
          <w:ilvl w:val="2"/>
          <w:numId w:val="674"/>
        </w:numPr>
        <w:rPr>
          <w:rFonts w:ascii="Arial" w:cs="Arial" w:eastAsia="Arial" w:hAnsi="Arial"/>
          <w:sz w:val="22"/>
          <w:szCs w:val="22"/>
          <w:color w:val="auto"/>
        </w:rPr>
      </w:pPr>
      <w:r>
        <w:rPr>
          <w:rFonts w:ascii="Arial" w:cs="Arial" w:eastAsia="Arial" w:hAnsi="Arial"/>
          <w:sz w:val="22"/>
          <w:szCs w:val="22"/>
          <w:color w:val="auto"/>
        </w:rPr>
        <w:t>No Participant or the creditors or beneficiaries of a Participant will have the right to subject any deferred compensation (within the meaning of Section 409A) payable under the Plan to any anticipation, alienation, sale, transfer, assignment, pledge, encumbrance, attachment or garnishment. Except as permitted under Section 409A, any deferred compensation (within the meaning of Section 409A) payable to any Participant or for the benefit of any Participant under the Plan may not be reduced by, or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818" w:name="page819"/>
    <w:bookmarkEnd w:id="818"/>
    <w:p>
      <w:pPr>
        <w:ind w:left="660"/>
        <w:spacing w:after="0"/>
        <w:rPr>
          <w:sz w:val="20"/>
          <w:szCs w:val="20"/>
          <w:color w:val="auto"/>
        </w:rPr>
      </w:pPr>
      <w:r>
        <w:rPr>
          <w:rFonts w:ascii="Arial" w:cs="Arial" w:eastAsia="Arial" w:hAnsi="Arial"/>
          <w:sz w:val="22"/>
          <w:szCs w:val="22"/>
          <w:color w:val="auto"/>
        </w:rPr>
        <w:t>against, any amount owing by any such Participant to the Company or any of its Affiliates.</w:t>
      </w:r>
    </w:p>
    <w:p>
      <w:pPr>
        <w:spacing w:after="0" w:line="220" w:lineRule="exact"/>
        <w:rPr>
          <w:sz w:val="20"/>
          <w:szCs w:val="20"/>
          <w:color w:val="auto"/>
        </w:rPr>
      </w:pPr>
    </w:p>
    <w:p>
      <w:pPr>
        <w:jc w:val="both"/>
        <w:ind w:left="660" w:firstLine="644"/>
        <w:spacing w:after="0" w:line="289" w:lineRule="auto"/>
        <w:tabs>
          <w:tab w:leader="none" w:pos="1956" w:val="left"/>
        </w:tabs>
        <w:numPr>
          <w:ilvl w:val="2"/>
          <w:numId w:val="675"/>
        </w:numPr>
        <w:rPr>
          <w:rFonts w:ascii="Arial" w:cs="Arial" w:eastAsia="Arial" w:hAnsi="Arial"/>
          <w:sz w:val="19"/>
          <w:szCs w:val="19"/>
          <w:color w:val="auto"/>
        </w:rPr>
      </w:pPr>
      <w:r>
        <w:rPr>
          <w:rFonts w:ascii="Arial" w:cs="Arial" w:eastAsia="Arial" w:hAnsi="Arial"/>
          <w:sz w:val="19"/>
          <w:szCs w:val="19"/>
          <w:color w:val="auto"/>
        </w:rPr>
        <w:t>If, at the time of a Participant’s separation from service (within the meaning of Section 409A), (A) such Participant will be a specified employee (within the meaning of Section 409A and using the identification methodology selected by the Company from time to time) and (B) the Company will make a good-faith determination that an amount payable pursuant to an Award constitutes deferred compensation (within the meaning of Section 409A), the payment of which is required to be delayed pursuant to the six-month delay rule set forth in Section 409A in order to avoid taxes or penalties under Section 409A, then the Company will not pay such amount on the otherwise scheduled payment date but will instead pay it on the first business day after such six-month period. Such amount will be paid without interest, unless otherwise determined by the Administrator, in its discretion, or as otherwise provided in any Award Agreement or written employment, retention, consulting or similar agreement between the Company and the relevant Participant.</w:t>
      </w:r>
    </w:p>
    <w:p>
      <w:pPr>
        <w:spacing w:after="0" w:line="156" w:lineRule="exact"/>
        <w:rPr>
          <w:rFonts w:ascii="Arial" w:cs="Arial" w:eastAsia="Arial" w:hAnsi="Arial"/>
          <w:sz w:val="19"/>
          <w:szCs w:val="19"/>
          <w:color w:val="auto"/>
        </w:rPr>
      </w:pPr>
    </w:p>
    <w:p>
      <w:pPr>
        <w:jc w:val="both"/>
        <w:ind w:left="660" w:firstLine="644"/>
        <w:spacing w:after="0" w:line="260" w:lineRule="auto"/>
        <w:tabs>
          <w:tab w:leader="none" w:pos="1944" w:val="left"/>
        </w:tabs>
        <w:numPr>
          <w:ilvl w:val="2"/>
          <w:numId w:val="675"/>
        </w:numPr>
        <w:rPr>
          <w:rFonts w:ascii="Arial" w:cs="Arial" w:eastAsia="Arial" w:hAnsi="Arial"/>
          <w:sz w:val="21"/>
          <w:szCs w:val="21"/>
          <w:color w:val="auto"/>
        </w:rPr>
      </w:pPr>
      <w:r>
        <w:rPr>
          <w:rFonts w:ascii="Arial" w:cs="Arial" w:eastAsia="Arial" w:hAnsi="Arial"/>
          <w:sz w:val="21"/>
          <w:szCs w:val="21"/>
          <w:color w:val="auto"/>
        </w:rPr>
        <w:t>Notwithstanding any provision of the Plan to the contrary, in light of the uncertainty with respect to the proper application of Section 409A, the Administrator reserves the right to make amendments to any Award as the Administrator deems necessary or desirable to avoid the imposition of taxes or penalties under Section 409A. In any case, a Participant will be solely responsible and liable for the satisfaction of all taxes and penalties that may be imposed on such Participant or for such Participant’s account in connection with an Award (including any taxes and penalties under Section 409A), and neither the Company nor any of its Affiliates will have any obligation to indemnify or otherwise hold such Participant harmless from any or all of such taxes or penalties.</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296" w:val="left"/>
        </w:tabs>
        <w:numPr>
          <w:ilvl w:val="0"/>
          <w:numId w:val="676"/>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highlight w:val="white"/>
        </w:rPr>
        <w:t>. Following its adoption by the Board, the Plan will be submitted for approval by the Company’s</w:t>
      </w:r>
      <w:r>
        <w:rPr>
          <w:rFonts w:ascii="Arial" w:cs="Arial" w:eastAsia="Arial" w:hAnsi="Arial"/>
          <w:sz w:val="22"/>
          <w:szCs w:val="22"/>
          <w:color w:val="auto"/>
        </w:rPr>
        <w:t xml:space="preserve"> stockholders. Subject to such stockholder approval having been obtained, the Plan will become effective immediately prior to the Registration Date. It will continue in effect for a term of 10 years from the Effective Date, unless terminated earlier under Section 18 hereof.</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676"/>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94" w:lineRule="auto"/>
        <w:tabs>
          <w:tab w:leader="none" w:pos="1293" w:val="left"/>
        </w:tabs>
        <w:numPr>
          <w:ilvl w:val="1"/>
          <w:numId w:val="676"/>
        </w:numPr>
        <w:rPr>
          <w:rFonts w:ascii="Arial" w:cs="Arial" w:eastAsia="Arial" w:hAnsi="Arial"/>
          <w:sz w:val="19"/>
          <w:szCs w:val="19"/>
          <w:color w:val="auto"/>
        </w:rPr>
      </w:pPr>
      <w:r>
        <w:rPr>
          <w:rFonts w:ascii="Arial" w:cs="Arial" w:eastAsia="Arial" w:hAnsi="Arial"/>
          <w:sz w:val="19"/>
          <w:szCs w:val="19"/>
          <w:u w:val="single" w:color="auto"/>
          <w:color w:val="auto"/>
        </w:rPr>
        <w:t>Amendments to the Plan</w:t>
      </w:r>
      <w:r>
        <w:rPr>
          <w:rFonts w:ascii="Arial" w:cs="Arial" w:eastAsia="Arial" w:hAnsi="Arial"/>
          <w:sz w:val="19"/>
          <w:szCs w:val="19"/>
          <w:color w:val="auto"/>
        </w:rPr>
        <w:t>. The Plan may be amended, modified, suspended or terminated by the Board without the approval of the Company’s stockholders, unless stockholder approval for such action is required under Applicable Laws. Unless otherwise provided in the Award Agreement, no amendment, modification, suspension or termination of the Plan may, without the consent of the Participant, materially and adversely affect the rights of such Participant (or his or her transferee) under any Award held by such Participant. Termination of the Plan will not affect the Administrator’s ability to exercise the powers granted to it hereunder with respect to Awards granted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819" w:name="page820"/>
    <w:bookmarkEnd w:id="819"/>
    <w:p>
      <w:pPr>
        <w:jc w:val="both"/>
        <w:ind w:firstLine="980"/>
        <w:spacing w:after="0" w:line="258" w:lineRule="auto"/>
        <w:tabs>
          <w:tab w:leader="none" w:pos="1291" w:val="left"/>
        </w:tabs>
        <w:numPr>
          <w:ilvl w:val="1"/>
          <w:numId w:val="677"/>
        </w:numPr>
        <w:rPr>
          <w:rFonts w:ascii="Arial" w:cs="Arial" w:eastAsia="Arial" w:hAnsi="Arial"/>
          <w:sz w:val="21"/>
          <w:szCs w:val="21"/>
          <w:color w:val="auto"/>
        </w:rPr>
      </w:pPr>
      <w:r>
        <w:rPr>
          <w:rFonts w:ascii="Arial" w:cs="Arial" w:eastAsia="Arial" w:hAnsi="Arial"/>
          <w:sz w:val="21"/>
          <w:szCs w:val="21"/>
          <w:u w:val="single" w:color="auto"/>
          <w:color w:val="auto"/>
        </w:rPr>
        <w:t>Amendments to the Award</w:t>
      </w:r>
      <w:r>
        <w:rPr>
          <w:rFonts w:ascii="Arial" w:cs="Arial" w:eastAsia="Arial" w:hAnsi="Arial"/>
          <w:sz w:val="21"/>
          <w:szCs w:val="21"/>
          <w:color w:val="auto"/>
        </w:rPr>
        <w:t xml:space="preserve">. The Administrator may waive any conditions or rights under, amend any terms of, or alter, suspend, discontinue, cancel or terminate any Award;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set forth in the Plan (including Section 16(b)(iv) hereof), unless otherwise provided in the Award Agreement, any such waiver, amendment, alteration, suspension, discontinuance, cancelation or termination that would materially and adversely impair the rights of any Participant or any holder or beneficiary of any Award will not to that extent be effective without the consent of the applicable Participant, holder or beneficiary. Without approval by the Company’s stockholders, the Administrator may (i) reprice Options or Stock Appreciation Rights (and where such repricing is a reduction in the Exercise Price of outstanding Options or Stock Appreciation Rights, the consent of the affected Participants is not required provided written notice is provided to them notwithstanding any adverse tax consequences to them arising from the repricing) and (ii) with the consent of the respective Participants (unless not required pursuant to Section 15(a)), pay cash or issue new Awards in exchange for the surrender and cancellation of any, or all, outstanding Awards.</w:t>
      </w:r>
    </w:p>
    <w:p>
      <w:pPr>
        <w:spacing w:after="0" w:line="181" w:lineRule="exact"/>
        <w:rPr>
          <w:rFonts w:ascii="Arial" w:cs="Arial" w:eastAsia="Arial" w:hAnsi="Arial"/>
          <w:sz w:val="21"/>
          <w:szCs w:val="21"/>
          <w:color w:val="auto"/>
        </w:rPr>
      </w:pPr>
    </w:p>
    <w:p>
      <w:pPr>
        <w:ind w:left="1300" w:hanging="644"/>
        <w:spacing w:after="0"/>
        <w:tabs>
          <w:tab w:leader="none" w:pos="1300" w:val="left"/>
        </w:tabs>
        <w:numPr>
          <w:ilvl w:val="0"/>
          <w:numId w:val="678"/>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980"/>
        <w:spacing w:after="0" w:line="253" w:lineRule="auto"/>
        <w:tabs>
          <w:tab w:leader="none" w:pos="1293" w:val="left"/>
        </w:tabs>
        <w:numPr>
          <w:ilvl w:val="1"/>
          <w:numId w:val="678"/>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85" w:lineRule="exact"/>
        <w:rPr>
          <w:rFonts w:ascii="Arial" w:cs="Arial" w:eastAsia="Arial" w:hAnsi="Arial"/>
          <w:sz w:val="22"/>
          <w:szCs w:val="22"/>
          <w:color w:val="auto"/>
        </w:rPr>
      </w:pPr>
    </w:p>
    <w:p>
      <w:pPr>
        <w:jc w:val="both"/>
        <w:ind w:firstLine="980"/>
        <w:spacing w:after="0" w:line="302" w:lineRule="auto"/>
        <w:tabs>
          <w:tab w:leader="none" w:pos="1291" w:val="left"/>
        </w:tabs>
        <w:numPr>
          <w:ilvl w:val="1"/>
          <w:numId w:val="678"/>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necessary or appropriate to comply with Applicable Laws.</w:t>
      </w:r>
    </w:p>
    <w:p>
      <w:pPr>
        <w:spacing w:after="0" w:line="142" w:lineRule="exact"/>
        <w:rPr>
          <w:rFonts w:ascii="Arial" w:cs="Arial" w:eastAsia="Arial" w:hAnsi="Arial"/>
          <w:sz w:val="19"/>
          <w:szCs w:val="19"/>
          <w:color w:val="auto"/>
        </w:rPr>
      </w:pPr>
    </w:p>
    <w:p>
      <w:pPr>
        <w:jc w:val="both"/>
        <w:ind w:firstLine="656"/>
        <w:spacing w:after="0" w:line="292" w:lineRule="auto"/>
        <w:tabs>
          <w:tab w:leader="none" w:pos="1296" w:val="left"/>
        </w:tabs>
        <w:numPr>
          <w:ilvl w:val="0"/>
          <w:numId w:val="678"/>
        </w:numPr>
        <w:rPr>
          <w:rFonts w:ascii="Arial" w:cs="Arial" w:eastAsia="Arial" w:hAnsi="Arial"/>
          <w:sz w:val="19"/>
          <w:szCs w:val="19"/>
          <w:color w:val="auto"/>
        </w:rPr>
      </w:pPr>
      <w:r>
        <w:rPr>
          <w:rFonts w:ascii="Arial" w:cs="Arial" w:eastAsia="Arial" w:hAnsi="Arial"/>
          <w:sz w:val="19"/>
          <w:szCs w:val="19"/>
          <w:u w:val="single" w:color="auto"/>
          <w:color w:val="auto"/>
        </w:rPr>
        <w:t>Inability to Obtain Authority</w:t>
      </w:r>
      <w:r>
        <w:rPr>
          <w:rFonts w:ascii="Arial" w:cs="Arial" w:eastAsia="Arial" w:hAnsi="Arial"/>
          <w:sz w:val="19"/>
          <w:szCs w:val="19"/>
          <w:color w:val="auto"/>
        </w:rPr>
        <w:t>. If the Company determines it to be impossible or impractical to obtain authority from any regulatory body having jurisdiction or to complete or comply with the requirements of any registration or other qualification of the Shares under any Applicable Laws, which authority, registration, qualification or rule compliance is deemed by the Company’s counsel to be necessary or advisable for the issuance and sale of any Shares hereunder, the Company is under no obligation to register or qualify, or seek approval or clearance for the issuance of, the Shares with any regulatory body and the Company will be relieved of any liability in respect of the failure to sell or deliver otherwise issuable Shares as to which such requisite authority, registration, qualification or rule compliance will not have been obtained.</w:t>
      </w:r>
    </w:p>
    <w:p>
      <w:pPr>
        <w:spacing w:after="0" w:line="150"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678"/>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Notwithstanding any provisions to the contrary under the Plan, Awards will be subject to the Company’s clawback or recoupment policy as may be established and/or amended from time to time (the “</w:t>
      </w:r>
      <w:r>
        <w:rPr>
          <w:rFonts w:ascii="Arial" w:cs="Arial" w:eastAsia="Arial" w:hAnsi="Arial"/>
          <w:sz w:val="22"/>
          <w:szCs w:val="22"/>
          <w:u w:val="single" w:color="auto"/>
          <w:color w:val="auto"/>
        </w:rPr>
        <w:t>Clawback Policy</w:t>
      </w:r>
      <w:r>
        <w:rPr>
          <w:rFonts w:ascii="Arial" w:cs="Arial" w:eastAsia="Arial" w:hAnsi="Arial"/>
          <w:sz w:val="22"/>
          <w:szCs w:val="22"/>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820" w:name="page821"/>
    <w:bookmarkEnd w:id="820"/>
    <w:p>
      <w:pPr>
        <w:jc w:val="both"/>
        <w:ind w:firstLine="656"/>
        <w:spacing w:after="0" w:line="247" w:lineRule="auto"/>
        <w:tabs>
          <w:tab w:leader="none" w:pos="1296" w:val="left"/>
        </w:tabs>
        <w:numPr>
          <w:ilvl w:val="0"/>
          <w:numId w:val="67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will be governed by, and construed in accordance with, the laws of the State of Delaware in the United States, as such laws are applied to contracts entered into and performed in such State and without regard to such State’s conflict of laws rules.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67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679"/>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 or Service</w:t>
      </w:r>
      <w:r>
        <w:rPr>
          <w:rFonts w:ascii="Arial" w:cs="Arial" w:eastAsia="Arial" w:hAnsi="Arial"/>
          <w:sz w:val="22"/>
          <w:szCs w:val="22"/>
          <w:color w:val="auto"/>
        </w:rPr>
        <w:t>. Neither the Plan nor any Award will confer upon a Participant any right with respect to continuing the Participant’s relationship as a Service Provider, nor will they interfere in any way with the right of the Participant or the Company (or any Affiliate) to terminate such relationship at any time, with or without cause, to the extent permitted by Applicable Laws.</w:t>
      </w:r>
    </w:p>
    <w:p>
      <w:pPr>
        <w:spacing w:after="0" w:line="187" w:lineRule="exact"/>
        <w:rPr>
          <w:rFonts w:ascii="Arial" w:cs="Arial" w:eastAsia="Arial" w:hAnsi="Arial"/>
          <w:sz w:val="22"/>
          <w:szCs w:val="22"/>
          <w:color w:val="auto"/>
        </w:rPr>
      </w:pPr>
    </w:p>
    <w:p>
      <w:pPr>
        <w:ind w:firstLine="656"/>
        <w:spacing w:after="0" w:line="263" w:lineRule="auto"/>
        <w:tabs>
          <w:tab w:leader="none" w:pos="1296" w:val="left"/>
        </w:tabs>
        <w:numPr>
          <w:ilvl w:val="0"/>
          <w:numId w:val="679"/>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The terms of this Plan are intended to comply with all Applicable Laws and will be construed accordingly.</w:t>
      </w:r>
    </w:p>
    <w:p>
      <w:pPr>
        <w:spacing w:after="0" w:line="174"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679"/>
        </w:numPr>
        <w:rPr>
          <w:rFonts w:ascii="Arial" w:cs="Arial" w:eastAsia="Arial" w:hAnsi="Arial"/>
          <w:sz w:val="19"/>
          <w:szCs w:val="19"/>
          <w:color w:val="auto"/>
        </w:rPr>
      </w:pPr>
      <w:r>
        <w:rPr>
          <w:rFonts w:ascii="Arial" w:cs="Arial" w:eastAsia="Arial" w:hAnsi="Arial"/>
          <w:sz w:val="19"/>
          <w:szCs w:val="19"/>
          <w:u w:val="single" w:color="auto"/>
          <w:color w:val="auto"/>
        </w:rPr>
        <w:t>Non-U.S. Participants</w:t>
      </w:r>
      <w:r>
        <w:rPr>
          <w:rFonts w:ascii="Arial" w:cs="Arial" w:eastAsia="Arial" w:hAnsi="Arial"/>
          <w:sz w:val="19"/>
          <w:szCs w:val="19"/>
          <w:color w:val="auto"/>
        </w:rPr>
        <w:t>. Notwithstanding any provision of the Plan to the contrary, to comply with the laws in countries outside the United States in which the Company and its Affiliates operate or in which Participants work or reside, the Administrator, in its sole discretion, will have the power and authority to: (i) determine which Participants outside the United States will be eligible to participate in the Plan; (ii) modify the terms and conditions of any Award granted to Participants outside the United States; (iii) establish sub-plans and modify exercise procedures and other terms and procedures and rules, to the extent such actions may be necessary or advisable, including adoption of rules, procedures or sub-plans applicable to particular Affiliates or Participants in particular locations; provided that no such sub-plans and/or modifications shall take precedence over Section 4 of the Plan or otherwise require stockholder approval; and (iv) take any action, before or after an Award is granted, that it deems advisable to obtain approval or to facilitate compliance with any necessary local governmental regulatory exemptions or approvals. Without limiting the generality of the foregoing, the Administrator is specifically authorized to adopt rules, procedures and sub-plans with provisions that limit or modify rights on eligibility to receive an Award under the Plan or on death, Disability, retirement or other termination of employment, available methods of exercise or settlement of an Award, payment of income, social insurance contributions and payroll taxes, the shifting of employer tax or social insurance contribution liability to a Participant, the withholding procedures and handling of any Share certificates or other indicia of ownership. Notwithstanding the foregoing, the Board may not take any actions hereunder, and no Awards shall be granted, that would violate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821" w:name="page822"/>
    <w:bookmarkEnd w:id="821"/>
    <w:p>
      <w:pPr>
        <w:jc w:val="both"/>
        <w:ind w:left="-20" w:firstLine="656"/>
        <w:spacing w:after="0" w:line="247" w:lineRule="auto"/>
        <w:tabs>
          <w:tab w:leader="none" w:pos="1276" w:val="left"/>
        </w:tabs>
        <w:numPr>
          <w:ilvl w:val="0"/>
          <w:numId w:val="680"/>
        </w:numPr>
        <w:rPr>
          <w:rFonts w:ascii="Arial" w:cs="Arial" w:eastAsia="Arial" w:hAnsi="Arial"/>
          <w:sz w:val="22"/>
          <w:szCs w:val="22"/>
          <w:color w:val="auto"/>
        </w:rPr>
      </w:pP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Headings are given to the Sections and subsections of the Plan solely as a convenience to facilitate reference. Such headings will not be deemed in any way material or relevant to the construction or interpretation of the Plan or any provision thereof. Whenever the words “include”, “includes” or “including” are used in the Plan, they will be deemed to be followed by the words “but not limited to”, and the word “or” will not be deemed to be exclusive. Pronouns and other words of gender will be read as gender-neutral. Words importing the plural will include the singular and the singular will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40" w:top="1428" w:right="339" w:bottom="1440" w:gutter="0" w:footer="0" w:header="0"/>
        </w:sectPr>
      </w:pPr>
    </w:p>
    <w:bookmarkStart w:id="822" w:name="page823"/>
    <w:bookmarkEnd w:id="822"/>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ROBINHOOD MARKETS, INC.</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2021 EMPLOYEE SHARE PURCHASE PLAN</w:t>
      </w:r>
    </w:p>
    <w:p>
      <w:pPr>
        <w:spacing w:after="0" w:line="22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Approved by the Board of Directors on June 8, 2021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Approved by Stockholders on June 15, 2021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on [●], 2021</w:t>
      </w:r>
    </w:p>
    <w:p>
      <w:pPr>
        <w:spacing w:after="0" w:line="202" w:lineRule="exact"/>
        <w:rPr>
          <w:sz w:val="20"/>
          <w:szCs w:val="20"/>
          <w:color w:val="auto"/>
        </w:rPr>
      </w:pPr>
    </w:p>
    <w:p>
      <w:pPr>
        <w:ind w:right="80" w:firstLine="656"/>
        <w:spacing w:after="0" w:line="289" w:lineRule="auto"/>
        <w:tabs>
          <w:tab w:leader="none" w:pos="1296" w:val="left"/>
        </w:tabs>
        <w:numPr>
          <w:ilvl w:val="0"/>
          <w:numId w:val="681"/>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employees of the Company and the Designated Companies with an opportunity to purchase Class A Common Stock through accumulated payroll deductions to further align their interests with those of the Company’s stockholders. The Plan consists of two components: a component that is intended to qualify as an “employee stock purchase plan” under Section 423 of the Code (the “</w:t>
      </w:r>
      <w:r>
        <w:rPr>
          <w:rFonts w:ascii="Arial" w:cs="Arial" w:eastAsia="Arial" w:hAnsi="Arial"/>
          <w:sz w:val="19"/>
          <w:szCs w:val="19"/>
          <w:u w:val="single" w:color="auto"/>
          <w:color w:val="auto"/>
        </w:rPr>
        <w:t>423 Component</w:t>
      </w:r>
      <w:r>
        <w:rPr>
          <w:rFonts w:ascii="Arial" w:cs="Arial" w:eastAsia="Arial" w:hAnsi="Arial"/>
          <w:sz w:val="19"/>
          <w:szCs w:val="19"/>
          <w:color w:val="auto"/>
        </w:rPr>
        <w:t>”) and a component that is not intended to qualify as an “employee stock purchase plan” under Section 423 of the Code (the “</w:t>
      </w:r>
      <w:r>
        <w:rPr>
          <w:rFonts w:ascii="Arial" w:cs="Arial" w:eastAsia="Arial" w:hAnsi="Arial"/>
          <w:sz w:val="19"/>
          <w:szCs w:val="19"/>
          <w:u w:val="single" w:color="auto"/>
          <w:color w:val="auto"/>
        </w:rPr>
        <w:t>Non-423 Component</w:t>
      </w:r>
      <w:r>
        <w:rPr>
          <w:rFonts w:ascii="Arial" w:cs="Arial" w:eastAsia="Arial" w:hAnsi="Arial"/>
          <w:sz w:val="19"/>
          <w:szCs w:val="19"/>
          <w:color w:val="auto"/>
        </w:rPr>
        <w:t>”). The provisions of the 423 Component will be construed in a manner consistent with Section 423 of the Code. The Non-423 Component will be subject to rules, procedures or sub-plans adopted by the Administrator that are designed to achieve tax, securities law or other objectives for the Company and Eligible Employees. Except as otherwise provided herein or as determined by the Administrator, the Non-423 Component will operate and be administered in the same manner as the 423 Component.</w:t>
      </w:r>
    </w:p>
    <w:p>
      <w:pPr>
        <w:spacing w:after="0" w:line="156" w:lineRule="exact"/>
        <w:rPr>
          <w:rFonts w:ascii="Arial" w:cs="Arial" w:eastAsia="Arial" w:hAnsi="Arial"/>
          <w:sz w:val="19"/>
          <w:szCs w:val="19"/>
          <w:color w:val="auto"/>
        </w:rPr>
      </w:pPr>
    </w:p>
    <w:p>
      <w:pPr>
        <w:ind w:left="1300" w:hanging="644"/>
        <w:spacing w:after="0"/>
        <w:tabs>
          <w:tab w:leader="none" w:pos="1300" w:val="left"/>
        </w:tabs>
        <w:numPr>
          <w:ilvl w:val="0"/>
          <w:numId w:val="68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19" w:lineRule="exact"/>
        <w:rPr>
          <w:rFonts w:ascii="Arial" w:cs="Arial" w:eastAsia="Arial" w:hAnsi="Arial"/>
          <w:sz w:val="22"/>
          <w:szCs w:val="22"/>
          <w:color w:val="auto"/>
        </w:rPr>
      </w:pPr>
    </w:p>
    <w:p>
      <w:pPr>
        <w:ind w:right="680" w:firstLine="1304"/>
        <w:spacing w:after="0" w:line="263" w:lineRule="auto"/>
        <w:tabs>
          <w:tab w:leader="none" w:pos="1941" w:val="left"/>
        </w:tabs>
        <w:numPr>
          <w:ilvl w:val="1"/>
          <w:numId w:val="6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Committee designated by the Board to administer the Plan pursuant to Section 14 hereof.</w:t>
      </w:r>
    </w:p>
    <w:p>
      <w:pPr>
        <w:spacing w:after="0" w:line="174" w:lineRule="exact"/>
        <w:rPr>
          <w:rFonts w:ascii="Arial" w:cs="Arial" w:eastAsia="Arial" w:hAnsi="Arial"/>
          <w:sz w:val="22"/>
          <w:szCs w:val="22"/>
          <w:color w:val="auto"/>
        </w:rPr>
      </w:pPr>
    </w:p>
    <w:p>
      <w:pPr>
        <w:ind w:right="180" w:firstLine="1304"/>
        <w:spacing w:after="0" w:line="263" w:lineRule="auto"/>
        <w:tabs>
          <w:tab w:leader="none" w:pos="1939" w:val="left"/>
        </w:tabs>
        <w:numPr>
          <w:ilvl w:val="1"/>
          <w:numId w:val="6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corporation or any other entity (including, but not limited to, partnerships and joint ventures) controlling, controlled by or under common control with the Company.</w:t>
      </w:r>
    </w:p>
    <w:p>
      <w:pPr>
        <w:spacing w:after="0" w:line="174" w:lineRule="exact"/>
        <w:rPr>
          <w:rFonts w:ascii="Arial" w:cs="Arial" w:eastAsia="Arial" w:hAnsi="Arial"/>
          <w:sz w:val="22"/>
          <w:szCs w:val="22"/>
          <w:color w:val="auto"/>
        </w:rPr>
      </w:pPr>
    </w:p>
    <w:p>
      <w:pPr>
        <w:ind w:right="240" w:firstLine="1304"/>
        <w:spacing w:after="0" w:line="312" w:lineRule="auto"/>
        <w:tabs>
          <w:tab w:leader="none" w:pos="1941" w:val="left"/>
        </w:tabs>
        <w:numPr>
          <w:ilvl w:val="1"/>
          <w:numId w:val="6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Laws</w:t>
      </w:r>
      <w:r>
        <w:rPr>
          <w:rFonts w:ascii="Arial" w:cs="Arial" w:eastAsia="Arial" w:hAnsi="Arial"/>
          <w:sz w:val="19"/>
          <w:szCs w:val="19"/>
          <w:color w:val="auto"/>
        </w:rPr>
        <w:t>” means legal requirements relating to the Plan under U.S. federal and state corporate law, U.S. federal and state securities law, the Code, stock exchange listing requirements and the applicable securities, exchange control, tax and other laws of any non-U.S. country or jurisdiction where options are, or will be, granted under the Plan.</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1"/>
          <w:numId w:val="6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right="220" w:firstLine="1304"/>
        <w:spacing w:after="0" w:line="263" w:lineRule="auto"/>
        <w:tabs>
          <w:tab w:leader="none" w:pos="1941" w:val="left"/>
        </w:tabs>
        <w:numPr>
          <w:ilvl w:val="1"/>
          <w:numId w:val="6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means the Company’s Amended and Restated Certificate of Incorporation, as may be amended from time to time.</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6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19" w:lineRule="exact"/>
        <w:rPr>
          <w:rFonts w:ascii="Arial" w:cs="Arial" w:eastAsia="Arial" w:hAnsi="Arial"/>
          <w:sz w:val="22"/>
          <w:szCs w:val="22"/>
          <w:color w:val="auto"/>
        </w:rPr>
      </w:pPr>
    </w:p>
    <w:p>
      <w:pPr>
        <w:ind w:left="660" w:right="300" w:firstLine="1292"/>
        <w:spacing w:after="0" w:line="312" w:lineRule="auto"/>
        <w:tabs>
          <w:tab w:leader="none" w:pos="2592" w:val="left"/>
        </w:tabs>
        <w:numPr>
          <w:ilvl w:val="2"/>
          <w:numId w:val="681"/>
        </w:numPr>
        <w:rPr>
          <w:rFonts w:ascii="Arial" w:cs="Arial" w:eastAsia="Arial" w:hAnsi="Arial"/>
          <w:sz w:val="19"/>
          <w:szCs w:val="19"/>
          <w:color w:val="auto"/>
        </w:rPr>
      </w:pPr>
      <w:r>
        <w:rPr>
          <w:rFonts w:ascii="Arial" w:cs="Arial" w:eastAsia="Arial" w:hAnsi="Arial"/>
          <w:sz w:val="19"/>
          <w:szCs w:val="19"/>
          <w:color w:val="auto"/>
        </w:rPr>
        <w:t>a merger, reorganization, consolidation or similar form of business transaction directly involving the Company or indirectly involving the Company through one or more intermediaries, unless, immediately following such transaction, more than fifty percent (50%) of the voting power of the then-outstanding voting stock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2" w:right="339" w:bottom="1440" w:gutter="0" w:footer="0" w:header="0"/>
        </w:sectPr>
      </w:pPr>
    </w:p>
    <w:bookmarkStart w:id="823" w:name="page824"/>
    <w:bookmarkEnd w:id="823"/>
    <w:p>
      <w:pPr>
        <w:ind w:left="660" w:right="100"/>
        <w:spacing w:after="0" w:line="250" w:lineRule="auto"/>
        <w:rPr>
          <w:sz w:val="20"/>
          <w:szCs w:val="20"/>
          <w:color w:val="auto"/>
        </w:rPr>
      </w:pPr>
      <w:r>
        <w:rPr>
          <w:rFonts w:ascii="Arial" w:cs="Arial" w:eastAsia="Arial" w:hAnsi="Arial"/>
          <w:sz w:val="22"/>
          <w:szCs w:val="22"/>
          <w:color w:val="auto"/>
        </w:rPr>
        <w:t>securities of the Person resulting from consummation of the transaction (which Person may be any Parent that as a result of the transaction owns directly or indirectly the Company and all or substantially all of the Company’s assets) entitled to vote generally in elections of directors of such Person is held by the existing Company stockholders (determined immediately prior to the transaction and related transactions);</w:t>
      </w:r>
    </w:p>
    <w:p>
      <w:pPr>
        <w:spacing w:after="0" w:line="188" w:lineRule="exact"/>
        <w:rPr>
          <w:sz w:val="20"/>
          <w:szCs w:val="20"/>
          <w:color w:val="auto"/>
        </w:rPr>
      </w:pPr>
    </w:p>
    <w:p>
      <w:pPr>
        <w:ind w:left="660" w:right="60" w:firstLine="1292"/>
        <w:spacing w:after="0" w:line="263" w:lineRule="auto"/>
        <w:tabs>
          <w:tab w:leader="none" w:pos="2598" w:val="left"/>
        </w:tabs>
        <w:numPr>
          <w:ilvl w:val="0"/>
          <w:numId w:val="682"/>
        </w:numPr>
        <w:rPr>
          <w:rFonts w:ascii="Arial" w:cs="Arial" w:eastAsia="Arial" w:hAnsi="Arial"/>
          <w:sz w:val="21"/>
          <w:szCs w:val="21"/>
          <w:color w:val="auto"/>
        </w:rPr>
      </w:pPr>
      <w:r>
        <w:rPr>
          <w:rFonts w:ascii="Arial" w:cs="Arial" w:eastAsia="Arial" w:hAnsi="Arial"/>
          <w:sz w:val="21"/>
          <w:szCs w:val="21"/>
          <w:color w:val="auto"/>
        </w:rPr>
        <w:t>a single transaction or series of related transactions in which a Person (other than any employee benefit plan of the Company or an Affiliate, or any trustee or other fiduciary holding securities under an employee benefit plan of the Company or an Affiliate) is or becomes the beneficial owner (as defined in Rule 13d-3 of the Exchange Act), directly or indirectly, of securities of the Company representing more than fifty percent (50%) of the outstanding voting power of the Company’s then-outstanding voting securities;</w:t>
      </w:r>
    </w:p>
    <w:p>
      <w:pPr>
        <w:spacing w:after="0" w:line="175" w:lineRule="exact"/>
        <w:rPr>
          <w:rFonts w:ascii="Arial" w:cs="Arial" w:eastAsia="Arial" w:hAnsi="Arial"/>
          <w:sz w:val="21"/>
          <w:szCs w:val="21"/>
          <w:color w:val="auto"/>
        </w:rPr>
      </w:pPr>
    </w:p>
    <w:p>
      <w:pPr>
        <w:ind w:left="660" w:right="300" w:firstLine="1292"/>
        <w:spacing w:after="0" w:line="253" w:lineRule="auto"/>
        <w:tabs>
          <w:tab w:leader="none" w:pos="2604" w:val="left"/>
        </w:tabs>
        <w:numPr>
          <w:ilvl w:val="0"/>
          <w:numId w:val="682"/>
        </w:numPr>
        <w:rPr>
          <w:rFonts w:ascii="Arial" w:cs="Arial" w:eastAsia="Arial" w:hAnsi="Arial"/>
          <w:sz w:val="22"/>
          <w:szCs w:val="22"/>
          <w:color w:val="auto"/>
        </w:rPr>
      </w:pPr>
      <w:r>
        <w:rPr>
          <w:rFonts w:ascii="Arial" w:cs="Arial" w:eastAsia="Arial" w:hAnsi="Arial"/>
          <w:sz w:val="22"/>
          <w:szCs w:val="22"/>
          <w:color w:val="auto"/>
        </w:rPr>
        <w:t>a single transaction or series of related transactions in which the Company, directly or indirectly, sells, assigns, conveys, transfers, leases or otherwise disposes of all or substantially all of its assets to another Person other than an Affiliate;</w:t>
      </w:r>
    </w:p>
    <w:p>
      <w:pPr>
        <w:spacing w:after="0" w:line="185" w:lineRule="exact"/>
        <w:rPr>
          <w:rFonts w:ascii="Arial" w:cs="Arial" w:eastAsia="Arial" w:hAnsi="Arial"/>
          <w:sz w:val="22"/>
          <w:szCs w:val="22"/>
          <w:color w:val="auto"/>
        </w:rPr>
      </w:pPr>
    </w:p>
    <w:p>
      <w:pPr>
        <w:ind w:left="660" w:right="120" w:firstLine="1292"/>
        <w:spacing w:after="0" w:line="289" w:lineRule="auto"/>
        <w:tabs>
          <w:tab w:leader="none" w:pos="2592" w:val="left"/>
        </w:tabs>
        <w:numPr>
          <w:ilvl w:val="0"/>
          <w:numId w:val="682"/>
        </w:numPr>
        <w:rPr>
          <w:rFonts w:ascii="Arial" w:cs="Arial" w:eastAsia="Arial" w:hAnsi="Arial"/>
          <w:sz w:val="19"/>
          <w:szCs w:val="19"/>
          <w:color w:val="auto"/>
        </w:rPr>
      </w:pPr>
      <w:r>
        <w:rPr>
          <w:rFonts w:ascii="Arial" w:cs="Arial" w:eastAsia="Arial" w:hAnsi="Arial"/>
          <w:sz w:val="19"/>
          <w:szCs w:val="19"/>
          <w:color w:val="auto"/>
        </w:rPr>
        <w:t>at any time during any period of two consecutive years (not including any period prior to the Registration Date), individuals who at the beginning of such period constituted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cease for any reason to constitute at least a majority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member of the Board subsequent to the first day of such period whose election, or nomination for election, by the Company’s stockholders was approved by a vote of at least a majority of the Incumbent Directors shall be considered as though such individual were an Incumbent Director, but excluding, for purposes of this proviso, any such individual whose initial assumption of office occurs as a result of, or in connection with, an actual or threatened proxy contest with respect to the election or removal of Board members or other actual or threatened solicitation of proxies or consents by or on behalf of any Person or Persons (whether or not acting in concert) other than the Board; or</w:t>
      </w:r>
    </w:p>
    <w:p>
      <w:pPr>
        <w:spacing w:after="0" w:line="156" w:lineRule="exact"/>
        <w:rPr>
          <w:rFonts w:ascii="Arial" w:cs="Arial" w:eastAsia="Arial" w:hAnsi="Arial"/>
          <w:sz w:val="19"/>
          <w:szCs w:val="19"/>
          <w:color w:val="auto"/>
        </w:rPr>
      </w:pPr>
    </w:p>
    <w:p>
      <w:pPr>
        <w:ind w:left="2600" w:hanging="648"/>
        <w:spacing w:after="0"/>
        <w:tabs>
          <w:tab w:leader="none" w:pos="2600" w:val="left"/>
        </w:tabs>
        <w:numPr>
          <w:ilvl w:val="0"/>
          <w:numId w:val="682"/>
        </w:numPr>
        <w:rPr>
          <w:rFonts w:ascii="Arial" w:cs="Arial" w:eastAsia="Arial" w:hAnsi="Arial"/>
          <w:sz w:val="22"/>
          <w:szCs w:val="22"/>
          <w:color w:val="auto"/>
        </w:rPr>
      </w:pPr>
      <w:r>
        <w:rPr>
          <w:rFonts w:ascii="Arial" w:cs="Arial" w:eastAsia="Arial" w:hAnsi="Arial"/>
          <w:sz w:val="22"/>
          <w:szCs w:val="22"/>
          <w:color w:val="auto"/>
        </w:rPr>
        <w:t>the liquidation or dissolution of the Company.</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Notwithstanding anything to the contrary herein or in any Award Agreement, a Change in Control will not be deemed to have occurred by virtue of (A) the consummation of any transaction or series of related transactions immediately following which the holders of the shares of the Company immediately prior to the transaction or series of transactions continue to have substantially the same proportionate ownership and voting power in an entity which owns all or substantially all of the assets of the Company immediately following the transaction or series of transactions, (B) any acquisition of additional securities of the Company or voting power with respect to the Common Stock by any or some combination of the Specified Stockholders (as defined below) after the Registration Date, including as a result of a Permitted Transfer (as defined in the Certificate of Incorporation) or in connection with a transaction or issuance (including pursuant to outstanding equity-based awards) or any other transaction approved by the Board or a Committee thereof, (C) any change in the Specified Stockholders’ voting power with respect to the Common Stock resulting from a conversion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24" w:name="page825"/>
    <w:bookmarkEnd w:id="824"/>
    <w:p>
      <w:pPr>
        <w:ind w:right="320"/>
        <w:spacing w:after="0" w:line="294" w:lineRule="auto"/>
        <w:rPr>
          <w:sz w:val="20"/>
          <w:szCs w:val="20"/>
          <w:color w:val="auto"/>
        </w:rPr>
      </w:pPr>
      <w:r>
        <w:rPr>
          <w:rFonts w:ascii="Arial" w:cs="Arial" w:eastAsia="Arial" w:hAnsi="Arial"/>
          <w:sz w:val="19"/>
          <w:szCs w:val="19"/>
          <w:color w:val="auto"/>
        </w:rPr>
        <w:t>Common Stock reducing the number of shares or votes outstanding or (D) any acquisition or disposition of shares of Class B Common Stock by the Specified Stockholders or change in the total voting power of the Common Stock held by the Specified Stockholders as a result of (x) the conversion of any shares of Common Stock into shares of Class B Common Stock, (y) the conversion of any shares of Class B Common Stock into shares of any other class of Common Stock or (z) any change in the voting power of the holders of the Class B Common Stock, including solely as a result of any decrease in the total number of shares of Common Stock or of any series of class thereof, as applicable, outstanding.</w:t>
      </w:r>
    </w:p>
    <w:p>
      <w:pPr>
        <w:spacing w:after="0" w:line="149" w:lineRule="exact"/>
        <w:rPr>
          <w:sz w:val="20"/>
          <w:szCs w:val="20"/>
          <w:color w:val="auto"/>
        </w:rPr>
      </w:pPr>
    </w:p>
    <w:p>
      <w:pPr>
        <w:ind w:left="1940" w:hanging="636"/>
        <w:spacing w:after="0"/>
        <w:tabs>
          <w:tab w:leader="none" w:pos="1940" w:val="left"/>
        </w:tabs>
        <w:numPr>
          <w:ilvl w:val="1"/>
          <w:numId w:val="6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means the Company’s Class A common stock, par value $0.0001 per share.</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1"/>
          <w:numId w:val="6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means the Company’s Class B common stock, par value $0.0001 per share.</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1"/>
          <w:numId w:val="6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6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the Board appointed in accordance with Section 14 hereof.</w:t>
      </w:r>
    </w:p>
    <w:p>
      <w:pPr>
        <w:spacing w:after="0" w:line="219" w:lineRule="exact"/>
        <w:rPr>
          <w:rFonts w:ascii="Arial" w:cs="Arial" w:eastAsia="Arial" w:hAnsi="Arial"/>
          <w:sz w:val="22"/>
          <w:szCs w:val="22"/>
          <w:color w:val="auto"/>
        </w:rPr>
      </w:pPr>
    </w:p>
    <w:p>
      <w:pPr>
        <w:ind w:right="80" w:firstLine="1304"/>
        <w:spacing w:after="0" w:line="263" w:lineRule="auto"/>
        <w:tabs>
          <w:tab w:leader="none" w:pos="1939" w:val="left"/>
        </w:tabs>
        <w:numPr>
          <w:ilvl w:val="1"/>
          <w:numId w:val="6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the Class B Common Stock or the Company’s Class C common stock, par value $0.0001 per share.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Robinhood Markets, Inc., a Delaware corporation, or any successor thereto.</w:t>
      </w:r>
    </w:p>
    <w:p>
      <w:pPr>
        <w:spacing w:after="0" w:line="219" w:lineRule="exact"/>
        <w:rPr>
          <w:rFonts w:ascii="Arial" w:cs="Arial" w:eastAsia="Arial" w:hAnsi="Arial"/>
          <w:sz w:val="22"/>
          <w:szCs w:val="22"/>
          <w:color w:val="auto"/>
        </w:rPr>
      </w:pPr>
    </w:p>
    <w:p>
      <w:pPr>
        <w:ind w:firstLine="1304"/>
        <w:spacing w:after="0" w:line="284" w:lineRule="auto"/>
        <w:tabs>
          <w:tab w:leader="none" w:pos="1932" w:val="left"/>
        </w:tabs>
        <w:numPr>
          <w:ilvl w:val="1"/>
          <w:numId w:val="6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 the regular earnings or base salary, annual bonuses, and commissions (including any commission bonus) paid to the Eligible Employee by the Company or a Designated Company, as applicable, as compensation for services to the Company or a Designated Company, as applicable, before deduction for any salary deferral contributions made by the Eligible Employee to any tax-qualified or nonqualified deferred compensation plan, including overtime, shift differentials, salaried production schedule premiums, holiday pay, vacation pay, paid time off (PTO) (including any PTO payouts), sick pay, jury duty pay, funeral leave pay, other employer-paid leave pay (including parental leave pay, bereavement leave pay, and bone marrow and organ donor leave pay), volunteer time off and military pay, but excluding (i) education or tuition reimbursements,</w:t>
      </w:r>
    </w:p>
    <w:p>
      <w:pPr>
        <w:spacing w:after="0" w:line="3" w:lineRule="exact"/>
        <w:rPr>
          <w:rFonts w:ascii="Arial" w:cs="Arial" w:eastAsia="Arial" w:hAnsi="Arial"/>
          <w:sz w:val="19"/>
          <w:szCs w:val="19"/>
          <w:color w:val="auto"/>
        </w:rPr>
      </w:pPr>
    </w:p>
    <w:p>
      <w:pPr>
        <w:ind w:right="120" w:firstLine="8"/>
        <w:spacing w:after="0" w:line="287" w:lineRule="auto"/>
        <w:tabs>
          <w:tab w:leader="none" w:pos="318" w:val="left"/>
        </w:tabs>
        <w:numPr>
          <w:ilvl w:val="0"/>
          <w:numId w:val="684"/>
        </w:numPr>
        <w:rPr>
          <w:rFonts w:ascii="Arial" w:cs="Arial" w:eastAsia="Arial" w:hAnsi="Arial"/>
          <w:sz w:val="19"/>
          <w:szCs w:val="19"/>
          <w:color w:val="auto"/>
        </w:rPr>
      </w:pPr>
      <w:r>
        <w:rPr>
          <w:rFonts w:ascii="Arial" w:cs="Arial" w:eastAsia="Arial" w:hAnsi="Arial"/>
          <w:sz w:val="19"/>
          <w:szCs w:val="19"/>
          <w:color w:val="auto"/>
        </w:rPr>
        <w:t>imputed income arising under any group insurance or benefit program, (iii) travel expenses, (iv) business and moving reimbursements, including tax gross ups and taxable mileage allowance, (v) income received in connection with any stock options, restricted stock, restricted stock units or other compensatory equity awards, (vi) all contributions made by the Company or any Designated Company for the Eligible Employee’s benefit under any employee benefit plan now or hereafter established (such as employer-paid 401(k) plan contributions), (vii) all stipends (such as health and wellness stipend, internet stipend, and home office setup stipend), (viii) all payments by the state or other regulatory agencies, (ix) severance pay, and (x) all other cash bonuses not mentioned above (such as referral bonuses, peer bonuses, and sign-on bonuses). Compensation will be calculated before deduction of any income or employment tax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25" w:name="page826"/>
    <w:bookmarkEnd w:id="825"/>
    <w:p>
      <w:pPr>
        <w:ind w:right="60"/>
        <w:spacing w:after="0" w:line="263" w:lineRule="auto"/>
        <w:rPr>
          <w:sz w:val="20"/>
          <w:szCs w:val="20"/>
          <w:color w:val="auto"/>
        </w:rPr>
      </w:pPr>
      <w:r>
        <w:rPr>
          <w:rFonts w:ascii="Arial" w:cs="Arial" w:eastAsia="Arial" w:hAnsi="Arial"/>
          <w:sz w:val="21"/>
          <w:szCs w:val="21"/>
          <w:color w:val="auto"/>
        </w:rPr>
        <w:t>“Compensation” will include the net impact of any current-period payments/deductions to correct for prior-period payroll errors (unless the Administrator, in its sole discretion, elects to give such corrections retroactive effect for purposes of this Plan). The Administrator, in its discretion, may establish a different definition of Compensation for an Offering, which for the Section 423 Component will apply on a uniform and nondiscriminatory basis. Further, the Administrator will have discretion to determine the application of this definition to Eligible Employees outside the United States</w:t>
      </w:r>
    </w:p>
    <w:p>
      <w:pPr>
        <w:spacing w:after="0" w:line="175" w:lineRule="exact"/>
        <w:rPr>
          <w:sz w:val="20"/>
          <w:szCs w:val="20"/>
          <w:color w:val="auto"/>
        </w:rPr>
      </w:pPr>
    </w:p>
    <w:p>
      <w:pPr>
        <w:ind w:right="40" w:firstLine="1304"/>
        <w:spacing w:after="0" w:line="263" w:lineRule="auto"/>
        <w:tabs>
          <w:tab w:leader="none" w:pos="1939" w:val="left"/>
        </w:tabs>
        <w:numPr>
          <w:ilvl w:val="0"/>
          <w:numId w:val="6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Contributions</w:t>
      </w:r>
      <w:r>
        <w:rPr>
          <w:rFonts w:ascii="Arial" w:cs="Arial" w:eastAsia="Arial" w:hAnsi="Arial"/>
          <w:sz w:val="22"/>
          <w:szCs w:val="22"/>
          <w:color w:val="auto"/>
        </w:rPr>
        <w:t>” means the payroll deductions and other additional payments that the Company may permit a Participant to make to fund the exercise of options granted pursuant to the Plan.</w:t>
      </w:r>
    </w:p>
    <w:p>
      <w:pPr>
        <w:spacing w:after="0" w:line="174" w:lineRule="exact"/>
        <w:rPr>
          <w:rFonts w:ascii="Arial" w:cs="Arial" w:eastAsia="Arial" w:hAnsi="Arial"/>
          <w:sz w:val="22"/>
          <w:szCs w:val="22"/>
          <w:color w:val="auto"/>
        </w:rPr>
      </w:pPr>
    </w:p>
    <w:p>
      <w:pPr>
        <w:ind w:firstLine="1304"/>
        <w:spacing w:after="0" w:line="287" w:lineRule="auto"/>
        <w:tabs>
          <w:tab w:leader="none" w:pos="1939" w:val="left"/>
        </w:tabs>
        <w:numPr>
          <w:ilvl w:val="0"/>
          <w:numId w:val="6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xml:space="preserve">” means any Affiliate that has been designated by the Administrator from time to time in its sole discretion as eligible to participate in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Affiliate of the Company will be considered a Designated Company unless otherwise determined by the Administrator. For purposes of the 423 Component, only the Company, its Subsidiaries (including Affiliates that are disregarded into its Subsidiaries), and any Parent of the Company may be Designated Companies. The Administrator may assign each Designated Company to participate in the 423 Component or the Non-423 Component but not both. An Affiliate that is disregarded for U.S. federal income tax purposes in respect of a Designated Company participating in the 423 Component will automatically be a Designated Company participating in the 423 Component. An Affiliate that is disregarded for U.S. federal income tax purposes in respect of a Designated Company participating in the Non-423 Component may be excluded from participating in the Plan by the Administrator or may be assigned by the Administrator to an Offering within the Non-423 Component that is separate from the Offering to which the Administrator assigns the Designated Company with respect to which it is disregarded.</w:t>
      </w:r>
    </w:p>
    <w:p>
      <w:pPr>
        <w:spacing w:after="0" w:line="163" w:lineRule="exact"/>
        <w:rPr>
          <w:rFonts w:ascii="Arial" w:cs="Arial" w:eastAsia="Arial" w:hAnsi="Arial"/>
          <w:sz w:val="19"/>
          <w:szCs w:val="19"/>
          <w:color w:val="auto"/>
        </w:rPr>
      </w:pPr>
    </w:p>
    <w:p>
      <w:pPr>
        <w:ind w:left="1940" w:hanging="636"/>
        <w:spacing w:after="0"/>
        <w:tabs>
          <w:tab w:leader="none" w:pos="1940" w:val="left"/>
        </w:tabs>
        <w:numPr>
          <w:ilvl w:val="0"/>
          <w:numId w:val="6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color w:val="auto"/>
        </w:rPr>
      </w:pPr>
    </w:p>
    <w:p>
      <w:pPr>
        <w:ind w:right="60" w:firstLine="1304"/>
        <w:spacing w:after="0" w:line="287" w:lineRule="auto"/>
        <w:tabs>
          <w:tab w:leader="none" w:pos="1939" w:val="left"/>
        </w:tabs>
        <w:numPr>
          <w:ilvl w:val="0"/>
          <w:numId w:val="6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an employee providing services to the Company or a Designated Company and is customarily employed for more than five months in any calendar year by the Employer or any lesser number of months in any calendar year established by the Administrator for purposes of any separate Offering or the Non-423 Component. For purposes of the Plan, the employment relationship will be treated as continuing intact while the individual is on military leave, sick leave or other leave of absence that the Employer approves or is otherwise legally protected under Applicable Laws. Where the period of leave exceeds three months and the individual’s right to reemployment is not guaranteed either by Applicable Laws or by contract, the employment relationship will be deemed to have terminated three months and one day following the commencement of such leave or such other period specified under the Treasury Regulations. The Administrator may, in its discretion, from time to time prior to an Offering Start Date for all options to be granted on such Offering Start Date relating to an Offering, determine (on a uniform and nondiscriminatory basis or as otherwise permitted by Section 1.423-2 of the Treasury Regulations) that the definition of Eligible Employee will or will not include an individual if he or she (i)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826" w:name="page827"/>
    <w:bookmarkEnd w:id="826"/>
    <w:p>
      <w:pPr>
        <w:spacing w:after="0" w:line="286" w:lineRule="auto"/>
        <w:rPr>
          <w:sz w:val="20"/>
          <w:szCs w:val="20"/>
          <w:color w:val="auto"/>
        </w:rPr>
      </w:pPr>
      <w:r>
        <w:rPr>
          <w:rFonts w:ascii="Arial" w:cs="Arial" w:eastAsia="Arial" w:hAnsi="Arial"/>
          <w:sz w:val="19"/>
          <w:szCs w:val="19"/>
          <w:color w:val="auto"/>
        </w:rPr>
        <w:t xml:space="preserve">completed at least two years of service since his or her last hire date (or such lesser period of time as may be determined by the Administrator in its discretion), (ii) customarily works not more than 20 hours per week (or such lesser period of time as may be determined by the Administrator in its discretion), (iii) customarily works not more than five months per calendar year (or such lesser period of time as may be determined by the Administrator in its discretion) or (iv) is a highly compensated employee within the meaning of Section 414(q)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exclusion is applied with respect to each Offering in an identical manner to all highly compensated individuals of the Employer whose Eligible Employees are participating in that Offering. Each exclusion will be applied with respect to an Offering in a manner complying with Section 1.423-2(e)(2)(ii) of the Treasury Regulations. Notwithstanding the foregoing, (1) for purposes of any Offering under the 423 Component, the Administrator may determine that the definition of Eligible Employee will not include employees who are citizens or residents of a foreign jurisdiction (without regard to whether they are also citizens of the United States or resident aliens) if (A) the grant of an option under the Plan or such Offering to a citizen or resident of the foreign jurisdiction is prohibited under the laws of such jurisdiction or (B) compliance with the laws of the foreign jurisdiction would cause the Plan or such Offering to violate the requirements of Section 423; and (2) for purposes of any Offering under the Non-423 Component, the Administrator may alter the definition of Eligible Employee in its discretion, provided that anyone included in the definition must be a Person to whom the issuance of shares of Class A Common Stock may be registered on Form S8 under the U.S. Securities Act of 1933, as amended.</w:t>
      </w:r>
    </w:p>
    <w:p>
      <w:pPr>
        <w:spacing w:after="0" w:line="200" w:lineRule="exact"/>
        <w:rPr>
          <w:sz w:val="20"/>
          <w:szCs w:val="20"/>
          <w:color w:val="auto"/>
        </w:rPr>
      </w:pPr>
    </w:p>
    <w:p>
      <w:pPr>
        <w:spacing w:after="0" w:line="215" w:lineRule="exact"/>
        <w:rPr>
          <w:sz w:val="20"/>
          <w:szCs w:val="20"/>
          <w:color w:val="auto"/>
        </w:rPr>
      </w:pPr>
    </w:p>
    <w:p>
      <w:pPr>
        <w:ind w:left="1960" w:hanging="656"/>
        <w:spacing w:after="0"/>
        <w:tabs>
          <w:tab w:leader="none" w:pos="1960" w:val="left"/>
        </w:tabs>
        <w:numPr>
          <w:ilvl w:val="0"/>
          <w:numId w:val="6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employer of the applicable Eligible Employee(s).</w:t>
      </w:r>
    </w:p>
    <w:p>
      <w:pPr>
        <w:spacing w:after="0" w:line="219" w:lineRule="exact"/>
        <w:rPr>
          <w:rFonts w:ascii="Arial" w:cs="Arial" w:eastAsia="Arial" w:hAnsi="Arial"/>
          <w:sz w:val="22"/>
          <w:szCs w:val="22"/>
          <w:color w:val="auto"/>
        </w:rPr>
      </w:pPr>
    </w:p>
    <w:p>
      <w:pPr>
        <w:ind w:right="380" w:firstLine="1304"/>
        <w:spacing w:after="0" w:line="263" w:lineRule="auto"/>
        <w:tabs>
          <w:tab w:leader="none" w:pos="1942" w:val="left"/>
        </w:tabs>
        <w:numPr>
          <w:ilvl w:val="0"/>
          <w:numId w:val="6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74" w:lineRule="exact"/>
        <w:rPr>
          <w:rFonts w:ascii="Arial" w:cs="Arial" w:eastAsia="Arial" w:hAnsi="Arial"/>
          <w:sz w:val="22"/>
          <w:szCs w:val="22"/>
          <w:color w:val="auto"/>
        </w:rPr>
      </w:pPr>
    </w:p>
    <w:p>
      <w:pPr>
        <w:ind w:right="20" w:firstLine="1304"/>
        <w:spacing w:after="0" w:line="286" w:lineRule="auto"/>
        <w:tabs>
          <w:tab w:leader="none" w:pos="1932" w:val="left"/>
        </w:tabs>
        <w:numPr>
          <w:ilvl w:val="0"/>
          <w:numId w:val="6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means, as of any relevant date, the value of a share of Class A Common Stock determined as follows: (i) the closing sales per share price for Class A Common Stock on such relevant date, as quoted on any established stock exchange or national market system (including, without limitation, the New York Stock Exchange, NASDAQ Global Select Market, the NASDAQ Global Market or the NASDAQ Capital Market of The NASDAQ Stock Market) on which the Class A Common Stock is listed on such relevant date (or the closing bid, if no sales were reported), as reported in </w:t>
      </w:r>
      <w:r>
        <w:rPr>
          <w:rFonts w:ascii="Arial" w:cs="Arial" w:eastAsia="Arial" w:hAnsi="Arial"/>
          <w:sz w:val="19"/>
          <w:szCs w:val="19"/>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Journal </w:t>
      </w:r>
      <w:r>
        <w:rPr>
          <w:rFonts w:ascii="Arial" w:cs="Arial" w:eastAsia="Arial" w:hAnsi="Arial"/>
          <w:sz w:val="19"/>
          <w:szCs w:val="19"/>
          <w:color w:val="auto"/>
        </w:rPr>
        <w:t>or such other source as the Administrator deems reliable;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relevant date is a non-Trading Day (</w:t>
      </w:r>
      <w:r>
        <w:rPr>
          <w:rFonts w:ascii="Arial" w:cs="Arial" w:eastAsia="Arial" w:hAnsi="Arial"/>
          <w:sz w:val="19"/>
          <w:szCs w:val="19"/>
          <w:u w:val="single" w:color="auto"/>
          <w:color w:val="auto"/>
        </w:rPr>
        <w:t>i.e.</w:t>
      </w:r>
      <w:r>
        <w:rPr>
          <w:rFonts w:ascii="Arial" w:cs="Arial" w:eastAsia="Arial" w:hAnsi="Arial"/>
          <w:sz w:val="19"/>
          <w:szCs w:val="19"/>
          <w:color w:val="auto"/>
        </w:rPr>
        <w:t>, a weekend or holiday), the Fair Market Value will be such price on the immediately preceding Trading Day, unless otherwise determined by the Administrator; or (ii) in the absence of an established market for the Class A Common Stock, the Fair Market Value thereof will be determined in good faith by the Administrator in a manner that complies with Applicable Laws. The determination of fair market value for purposes of tax withholding may be made in the Administrator’s discretion subject to Applicable Laws, and is not required to be consistent with the determination of Fair Market Value for other purposes. Notwithstanding the foregoing, the Fair Market Value on the Offering Start Date of the first Offering Period will be the initial public offering price of a share of Class A Common Stock as set forth in the Company’s final prospectus included within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28" w:right="379" w:bottom="1440" w:gutter="0" w:footer="0" w:header="0"/>
        </w:sectPr>
      </w:pPr>
    </w:p>
    <w:bookmarkStart w:id="827" w:name="page828"/>
    <w:bookmarkEnd w:id="827"/>
    <w:p>
      <w:pPr>
        <w:ind w:left="1940" w:hanging="636"/>
        <w:spacing w:after="0"/>
        <w:tabs>
          <w:tab w:leader="none" w:pos="1940" w:val="left"/>
        </w:tabs>
        <w:numPr>
          <w:ilvl w:val="0"/>
          <w:numId w:val="6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Purchase Date</w:t>
      </w:r>
      <w:r>
        <w:rPr>
          <w:rFonts w:ascii="Arial" w:cs="Arial" w:eastAsia="Arial" w:hAnsi="Arial"/>
          <w:sz w:val="19"/>
          <w:szCs w:val="19"/>
          <w:color w:val="auto"/>
        </w:rPr>
        <w:t>” means a new Purchase Date if the Administrator shortens any Offering Period then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 progress.</w:t>
      </w:r>
    </w:p>
    <w:p>
      <w:pPr>
        <w:spacing w:after="0" w:line="202" w:lineRule="exact"/>
        <w:rPr>
          <w:sz w:val="20"/>
          <w:szCs w:val="20"/>
          <w:color w:val="auto"/>
        </w:rPr>
      </w:pPr>
    </w:p>
    <w:p>
      <w:pPr>
        <w:ind w:right="140" w:firstLine="1304"/>
        <w:spacing w:after="0" w:line="260" w:lineRule="auto"/>
        <w:tabs>
          <w:tab w:leader="none" w:pos="1939" w:val="left"/>
        </w:tabs>
        <w:numPr>
          <w:ilvl w:val="0"/>
          <w:numId w:val="6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w:t>
      </w:r>
      <w:r>
        <w:rPr>
          <w:rFonts w:ascii="Arial" w:cs="Arial" w:eastAsia="Arial" w:hAnsi="Arial"/>
          <w:sz w:val="21"/>
          <w:szCs w:val="21"/>
          <w:color w:val="auto"/>
        </w:rPr>
        <w:t xml:space="preserve">” means an offer under the Plan of an option that may be exercised during an Offering Period as further described in Section 5 hereof.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Section 1.423-2(a)(1) of the Treasury Regulations, the terms of each Offering need not be identical;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terms of the Plan and an Offering together satisfy Sections 1.423-2(a)(2) and (a)(3) of the Treasury Regulations.</w:t>
      </w:r>
    </w:p>
    <w:p>
      <w:pPr>
        <w:spacing w:after="0" w:line="180" w:lineRule="exact"/>
        <w:rPr>
          <w:rFonts w:ascii="Arial" w:cs="Arial" w:eastAsia="Arial" w:hAnsi="Arial"/>
          <w:sz w:val="21"/>
          <w:szCs w:val="21"/>
          <w:color w:val="auto"/>
        </w:rPr>
      </w:pPr>
    </w:p>
    <w:p>
      <w:pPr>
        <w:ind w:right="120" w:firstLine="1304"/>
        <w:spacing w:after="0" w:line="271" w:lineRule="auto"/>
        <w:tabs>
          <w:tab w:leader="none" w:pos="1933" w:val="left"/>
        </w:tabs>
        <w:numPr>
          <w:ilvl w:val="0"/>
          <w:numId w:val="6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 Periods</w:t>
      </w:r>
      <w:r>
        <w:rPr>
          <w:rFonts w:ascii="Arial" w:cs="Arial" w:eastAsia="Arial" w:hAnsi="Arial"/>
          <w:sz w:val="21"/>
          <w:szCs w:val="21"/>
          <w:color w:val="auto"/>
        </w:rPr>
        <w:t>” means each period during which an option granted pursuant to the Plan may be exercised as determined by the Administrator. The first Offering Period will commence with the Registration Date. The duration and timing of Offering Periods may be changed pursuant to Sections 5 and 20 hereof.</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0"/>
          <w:numId w:val="6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Start Date</w:t>
      </w:r>
      <w:r>
        <w:rPr>
          <w:rFonts w:ascii="Arial" w:cs="Arial" w:eastAsia="Arial" w:hAnsi="Arial"/>
          <w:sz w:val="22"/>
          <w:szCs w:val="22"/>
          <w:color w:val="auto"/>
        </w:rPr>
        <w:t>” means the first day of an Offering Period.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6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Code.</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6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Employee who participates in the Plan.</w:t>
      </w:r>
    </w:p>
    <w:p>
      <w:pPr>
        <w:spacing w:after="0" w:line="220" w:lineRule="exact"/>
        <w:rPr>
          <w:sz w:val="20"/>
          <w:szCs w:val="20"/>
          <w:color w:val="auto"/>
        </w:rPr>
      </w:pPr>
    </w:p>
    <w:p>
      <w:pPr>
        <w:ind w:right="380" w:firstLine="1304"/>
        <w:spacing w:after="0" w:line="253" w:lineRule="auto"/>
        <w:tabs>
          <w:tab w:leader="none" w:pos="1942" w:val="left"/>
        </w:tabs>
        <w:numPr>
          <w:ilvl w:val="0"/>
          <w:numId w:val="6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 or a “group” within the meaning of Section 13(d)(3) or Section 14(d)(2) of the Exchange Act.</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6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Robinhood Markets, Inc. 2021 Employee Share Purchase Plan, as may be amended from</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201" w:lineRule="exact"/>
        <w:rPr>
          <w:rFonts w:ascii="Arial" w:cs="Arial" w:eastAsia="Arial" w:hAnsi="Arial"/>
          <w:sz w:val="19"/>
          <w:szCs w:val="19"/>
          <w:color w:val="auto"/>
        </w:rPr>
      </w:pPr>
    </w:p>
    <w:p>
      <w:pPr>
        <w:ind w:right="60" w:firstLine="1304"/>
        <w:spacing w:after="0" w:line="302" w:lineRule="auto"/>
        <w:tabs>
          <w:tab w:leader="none" w:pos="1942" w:val="left"/>
        </w:tabs>
        <w:numPr>
          <w:ilvl w:val="0"/>
          <w:numId w:val="6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Date</w:t>
      </w:r>
      <w:r>
        <w:rPr>
          <w:rFonts w:ascii="Arial" w:cs="Arial" w:eastAsia="Arial" w:hAnsi="Arial"/>
          <w:sz w:val="19"/>
          <w:szCs w:val="19"/>
          <w:color w:val="auto"/>
        </w:rPr>
        <w:t>” means the last Trading Day of the Purchase Period. Notwithstanding the foregoing, in the event that an Offering Period is terminated prior to its expiration pursuant to Section 20(a) hereof, the Administrator, in its sole discretion, may determine that any Purchase Period also terminating under such Offering Period will terminate without options being exercised on the Purchase Date that otherwise would have occurred on the last Trading Day of such Purchase Period.</w:t>
      </w:r>
    </w:p>
    <w:p>
      <w:pPr>
        <w:spacing w:after="0" w:line="142" w:lineRule="exact"/>
        <w:rPr>
          <w:rFonts w:ascii="Arial" w:cs="Arial" w:eastAsia="Arial" w:hAnsi="Arial"/>
          <w:sz w:val="19"/>
          <w:szCs w:val="19"/>
          <w:color w:val="auto"/>
        </w:rPr>
      </w:pPr>
    </w:p>
    <w:p>
      <w:pPr>
        <w:jc w:val="both"/>
        <w:ind w:right="120" w:firstLine="1304"/>
        <w:spacing w:after="0" w:line="253" w:lineRule="auto"/>
        <w:tabs>
          <w:tab w:leader="none" w:pos="1939" w:val="left"/>
        </w:tabs>
        <w:numPr>
          <w:ilvl w:val="0"/>
          <w:numId w:val="6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Period</w:t>
      </w:r>
      <w:r>
        <w:rPr>
          <w:rFonts w:ascii="Arial" w:cs="Arial" w:eastAsia="Arial" w:hAnsi="Arial"/>
          <w:sz w:val="22"/>
          <w:szCs w:val="22"/>
          <w:color w:val="auto"/>
        </w:rPr>
        <w:t>” means the periods during an Offering Period during which shares of Class A Common Stock may be purchased on a Participant’s behalf in accordance with the terms of the Plan. For the first Offering Period, the first Purchase Period will commence on the Registration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8" w:right="359" w:bottom="1440" w:gutter="0" w:footer="0" w:header="0"/>
        </w:sectPr>
      </w:pPr>
    </w:p>
    <w:bookmarkStart w:id="828" w:name="page829"/>
    <w:bookmarkEnd w:id="828"/>
    <w:p>
      <w:pPr>
        <w:ind w:right="120" w:firstLine="1304"/>
        <w:spacing w:after="0" w:line="302" w:lineRule="auto"/>
        <w:tabs>
          <w:tab w:leader="none" w:pos="1942" w:val="left"/>
        </w:tabs>
        <w:numPr>
          <w:ilvl w:val="0"/>
          <w:numId w:val="6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means, with respect to an Offering Period, an amount equal to eighty-five percent (85%) of the Fair Market Value on the Offering Start Date or on the Purchase Date, whichever is lower;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Purchase Price may be determined for subsequent Offering Periods by the Administrator subject to compliance with Section 423 of the Code (or any successor rule or provision or any other Applicable Laws or pursuant to Section 20 hereof.</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Date</w:t>
      </w:r>
      <w:r>
        <w:rPr>
          <w:rFonts w:ascii="Arial" w:cs="Arial" w:eastAsia="Arial" w:hAnsi="Arial"/>
          <w:sz w:val="22"/>
          <w:szCs w:val="22"/>
          <w:color w:val="auto"/>
        </w:rPr>
        <w:t>” means the effective date of the Registration Statement.</w:t>
      </w:r>
    </w:p>
    <w:p>
      <w:pPr>
        <w:spacing w:after="0" w:line="219" w:lineRule="exact"/>
        <w:rPr>
          <w:rFonts w:ascii="Arial" w:cs="Arial" w:eastAsia="Arial" w:hAnsi="Arial"/>
          <w:sz w:val="22"/>
          <w:szCs w:val="22"/>
          <w:color w:val="auto"/>
        </w:rPr>
      </w:pPr>
    </w:p>
    <w:p>
      <w:pPr>
        <w:ind w:right="220" w:firstLine="1304"/>
        <w:spacing w:after="0" w:line="263" w:lineRule="auto"/>
        <w:tabs>
          <w:tab w:leader="none" w:pos="1939"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on Form S-1 filed with the U.S. Securities and Exchange Commission for the initial public offering of Class A Common Stock.</w:t>
      </w:r>
    </w:p>
    <w:p>
      <w:pPr>
        <w:spacing w:after="0" w:line="174" w:lineRule="exact"/>
        <w:rPr>
          <w:rFonts w:ascii="Arial" w:cs="Arial" w:eastAsia="Arial" w:hAnsi="Arial"/>
          <w:sz w:val="22"/>
          <w:szCs w:val="22"/>
          <w:color w:val="auto"/>
        </w:rPr>
      </w:pPr>
    </w:p>
    <w:p>
      <w:pPr>
        <w:ind w:right="800" w:firstLine="1304"/>
        <w:spacing w:after="0" w:line="263" w:lineRule="auto"/>
        <w:tabs>
          <w:tab w:leader="none" w:pos="1939"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as amended, including the rules and regulations promulgated thereunder, or any state law equivalent.</w:t>
      </w:r>
    </w:p>
    <w:p>
      <w:pPr>
        <w:spacing w:after="0" w:line="174" w:lineRule="exact"/>
        <w:rPr>
          <w:rFonts w:ascii="Arial" w:cs="Arial" w:eastAsia="Arial" w:hAnsi="Arial"/>
          <w:sz w:val="22"/>
          <w:szCs w:val="22"/>
          <w:color w:val="auto"/>
        </w:rPr>
      </w:pPr>
    </w:p>
    <w:p>
      <w:pPr>
        <w:jc w:val="both"/>
        <w:ind w:right="100" w:firstLine="1304"/>
        <w:spacing w:after="0" w:line="343" w:lineRule="auto"/>
        <w:tabs>
          <w:tab w:leader="none" w:pos="1938" w:val="left"/>
        </w:tabs>
        <w:numPr>
          <w:ilvl w:val="0"/>
          <w:numId w:val="6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Stockholder</w:t>
      </w:r>
      <w:r>
        <w:rPr>
          <w:rFonts w:ascii="Arial" w:cs="Arial" w:eastAsia="Arial" w:hAnsi="Arial"/>
          <w:sz w:val="19"/>
          <w:szCs w:val="19"/>
          <w:color w:val="auto"/>
        </w:rPr>
        <w:t>” means, individually or collectively (in any combination thereof), any Founder (as defined in the Certificate of Incorporation) or a Permitted Entity (as defined in the Certificate of Incorporation) of such Founder.</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whether now or hereafter existing,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424(f) of the Code.</w:t>
      </w:r>
    </w:p>
    <w:p>
      <w:pPr>
        <w:spacing w:after="0" w:line="202" w:lineRule="exact"/>
        <w:rPr>
          <w:sz w:val="20"/>
          <w:szCs w:val="20"/>
          <w:color w:val="auto"/>
        </w:rPr>
      </w:pPr>
    </w:p>
    <w:p>
      <w:pPr>
        <w:ind w:right="180" w:firstLine="1304"/>
        <w:spacing w:after="0" w:line="263" w:lineRule="auto"/>
        <w:tabs>
          <w:tab w:leader="none" w:pos="1939" w:val="left"/>
        </w:tabs>
        <w:numPr>
          <w:ilvl w:val="1"/>
          <w:numId w:val="6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national stock exchange upon which Class A Common Stock is listed is open for trading.</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Treasury Regulations relating to the Code, as amended.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92"/>
        </w:numPr>
        <w:rPr>
          <w:rFonts w:ascii="Arial" w:cs="Arial" w:eastAsia="Arial" w:hAnsi="Arial"/>
          <w:sz w:val="22"/>
          <w:szCs w:val="22"/>
          <w:color w:val="auto"/>
        </w:rPr>
      </w:pPr>
      <w:r>
        <w:rPr>
          <w:rFonts w:ascii="Arial" w:cs="Arial" w:eastAsia="Arial" w:hAnsi="Arial"/>
          <w:sz w:val="22"/>
          <w:szCs w:val="22"/>
          <w:u w:val="single" w:color="auto"/>
          <w:color w:val="auto"/>
        </w:rPr>
        <w:t>Share Limitations; Certain Provisions Relating to Class A Common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4"/>
        <w:spacing w:after="0" w:line="242" w:lineRule="auto"/>
        <w:tabs>
          <w:tab w:leader="none" w:pos="1941" w:val="left"/>
        </w:tabs>
        <w:numPr>
          <w:ilvl w:val="1"/>
          <w:numId w:val="692"/>
        </w:numPr>
        <w:rPr>
          <w:rFonts w:ascii="Arial" w:cs="Arial" w:eastAsia="Arial" w:hAnsi="Arial"/>
          <w:sz w:val="21"/>
          <w:szCs w:val="21"/>
          <w:color w:val="auto"/>
        </w:rPr>
      </w:pPr>
      <w:r>
        <w:rPr>
          <w:rFonts w:ascii="Arial" w:cs="Arial" w:eastAsia="Arial" w:hAnsi="Arial"/>
          <w:sz w:val="21"/>
          <w:szCs w:val="21"/>
          <w:color w:val="auto"/>
        </w:rPr>
        <w:t>Subject to adjustment upon changes in capitalization of the Company as provided in Section 19 hereof, the maximum number of shares of Class A Common Stock that will be made available for sale under the Plan will be the sum of (i) [●]</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shares of Class A Common Stock and (ii) an annual increase on the first day of each calendar year beginning with (and including) January 1, 2022 and ending with (and including) January 1, 2031, in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14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0" w:lineRule="exact"/>
        <w:rPr>
          <w:sz w:val="20"/>
          <w:szCs w:val="20"/>
          <w:color w:val="auto"/>
        </w:rPr>
      </w:pPr>
    </w:p>
    <w:p>
      <w:pPr>
        <w:ind w:firstLine="656"/>
        <w:spacing w:after="0" w:line="260" w:lineRule="auto"/>
        <w:tabs>
          <w:tab w:leader="none" w:pos="751" w:val="left"/>
        </w:tabs>
        <w:numPr>
          <w:ilvl w:val="1"/>
          <w:numId w:val="693"/>
        </w:numPr>
        <w:rPr>
          <w:rFonts w:ascii="Arial" w:cs="Arial" w:eastAsia="Arial" w:hAnsi="Arial"/>
          <w:sz w:val="21"/>
          <w:szCs w:val="21"/>
          <w:color w:val="auto"/>
          <w:vertAlign w:val="superscript"/>
        </w:rPr>
      </w:pPr>
      <w:r>
        <w:rPr>
          <w:rFonts w:ascii="Arial" w:cs="Arial" w:eastAsia="Arial" w:hAnsi="Arial"/>
          <w:sz w:val="16"/>
          <w:szCs w:val="16"/>
          <w:color w:val="auto"/>
        </w:rPr>
        <w:t>This blank shall be completed with the number that is equal to two percent (2%) of the outstanding shares of all classes of Common Stock on the Registration Date (after giving effect to (i) the issuance of shares of Class A Common Stock in the Company’s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(ii) the automatic conversion, immediately prior to the IPO, of all of the Company’s outstanding redeemable preferred stock into shares of Class A Common Stock,</w:t>
      </w:r>
    </w:p>
    <w:p>
      <w:pPr>
        <w:spacing w:after="0" w:line="2" w:lineRule="exact"/>
        <w:rPr>
          <w:rFonts w:ascii="Arial" w:cs="Arial" w:eastAsia="Arial" w:hAnsi="Arial"/>
          <w:sz w:val="21"/>
          <w:szCs w:val="21"/>
          <w:color w:val="auto"/>
          <w:vertAlign w:val="superscript"/>
        </w:rPr>
      </w:pPr>
    </w:p>
    <w:p>
      <w:pPr>
        <w:ind w:right="180" w:firstLine="8"/>
        <w:spacing w:after="0" w:line="271" w:lineRule="auto"/>
        <w:tabs>
          <w:tab w:leader="none" w:pos="315" w:val="left"/>
        </w:tabs>
        <w:numPr>
          <w:ilvl w:val="0"/>
          <w:numId w:val="693"/>
        </w:numPr>
        <w:rPr>
          <w:rFonts w:ascii="Arial" w:cs="Arial" w:eastAsia="Arial" w:hAnsi="Arial"/>
          <w:sz w:val="17"/>
          <w:szCs w:val="17"/>
          <w:color w:val="auto"/>
        </w:rPr>
      </w:pPr>
      <w:r>
        <w:rPr>
          <w:rFonts w:ascii="Arial" w:cs="Arial" w:eastAsia="Arial" w:hAnsi="Arial"/>
          <w:sz w:val="17"/>
          <w:szCs w:val="17"/>
          <w:color w:val="auto"/>
        </w:rPr>
        <w:t>the automatic conversion, upon the IPO, of all of the Company’s outstanding Tranche I convertible notes and Tranche II convertible notes into shares of Class A Common Stock and (iv) the vesting and net settlement, upon the IPO, of restricted stock units into shares of Class A Common Stock with respect to restricted stock units that were granted by the Company prior to the IPO and for which the service-based and liquidity-based conditions were satisfied in connection with the IPO). When such amount becomes determinable, the Company’s Secretary is authorized to insert the numeral so determined into the text accompanying this footnote, and to delete this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829" w:name="page830"/>
    <w:bookmarkEnd w:id="829"/>
    <w:p>
      <w:pPr>
        <w:ind w:right="340"/>
        <w:spacing w:after="0" w:line="271" w:lineRule="auto"/>
        <w:rPr>
          <w:sz w:val="20"/>
          <w:szCs w:val="20"/>
          <w:color w:val="auto"/>
        </w:rPr>
      </w:pPr>
      <w:r>
        <w:rPr>
          <w:rFonts w:ascii="Arial" w:cs="Arial" w:eastAsia="Arial" w:hAnsi="Arial"/>
          <w:sz w:val="21"/>
          <w:szCs w:val="21"/>
          <w:color w:val="auto"/>
        </w:rPr>
        <w:t xml:space="preserve">equal to the lesser of (x) one percent (1%) of the outstanding shares of all classes of Common Stock on the last day of the immediately preceding calendar year and (y) an amount determined by the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more than 200,000,000 shares of Class A Common Stock be issued under the Plan.</w:t>
      </w:r>
    </w:p>
    <w:p>
      <w:pPr>
        <w:spacing w:after="0" w:line="167" w:lineRule="exact"/>
        <w:rPr>
          <w:sz w:val="20"/>
          <w:szCs w:val="20"/>
          <w:color w:val="auto"/>
        </w:rPr>
      </w:pPr>
    </w:p>
    <w:p>
      <w:pPr>
        <w:ind w:right="20" w:firstLine="1304"/>
        <w:spacing w:after="0" w:line="287" w:lineRule="auto"/>
        <w:tabs>
          <w:tab w:leader="none" w:pos="1939" w:val="left"/>
        </w:tabs>
        <w:numPr>
          <w:ilvl w:val="2"/>
          <w:numId w:val="694"/>
        </w:numPr>
        <w:rPr>
          <w:rFonts w:ascii="Arial" w:cs="Arial" w:eastAsia="Arial" w:hAnsi="Arial"/>
          <w:sz w:val="21"/>
          <w:szCs w:val="21"/>
          <w:color w:val="auto"/>
        </w:rPr>
      </w:pPr>
      <w:r>
        <w:rPr>
          <w:rFonts w:ascii="Arial" w:cs="Arial" w:eastAsia="Arial" w:hAnsi="Arial"/>
          <w:sz w:val="21"/>
          <w:szCs w:val="21"/>
          <w:color w:val="auto"/>
        </w:rPr>
        <w:t>If any option granted under the Plan terminates without having been exercised in full, the shares of Class A Common Stock not purchased under such option will remain available for issuance under the Plan.</w:t>
      </w:r>
    </w:p>
    <w:p>
      <w:pPr>
        <w:spacing w:after="0" w:line="151" w:lineRule="exact"/>
        <w:rPr>
          <w:rFonts w:ascii="Arial" w:cs="Arial" w:eastAsia="Arial" w:hAnsi="Arial"/>
          <w:sz w:val="21"/>
          <w:szCs w:val="21"/>
          <w:color w:val="auto"/>
        </w:rPr>
      </w:pPr>
    </w:p>
    <w:p>
      <w:pPr>
        <w:ind w:right="40" w:firstLine="1304"/>
        <w:spacing w:after="0" w:line="265" w:lineRule="auto"/>
        <w:tabs>
          <w:tab w:leader="none" w:pos="1941" w:val="left"/>
        </w:tabs>
        <w:numPr>
          <w:ilvl w:val="2"/>
          <w:numId w:val="694"/>
        </w:numPr>
        <w:rPr>
          <w:rFonts w:ascii="Arial" w:cs="Arial" w:eastAsia="Arial" w:hAnsi="Arial"/>
          <w:sz w:val="21"/>
          <w:szCs w:val="21"/>
          <w:color w:val="auto"/>
        </w:rPr>
      </w:pPr>
      <w:r>
        <w:rPr>
          <w:rFonts w:ascii="Arial" w:cs="Arial" w:eastAsia="Arial" w:hAnsi="Arial"/>
          <w:sz w:val="21"/>
          <w:szCs w:val="21"/>
          <w:color w:val="auto"/>
        </w:rPr>
        <w:t>Until shares of Class A Common Stock are issued under the Plan (as evidenced by the appropriate entry on the books of the Company or of a duly authorized transfer agent of the Company), a Participant will have only the rights of an unsecured creditor with respect to such shares of Class A Common Stock, and no right to vote or receive dividends or any other rights as a stockholder will exist with respect to such shares of Class A Common Stock.</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1"/>
          <w:numId w:val="695"/>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4"/>
        <w:spacing w:after="0" w:line="263" w:lineRule="auto"/>
        <w:tabs>
          <w:tab w:leader="none" w:pos="1941" w:val="left"/>
        </w:tabs>
        <w:numPr>
          <w:ilvl w:val="2"/>
          <w:numId w:val="695"/>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Any Eligible Employee on a given Offering Start Date for an Offering Period will be eligible to participate in the Plan during such Offering Period, subject to the requirements of Section 6 hereof.</w:t>
      </w:r>
    </w:p>
    <w:p>
      <w:pPr>
        <w:spacing w:after="0" w:line="174" w:lineRule="exact"/>
        <w:rPr>
          <w:rFonts w:ascii="Arial" w:cs="Arial" w:eastAsia="Arial" w:hAnsi="Arial"/>
          <w:sz w:val="22"/>
          <w:szCs w:val="22"/>
          <w:color w:val="auto"/>
        </w:rPr>
      </w:pPr>
    </w:p>
    <w:p>
      <w:pPr>
        <w:ind w:right="40" w:firstLine="1304"/>
        <w:spacing w:after="0" w:line="285" w:lineRule="auto"/>
        <w:tabs>
          <w:tab w:leader="none" w:pos="1939" w:val="left"/>
        </w:tabs>
        <w:numPr>
          <w:ilvl w:val="2"/>
          <w:numId w:val="695"/>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Notwithstanding any provisions of the Plan to the contrary, no Eligible Employee will be granted an option under the 423 Component of the Plan (i) to the extent that, immediately after the grant, such Eligible Employee (or any other person whose stock would be attributed to such Eligible Employee pursuant to Section 424(d) of the Code) would own capital stock of the Company or any Affiliate and/or hold outstanding options to purchase such stock possessing five percent (5%) or more of the total combined voting power or value of all classes of the capital stock of the Company or any Affiliate or</w:t>
      </w:r>
    </w:p>
    <w:p>
      <w:pPr>
        <w:spacing w:after="0" w:line="3" w:lineRule="exact"/>
        <w:rPr>
          <w:rFonts w:ascii="Arial" w:cs="Arial" w:eastAsia="Arial" w:hAnsi="Arial"/>
          <w:sz w:val="19"/>
          <w:szCs w:val="19"/>
          <w:color w:val="auto"/>
        </w:rPr>
      </w:pPr>
    </w:p>
    <w:p>
      <w:pPr>
        <w:ind w:right="80" w:firstLine="8"/>
        <w:spacing w:after="0" w:line="295" w:lineRule="auto"/>
        <w:tabs>
          <w:tab w:leader="none" w:pos="318" w:val="left"/>
        </w:tabs>
        <w:numPr>
          <w:ilvl w:val="0"/>
          <w:numId w:val="696"/>
        </w:numPr>
        <w:rPr>
          <w:rFonts w:ascii="Arial" w:cs="Arial" w:eastAsia="Arial" w:hAnsi="Arial"/>
          <w:sz w:val="19"/>
          <w:szCs w:val="19"/>
          <w:color w:val="auto"/>
        </w:rPr>
      </w:pPr>
      <w:r>
        <w:rPr>
          <w:rFonts w:ascii="Arial" w:cs="Arial" w:eastAsia="Arial" w:hAnsi="Arial"/>
          <w:sz w:val="19"/>
          <w:szCs w:val="19"/>
          <w:color w:val="auto"/>
        </w:rPr>
        <w:t>to the extent that his or her rights to purchase stock under all employee stock purchase plans (as defined in Section 423 of the Code) of the Company or any Affiliate accrues at a rate which exceeds $25,000 worth of stock (determined at the Fair Market Value of the stock at the time such option is granted) for each calendar year in which such option is outstanding at any time, as determined in accordance with Section 423 of the Code and the Treasury Regulations thereunder.</w:t>
      </w:r>
    </w:p>
    <w:p>
      <w:pPr>
        <w:spacing w:after="0" w:line="149" w:lineRule="exact"/>
        <w:rPr>
          <w:rFonts w:ascii="Arial" w:cs="Arial" w:eastAsia="Arial" w:hAnsi="Arial"/>
          <w:sz w:val="19"/>
          <w:szCs w:val="19"/>
          <w:color w:val="auto"/>
        </w:rPr>
      </w:pPr>
    </w:p>
    <w:p>
      <w:pPr>
        <w:ind w:right="80" w:firstLine="656"/>
        <w:spacing w:after="0" w:line="247" w:lineRule="auto"/>
        <w:tabs>
          <w:tab w:leader="none" w:pos="1296" w:val="left"/>
        </w:tabs>
        <w:numPr>
          <w:ilvl w:val="1"/>
          <w:numId w:val="696"/>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(a) The Plan will be implemented by one or more Offering Periods. Offerings may be consecutive or overlapping as determined by the Administrator. The first Offering Period under the Plan will commence on the Registration Date. The duration and timing of Offering Periods may be changed pursuant to this Section 5 and Section 20 hereof. The Administrator will have the power to establish the duration of the first Offering Period and change the duration of Offering Periods (including the commencement dates thereof) with respect to future Offerings. No Offering Period may be more than 27 months in duration.</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39" w:val="left"/>
        </w:tabs>
        <w:numPr>
          <w:ilvl w:val="2"/>
          <w:numId w:val="696"/>
        </w:numPr>
        <w:rPr>
          <w:rFonts w:ascii="Arial" w:cs="Arial" w:eastAsia="Arial" w:hAnsi="Arial"/>
          <w:sz w:val="22"/>
          <w:szCs w:val="22"/>
          <w:color w:val="auto"/>
        </w:rPr>
      </w:pPr>
      <w:r>
        <w:rPr>
          <w:rFonts w:ascii="Arial" w:cs="Arial" w:eastAsia="Arial" w:hAnsi="Arial"/>
          <w:sz w:val="22"/>
          <w:szCs w:val="22"/>
          <w:color w:val="auto"/>
        </w:rPr>
        <w:t>To the extent permitted by Applicable Laws, if the Fair Market Value on any Purchase Date in an Offering Period is lower than the Fair Market Value on the Offering Start Date of such Offering Period, then such Offering Period automatically will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830" w:name="page831"/>
    <w:bookmarkEnd w:id="830"/>
    <w:p>
      <w:pPr>
        <w:spacing w:after="0" w:line="343" w:lineRule="auto"/>
        <w:rPr>
          <w:sz w:val="20"/>
          <w:szCs w:val="20"/>
          <w:color w:val="auto"/>
        </w:rPr>
      </w:pPr>
      <w:r>
        <w:rPr>
          <w:rFonts w:ascii="Arial" w:cs="Arial" w:eastAsia="Arial" w:hAnsi="Arial"/>
          <w:sz w:val="19"/>
          <w:szCs w:val="19"/>
          <w:color w:val="auto"/>
        </w:rPr>
        <w:t>on such Purchase Date immediately after the exercise of all options outstanding as of such Purchase Date, and all Participants in such Offering Period automatically will be re-enrolled in the immediately following Offering Period as of the first day thereof.</w:t>
      </w:r>
    </w:p>
    <w:p>
      <w:pPr>
        <w:spacing w:after="0" w:line="104" w:lineRule="exact"/>
        <w:rPr>
          <w:sz w:val="20"/>
          <w:szCs w:val="20"/>
          <w:color w:val="auto"/>
        </w:rPr>
      </w:pPr>
    </w:p>
    <w:p>
      <w:pPr>
        <w:ind w:right="160" w:firstLine="656"/>
        <w:spacing w:after="0" w:line="261" w:lineRule="auto"/>
        <w:tabs>
          <w:tab w:leader="none" w:pos="1296" w:val="left"/>
        </w:tabs>
        <w:numPr>
          <w:ilvl w:val="0"/>
          <w:numId w:val="697"/>
        </w:numPr>
        <w:rPr>
          <w:rFonts w:ascii="Arial" w:cs="Arial" w:eastAsia="Arial" w:hAnsi="Arial"/>
          <w:sz w:val="21"/>
          <w:szCs w:val="21"/>
          <w:color w:val="auto"/>
        </w:rPr>
      </w:pPr>
      <w:r>
        <w:rPr>
          <w:rFonts w:ascii="Arial" w:cs="Arial" w:eastAsia="Arial" w:hAnsi="Arial"/>
          <w:sz w:val="21"/>
          <w:szCs w:val="21"/>
          <w:u w:val="single" w:color="auto"/>
          <w:color w:val="auto"/>
        </w:rPr>
        <w:t>Participation</w:t>
      </w:r>
      <w:r>
        <w:rPr>
          <w:rFonts w:ascii="Arial" w:cs="Arial" w:eastAsia="Arial" w:hAnsi="Arial"/>
          <w:sz w:val="21"/>
          <w:szCs w:val="21"/>
          <w:color w:val="auto"/>
        </w:rPr>
        <w:t>. An Eligible Employee may participate in the Plan pursuant to Section 4 hereof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(i) the applicable Offering Start Date as determined by the Administrator, in its sole discretion, or (ii) with respect to the first Offering Period, no later than 30 days following the Offering Start Date.</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697"/>
        </w:numPr>
        <w:rPr>
          <w:rFonts w:ascii="Arial" w:cs="Arial" w:eastAsia="Arial" w:hAnsi="Arial"/>
          <w:sz w:val="22"/>
          <w:szCs w:val="22"/>
          <w:color w:val="auto"/>
        </w:rPr>
      </w:pPr>
      <w:r>
        <w:rPr>
          <w:rFonts w:ascii="Arial" w:cs="Arial" w:eastAsia="Arial" w:hAnsi="Arial"/>
          <w:sz w:val="22"/>
          <w:szCs w:val="22"/>
          <w:u w:val="single" w:color="auto"/>
          <w:color w:val="auto"/>
        </w:rPr>
        <w:t>Contributions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4"/>
        <w:spacing w:after="0" w:line="259" w:lineRule="auto"/>
        <w:tabs>
          <w:tab w:leader="none" w:pos="1941" w:val="left"/>
        </w:tabs>
        <w:numPr>
          <w:ilvl w:val="1"/>
          <w:numId w:val="697"/>
        </w:numPr>
        <w:rPr>
          <w:rFonts w:ascii="Arial" w:cs="Arial" w:eastAsia="Arial" w:hAnsi="Arial"/>
          <w:sz w:val="21"/>
          <w:szCs w:val="21"/>
          <w:color w:val="auto"/>
        </w:rPr>
      </w:pPr>
      <w:r>
        <w:rPr>
          <w:rFonts w:ascii="Arial" w:cs="Arial" w:eastAsia="Arial" w:hAnsi="Arial"/>
          <w:sz w:val="21"/>
          <w:szCs w:val="21"/>
          <w:color w:val="auto"/>
        </w:rPr>
        <w:t>At the time a Participant enrolls in the Plan pursuant to Section 6 hereof, he or she will elect to have Contributions (in the form of payroll deductions or otherwise, to the extent permitted by the Administrator) made on each eligible pay day during the Offering Period in an amount not exceeding fifteen percent (15%) (or such lower limit as may be set by the Administrator from time to time) of the Compensation that he or she receives on the pay day. The Administrator, in its sole discretion, may permit all Participants in a specified Offering to contribute amounts to the Plan through payment by cash, check or other means set forth in the subscription agreement or otherwise made available by the Administrator prior to each Purchase Date of each Purchase Period. A Participant’s subscription agreement will remain in effect for successive Offering Periods unless terminated as provided in Section 11 hereof.</w:t>
      </w:r>
    </w:p>
    <w:p>
      <w:pPr>
        <w:spacing w:after="0" w:line="183" w:lineRule="exact"/>
        <w:rPr>
          <w:rFonts w:ascii="Arial" w:cs="Arial" w:eastAsia="Arial" w:hAnsi="Arial"/>
          <w:sz w:val="21"/>
          <w:szCs w:val="21"/>
          <w:color w:val="auto"/>
        </w:rPr>
      </w:pPr>
    </w:p>
    <w:p>
      <w:pPr>
        <w:ind w:right="60" w:firstLine="1304"/>
        <w:spacing w:after="0" w:line="290" w:lineRule="auto"/>
        <w:tabs>
          <w:tab w:leader="none" w:pos="1939" w:val="left"/>
        </w:tabs>
        <w:numPr>
          <w:ilvl w:val="1"/>
          <w:numId w:val="697"/>
        </w:numPr>
        <w:rPr>
          <w:rFonts w:ascii="Arial" w:cs="Arial" w:eastAsia="Arial" w:hAnsi="Arial"/>
          <w:sz w:val="19"/>
          <w:szCs w:val="19"/>
          <w:color w:val="auto"/>
        </w:rPr>
      </w:pPr>
      <w:r>
        <w:rPr>
          <w:rFonts w:ascii="Arial" w:cs="Arial" w:eastAsia="Arial" w:hAnsi="Arial"/>
          <w:sz w:val="19"/>
          <w:szCs w:val="19"/>
          <w:color w:val="auto"/>
        </w:rPr>
        <w:t xml:space="preserve">In the event Contributions are made in the form of payroll deductions, such payroll deductions for a Participant will commence on the first eligible pay day following the Offering Start Date and will end on the last eligible pay day on or prior to the last Purchase Date of such Offering Period to which such authorization is applicable, unless sooner terminated by the Participant as provided in Section 11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the first Offering Period, payroll deductions will not commence until such date determined by the Administrator, in its sole discretion. Notwithstanding the foregoing, for administrative convenience, the Administrator (by announcement prior to the first affected Offering Period) may determine that contributions with respect to an eligible pay day occurring on a Purchase Date (or during a period of up to five business days prior to a Purchase Date) shall be applied instead to the subsequent Purchase Period or Offering Period.</w:t>
      </w:r>
    </w:p>
    <w:p>
      <w:pPr>
        <w:spacing w:after="0" w:line="155" w:lineRule="exact"/>
        <w:rPr>
          <w:rFonts w:ascii="Arial" w:cs="Arial" w:eastAsia="Arial" w:hAnsi="Arial"/>
          <w:sz w:val="19"/>
          <w:szCs w:val="19"/>
          <w:color w:val="auto"/>
        </w:rPr>
      </w:pPr>
    </w:p>
    <w:p>
      <w:pPr>
        <w:ind w:right="360" w:firstLine="1304"/>
        <w:spacing w:after="0" w:line="253" w:lineRule="auto"/>
        <w:tabs>
          <w:tab w:leader="none" w:pos="1941" w:val="left"/>
        </w:tabs>
        <w:numPr>
          <w:ilvl w:val="1"/>
          <w:numId w:val="697"/>
        </w:numPr>
        <w:rPr>
          <w:rFonts w:ascii="Arial" w:cs="Arial" w:eastAsia="Arial" w:hAnsi="Arial"/>
          <w:sz w:val="22"/>
          <w:szCs w:val="22"/>
          <w:color w:val="auto"/>
        </w:rPr>
      </w:pPr>
      <w:r>
        <w:rPr>
          <w:rFonts w:ascii="Arial" w:cs="Arial" w:eastAsia="Arial" w:hAnsi="Arial"/>
          <w:sz w:val="22"/>
          <w:szCs w:val="22"/>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85" w:lineRule="exact"/>
        <w:rPr>
          <w:rFonts w:ascii="Arial" w:cs="Arial" w:eastAsia="Arial" w:hAnsi="Arial"/>
          <w:sz w:val="22"/>
          <w:szCs w:val="22"/>
          <w:color w:val="auto"/>
        </w:rPr>
      </w:pPr>
    </w:p>
    <w:p>
      <w:pPr>
        <w:ind w:right="100" w:firstLine="1304"/>
        <w:spacing w:after="0" w:line="312" w:lineRule="auto"/>
        <w:tabs>
          <w:tab w:leader="none" w:pos="1939" w:val="left"/>
        </w:tabs>
        <w:numPr>
          <w:ilvl w:val="1"/>
          <w:numId w:val="697"/>
        </w:numPr>
        <w:rPr>
          <w:rFonts w:ascii="Arial" w:cs="Arial" w:eastAsia="Arial" w:hAnsi="Arial"/>
          <w:sz w:val="19"/>
          <w:szCs w:val="19"/>
          <w:color w:val="auto"/>
        </w:rPr>
      </w:pPr>
      <w:r>
        <w:rPr>
          <w:rFonts w:ascii="Arial" w:cs="Arial" w:eastAsia="Arial" w:hAnsi="Arial"/>
          <w:sz w:val="19"/>
          <w:szCs w:val="19"/>
          <w:color w:val="auto"/>
        </w:rPr>
        <w:t>A Participant may discontinue his or her participation in the Plan as provided under Section 11 hereof. Unless otherwise determined by the Administrator, during a Purchase Period, a Participant may not increase the rate of his or her Contributions and may only decrease the rate of his or her Contributions one time. Any such decrease during a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831" w:name="page832"/>
    <w:bookmarkEnd w:id="831"/>
    <w:p>
      <w:pPr>
        <w:spacing w:after="0" w:line="257" w:lineRule="auto"/>
        <w:rPr>
          <w:sz w:val="20"/>
          <w:szCs w:val="20"/>
          <w:color w:val="auto"/>
        </w:rPr>
      </w:pPr>
      <w:r>
        <w:rPr>
          <w:rFonts w:ascii="Arial" w:cs="Arial" w:eastAsia="Arial" w:hAnsi="Arial"/>
          <w:sz w:val="21"/>
          <w:szCs w:val="21"/>
          <w:color w:val="auto"/>
        </w:rPr>
        <w:t>Period requires the Participant (i) properly complete and submit to the Company’s stock administration office (or its designee) a new subscription agreement authorizing the change in Contribution rate in the form provided by the Administrator for such purpose or (ii) follow an electronic or other procedure prescribed by the Administrator, in either case on or before a date determined by the Administrator prior to an applicable Purchase Date.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 11 or 12 hereof). The Administrator may, in its sole discretion, amend the nature and/or number of Contribution rate changes that may be made by Participants during any Offering Period or Purchase Period and may establish other conditions, limitations or procedures as it deems appropriate for Plan administration. Any change in the rate of Contributions made pursuant to this Section 7(d) will be effective as of the first full payroll period following five business days after the date on which the change is made by the Participant (unless the Administrator, in its sole discretion, elects to process a given change in payroll deduction rate more quickly).</w:t>
      </w:r>
    </w:p>
    <w:p>
      <w:pPr>
        <w:spacing w:after="0" w:line="191" w:lineRule="exact"/>
        <w:rPr>
          <w:sz w:val="20"/>
          <w:szCs w:val="20"/>
          <w:color w:val="auto"/>
        </w:rPr>
      </w:pPr>
    </w:p>
    <w:p>
      <w:pPr>
        <w:ind w:right="40" w:firstLine="1304"/>
        <w:spacing w:after="0" w:line="263" w:lineRule="auto"/>
        <w:tabs>
          <w:tab w:leader="none" w:pos="1941" w:val="left"/>
        </w:tabs>
        <w:numPr>
          <w:ilvl w:val="0"/>
          <w:numId w:val="698"/>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4(b) hereof, a Participant’s Contributions may be decreased to zero percent (0%) at any time during a Purchase Period. Subject to Section 423(b)(8) of the Code and Section 4(b) hereof, Contributions will recommence at the rate originally elected by the Participant effective as of the beginning of the first Purchase Period scheduled to end in the following calendar year, unless terminated by the Participant as provided in Section 11 hereof.</w:t>
      </w:r>
    </w:p>
    <w:p>
      <w:pPr>
        <w:spacing w:after="0" w:line="175" w:lineRule="exact"/>
        <w:rPr>
          <w:rFonts w:ascii="Arial" w:cs="Arial" w:eastAsia="Arial" w:hAnsi="Arial"/>
          <w:sz w:val="21"/>
          <w:szCs w:val="21"/>
          <w:color w:val="auto"/>
        </w:rPr>
      </w:pPr>
    </w:p>
    <w:p>
      <w:pPr>
        <w:ind w:right="340" w:firstLine="1304"/>
        <w:spacing w:after="0" w:line="248" w:lineRule="auto"/>
        <w:tabs>
          <w:tab w:leader="none" w:pos="1944" w:val="left"/>
        </w:tabs>
        <w:numPr>
          <w:ilvl w:val="0"/>
          <w:numId w:val="698"/>
        </w:numPr>
        <w:rPr>
          <w:rFonts w:ascii="Arial" w:cs="Arial" w:eastAsia="Arial" w:hAnsi="Arial"/>
          <w:sz w:val="22"/>
          <w:szCs w:val="22"/>
          <w:color w:val="auto"/>
        </w:rPr>
      </w:pPr>
      <w:r>
        <w:rPr>
          <w:rFonts w:ascii="Arial" w:cs="Arial" w:eastAsia="Arial" w:hAnsi="Arial"/>
          <w:sz w:val="22"/>
          <w:szCs w:val="22"/>
          <w:color w:val="auto"/>
        </w:rPr>
        <w:t>Notwithstanding any provisions to the contrary in the Plan, the Administrator may allow Participants to participate in the Plan via cash contributions instead of payroll deductions if (i) payroll deductions are not permitted (or the remittance of payroll deductions by a Designated Company to the Company is not feasible) under Applicable Laws, (ii) the Administrator determines that cash contributions are permissible under Section 423 of the Code or (iii) the Participants are participating in the Non-423 Component.</w:t>
      </w:r>
    </w:p>
    <w:p>
      <w:pPr>
        <w:spacing w:after="0" w:line="191" w:lineRule="exact"/>
        <w:rPr>
          <w:rFonts w:ascii="Arial" w:cs="Arial" w:eastAsia="Arial" w:hAnsi="Arial"/>
          <w:sz w:val="22"/>
          <w:szCs w:val="22"/>
          <w:color w:val="auto"/>
        </w:rPr>
      </w:pPr>
    </w:p>
    <w:p>
      <w:pPr>
        <w:ind w:right="60" w:firstLine="1304"/>
        <w:spacing w:after="0" w:line="288" w:lineRule="auto"/>
        <w:tabs>
          <w:tab w:leader="none" w:pos="1939" w:val="left"/>
        </w:tabs>
        <w:numPr>
          <w:ilvl w:val="0"/>
          <w:numId w:val="698"/>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or at the time some or all of the Class A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Class A Common Stock (or any other time that a taxable event related to the Plan occurs). At any time, the Company or the Employer may, but will not be obligated to, withhold from the Participant’s compensation the amount necessary for the Company or the Employer to satisfy applicable withholding obligations, including any withholding required to make available to the Company or the Employer any tax deductions or benefits attributable to sale or early disposition of Class A Common Stock by the Eligible Employee. In addition, the Company or the Employer may, but will not be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832" w:name="page833"/>
    <w:bookmarkEnd w:id="832"/>
    <w:p>
      <w:pPr>
        <w:ind w:right="540"/>
        <w:spacing w:after="0" w:line="343" w:lineRule="auto"/>
        <w:rPr>
          <w:sz w:val="20"/>
          <w:szCs w:val="20"/>
          <w:color w:val="auto"/>
        </w:rPr>
      </w:pPr>
      <w:r>
        <w:rPr>
          <w:rFonts w:ascii="Arial" w:cs="Arial" w:eastAsia="Arial" w:hAnsi="Arial"/>
          <w:sz w:val="19"/>
          <w:szCs w:val="19"/>
          <w:color w:val="auto"/>
        </w:rPr>
        <w:t>withhold from the proceeds of the sale of Class A Common Stock or utilize any other method of withholding the Company deems appropriate (such as requiring a market sale of shares of Class A Common Stock received under the Plan).</w:t>
      </w:r>
    </w:p>
    <w:p>
      <w:pPr>
        <w:spacing w:after="0" w:line="104" w:lineRule="exact"/>
        <w:rPr>
          <w:sz w:val="20"/>
          <w:szCs w:val="20"/>
          <w:color w:val="auto"/>
        </w:rPr>
      </w:pPr>
    </w:p>
    <w:p>
      <w:pPr>
        <w:ind w:firstLine="656"/>
        <w:spacing w:after="0" w:line="288" w:lineRule="auto"/>
        <w:tabs>
          <w:tab w:leader="none" w:pos="1296" w:val="left"/>
        </w:tabs>
        <w:numPr>
          <w:ilvl w:val="0"/>
          <w:numId w:val="699"/>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xml:space="preserve">. On the Offering Start Date of each Offering Period, each Eligible Employee participating in such Offering Period will be granted an option to purchase on each Purchase Date during such Offering Period (at the applicable Purchase Price) up to a number of shares of Class A Common Stock determined by dividing such Eligible Employee’s Contributions accumulated prior to such Purchase Date and retained in the Eligible Employee’s account as of the Purchase Date by the applicable Purchase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will an Eligible Employee be permitted to purchase during each Purchase Period more than a number of shares determined by the Administrator prior to the applicable Offering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purchase will be subject to the limitations set forth in Sections 3 and 4(b) hereof. The Eligible Employee may accept the grant of such option by electing to participate in the Plan in accordance with the requirements of Section 6 hereof. Exercise of the option will occur as provided in Section 9 hereof, unless the Participant has withdrawn pursuant to Section 11 hereof. The option will expire on the last day of the Offering Period.</w:t>
      </w:r>
    </w:p>
    <w:p>
      <w:pPr>
        <w:spacing w:after="0" w:line="159" w:lineRule="exact"/>
        <w:rPr>
          <w:rFonts w:ascii="Arial" w:cs="Arial" w:eastAsia="Arial" w:hAnsi="Arial"/>
          <w:sz w:val="19"/>
          <w:szCs w:val="19"/>
          <w:color w:val="auto"/>
        </w:rPr>
      </w:pPr>
    </w:p>
    <w:p>
      <w:pPr>
        <w:ind w:left="1300" w:hanging="644"/>
        <w:spacing w:after="0"/>
        <w:tabs>
          <w:tab w:leader="none" w:pos="1300" w:val="left"/>
        </w:tabs>
        <w:numPr>
          <w:ilvl w:val="0"/>
          <w:numId w:val="699"/>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1304"/>
        <w:spacing w:after="0" w:line="288" w:lineRule="auto"/>
        <w:tabs>
          <w:tab w:leader="none" w:pos="1941" w:val="left"/>
        </w:tabs>
        <w:numPr>
          <w:ilvl w:val="1"/>
          <w:numId w:val="699"/>
        </w:numPr>
        <w:rPr>
          <w:rFonts w:ascii="Arial" w:cs="Arial" w:eastAsia="Arial" w:hAnsi="Arial"/>
          <w:sz w:val="19"/>
          <w:szCs w:val="19"/>
          <w:color w:val="auto"/>
        </w:rPr>
      </w:pPr>
      <w:r>
        <w:rPr>
          <w:rFonts w:ascii="Arial" w:cs="Arial" w:eastAsia="Arial" w:hAnsi="Arial"/>
          <w:sz w:val="19"/>
          <w:szCs w:val="19"/>
          <w:color w:val="auto"/>
        </w:rPr>
        <w:t>Unless a Participant withdraws from the Plan as provided in Section 11 hereof, his or her option for the purchase of shares of Class A Common Stock will be exercised automatically on each Purchase Date, and the maximum number of full shares subject to the option will be purchased for such Participant at the applicable Purchase Price with the accumulated Contributions from his or her account. No fractional shares of Class A Common Stock will be purchased, unless otherwise determined by the Administrator. Any Contributions accumulated in a Participant’s account at the end of an Offering Period, which were not sufficient to purchase a full share (or which were not applied to the purchase of shares due to the limitations of Sections 3, 4(b) or 8 or other applicable limitations under the Plan) will either, as the Administrator shall determine (i) be refunded to the Participant promptly following the end of such Offering Period, or (ii) be retained in the Participant’s account for the subsequent Purchase Period or Offering Period, subject to earlier withdrawal by the Participant as provided in Section 11 hereof. During a Participant’s lifetime, a Participant’s option to purchase shares hereunder is exercisable only by him or her.</w:t>
      </w:r>
    </w:p>
    <w:p>
      <w:pPr>
        <w:spacing w:after="0" w:line="159" w:lineRule="exact"/>
        <w:rPr>
          <w:rFonts w:ascii="Arial" w:cs="Arial" w:eastAsia="Arial" w:hAnsi="Arial"/>
          <w:sz w:val="19"/>
          <w:szCs w:val="19"/>
          <w:color w:val="auto"/>
        </w:rPr>
      </w:pPr>
    </w:p>
    <w:p>
      <w:pPr>
        <w:ind w:firstLine="1304"/>
        <w:spacing w:after="0" w:line="290" w:lineRule="auto"/>
        <w:tabs>
          <w:tab w:leader="none" w:pos="1939" w:val="left"/>
        </w:tabs>
        <w:numPr>
          <w:ilvl w:val="1"/>
          <w:numId w:val="699"/>
        </w:numPr>
        <w:rPr>
          <w:rFonts w:ascii="Arial" w:cs="Arial" w:eastAsia="Arial" w:hAnsi="Arial"/>
          <w:sz w:val="19"/>
          <w:szCs w:val="19"/>
          <w:color w:val="auto"/>
        </w:rPr>
      </w:pPr>
      <w:r>
        <w:rPr>
          <w:rFonts w:ascii="Arial" w:cs="Arial" w:eastAsia="Arial" w:hAnsi="Arial"/>
          <w:sz w:val="19"/>
          <w:szCs w:val="19"/>
          <w:color w:val="auto"/>
        </w:rPr>
        <w:t>If the Administrator determines that, on a given Purchase Date, the number of shares of Class A Common Stock with respect to which options are to be exercised may exceed (i) the number of shares of Class A Common Stock that were available for sale under the Plan on the Offering Start Date of the applicable Offering Period or (ii) the number of shares of Class A Common Stock available for sale under the Plan on such Purchase Date, the Administrator may, in its sole discretion, (x) provide that the Company will make a pro rata allocation of the shares of Class A Common Stock available for purchase on such Offering Start Date or Purchase Date, as applicable, in as uniform a manner as will be practicable and as it will determine in its sole discretion to be equitable among all Participants exercising options to purchase Class A Common Stock on such Purchase Date, and continue all Offering Periods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8" w:right="399" w:bottom="1440" w:gutter="0" w:footer="0" w:header="0"/>
        </w:sectPr>
      </w:pPr>
    </w:p>
    <w:bookmarkStart w:id="833" w:name="page834"/>
    <w:bookmarkEnd w:id="833"/>
    <w:p>
      <w:pPr>
        <w:ind w:right="80"/>
        <w:spacing w:after="0" w:line="260" w:lineRule="auto"/>
        <w:rPr>
          <w:sz w:val="20"/>
          <w:szCs w:val="20"/>
          <w:color w:val="auto"/>
        </w:rPr>
      </w:pPr>
      <w:r>
        <w:rPr>
          <w:rFonts w:ascii="Arial" w:cs="Arial" w:eastAsia="Arial" w:hAnsi="Arial"/>
          <w:sz w:val="21"/>
          <w:szCs w:val="21"/>
          <w:color w:val="auto"/>
        </w:rPr>
        <w:t>in effect or (y) provide that the Company will make a pro rata allocation of the shares of Class A Common Stock available for purchase on such Offering Start Date or Purchase Date, as applicable, in as uniform a manner as will be practicable and as it will determine in its sole discretion to be equitable among all participants exercising options to purchase Class A Common Stock on such Purchase Date, and terminate any or all Offering Periods then in effect pursuant to Section 20 hereof. The Company may make a pro rata allocation of the shares available on the Offering Start Date of any applicable Offering Period pursuant to the preceding sentence, notwithstanding any authorization of additional shares for issuance under the Plan by the Company’s stockholders subsequent to such Offering Start Date.</w:t>
      </w:r>
    </w:p>
    <w:p>
      <w:pPr>
        <w:spacing w:after="0" w:line="180" w:lineRule="exact"/>
        <w:rPr>
          <w:sz w:val="20"/>
          <w:szCs w:val="20"/>
          <w:color w:val="auto"/>
        </w:rPr>
      </w:pPr>
    </w:p>
    <w:p>
      <w:pPr>
        <w:ind w:right="40" w:firstLine="656"/>
        <w:spacing w:after="0" w:line="288" w:lineRule="auto"/>
        <w:tabs>
          <w:tab w:leader="none" w:pos="1296" w:val="left"/>
        </w:tabs>
        <w:numPr>
          <w:ilvl w:val="0"/>
          <w:numId w:val="700"/>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As soon as reasonably practicable after each Purchase Date on which a purchase of shares of Class A Common Stock occurs, the Company will arrange the delivery to each Participant (or, if required by Applicable Laws, to the Participant and his or her spouse)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or other dispositions of such shares. No Participant will have any voting, dividend, or other stockholder rights with respect to shares of Class A Common Stock subject to any option granted under the Plan until such shares have been purchased and delivered to the Participant as provided in this Section 10.</w:t>
      </w:r>
    </w:p>
    <w:p>
      <w:pPr>
        <w:spacing w:after="0" w:line="159" w:lineRule="exact"/>
        <w:rPr>
          <w:rFonts w:ascii="Arial" w:cs="Arial" w:eastAsia="Arial" w:hAnsi="Arial"/>
          <w:sz w:val="19"/>
          <w:szCs w:val="19"/>
          <w:color w:val="auto"/>
        </w:rPr>
      </w:pPr>
    </w:p>
    <w:p>
      <w:pPr>
        <w:ind w:left="1300" w:hanging="644"/>
        <w:spacing w:after="0"/>
        <w:tabs>
          <w:tab w:leader="none" w:pos="1300" w:val="left"/>
        </w:tabs>
        <w:numPr>
          <w:ilvl w:val="0"/>
          <w:numId w:val="700"/>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87" w:lineRule="auto"/>
        <w:tabs>
          <w:tab w:leader="none" w:pos="1941" w:val="left"/>
        </w:tabs>
        <w:numPr>
          <w:ilvl w:val="1"/>
          <w:numId w:val="700"/>
        </w:numPr>
        <w:rPr>
          <w:rFonts w:ascii="Arial" w:cs="Arial" w:eastAsia="Arial" w:hAnsi="Arial"/>
          <w:sz w:val="19"/>
          <w:szCs w:val="19"/>
          <w:color w:val="auto"/>
        </w:rPr>
      </w:pPr>
      <w:r>
        <w:rPr>
          <w:rFonts w:ascii="Arial" w:cs="Arial" w:eastAsia="Arial" w:hAnsi="Arial"/>
          <w:sz w:val="19"/>
          <w:szCs w:val="19"/>
          <w:color w:val="auto"/>
        </w:rPr>
        <w:t>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or (ii) following an electronic or other withdrawal procedure determined by the Administrator. Notwithstanding the foregoing, the Administrator may establish a reasonable deadline (such as two weeks prior to the Purchase Date) by which time withdrawals must be submitted in order for the Participant to avoid automatic exercise of his or her option on the Purchase Date (unless the Administrator in its sole discretion elects to process the withdrawal more quickly or as may be required by Applicable Laws). All of the Participant’s Contributions credited to his or her account and not applied to the purchase of shares of Class A Common Stock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6 hereof.</w:t>
      </w:r>
    </w:p>
    <w:p>
      <w:pPr>
        <w:spacing w:after="0" w:line="158" w:lineRule="exact"/>
        <w:rPr>
          <w:rFonts w:ascii="Arial" w:cs="Arial" w:eastAsia="Arial" w:hAnsi="Arial"/>
          <w:sz w:val="19"/>
          <w:szCs w:val="19"/>
          <w:color w:val="auto"/>
        </w:rPr>
      </w:pPr>
    </w:p>
    <w:p>
      <w:pPr>
        <w:ind w:right="460" w:firstLine="1304"/>
        <w:spacing w:after="0" w:line="263" w:lineRule="auto"/>
        <w:tabs>
          <w:tab w:leader="none" w:pos="1939" w:val="left"/>
        </w:tabs>
        <w:numPr>
          <w:ilvl w:val="1"/>
          <w:numId w:val="700"/>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on his or her eligibility to participate in any similar plan that may hereafter be adopted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834" w:name="page835"/>
    <w:bookmarkEnd w:id="834"/>
    <w:p>
      <w:pPr>
        <w:ind w:right="520"/>
        <w:spacing w:after="0" w:line="263" w:lineRule="auto"/>
        <w:rPr>
          <w:sz w:val="20"/>
          <w:szCs w:val="20"/>
          <w:color w:val="auto"/>
        </w:rPr>
      </w:pPr>
      <w:r>
        <w:rPr>
          <w:rFonts w:ascii="Arial" w:cs="Arial" w:eastAsia="Arial" w:hAnsi="Arial"/>
          <w:sz w:val="22"/>
          <w:szCs w:val="22"/>
          <w:color w:val="auto"/>
        </w:rPr>
        <w:t>the Company or in succeeding Offering Periods that commence after the termination of the Purchase Period from which the Participant withdraws.</w:t>
      </w:r>
    </w:p>
    <w:p>
      <w:pPr>
        <w:spacing w:after="0" w:line="175" w:lineRule="exact"/>
        <w:rPr>
          <w:sz w:val="20"/>
          <w:szCs w:val="20"/>
          <w:color w:val="auto"/>
        </w:rPr>
      </w:pPr>
    </w:p>
    <w:p>
      <w:pPr>
        <w:ind w:firstLine="656"/>
        <w:spacing w:after="0" w:line="294" w:lineRule="auto"/>
        <w:tabs>
          <w:tab w:leader="none" w:pos="1296" w:val="left"/>
        </w:tabs>
        <w:numPr>
          <w:ilvl w:val="0"/>
          <w:numId w:val="701"/>
        </w:numPr>
        <w:rPr>
          <w:rFonts w:ascii="Arial" w:cs="Arial" w:eastAsia="Arial" w:hAnsi="Arial"/>
          <w:sz w:val="19"/>
          <w:szCs w:val="19"/>
          <w:color w:val="auto"/>
        </w:rPr>
      </w:pPr>
      <w:r>
        <w:rPr>
          <w:rFonts w:ascii="Arial" w:cs="Arial" w:eastAsia="Arial" w:hAnsi="Arial"/>
          <w:sz w:val="19"/>
          <w:szCs w:val="19"/>
          <w:u w:val="single" w:color="auto"/>
          <w:color w:val="auto"/>
        </w:rPr>
        <w:t>Termination and Transfer of Employment</w:t>
      </w:r>
      <w:r>
        <w:rPr>
          <w:rFonts w:ascii="Arial" w:cs="Arial" w:eastAsia="Arial" w:hAnsi="Arial"/>
          <w:sz w:val="19"/>
          <w:szCs w:val="19"/>
          <w:color w:val="auto"/>
        </w:rPr>
        <w:t>. Upon a Participant’s ceasing to be an Eligible Employee, for any reason (including by reason of the Participant’s Employer ceasing to be a Designated Company or by reason of Participant's transfer of employment to an Affiliate that is not a Designated Company), he or she will be deemed to have elected to withdraw from the Plan and the Contributions credited to such Participant’s account during the Offering Period but not yet used to purchase shares of Class A Common Stock under the Plan will be returned to such Participant or, in the case of his or her death, to the person or persons entitled thereto under Section 15 hereof, and such Participant’s option will be automatically terminated.</w:t>
      </w:r>
    </w:p>
    <w:p>
      <w:pPr>
        <w:spacing w:after="0" w:line="149"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Unless otherwise provided by the Administrator, a Participant whose employment transfers between entities through a termination with an immediate rehire (with no break in service) by the Company or a Designated Company will not be treated as terminated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Participant transfers from an Offering under the 423 Component to the Non-423 Component, the exercise of the option will be qualified under the 423 Component only to the extent it complies with Section 423 of the Code, unless otherwise provided by the Administrator. If a Participant transfers from an Offering under the Non-423 Component to an Offering under the 423 Component, the exercise of the option will remain non-qualified under the Non-423 Component. The Administrator may establish additional or different rules governing employment transfers.</w:t>
      </w:r>
    </w:p>
    <w:p>
      <w:pPr>
        <w:spacing w:after="0" w:line="151" w:lineRule="exact"/>
        <w:rPr>
          <w:sz w:val="20"/>
          <w:szCs w:val="20"/>
          <w:color w:val="auto"/>
        </w:rPr>
      </w:pPr>
    </w:p>
    <w:p>
      <w:pPr>
        <w:ind w:right="400" w:firstLine="656"/>
        <w:spacing w:after="0" w:line="253" w:lineRule="auto"/>
        <w:tabs>
          <w:tab w:leader="none" w:pos="1296" w:val="left"/>
        </w:tabs>
        <w:numPr>
          <w:ilvl w:val="0"/>
          <w:numId w:val="702"/>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will accrue on the Contributions of a participant in the Plan, except as may be required by Applicable Laws, as determined by the Company, and if so required by the laws of a particular jurisdiction, will apply to all Participants in the relevant Offering under the 423 Component.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702"/>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4"/>
        <w:spacing w:after="0" w:line="287" w:lineRule="auto"/>
        <w:tabs>
          <w:tab w:leader="none" w:pos="1748" w:val="left"/>
        </w:tabs>
        <w:numPr>
          <w:ilvl w:val="1"/>
          <w:numId w:val="702"/>
        </w:numPr>
        <w:rPr>
          <w:rFonts w:ascii="Arial" w:cs="Arial" w:eastAsia="Arial" w:hAnsi="Arial"/>
          <w:sz w:val="19"/>
          <w:szCs w:val="19"/>
          <w:color w:val="auto"/>
        </w:rPr>
      </w:pPr>
      <w:r>
        <w:rPr>
          <w:rFonts w:ascii="Arial" w:cs="Arial" w:eastAsia="Arial" w:hAnsi="Arial"/>
          <w:sz w:val="19"/>
          <w:szCs w:val="19"/>
          <w:color w:val="auto"/>
        </w:rPr>
        <w:t>The Plan will be administered by the Board or a Committee appointed by the Board, which Committee will be constituted to comply with Applicable Laws. Nothing in such appointment shall preclude the Board from itself taking any administrative action set forth herein, except where such action is required by Applicable Laws to be taken by a Committee. The Administrator will have full and exclusive discretionary authority to construe, interpret and apply the terms of the Plan, to delegate administrative duties to any of the Company’s employees, to designate separate Offerings under the Plan, to designate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rules, procedures, sub-plans and appendices to the subscription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3(a) hereof, but unless otherwise superseded by the terms of such rules, procedures, sub-plans and appendices, the provisions of this Plan will govern the operation of such rules, procedures, sub-plans or appendices).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835" w:name="page836"/>
    <w:bookmarkEnd w:id="835"/>
    <w:p>
      <w:pPr>
        <w:ind w:right="40"/>
        <w:spacing w:after="0" w:line="287" w:lineRule="auto"/>
        <w:rPr>
          <w:sz w:val="20"/>
          <w:szCs w:val="20"/>
          <w:color w:val="auto"/>
        </w:rPr>
      </w:pPr>
      <w:r>
        <w:rPr>
          <w:rFonts w:ascii="Arial" w:cs="Arial" w:eastAsia="Arial" w:hAnsi="Arial"/>
          <w:sz w:val="19"/>
          <w:szCs w:val="19"/>
          <w:color w:val="auto"/>
        </w:rPr>
        <w:t>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and, further, including making any adjustments to correctly reflect a Participant’s elected percentage of payroll deductions or other payments),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with respect to the 423 Component, to the extent permitted by Section 1.423-2(f) of the Treasury Regulations,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59" w:lineRule="exact"/>
        <w:rPr>
          <w:sz w:val="20"/>
          <w:szCs w:val="20"/>
          <w:color w:val="auto"/>
        </w:rPr>
      </w:pPr>
    </w:p>
    <w:p>
      <w:pPr>
        <w:ind w:right="200" w:firstLine="1304"/>
        <w:spacing w:after="0" w:line="250" w:lineRule="auto"/>
        <w:tabs>
          <w:tab w:leader="none" w:pos="1939" w:val="left"/>
        </w:tabs>
        <w:numPr>
          <w:ilvl w:val="1"/>
          <w:numId w:val="703"/>
        </w:numPr>
        <w:rPr>
          <w:rFonts w:ascii="Arial" w:cs="Arial" w:eastAsia="Arial" w:hAnsi="Arial"/>
          <w:sz w:val="22"/>
          <w:szCs w:val="22"/>
          <w:color w:val="auto"/>
        </w:rPr>
      </w:pPr>
      <w:r>
        <w:rPr>
          <w:rFonts w:ascii="Arial" w:cs="Arial" w:eastAsia="Arial" w:hAnsi="Arial"/>
          <w:sz w:val="22"/>
          <w:szCs w:val="22"/>
          <w:color w:val="auto"/>
        </w:rPr>
        <w:t>The Administrator may delegate, on such terms and conditions as it determines in its sole and plenary discretion, to (i) the Chief Executive Officer of the Company who also serves as a Director or (ii) one or more senior officers of the Company, in each case, any or all of its authority under the Plan and all necessary and appropriate decisions and determinations with respect thereto.</w:t>
      </w:r>
    </w:p>
    <w:p>
      <w:pPr>
        <w:spacing w:after="0" w:line="214" w:lineRule="exact"/>
        <w:rPr>
          <w:rFonts w:ascii="Arial" w:cs="Arial" w:eastAsia="Arial" w:hAnsi="Arial"/>
          <w:sz w:val="22"/>
          <w:szCs w:val="22"/>
          <w:color w:val="auto"/>
        </w:rPr>
      </w:pPr>
    </w:p>
    <w:p>
      <w:pPr>
        <w:ind w:left="1300" w:hanging="644"/>
        <w:spacing w:after="0"/>
        <w:tabs>
          <w:tab w:leader="none" w:pos="1300" w:val="left"/>
        </w:tabs>
        <w:numPr>
          <w:ilvl w:val="0"/>
          <w:numId w:val="704"/>
        </w:numPr>
        <w:rPr>
          <w:rFonts w:ascii="Arial" w:cs="Arial" w:eastAsia="Arial" w:hAnsi="Arial"/>
          <w:sz w:val="22"/>
          <w:szCs w:val="22"/>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60" w:lineRule="auto"/>
        <w:tabs>
          <w:tab w:leader="none" w:pos="1941" w:val="left"/>
        </w:tabs>
        <w:numPr>
          <w:ilvl w:val="1"/>
          <w:numId w:val="704"/>
        </w:numPr>
        <w:rPr>
          <w:rFonts w:ascii="Arial" w:cs="Arial" w:eastAsia="Arial" w:hAnsi="Arial"/>
          <w:sz w:val="21"/>
          <w:szCs w:val="21"/>
          <w:color w:val="auto"/>
        </w:rPr>
      </w:pPr>
      <w:r>
        <w:rPr>
          <w:rFonts w:ascii="Arial" w:cs="Arial" w:eastAsia="Arial" w:hAnsi="Arial"/>
          <w:sz w:val="21"/>
          <w:szCs w:val="21"/>
          <w:color w:val="auto"/>
        </w:rPr>
        <w:t>If permitted by the Administrator and subject to Applicable Laws, a Participant may file a designation of a beneficiary who is to receive any shares of Class A Common Stock and cash, if any, from the Participant’s account under the Plan in the event of such Participant’s death subsequent to an Purchase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80" w:lineRule="exact"/>
        <w:rPr>
          <w:rFonts w:ascii="Arial" w:cs="Arial" w:eastAsia="Arial" w:hAnsi="Arial"/>
          <w:sz w:val="21"/>
          <w:szCs w:val="21"/>
          <w:color w:val="auto"/>
        </w:rPr>
      </w:pPr>
    </w:p>
    <w:p>
      <w:pPr>
        <w:ind w:right="160" w:firstLine="1304"/>
        <w:spacing w:after="0" w:line="260" w:lineRule="auto"/>
        <w:tabs>
          <w:tab w:leader="none" w:pos="1939" w:val="left"/>
        </w:tabs>
        <w:numPr>
          <w:ilvl w:val="1"/>
          <w:numId w:val="704"/>
        </w:numPr>
        <w:rPr>
          <w:rFonts w:ascii="Arial" w:cs="Arial" w:eastAsia="Arial" w:hAnsi="Arial"/>
          <w:sz w:val="21"/>
          <w:szCs w:val="21"/>
          <w:color w:val="auto"/>
        </w:rPr>
      </w:pPr>
      <w:r>
        <w:rPr>
          <w:rFonts w:ascii="Arial" w:cs="Arial" w:eastAsia="Arial" w:hAnsi="Arial"/>
          <w:sz w:val="21"/>
          <w:szCs w:val="21"/>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836" w:name="page837"/>
    <w:bookmarkEnd w:id="836"/>
    <w:p>
      <w:pPr>
        <w:jc w:val="both"/>
        <w:ind w:left="-100" w:right="320" w:firstLine="1304"/>
        <w:spacing w:after="0" w:line="250" w:lineRule="auto"/>
        <w:tabs>
          <w:tab w:leader="none" w:pos="1841" w:val="left"/>
        </w:tabs>
        <w:numPr>
          <w:ilvl w:val="1"/>
          <w:numId w:val="705"/>
        </w:numPr>
        <w:rPr>
          <w:rFonts w:ascii="Arial" w:cs="Arial" w:eastAsia="Arial" w:hAnsi="Arial"/>
          <w:sz w:val="22"/>
          <w:szCs w:val="22"/>
          <w:color w:val="auto"/>
        </w:rPr>
      </w:pPr>
      <w:r>
        <w:rPr>
          <w:rFonts w:ascii="Arial" w:cs="Arial" w:eastAsia="Arial" w:hAnsi="Arial"/>
          <w:sz w:val="22"/>
          <w:szCs w:val="22"/>
          <w:color w:val="auto"/>
        </w:rPr>
        <w:t>All beneficiary designations will be in such form and manner as the Administrator may designate from time to time. Notwithstanding Sections 15(a) and (b) hereof, the Company and/or the Administrator may decide not to permit such designations by Participants in non-U.S. jurisdictions to the extent permitted by Section 1.423-2(f) of the Treasury Regulations.</w:t>
      </w:r>
    </w:p>
    <w:p>
      <w:pPr>
        <w:spacing w:after="0" w:line="187" w:lineRule="exact"/>
        <w:rPr>
          <w:rFonts w:ascii="Arial" w:cs="Arial" w:eastAsia="Arial" w:hAnsi="Arial"/>
          <w:sz w:val="22"/>
          <w:szCs w:val="22"/>
          <w:color w:val="auto"/>
        </w:rPr>
      </w:pPr>
    </w:p>
    <w:p>
      <w:pPr>
        <w:ind w:left="-100" w:firstLine="656"/>
        <w:spacing w:after="0" w:line="297" w:lineRule="auto"/>
        <w:tabs>
          <w:tab w:leader="none" w:pos="1196" w:val="left"/>
        </w:tabs>
        <w:numPr>
          <w:ilvl w:val="0"/>
          <w:numId w:val="70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Contributions credited to a Participant’s account nor any rights with regard to the exercise of an option or to receive shares of Class A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11 hereof.</w:t>
      </w:r>
    </w:p>
    <w:p>
      <w:pPr>
        <w:spacing w:after="0" w:line="146" w:lineRule="exact"/>
        <w:rPr>
          <w:rFonts w:ascii="Arial" w:cs="Arial" w:eastAsia="Arial" w:hAnsi="Arial"/>
          <w:sz w:val="19"/>
          <w:szCs w:val="19"/>
          <w:color w:val="auto"/>
        </w:rPr>
      </w:pPr>
    </w:p>
    <w:p>
      <w:pPr>
        <w:ind w:left="-100" w:firstLine="656"/>
        <w:spacing w:after="0" w:line="297" w:lineRule="auto"/>
        <w:tabs>
          <w:tab w:leader="none" w:pos="1196" w:val="left"/>
        </w:tabs>
        <w:numPr>
          <w:ilvl w:val="0"/>
          <w:numId w:val="706"/>
        </w:numPr>
        <w:rPr>
          <w:rFonts w:ascii="Arial" w:cs="Arial" w:eastAsia="Arial" w:hAnsi="Arial"/>
          <w:sz w:val="19"/>
          <w:szCs w:val="19"/>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Class A Common Stock are issued, Participants will have only the rights of an unsecured creditor with respect to such shares.</w:t>
      </w:r>
    </w:p>
    <w:p>
      <w:pPr>
        <w:spacing w:after="0" w:line="146" w:lineRule="exact"/>
        <w:rPr>
          <w:rFonts w:ascii="Arial" w:cs="Arial" w:eastAsia="Arial" w:hAnsi="Arial"/>
          <w:sz w:val="19"/>
          <w:szCs w:val="19"/>
          <w:color w:val="auto"/>
        </w:rPr>
      </w:pPr>
    </w:p>
    <w:p>
      <w:pPr>
        <w:jc w:val="both"/>
        <w:ind w:left="-100" w:right="340" w:firstLine="656"/>
        <w:spacing w:after="0" w:line="312" w:lineRule="auto"/>
        <w:tabs>
          <w:tab w:leader="none" w:pos="1196" w:val="left"/>
        </w:tabs>
        <w:numPr>
          <w:ilvl w:val="0"/>
          <w:numId w:val="706"/>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Class A Common Stock purchased and the remaining cash balance, if any.</w:t>
      </w:r>
    </w:p>
    <w:p>
      <w:pPr>
        <w:spacing w:after="0" w:line="133" w:lineRule="exact"/>
        <w:rPr>
          <w:rFonts w:ascii="Arial" w:cs="Arial" w:eastAsia="Arial" w:hAnsi="Arial"/>
          <w:sz w:val="19"/>
          <w:szCs w:val="19"/>
          <w:color w:val="auto"/>
        </w:rPr>
      </w:pPr>
    </w:p>
    <w:p>
      <w:pPr>
        <w:ind w:left="1200" w:hanging="644"/>
        <w:spacing w:after="0"/>
        <w:tabs>
          <w:tab w:leader="none" w:pos="1200" w:val="left"/>
        </w:tabs>
        <w:numPr>
          <w:ilvl w:val="0"/>
          <w:numId w:val="706"/>
        </w:numPr>
        <w:rPr>
          <w:rFonts w:ascii="Arial" w:cs="Arial" w:eastAsia="Arial" w:hAnsi="Arial"/>
          <w:sz w:val="22"/>
          <w:szCs w:val="22"/>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0" w:firstLine="1304"/>
        <w:spacing w:after="0" w:line="259" w:lineRule="auto"/>
        <w:tabs>
          <w:tab w:leader="none" w:pos="1841" w:val="left"/>
        </w:tabs>
        <w:numPr>
          <w:ilvl w:val="1"/>
          <w:numId w:val="706"/>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In the event of any extraordinary dividend or other extraordinary distribution (whether in the form of cash, Class A Common Stock, other securities, or other property), recapitalization, stock split, reverse stock split, reorganization, merger, consolidation, split-up, spin-off, combination, repurchase, exchange of Class A Common Stock or other securities of the Company or other change in the corporate structure of the Company affecting the Class A Common Stock, the Administrator, in order to prevent dilution or enlargement of the benefits or potential benefits intended to be made available under the Plan, shall, in such manner as it shall deem equitable, adjust the number and class of Class A Common Stock that may be delivered under the Plan, the Purchase Price per share and the number of shares of Class A Common Stock covered by each option under the Plan that has not yet been exercised, and the numerical limits of Section 3 hereof and established pursuant to Section 8 hereof.</w:t>
      </w:r>
    </w:p>
    <w:p>
      <w:pPr>
        <w:spacing w:after="0" w:line="179" w:lineRule="exact"/>
        <w:rPr>
          <w:rFonts w:ascii="Arial" w:cs="Arial" w:eastAsia="Arial" w:hAnsi="Arial"/>
          <w:sz w:val="21"/>
          <w:szCs w:val="21"/>
          <w:color w:val="auto"/>
        </w:rPr>
      </w:pPr>
    </w:p>
    <w:p>
      <w:pPr>
        <w:ind w:left="-100" w:right="100" w:firstLine="1304"/>
        <w:spacing w:after="0" w:line="312" w:lineRule="auto"/>
        <w:tabs>
          <w:tab w:leader="none" w:pos="1839" w:val="left"/>
        </w:tabs>
        <w:numPr>
          <w:ilvl w:val="1"/>
          <w:numId w:val="706"/>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a proposed dissolution or liquidation of the Company receives all requisite approvals under Applicable Laws, any Offering Period then in progress will be shortened by setting a New Purchase Date, and will terminate immediately prior to the consummation of such proposed dissolution or liquidation,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60"/>
          </w:cols>
          <w:pgMar w:left="420" w:top="1428" w:right="419" w:bottom="1440" w:gutter="0" w:footer="0" w:header="0"/>
        </w:sectPr>
      </w:pPr>
    </w:p>
    <w:bookmarkStart w:id="837" w:name="page838"/>
    <w:bookmarkEnd w:id="837"/>
    <w:p>
      <w:pPr>
        <w:ind w:right="20"/>
        <w:spacing w:after="0" w:line="248" w:lineRule="auto"/>
        <w:rPr>
          <w:sz w:val="20"/>
          <w:szCs w:val="20"/>
          <w:color w:val="auto"/>
        </w:rPr>
      </w:pPr>
      <w:r>
        <w:rPr>
          <w:rFonts w:ascii="Arial" w:cs="Arial" w:eastAsia="Arial" w:hAnsi="Arial"/>
          <w:sz w:val="22"/>
          <w:szCs w:val="22"/>
          <w:color w:val="auto"/>
        </w:rPr>
        <w:t>provided otherwise by the Administrator. The New Purchase Date will be before the date of the Company’s proposed dissolution or liquidation. The Administrator will notify each Participant in writing or electronically, prior to the New Purchase Date, that the Purchase Date for the Participant’s option has been changed to the New Purchase Date and that the Participant’s option will be exercised automatically on the New Purchase Date, unless prior to such date the Participant has withdrawn from the Offering Period as provided in Section 11 hereof.</w:t>
      </w:r>
    </w:p>
    <w:p>
      <w:pPr>
        <w:spacing w:after="0" w:line="192" w:lineRule="exact"/>
        <w:rPr>
          <w:sz w:val="20"/>
          <w:szCs w:val="20"/>
          <w:color w:val="auto"/>
        </w:rPr>
      </w:pPr>
    </w:p>
    <w:p>
      <w:pPr>
        <w:ind w:firstLine="1304"/>
        <w:spacing w:after="0" w:line="290" w:lineRule="auto"/>
        <w:tabs>
          <w:tab w:leader="none" w:pos="1941" w:val="left"/>
        </w:tabs>
        <w:numPr>
          <w:ilvl w:val="1"/>
          <w:numId w:val="707"/>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Purchase Date on which such Offering Period will end. The New Purchase Date will occur before the date of the Company’s proposed merger or Change in Control. The Administrator will notify each Participant in writing or electronically prior to the New Purchase Date that the Purchase Date for the Participant’s option has been changed to the New Purchase Date and that the Participant’s option will be exercised automatically on the New Purchase Date, unless prior to such date the Participant has withdrawn from the Offering Period as provided in Section 11 hereof.</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708"/>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1304"/>
        <w:spacing w:after="0" w:line="290" w:lineRule="auto"/>
        <w:tabs>
          <w:tab w:leader="none" w:pos="1941" w:val="left"/>
        </w:tabs>
        <w:numPr>
          <w:ilvl w:val="1"/>
          <w:numId w:val="708"/>
        </w:numPr>
        <w:rPr>
          <w:rFonts w:ascii="Arial" w:cs="Arial" w:eastAsia="Arial" w:hAnsi="Arial"/>
          <w:sz w:val="19"/>
          <w:szCs w:val="19"/>
          <w:color w:val="auto"/>
        </w:rPr>
      </w:pPr>
      <w:r>
        <w:rPr>
          <w:rFonts w:ascii="Arial" w:cs="Arial" w:eastAsia="Arial" w:hAnsi="Arial"/>
          <w:sz w:val="19"/>
          <w:szCs w:val="19"/>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Class A Common Stock on the next Purchase Date (which may be sooner than originally scheduled, if determined by the Administrator in its discretion), or may elect to permit Offering Periods to expire in accordance with their terms (and subject to any adjustment pursuant to Section 19 hereof). If the Offering Periods are terminated prior to expiration, all amounts then credited to Participants’ accounts that have not been used to purchase shares of Class A Common Stock will be returned to the Participants (without interest thereon, except as otherwise required under Applicable Laws, as further set forth in Section 13 hereof) as soon as administratively practicable.</w:t>
      </w:r>
    </w:p>
    <w:p>
      <w:pPr>
        <w:spacing w:after="0" w:line="155" w:lineRule="exact"/>
        <w:rPr>
          <w:rFonts w:ascii="Arial" w:cs="Arial" w:eastAsia="Arial" w:hAnsi="Arial"/>
          <w:sz w:val="19"/>
          <w:szCs w:val="19"/>
          <w:color w:val="auto"/>
        </w:rPr>
      </w:pPr>
    </w:p>
    <w:p>
      <w:pPr>
        <w:ind w:firstLine="1304"/>
        <w:spacing w:after="0" w:line="290" w:lineRule="auto"/>
        <w:tabs>
          <w:tab w:leader="none" w:pos="1939" w:val="left"/>
        </w:tabs>
        <w:numPr>
          <w:ilvl w:val="1"/>
          <w:numId w:val="708"/>
        </w:numPr>
        <w:rPr>
          <w:rFonts w:ascii="Arial" w:cs="Arial" w:eastAsia="Arial" w:hAnsi="Arial"/>
          <w:sz w:val="19"/>
          <w:szCs w:val="19"/>
          <w:color w:val="auto"/>
        </w:rPr>
      </w:pPr>
      <w:r>
        <w:rPr>
          <w:rFonts w:ascii="Arial" w:cs="Arial" w:eastAsia="Arial" w:hAnsi="Arial"/>
          <w:sz w:val="19"/>
          <w:szCs w:val="19"/>
          <w:color w:val="auto"/>
        </w:rPr>
        <w:t>Without stockholder consent and without limiting Section 20(a) hereof,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Class A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838" w:name="page839"/>
    <w:bookmarkEnd w:id="838"/>
    <w:p>
      <w:pPr>
        <w:ind w:right="20" w:firstLine="1304"/>
        <w:spacing w:after="0" w:line="312" w:lineRule="auto"/>
        <w:tabs>
          <w:tab w:leader="none" w:pos="1941" w:val="left"/>
        </w:tabs>
        <w:numPr>
          <w:ilvl w:val="0"/>
          <w:numId w:val="709"/>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33" w:lineRule="exact"/>
        <w:rPr>
          <w:rFonts w:ascii="Arial" w:cs="Arial" w:eastAsia="Arial" w:hAnsi="Arial"/>
          <w:sz w:val="19"/>
          <w:szCs w:val="19"/>
          <w:color w:val="auto"/>
        </w:rPr>
      </w:pPr>
    </w:p>
    <w:p>
      <w:pPr>
        <w:ind w:right="120" w:firstLine="1952"/>
        <w:spacing w:after="0" w:line="253" w:lineRule="auto"/>
        <w:tabs>
          <w:tab w:leader="none" w:pos="2580" w:val="left"/>
        </w:tabs>
        <w:numPr>
          <w:ilvl w:val="1"/>
          <w:numId w:val="709"/>
        </w:numPr>
        <w:rPr>
          <w:rFonts w:ascii="Arial" w:cs="Arial" w:eastAsia="Arial" w:hAnsi="Arial"/>
          <w:sz w:val="22"/>
          <w:szCs w:val="22"/>
          <w:color w:val="auto"/>
        </w:rPr>
      </w:pPr>
      <w:r>
        <w:rPr>
          <w:rFonts w:ascii="Arial" w:cs="Arial" w:eastAsia="Arial" w:hAnsi="Arial"/>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85" w:lineRule="exact"/>
        <w:rPr>
          <w:rFonts w:ascii="Arial" w:cs="Arial" w:eastAsia="Arial" w:hAnsi="Arial"/>
          <w:sz w:val="22"/>
          <w:szCs w:val="22"/>
          <w:color w:val="auto"/>
        </w:rPr>
      </w:pPr>
    </w:p>
    <w:p>
      <w:pPr>
        <w:ind w:right="520" w:firstLine="1952"/>
        <w:spacing w:after="0" w:line="263" w:lineRule="auto"/>
        <w:tabs>
          <w:tab w:leader="none" w:pos="2586" w:val="left"/>
        </w:tabs>
        <w:numPr>
          <w:ilvl w:val="1"/>
          <w:numId w:val="709"/>
        </w:numPr>
        <w:rPr>
          <w:rFonts w:ascii="Arial" w:cs="Arial" w:eastAsia="Arial" w:hAnsi="Arial"/>
          <w:sz w:val="22"/>
          <w:szCs w:val="22"/>
          <w:color w:val="auto"/>
        </w:rPr>
      </w:pPr>
      <w:r>
        <w:rPr>
          <w:rFonts w:ascii="Arial" w:cs="Arial" w:eastAsia="Arial" w:hAnsi="Arial"/>
          <w:sz w:val="22"/>
          <w:szCs w:val="22"/>
          <w:color w:val="auto"/>
        </w:rPr>
        <w:t>altering the Purchase Price for any Offering Period or Purchase Period, including an Offering Period or Purchase Period underway at the time of the change in Purchase Price;</w:t>
      </w:r>
    </w:p>
    <w:p>
      <w:pPr>
        <w:spacing w:after="0" w:line="174" w:lineRule="exact"/>
        <w:rPr>
          <w:rFonts w:ascii="Arial" w:cs="Arial" w:eastAsia="Arial" w:hAnsi="Arial"/>
          <w:sz w:val="22"/>
          <w:szCs w:val="22"/>
          <w:color w:val="auto"/>
        </w:rPr>
      </w:pPr>
    </w:p>
    <w:p>
      <w:pPr>
        <w:ind w:right="200" w:firstLine="1952"/>
        <w:spacing w:after="0" w:line="263" w:lineRule="auto"/>
        <w:tabs>
          <w:tab w:leader="none" w:pos="2592" w:val="left"/>
        </w:tabs>
        <w:numPr>
          <w:ilvl w:val="1"/>
          <w:numId w:val="709"/>
        </w:numPr>
        <w:rPr>
          <w:rFonts w:ascii="Arial" w:cs="Arial" w:eastAsia="Arial" w:hAnsi="Arial"/>
          <w:sz w:val="22"/>
          <w:szCs w:val="22"/>
          <w:color w:val="auto"/>
        </w:rPr>
      </w:pPr>
      <w:r>
        <w:rPr>
          <w:rFonts w:ascii="Arial" w:cs="Arial" w:eastAsia="Arial" w:hAnsi="Arial"/>
          <w:sz w:val="22"/>
          <w:szCs w:val="22"/>
          <w:color w:val="auto"/>
        </w:rPr>
        <w:t>shortening any Offering Period or Purchase Period by setting a New Purchase Date, including an Offering Period or Purchase Period underway at the time of the Administrator action;</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1"/>
          <w:numId w:val="709"/>
        </w:numPr>
        <w:rPr>
          <w:rFonts w:ascii="Arial" w:cs="Arial" w:eastAsia="Arial" w:hAnsi="Arial"/>
          <w:sz w:val="21"/>
          <w:szCs w:val="21"/>
          <w:color w:val="auto"/>
        </w:rPr>
      </w:pPr>
      <w:r>
        <w:rPr>
          <w:rFonts w:ascii="Arial" w:cs="Arial" w:eastAsia="Arial" w:hAnsi="Arial"/>
          <w:sz w:val="21"/>
          <w:szCs w:val="21"/>
          <w:color w:val="auto"/>
        </w:rPr>
        <w:t>reducing the maximum percentage of Compensation a Participant may elect to set aside as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Contributions; and</w:t>
      </w:r>
    </w:p>
    <w:p>
      <w:pPr>
        <w:spacing w:after="0" w:line="201" w:lineRule="exact"/>
        <w:rPr>
          <w:rFonts w:ascii="Arial" w:cs="Arial" w:eastAsia="Arial" w:hAnsi="Arial"/>
          <w:sz w:val="21"/>
          <w:szCs w:val="21"/>
          <w:color w:val="auto"/>
        </w:rPr>
      </w:pPr>
    </w:p>
    <w:p>
      <w:pPr>
        <w:ind w:right="260" w:firstLine="1952"/>
        <w:spacing w:after="0" w:line="263" w:lineRule="auto"/>
        <w:tabs>
          <w:tab w:leader="none" w:pos="2587" w:val="left"/>
        </w:tabs>
        <w:numPr>
          <w:ilvl w:val="1"/>
          <w:numId w:val="709"/>
        </w:numPr>
        <w:rPr>
          <w:rFonts w:ascii="Arial" w:cs="Arial" w:eastAsia="Arial" w:hAnsi="Arial"/>
          <w:sz w:val="22"/>
          <w:szCs w:val="22"/>
          <w:color w:val="auto"/>
        </w:rPr>
      </w:pPr>
      <w:r>
        <w:rPr>
          <w:rFonts w:ascii="Arial" w:cs="Arial" w:eastAsia="Arial" w:hAnsi="Arial"/>
          <w:sz w:val="22"/>
          <w:szCs w:val="22"/>
          <w:color w:val="auto"/>
        </w:rPr>
        <w:t>reducing the maximum number of shares of Class A Common Stock a Participant may purchase during any Offering Period or Purchase Period.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Such modifications or amendments will not require stockholder approval or the consent of any Participants.</w:t>
      </w:r>
    </w:p>
    <w:p>
      <w:pPr>
        <w:spacing w:after="0" w:line="220" w:lineRule="exact"/>
        <w:rPr>
          <w:sz w:val="20"/>
          <w:szCs w:val="20"/>
          <w:color w:val="auto"/>
        </w:rPr>
      </w:pPr>
    </w:p>
    <w:p>
      <w:pPr>
        <w:ind w:firstLine="656"/>
        <w:spacing w:after="0" w:line="253" w:lineRule="auto"/>
        <w:tabs>
          <w:tab w:leader="none" w:pos="1296" w:val="left"/>
        </w:tabs>
        <w:numPr>
          <w:ilvl w:val="0"/>
          <w:numId w:val="71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5" w:lineRule="exact"/>
        <w:rPr>
          <w:rFonts w:ascii="Arial" w:cs="Arial" w:eastAsia="Arial" w:hAnsi="Arial"/>
          <w:sz w:val="22"/>
          <w:szCs w:val="22"/>
          <w:color w:val="auto"/>
        </w:rPr>
      </w:pPr>
    </w:p>
    <w:p>
      <w:pPr>
        <w:ind w:right="40" w:firstLine="656"/>
        <w:spacing w:after="0" w:line="247" w:lineRule="auto"/>
        <w:tabs>
          <w:tab w:leader="none" w:pos="1296" w:val="left"/>
        </w:tabs>
        <w:numPr>
          <w:ilvl w:val="0"/>
          <w:numId w:val="710"/>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 Shares of Class A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93"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60"/>
          </w:cols>
          <w:pgMar w:left="320" w:top="1428" w:right="419" w:bottom="1440" w:gutter="0" w:footer="0" w:header="0"/>
        </w:sectPr>
      </w:pPr>
    </w:p>
    <w:bookmarkStart w:id="839" w:name="page840"/>
    <w:bookmarkEnd w:id="839"/>
    <w:p>
      <w:pPr>
        <w:ind w:left="1300" w:hanging="644"/>
        <w:spacing w:after="0"/>
        <w:tabs>
          <w:tab w:leader="none" w:pos="1300" w:val="left"/>
        </w:tabs>
        <w:numPr>
          <w:ilvl w:val="0"/>
          <w:numId w:val="711"/>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Options granted under the 423 Component of the Plan are exempt from the application of</w:t>
      </w:r>
    </w:p>
    <w:p>
      <w:pPr>
        <w:spacing w:after="0" w:line="33"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Section 409A and any ambiguities herein will be interpreted to so be exempt from Section 409A. Options granted under the Non-423 Component to U.S. taxpayers are intended to be exempt from the application of Section 409A under the short-term deferral exception or compliant with Section 409A and any ambiguities will be construed and interpreted in accordance with such intent.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a Participant will be solely responsible and liable for the satisfaction of all taxes and penalties that may be imposed on such Participant or for such Participant’s account in connection with option to purchase Class A Common Stock under the Plan (including any taxes and penalties under Section 409A), and neither the Company nor any of its Affiliates will have any obligation to indemnify or otherwise hold such Participant harmless from any or all such taxes or penalties. The Company makes no representation that the option to purchase Class A Common Stock under the Plan is compliant with Section 409A.</w:t>
      </w:r>
    </w:p>
    <w:p>
      <w:pPr>
        <w:spacing w:after="0" w:line="200" w:lineRule="exact"/>
        <w:rPr>
          <w:sz w:val="20"/>
          <w:szCs w:val="20"/>
          <w:color w:val="auto"/>
        </w:rPr>
      </w:pPr>
    </w:p>
    <w:p>
      <w:pPr>
        <w:spacing w:after="0" w:line="226" w:lineRule="exact"/>
        <w:rPr>
          <w:sz w:val="20"/>
          <w:szCs w:val="20"/>
          <w:color w:val="auto"/>
        </w:rPr>
      </w:pPr>
    </w:p>
    <w:p>
      <w:pPr>
        <w:jc w:val="both"/>
        <w:ind w:right="660" w:firstLine="656"/>
        <w:spacing w:after="0" w:line="253" w:lineRule="auto"/>
        <w:tabs>
          <w:tab w:leader="none" w:pos="1296" w:val="left"/>
        </w:tabs>
        <w:numPr>
          <w:ilvl w:val="0"/>
          <w:numId w:val="712"/>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will become effective upon the later to occur of (a) its adoption by the Board or (b) immediately prior to the Registration Date. It will continue in effect for a term of 20 years, unless terminated earlier under Section 20 hereof.</w:t>
      </w:r>
    </w:p>
    <w:p>
      <w:pPr>
        <w:spacing w:after="0" w:line="185" w:lineRule="exact"/>
        <w:rPr>
          <w:rFonts w:ascii="Arial" w:cs="Arial" w:eastAsia="Arial" w:hAnsi="Arial"/>
          <w:sz w:val="22"/>
          <w:szCs w:val="22"/>
          <w:color w:val="auto"/>
        </w:rPr>
      </w:pPr>
    </w:p>
    <w:p>
      <w:pPr>
        <w:ind w:right="20" w:firstLine="656"/>
        <w:spacing w:after="0" w:line="265" w:lineRule="auto"/>
        <w:tabs>
          <w:tab w:leader="none" w:pos="1296" w:val="left"/>
        </w:tabs>
        <w:numPr>
          <w:ilvl w:val="0"/>
          <w:numId w:val="712"/>
        </w:numPr>
        <w:rPr>
          <w:rFonts w:ascii="Arial" w:cs="Arial" w:eastAsia="Arial" w:hAnsi="Arial"/>
          <w:sz w:val="21"/>
          <w:szCs w:val="21"/>
          <w:color w:val="auto"/>
        </w:rPr>
      </w:pPr>
      <w:r>
        <w:rPr>
          <w:rFonts w:ascii="Arial" w:cs="Arial" w:eastAsia="Arial" w:hAnsi="Arial"/>
          <w:sz w:val="21"/>
          <w:szCs w:val="21"/>
          <w:u w:val="single" w:color="auto"/>
          <w:color w:val="auto"/>
        </w:rPr>
        <w:t>Stockholder Approval</w:t>
      </w:r>
      <w:r>
        <w:rPr>
          <w:rFonts w:ascii="Arial" w:cs="Arial" w:eastAsia="Arial" w:hAnsi="Arial"/>
          <w:sz w:val="21"/>
          <w:szCs w:val="21"/>
          <w:color w:val="auto"/>
        </w:rPr>
        <w:t>. The Plan will be subject to approval by the stockholders of the Company within 12 months after the date the Plan is adopted by the Board. Such stockholder approval will be obtained in the manner and to the degree required under Applicable Laws. For the avoidance of doubt, failure to obtain a stockholder approval required by any non-U.S. jurisdiction will not impair the validity of the Plan in any other jurisdiction.</w:t>
      </w:r>
    </w:p>
    <w:p>
      <w:pPr>
        <w:spacing w:after="0" w:line="175" w:lineRule="exact"/>
        <w:rPr>
          <w:rFonts w:ascii="Arial" w:cs="Arial" w:eastAsia="Arial" w:hAnsi="Arial"/>
          <w:sz w:val="21"/>
          <w:szCs w:val="21"/>
          <w:color w:val="auto"/>
        </w:rPr>
      </w:pPr>
    </w:p>
    <w:p>
      <w:pPr>
        <w:ind w:right="20" w:firstLine="656"/>
        <w:spacing w:after="0" w:line="261" w:lineRule="auto"/>
        <w:tabs>
          <w:tab w:leader="none" w:pos="1296" w:val="left"/>
        </w:tabs>
        <w:numPr>
          <w:ilvl w:val="0"/>
          <w:numId w:val="71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Plan will be governed by, and construed in accordance with, the laws of the State of Delaware in the United States, as such laws are applied to contracts entered into and performed in such State and without regard to such State’s conflict of laws rules.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w:t>
      </w:r>
    </w:p>
    <w:p>
      <w:pPr>
        <w:spacing w:after="0" w:line="179" w:lineRule="exact"/>
        <w:rPr>
          <w:rFonts w:ascii="Arial" w:cs="Arial" w:eastAsia="Arial" w:hAnsi="Arial"/>
          <w:sz w:val="21"/>
          <w:szCs w:val="21"/>
          <w:color w:val="auto"/>
        </w:rPr>
      </w:pPr>
    </w:p>
    <w:p>
      <w:pPr>
        <w:ind w:right="160" w:firstLine="656"/>
        <w:spacing w:after="0" w:line="253" w:lineRule="auto"/>
        <w:tabs>
          <w:tab w:leader="none" w:pos="1296" w:val="left"/>
        </w:tabs>
        <w:numPr>
          <w:ilvl w:val="0"/>
          <w:numId w:val="71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840" w:name="page841"/>
    <w:bookmarkEnd w:id="840"/>
    <w:p>
      <w:pPr>
        <w:ind w:right="120"/>
        <w:spacing w:after="0" w:line="263" w:lineRule="auto"/>
        <w:rPr>
          <w:sz w:val="20"/>
          <w:szCs w:val="20"/>
          <w:color w:val="auto"/>
        </w:rPr>
      </w:pPr>
      <w:r>
        <w:rPr>
          <w:rFonts w:ascii="Arial" w:cs="Arial" w:eastAsia="Arial" w:hAnsi="Arial"/>
          <w:sz w:val="22"/>
          <w:szCs w:val="22"/>
          <w:color w:val="auto"/>
        </w:rPr>
        <w:t>Plan will be construed and enforced as to such jurisdiction or Participant as if the invalid, illegal or unenforceable provision had not been included.</w:t>
      </w:r>
    </w:p>
    <w:p>
      <w:pPr>
        <w:spacing w:after="0" w:line="175" w:lineRule="exact"/>
        <w:rPr>
          <w:sz w:val="20"/>
          <w:szCs w:val="20"/>
          <w:color w:val="auto"/>
        </w:rPr>
      </w:pPr>
    </w:p>
    <w:p>
      <w:pPr>
        <w:ind w:right="280" w:firstLine="656"/>
        <w:spacing w:after="0" w:line="250" w:lineRule="auto"/>
        <w:tabs>
          <w:tab w:leader="none" w:pos="1296" w:val="left"/>
        </w:tabs>
        <w:numPr>
          <w:ilvl w:val="0"/>
          <w:numId w:val="713"/>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Participation in the Plan by a Participant will not be construed as giving a Participant the right to be retained as an employee of the Company or an Affiliate, as applicable. Further, the Company or an Affiliate may dismiss a Participant from employment at any time, free from any liability or any claim under the Plan, unless otherwise required pursuant to Applicable Laws.</w:t>
      </w:r>
    </w:p>
    <w:p>
      <w:pPr>
        <w:spacing w:after="0" w:line="187" w:lineRule="exact"/>
        <w:rPr>
          <w:rFonts w:ascii="Arial" w:cs="Arial" w:eastAsia="Arial" w:hAnsi="Arial"/>
          <w:sz w:val="22"/>
          <w:szCs w:val="22"/>
          <w:color w:val="auto"/>
        </w:rPr>
      </w:pPr>
    </w:p>
    <w:p>
      <w:pPr>
        <w:ind w:right="220" w:firstLine="656"/>
        <w:spacing w:after="0" w:line="263" w:lineRule="auto"/>
        <w:tabs>
          <w:tab w:leader="none" w:pos="1296" w:val="left"/>
        </w:tabs>
        <w:numPr>
          <w:ilvl w:val="0"/>
          <w:numId w:val="713"/>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The terms of this Plan are intended to comply with all Applicable Laws and will be construed accordingly.</w:t>
      </w:r>
    </w:p>
    <w:p>
      <w:pPr>
        <w:spacing w:after="0" w:line="174" w:lineRule="exact"/>
        <w:rPr>
          <w:rFonts w:ascii="Arial" w:cs="Arial" w:eastAsia="Arial" w:hAnsi="Arial"/>
          <w:sz w:val="22"/>
          <w:szCs w:val="22"/>
          <w:color w:val="auto"/>
        </w:rPr>
      </w:pPr>
    </w:p>
    <w:p>
      <w:pPr>
        <w:ind w:firstLine="656"/>
        <w:spacing w:after="0" w:line="292" w:lineRule="auto"/>
        <w:tabs>
          <w:tab w:leader="none" w:pos="1296" w:val="left"/>
        </w:tabs>
        <w:numPr>
          <w:ilvl w:val="0"/>
          <w:numId w:val="713"/>
        </w:numPr>
        <w:rPr>
          <w:rFonts w:ascii="Arial" w:cs="Arial" w:eastAsia="Arial" w:hAnsi="Arial"/>
          <w:sz w:val="19"/>
          <w:szCs w:val="19"/>
          <w:color w:val="auto"/>
        </w:rPr>
      </w:pPr>
      <w:r>
        <w:rPr>
          <w:rFonts w:ascii="Arial" w:cs="Arial" w:eastAsia="Arial" w:hAnsi="Arial"/>
          <w:sz w:val="19"/>
          <w:szCs w:val="19"/>
          <w:u w:val="single" w:color="auto"/>
          <w:color w:val="auto"/>
        </w:rPr>
        <w:t>Headings and Construction</w:t>
      </w:r>
      <w:r>
        <w:rPr>
          <w:rFonts w:ascii="Arial" w:cs="Arial" w:eastAsia="Arial" w:hAnsi="Arial"/>
          <w:sz w:val="19"/>
          <w:szCs w:val="19"/>
          <w:color w:val="auto"/>
        </w:rPr>
        <w:t>. Headings are given to the Sections and subsections of the Plan solely as a convenience to facilitate reference. Such headings shall not be deemed in any way material or relevant to the construction or interpretation of the Plan or any provision thereof. Whenever the words “include”, “includes” or “including” are used in the Plan, they shall be deemed to be followed by the words “but not limited to”, and the word “or” shall not be deemed to be exclusive. Pronouns and other words of gender shall be read as gender-neutral. Words importing the plural shall include the singular and the singular shall include the plural. For the avoidance of doubt, where a term of the Plan is required by Section 423 of the Code, such term need not apply to the Non-423 Component of the Plan as determined in the sole discretion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80"/>
          </w:cols>
          <w:pgMar w:left="320" w:top="1428" w:right="399" w:bottom="1440" w:gutter="0" w:footer="0" w:header="0"/>
        </w:sectPr>
      </w:pPr>
    </w:p>
    <w:bookmarkStart w:id="841" w:name="page842"/>
    <w:bookmarkEnd w:id="841"/>
    <w:p>
      <w:pPr>
        <w:ind w:left="1032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consummation of this offering, the following entities are wholly owned subsidiaries of Robinhood Markets, Inc.</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Name of Subsidiary</w:t>
            </w:r>
          </w:p>
        </w:tc>
        <w:tc>
          <w:tcPr>
            <w:tcW w:w="562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22"/>
                <w:szCs w:val="22"/>
                <w:b w:val="1"/>
                <w:bCs w:val="1"/>
                <w:color w:val="auto"/>
              </w:rPr>
              <w:t>State/Country of Organization</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20" w:type="dxa"/>
            <w:vAlign w:val="bottom"/>
            <w:tcBorders>
              <w:top w:val="single" w:sz="8" w:color="auto"/>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Robinhood Financial LLC</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Delaware</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Robinhood Securities, LLC</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Delaware</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Robinhood Crypto, LLC</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Delaware</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Robinhood U.K. LTD</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Kingdom</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Robinhood Money, LLC</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Delaware</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Bonaldoo B.V.</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Netherlands</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Sherwood Reinsurance Company, Inc.</w:t>
            </w: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Hawaii</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22" w:right="319" w:bottom="1440" w:gutter="0" w:footer="0" w:header="0"/>
        </w:sectPr>
      </w:pPr>
    </w:p>
    <w:bookmarkStart w:id="842" w:name="page843"/>
    <w:bookmarkEnd w:id="8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reference to our firm under the caption "Experts" and to the use of our report dated March 22, 2021, in the Registration Statement (Form S-1) and related Prospectus of Robinhood Markets, Inc. for the registration of shares of its Class A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San Jose, California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1, 2021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E41D8"/>
    <w:multiLevelType w:val="hybridMultilevel"/>
    <w:lvl w:ilvl="0">
      <w:lvlJc w:val="left"/>
      <w:lvlText w:val="(%1)"/>
      <w:numFmt w:val="decimal"/>
      <w:start w:val="1"/>
    </w:lvl>
  </w:abstractNum>
  <w:abstractNum w:abstractNumId="1">
    <w:nsid w:val="71DCE0FD"/>
    <w:multiLevelType w:val="hybridMultilevel"/>
    <w:lvl w:ilvl="0">
      <w:lvlJc w:val="left"/>
      <w:lvlText w:val="•"/>
      <w:numFmt w:val="bullet"/>
      <w:start w:val="1"/>
    </w:lvl>
  </w:abstractNum>
  <w:abstractNum w:abstractNumId="2">
    <w:nsid w:val="7906328B"/>
    <w:multiLevelType w:val="hybridMultilevel"/>
    <w:lvl w:ilvl="0">
      <w:lvlJc w:val="left"/>
      <w:lvlText w:val="•"/>
      <w:numFmt w:val="bullet"/>
      <w:start w:val="1"/>
    </w:lvl>
  </w:abstractNum>
  <w:abstractNum w:abstractNumId="3">
    <w:nsid w:val="72BBC16"/>
    <w:multiLevelType w:val="hybridMultilevel"/>
    <w:lvl w:ilvl="0">
      <w:lvlJc w:val="left"/>
      <w:lvlText w:val="•"/>
      <w:numFmt w:val="bullet"/>
      <w:start w:val="1"/>
    </w:lvl>
  </w:abstractNum>
  <w:abstractNum w:abstractNumId="4">
    <w:nsid w:val="766D98C2"/>
    <w:multiLevelType w:val="hybridMultilevel"/>
    <w:lvl w:ilvl="0">
      <w:lvlJc w:val="left"/>
      <w:lvlText w:val="•"/>
      <w:numFmt w:val="bullet"/>
      <w:start w:val="1"/>
    </w:lvl>
  </w:abstractNum>
  <w:abstractNum w:abstractNumId="5">
    <w:nsid w:val="3C09D4A1"/>
    <w:multiLevelType w:val="hybridMultilevel"/>
    <w:lvl w:ilvl="0">
      <w:lvlJc w:val="left"/>
      <w:lvlText w:val="•"/>
      <w:numFmt w:val="bullet"/>
      <w:start w:val="1"/>
    </w:lvl>
  </w:abstractNum>
  <w:abstractNum w:abstractNumId="6">
    <w:nsid w:val="20E45CA4"/>
    <w:multiLevelType w:val="hybridMultilevel"/>
    <w:lvl w:ilvl="0">
      <w:lvlJc w:val="left"/>
      <w:lvlText w:val="•"/>
      <w:numFmt w:val="bullet"/>
      <w:start w:val="1"/>
    </w:lvl>
  </w:abstractNum>
  <w:abstractNum w:abstractNumId="7">
    <w:nsid w:val="4B232EE3"/>
    <w:multiLevelType w:val="hybridMultilevel"/>
    <w:lvl w:ilvl="0">
      <w:lvlJc w:val="left"/>
      <w:lvlText w:val="•"/>
      <w:numFmt w:val="bullet"/>
      <w:start w:val="1"/>
    </w:lvl>
  </w:abstractNum>
  <w:abstractNum w:abstractNumId="8">
    <w:nsid w:val="159C74CF"/>
    <w:multiLevelType w:val="hybridMultilevel"/>
    <w:lvl w:ilvl="0">
      <w:lvlJc w:val="left"/>
      <w:lvlText w:val="•"/>
      <w:numFmt w:val="bullet"/>
      <w:start w:val="1"/>
    </w:lvl>
  </w:abstractNum>
  <w:abstractNum w:abstractNumId="9">
    <w:nsid w:val="4AD3AFD2"/>
    <w:multiLevelType w:val="hybridMultilevel"/>
    <w:lvl w:ilvl="0">
      <w:lvlJc w:val="left"/>
      <w:lvlText w:val="•"/>
      <w:numFmt w:val="bullet"/>
      <w:start w:val="1"/>
    </w:lvl>
  </w:abstractNum>
  <w:abstractNum w:abstractNumId="10">
    <w:nsid w:val="3CF93092"/>
    <w:multiLevelType w:val="hybridMultilevel"/>
    <w:lvl w:ilvl="0">
      <w:lvlJc w:val="left"/>
      <w:lvlText w:val="•"/>
      <w:numFmt w:val="bullet"/>
      <w:start w:val="1"/>
    </w:lvl>
  </w:abstractNum>
  <w:abstractNum w:abstractNumId="11">
    <w:nsid w:val="6863E8D2"/>
    <w:multiLevelType w:val="hybridMultilevel"/>
    <w:lvl w:ilvl="0">
      <w:lvlJc w:val="left"/>
      <w:lvlText w:val="•"/>
      <w:numFmt w:val="bullet"/>
      <w:start w:val="1"/>
    </w:lvl>
  </w:abstractNum>
  <w:abstractNum w:abstractNumId="12">
    <w:nsid w:val="76896198"/>
    <w:multiLevelType w:val="hybridMultilevel"/>
    <w:lvl w:ilvl="0">
      <w:lvlJc w:val="left"/>
      <w:lvlText w:val="•"/>
      <w:numFmt w:val="bullet"/>
      <w:start w:val="1"/>
    </w:lvl>
  </w:abstractNum>
  <w:abstractNum w:abstractNumId="13">
    <w:nsid w:val="4365174B"/>
    <w:multiLevelType w:val="hybridMultilevel"/>
    <w:lvl w:ilvl="0">
      <w:lvlJc w:val="left"/>
      <w:lvlText w:val="•"/>
      <w:numFmt w:val="bullet"/>
      <w:start w:val="1"/>
    </w:lvl>
  </w:abstractNum>
  <w:abstractNum w:abstractNumId="14">
    <w:nsid w:val="4A872C35"/>
    <w:multiLevelType w:val="hybridMultilevel"/>
    <w:lvl w:ilvl="0">
      <w:lvlJc w:val="left"/>
      <w:lvlText w:val="•"/>
      <w:numFmt w:val="bullet"/>
      <w:start w:val="1"/>
    </w:lvl>
  </w:abstractNum>
  <w:abstractNum w:abstractNumId="15">
    <w:nsid w:val="5D5CE761"/>
    <w:multiLevelType w:val="hybridMultilevel"/>
    <w:lvl w:ilvl="0">
      <w:lvlJc w:val="left"/>
      <w:lvlText w:val="•"/>
      <w:numFmt w:val="bullet"/>
      <w:start w:val="1"/>
    </w:lvl>
    <w:lvl w:ilvl="1">
      <w:lvlJc w:val="left"/>
      <w:lvlText w:val="◦"/>
      <w:numFmt w:val="bullet"/>
      <w:start w:val="1"/>
    </w:lvl>
  </w:abstractNum>
  <w:abstractNum w:abstractNumId="16">
    <w:nsid w:val="1CD484D5"/>
    <w:multiLevelType w:val="hybridMultilevel"/>
    <w:lvl w:ilvl="0">
      <w:lvlJc w:val="left"/>
      <w:lvlText w:val="◦"/>
      <w:numFmt w:val="bullet"/>
      <w:start w:val="1"/>
    </w:lvl>
  </w:abstractNum>
  <w:abstractNum w:abstractNumId="17">
    <w:nsid w:val="21D06255"/>
    <w:multiLevelType w:val="hybridMultilevel"/>
    <w:lvl w:ilvl="0">
      <w:lvlJc w:val="left"/>
      <w:lvlText w:val="•"/>
      <w:numFmt w:val="bullet"/>
      <w:start w:val="1"/>
    </w:lvl>
  </w:abstractNum>
  <w:abstractNum w:abstractNumId="18">
    <w:nsid w:val="51194ED1"/>
    <w:multiLevelType w:val="hybridMultilevel"/>
    <w:lvl w:ilvl="0">
      <w:lvlJc w:val="left"/>
      <w:lvlText w:val="•"/>
      <w:numFmt w:val="bullet"/>
      <w:start w:val="1"/>
    </w:lvl>
  </w:abstractNum>
  <w:abstractNum w:abstractNumId="19">
    <w:nsid w:val="44E2ED6C"/>
    <w:multiLevelType w:val="hybridMultilevel"/>
    <w:lvl w:ilvl="0">
      <w:lvlJc w:val="left"/>
      <w:lvlText w:val="$"/>
      <w:numFmt w:val="bullet"/>
      <w:start w:val="1"/>
    </w:lvl>
  </w:abstractNum>
  <w:abstractNum w:abstractNumId="20">
    <w:nsid w:val="2219B33"/>
    <w:multiLevelType w:val="hybridMultilevel"/>
    <w:lvl w:ilvl="0">
      <w:lvlJc w:val="left"/>
      <w:lvlText w:val="•"/>
      <w:numFmt w:val="bullet"/>
      <w:start w:val="1"/>
    </w:lvl>
  </w:abstractNum>
  <w:abstractNum w:abstractNumId="21">
    <w:nsid w:val="773BFBDD"/>
    <w:multiLevelType w:val="hybridMultilevel"/>
    <w:lvl w:ilvl="0">
      <w:lvlJc w:val="left"/>
      <w:lvlText w:val="(%1)"/>
      <w:numFmt w:val="decimal"/>
      <w:start w:val="1"/>
    </w:lvl>
  </w:abstractNum>
  <w:abstractNum w:abstractNumId="22">
    <w:nsid w:val="2C7C62C2"/>
    <w:multiLevelType w:val="hybridMultilevel"/>
    <w:lvl w:ilvl="0">
      <w:lvlJc w:val="left"/>
      <w:lvlText w:val="(%1)"/>
      <w:numFmt w:val="decimal"/>
      <w:start w:val="2"/>
    </w:lvl>
    <w:lvl w:ilvl="1">
      <w:lvlJc w:val="left"/>
      <w:lvlText w:val="(%2)"/>
      <w:numFmt w:val="lowerRoman"/>
      <w:start w:val="2"/>
    </w:lvl>
  </w:abstractNum>
  <w:abstractNum w:abstractNumId="23">
    <w:nsid w:val="1A54D7BC"/>
    <w:multiLevelType w:val="hybridMultilevel"/>
    <w:lvl w:ilvl="0">
      <w:lvlJc w:val="left"/>
      <w:lvlText w:val="(%1)"/>
      <w:numFmt w:val="lowerRoman"/>
      <w:start w:val="7"/>
    </w:lvl>
  </w:abstractNum>
  <w:abstractNum w:abstractNumId="24">
    <w:nsid w:val="42E57EF7"/>
    <w:multiLevelType w:val="hybridMultilevel"/>
    <w:lvl w:ilvl="0">
      <w:lvlJc w:val="left"/>
      <w:lvlText w:val="(%1)"/>
      <w:numFmt w:val="decimal"/>
      <w:start w:val="1"/>
    </w:lvl>
    <w:lvl w:ilvl="1">
      <w:lvlJc w:val="left"/>
      <w:lvlText w:val="$"/>
      <w:numFmt w:val="bullet"/>
      <w:start w:val="1"/>
    </w:lvl>
  </w:abstractNum>
  <w:abstractNum w:abstractNumId="25">
    <w:nsid w:val="33537CED"/>
    <w:multiLevelType w:val="hybridMultilevel"/>
    <w:lvl w:ilvl="0">
      <w:lvlJc w:val="left"/>
      <w:lvlText w:val="(%1)"/>
      <w:numFmt w:val="decimal"/>
      <w:start w:val="3"/>
    </w:lvl>
  </w:abstractNum>
  <w:abstractNum w:abstractNumId="26">
    <w:nsid w:val="27514ADE"/>
    <w:multiLevelType w:val="hybridMultilevel"/>
    <w:lvl w:ilvl="0">
      <w:lvlJc w:val="left"/>
      <w:lvlText w:val="(%1)"/>
      <w:numFmt w:val="decimal"/>
      <w:start w:val="4"/>
    </w:lvl>
  </w:abstractNum>
  <w:abstractNum w:abstractNumId="27">
    <w:nsid w:val="57071613"/>
    <w:multiLevelType w:val="hybridMultilevel"/>
    <w:lvl w:ilvl="0">
      <w:lvlJc w:val="left"/>
      <w:lvlText w:val="(%1)"/>
      <w:numFmt w:val="decimal"/>
      <w:start w:val="1"/>
    </w:lvl>
  </w:abstractNum>
  <w:abstractNum w:abstractNumId="28">
    <w:nsid w:val="5293BFEF"/>
    <w:multiLevelType w:val="hybridMultilevel"/>
    <w:lvl w:ilvl="0">
      <w:lvlJc w:val="left"/>
      <w:lvlText w:val="(%1)"/>
      <w:numFmt w:val="decimal"/>
      <w:start w:val="2"/>
    </w:lvl>
  </w:abstractNum>
  <w:abstractNum w:abstractNumId="29">
    <w:nsid w:val="38BF53E5"/>
    <w:multiLevelType w:val="hybridMultilevel"/>
    <w:lvl w:ilvl="0">
      <w:lvlJc w:val="left"/>
      <w:lvlText w:val="(%1)"/>
      <w:numFmt w:val="decimal"/>
      <w:start w:val="4"/>
    </w:lvl>
  </w:abstractNum>
  <w:abstractNum w:abstractNumId="30">
    <w:nsid w:val="226F5320"/>
    <w:multiLevelType w:val="hybridMultilevel"/>
    <w:lvl w:ilvl="0">
      <w:lvlJc w:val="left"/>
      <w:lvlText w:val="(%1)"/>
      <w:numFmt w:val="decimal"/>
      <w:start w:val="1"/>
    </w:lvl>
  </w:abstractNum>
  <w:abstractNum w:abstractNumId="31">
    <w:nsid w:val="5A0201C7"/>
    <w:multiLevelType w:val="hybridMultilevel"/>
    <w:lvl w:ilvl="0">
      <w:lvlJc w:val="left"/>
      <w:lvlText w:val="•"/>
      <w:numFmt w:val="bullet"/>
      <w:start w:val="1"/>
    </w:lvl>
  </w:abstractNum>
  <w:abstractNum w:abstractNumId="32">
    <w:nsid w:val="2A9C34E2"/>
    <w:multiLevelType w:val="hybridMultilevel"/>
    <w:lvl w:ilvl="0">
      <w:lvlJc w:val="left"/>
      <w:lvlText w:val="•"/>
      <w:numFmt w:val="bullet"/>
      <w:start w:val="1"/>
    </w:lvl>
  </w:abstractNum>
  <w:abstractNum w:abstractNumId="33">
    <w:nsid w:val="1B7585AB"/>
    <w:multiLevelType w:val="hybridMultilevel"/>
    <w:lvl w:ilvl="0">
      <w:lvlJc w:val="left"/>
      <w:lvlText w:val="•"/>
      <w:numFmt w:val="bullet"/>
      <w:start w:val="1"/>
    </w:lvl>
  </w:abstractNum>
  <w:abstractNum w:abstractNumId="34">
    <w:nsid w:val="612DBDDD"/>
    <w:multiLevelType w:val="hybridMultilevel"/>
    <w:lvl w:ilvl="0">
      <w:lvlJc w:val="left"/>
      <w:lvlText w:val="•"/>
      <w:numFmt w:val="bullet"/>
      <w:start w:val="1"/>
    </w:lvl>
  </w:abstractNum>
  <w:abstractNum w:abstractNumId="35">
    <w:nsid w:val="2109CDA4"/>
    <w:multiLevelType w:val="hybridMultilevel"/>
    <w:lvl w:ilvl="0">
      <w:lvlJc w:val="left"/>
      <w:lvlText w:val="•"/>
      <w:numFmt w:val="bullet"/>
      <w:start w:val="1"/>
    </w:lvl>
  </w:abstractNum>
  <w:abstractNum w:abstractNumId="36">
    <w:nsid w:val="577F5A4D"/>
    <w:multiLevelType w:val="hybridMultilevel"/>
    <w:lvl w:ilvl="0">
      <w:lvlJc w:val="left"/>
      <w:lvlText w:val="•"/>
      <w:numFmt w:val="bullet"/>
      <w:start w:val="1"/>
    </w:lvl>
  </w:abstractNum>
  <w:abstractNum w:abstractNumId="37">
    <w:nsid w:val="2121A81"/>
    <w:multiLevelType w:val="hybridMultilevel"/>
    <w:lvl w:ilvl="0">
      <w:lvlJc w:val="left"/>
      <w:lvlText w:val="(%1)"/>
      <w:numFmt w:val="lowerRoman"/>
      <w:start w:val="1"/>
    </w:lvl>
  </w:abstractNum>
  <w:abstractNum w:abstractNumId="38">
    <w:nsid w:val="6C2CFC88"/>
    <w:multiLevelType w:val="hybridMultilevel"/>
    <w:lvl w:ilvl="0">
      <w:lvlJc w:val="left"/>
      <w:lvlText w:val="•"/>
      <w:numFmt w:val="bullet"/>
      <w:start w:val="1"/>
    </w:lvl>
  </w:abstractNum>
  <w:abstractNum w:abstractNumId="39">
    <w:nsid w:val="6D1BCF1C"/>
    <w:multiLevelType w:val="hybridMultilevel"/>
    <w:lvl w:ilvl="0">
      <w:lvlJc w:val="left"/>
      <w:lvlText w:val="•"/>
      <w:numFmt w:val="bullet"/>
      <w:start w:val="1"/>
    </w:lvl>
  </w:abstractNum>
  <w:abstractNum w:abstractNumId="40">
    <w:nsid w:val="4CE5CA53"/>
    <w:multiLevelType w:val="hybridMultilevel"/>
    <w:lvl w:ilvl="0">
      <w:lvlJc w:val="left"/>
      <w:lvlText w:val="•"/>
      <w:numFmt w:val="bullet"/>
      <w:start w:val="1"/>
    </w:lvl>
  </w:abstractNum>
  <w:abstractNum w:abstractNumId="41">
    <w:nsid w:val="29262D1A"/>
    <w:multiLevelType w:val="hybridMultilevel"/>
    <w:lvl w:ilvl="0">
      <w:lvlJc w:val="left"/>
      <w:lvlText w:val="•"/>
      <w:numFmt w:val="bullet"/>
      <w:start w:val="1"/>
    </w:lvl>
  </w:abstractNum>
  <w:abstractNum w:abstractNumId="42">
    <w:nsid w:val="557FB7EE"/>
    <w:multiLevelType w:val="hybridMultilevel"/>
    <w:lvl w:ilvl="0">
      <w:lvlJc w:val="left"/>
      <w:lvlText w:val="•"/>
      <w:numFmt w:val="bullet"/>
      <w:start w:val="1"/>
    </w:lvl>
  </w:abstractNum>
  <w:abstractNum w:abstractNumId="43">
    <w:nsid w:val="436F2BEB"/>
    <w:multiLevelType w:val="hybridMultilevel"/>
    <w:lvl w:ilvl="0">
      <w:lvlJc w:val="left"/>
      <w:lvlText w:val="•"/>
      <w:numFmt w:val="bullet"/>
      <w:start w:val="1"/>
    </w:lvl>
  </w:abstractNum>
  <w:abstractNum w:abstractNumId="44">
    <w:nsid w:val="6C8B4466"/>
    <w:multiLevelType w:val="hybridMultilevel"/>
    <w:lvl w:ilvl="0">
      <w:lvlJc w:val="left"/>
      <w:lvlText w:val="•"/>
      <w:numFmt w:val="bullet"/>
      <w:start w:val="1"/>
    </w:lvl>
  </w:abstractNum>
  <w:abstractNum w:abstractNumId="45">
    <w:nsid w:val="2006E424"/>
    <w:multiLevelType w:val="hybridMultilevel"/>
    <w:lvl w:ilvl="0">
      <w:lvlJc w:val="left"/>
      <w:lvlText w:val="•"/>
      <w:numFmt w:val="bullet"/>
      <w:start w:val="1"/>
    </w:lvl>
  </w:abstractNum>
  <w:abstractNum w:abstractNumId="46">
    <w:nsid w:val="20CC134C"/>
    <w:multiLevelType w:val="hybridMultilevel"/>
    <w:lvl w:ilvl="0">
      <w:lvlJc w:val="left"/>
      <w:lvlText w:val="•"/>
      <w:numFmt w:val="bullet"/>
      <w:start w:val="1"/>
    </w:lvl>
  </w:abstractNum>
  <w:abstractNum w:abstractNumId="47">
    <w:nsid w:val="95FC93B"/>
    <w:multiLevelType w:val="hybridMultilevel"/>
    <w:lvl w:ilvl="0">
      <w:lvlJc w:val="left"/>
      <w:lvlText w:val="•"/>
      <w:numFmt w:val="bullet"/>
      <w:start w:val="1"/>
    </w:lvl>
    <w:lvl w:ilvl="1">
      <w:lvlJc w:val="left"/>
      <w:lvlText w:val="◦"/>
      <w:numFmt w:val="bullet"/>
      <w:start w:val="1"/>
    </w:lvl>
  </w:abstractNum>
  <w:abstractNum w:abstractNumId="48">
    <w:nsid w:val="41D74679"/>
    <w:multiLevelType w:val="hybridMultilevel"/>
    <w:lvl w:ilvl="0">
      <w:lvlJc w:val="left"/>
      <w:lvlText w:val="◦"/>
      <w:numFmt w:val="bullet"/>
      <w:start w:val="1"/>
    </w:lvl>
  </w:abstractNum>
  <w:abstractNum w:abstractNumId="49">
    <w:nsid w:val="71E5621E"/>
    <w:multiLevelType w:val="hybridMultilevel"/>
    <w:lvl w:ilvl="0">
      <w:lvlJc w:val="left"/>
      <w:lvlText w:val="(%1)"/>
      <w:numFmt w:val="decimal"/>
      <w:start w:val="3"/>
    </w:lvl>
  </w:abstractNum>
  <w:abstractNum w:abstractNumId="50">
    <w:nsid w:val="4E42B6A8"/>
    <w:multiLevelType w:val="hybridMultilevel"/>
    <w:lvl w:ilvl="0">
      <w:lvlJc w:val="left"/>
      <w:lvlText w:val="(%1)"/>
      <w:numFmt w:val="upperLetter"/>
      <w:start w:val="1"/>
    </w:lvl>
  </w:abstractNum>
  <w:abstractNum w:abstractNumId="51">
    <w:nsid w:val="43F8E1AC"/>
    <w:multiLevelType w:val="hybridMultilevel"/>
    <w:lvl w:ilvl="0">
      <w:lvlJc w:val="left"/>
      <w:lvlText w:val="•"/>
      <w:numFmt w:val="bullet"/>
      <w:start w:val="1"/>
    </w:lvl>
  </w:abstractNum>
  <w:abstractNum w:abstractNumId="52">
    <w:nsid w:val="69215DFB"/>
    <w:multiLevelType w:val="hybridMultilevel"/>
    <w:lvl w:ilvl="0">
      <w:lvlJc w:val="left"/>
      <w:lvlText w:val="•"/>
      <w:numFmt w:val="bullet"/>
      <w:start w:val="1"/>
    </w:lvl>
  </w:abstractNum>
  <w:abstractNum w:abstractNumId="53">
    <w:nsid w:val="7ABF196A"/>
    <w:multiLevelType w:val="hybridMultilevel"/>
    <w:lvl w:ilvl="0">
      <w:lvlJc w:val="left"/>
      <w:lvlText w:val="•"/>
      <w:numFmt w:val="bullet"/>
      <w:start w:val="1"/>
    </w:lvl>
  </w:abstractNum>
  <w:abstractNum w:abstractNumId="54">
    <w:nsid w:val="5E4DB968"/>
    <w:multiLevelType w:val="hybridMultilevel"/>
    <w:lvl w:ilvl="0">
      <w:lvlJc w:val="left"/>
      <w:lvlText w:val="•"/>
      <w:numFmt w:val="bullet"/>
      <w:start w:val="1"/>
    </w:lvl>
  </w:abstractNum>
  <w:abstractNum w:abstractNumId="55">
    <w:nsid w:val="2C06DCF3"/>
    <w:multiLevelType w:val="hybridMultilevel"/>
    <w:lvl w:ilvl="0">
      <w:lvlJc w:val="left"/>
      <w:lvlText w:val="•"/>
      <w:numFmt w:val="bullet"/>
      <w:start w:val="1"/>
    </w:lvl>
  </w:abstractNum>
  <w:abstractNum w:abstractNumId="56">
    <w:nsid w:val="2E129658"/>
    <w:multiLevelType w:val="hybridMultilevel"/>
    <w:lvl w:ilvl="0">
      <w:lvlJc w:val="left"/>
      <w:lvlText w:val="•"/>
      <w:numFmt w:val="bullet"/>
      <w:start w:val="1"/>
    </w:lvl>
  </w:abstractNum>
  <w:abstractNum w:abstractNumId="57">
    <w:nsid w:val="59F0446"/>
    <w:multiLevelType w:val="hybridMultilevel"/>
    <w:lvl w:ilvl="0">
      <w:lvlJc w:val="left"/>
      <w:lvlText w:val="$"/>
      <w:numFmt w:val="bullet"/>
      <w:start w:val="1"/>
    </w:lvl>
  </w:abstractNum>
  <w:abstractNum w:abstractNumId="58">
    <w:nsid w:val="30DF306"/>
    <w:multiLevelType w:val="hybridMultilevel"/>
    <w:lvl w:ilvl="0">
      <w:lvlJc w:val="left"/>
      <w:lvlText w:val="(%1)"/>
      <w:numFmt w:val="decimal"/>
      <w:start w:val="2"/>
    </w:lvl>
  </w:abstractNum>
  <w:abstractNum w:abstractNumId="59">
    <w:nsid w:val="A65647"/>
    <w:multiLevelType w:val="hybridMultilevel"/>
    <w:lvl w:ilvl="0">
      <w:lvlJc w:val="left"/>
      <w:lvlText w:val="•"/>
      <w:numFmt w:val="bullet"/>
      <w:start w:val="1"/>
    </w:lvl>
  </w:abstractNum>
  <w:abstractNum w:abstractNumId="60">
    <w:nsid w:val="3E5E582B"/>
    <w:multiLevelType w:val="hybridMultilevel"/>
    <w:lvl w:ilvl="0">
      <w:lvlJc w:val="left"/>
      <w:lvlText w:val="•"/>
      <w:numFmt w:val="bullet"/>
      <w:start w:val="1"/>
    </w:lvl>
    <w:lvl w:ilvl="1">
      <w:lvlJc w:val="left"/>
      <w:lvlText w:val="◦"/>
      <w:numFmt w:val="bullet"/>
      <w:start w:val="1"/>
    </w:lvl>
  </w:abstractNum>
  <w:abstractNum w:abstractNumId="61">
    <w:nsid w:val="257D4626"/>
    <w:multiLevelType w:val="hybridMultilevel"/>
    <w:lvl w:ilvl="0">
      <w:lvlJc w:val="left"/>
      <w:lvlText w:val="◦"/>
      <w:numFmt w:val="bullet"/>
      <w:start w:val="1"/>
    </w:lvl>
  </w:abstractNum>
  <w:abstractNum w:abstractNumId="62">
    <w:nsid w:val="5AA8580E"/>
    <w:multiLevelType w:val="hybridMultilevel"/>
    <w:lvl w:ilvl="0">
      <w:lvlJc w:val="left"/>
      <w:lvlText w:val="•"/>
      <w:numFmt w:val="bullet"/>
      <w:start w:val="1"/>
    </w:lvl>
  </w:abstractNum>
  <w:abstractNum w:abstractNumId="63">
    <w:nsid w:val="68FA8D0D"/>
    <w:multiLevelType w:val="hybridMultilevel"/>
    <w:lvl w:ilvl="0">
      <w:lvlJc w:val="left"/>
      <w:lvlText w:val="•"/>
      <w:numFmt w:val="bullet"/>
      <w:start w:val="1"/>
    </w:lvl>
  </w:abstractNum>
  <w:abstractNum w:abstractNumId="64">
    <w:nsid w:val="40F2CBD2"/>
    <w:multiLevelType w:val="hybridMultilevel"/>
    <w:lvl w:ilvl="0">
      <w:lvlJc w:val="left"/>
      <w:lvlText w:val="◦"/>
      <w:numFmt w:val="bullet"/>
      <w:start w:val="1"/>
    </w:lvl>
  </w:abstractNum>
  <w:abstractNum w:abstractNumId="65">
    <w:nsid w:val="3BD615EB"/>
    <w:multiLevelType w:val="hybridMultilevel"/>
    <w:lvl w:ilvl="0">
      <w:lvlJc w:val="left"/>
      <w:lvlText w:val="•"/>
      <w:numFmt w:val="bullet"/>
      <w:start w:val="1"/>
    </w:lvl>
  </w:abstractNum>
  <w:abstractNum w:abstractNumId="66">
    <w:nsid w:val="A045AB2"/>
    <w:multiLevelType w:val="hybridMultilevel"/>
    <w:lvl w:ilvl="0">
      <w:lvlJc w:val="left"/>
      <w:lvlText w:val="•"/>
      <w:numFmt w:val="bullet"/>
      <w:start w:val="1"/>
    </w:lvl>
  </w:abstractNum>
  <w:abstractNum w:abstractNumId="67">
    <w:nsid w:val="1872261F"/>
    <w:multiLevelType w:val="hybridMultilevel"/>
    <w:lvl w:ilvl="0">
      <w:lvlJc w:val="left"/>
      <w:lvlText w:val="•"/>
      <w:numFmt w:val="bullet"/>
      <w:start w:val="1"/>
    </w:lvl>
  </w:abstractNum>
  <w:abstractNum w:abstractNumId="68">
    <w:nsid w:val="3DE8306C"/>
    <w:multiLevelType w:val="hybridMultilevel"/>
    <w:lvl w:ilvl="0">
      <w:lvlJc w:val="left"/>
      <w:lvlText w:val="(%1)"/>
      <w:numFmt w:val="decimal"/>
      <w:start w:val="2"/>
    </w:lvl>
  </w:abstractNum>
  <w:abstractNum w:abstractNumId="69">
    <w:nsid w:val="7631573A"/>
    <w:multiLevelType w:val="hybridMultilevel"/>
    <w:lvl w:ilvl="0">
      <w:lvlJc w:val="left"/>
      <w:lvlText w:val="(%1)"/>
      <w:numFmt w:val="decimal"/>
      <w:start w:val="1"/>
    </w:lvl>
  </w:abstractNum>
  <w:abstractNum w:abstractNumId="70">
    <w:nsid w:val="58DF53B"/>
    <w:multiLevelType w:val="hybridMultilevel"/>
    <w:lvl w:ilvl="0">
      <w:lvlJc w:val="left"/>
      <w:lvlText w:val="•"/>
      <w:numFmt w:val="bullet"/>
      <w:start w:val="1"/>
    </w:lvl>
  </w:abstractNum>
  <w:abstractNum w:abstractNumId="71">
    <w:nsid w:val="ACDFAC0"/>
    <w:multiLevelType w:val="hybridMultilevel"/>
    <w:lvl w:ilvl="0">
      <w:lvlJc w:val="left"/>
      <w:lvlText w:val="•"/>
      <w:numFmt w:val="bullet"/>
      <w:start w:val="1"/>
    </w:lvl>
  </w:abstractNum>
  <w:abstractNum w:abstractNumId="72">
    <w:nsid w:val="1F578454"/>
    <w:multiLevelType w:val="hybridMultilevel"/>
    <w:lvl w:ilvl="0">
      <w:lvlJc w:val="left"/>
      <w:lvlText w:val="(%1)"/>
      <w:numFmt w:val="decimal"/>
      <w:start w:val="1"/>
    </w:lvl>
  </w:abstractNum>
  <w:abstractNum w:abstractNumId="73">
    <w:nsid w:val="5B0DAD2A"/>
    <w:multiLevelType w:val="hybridMultilevel"/>
    <w:lvl w:ilvl="0">
      <w:lvlJc w:val="left"/>
      <w:lvlText w:val="(%1)"/>
      <w:numFmt w:val="decimal"/>
      <w:start w:val="2"/>
    </w:lvl>
  </w:abstractNum>
  <w:abstractNum w:abstractNumId="74">
    <w:nsid w:val="4E3D26AB"/>
    <w:multiLevelType w:val="hybridMultilevel"/>
    <w:lvl w:ilvl="0">
      <w:lvlJc w:val="left"/>
      <w:lvlText w:val="(%1)"/>
      <w:numFmt w:val="decimal"/>
      <w:start w:val="4"/>
    </w:lvl>
    <w:lvl w:ilvl="1">
      <w:lvlJc w:val="left"/>
      <w:lvlText w:val="•"/>
      <w:numFmt w:val="bullet"/>
      <w:start w:val="1"/>
    </w:lvl>
  </w:abstractNum>
  <w:abstractNum w:abstractNumId="75">
    <w:nsid w:val="BE2C8BA"/>
    <w:multiLevelType w:val="hybridMultilevel"/>
    <w:lvl w:ilvl="0">
      <w:lvlJc w:val="left"/>
      <w:lvlText w:val="(%1)"/>
      <w:numFmt w:val="decimal"/>
      <w:start w:val="1"/>
    </w:lvl>
  </w:abstractNum>
  <w:abstractNum w:abstractNumId="76">
    <w:nsid w:val="7B14914E"/>
    <w:multiLevelType w:val="hybridMultilevel"/>
    <w:lvl w:ilvl="0">
      <w:lvlJc w:val="left"/>
      <w:lvlText w:val="•"/>
      <w:numFmt w:val="bullet"/>
      <w:start w:val="1"/>
    </w:lvl>
  </w:abstractNum>
  <w:abstractNum w:abstractNumId="77">
    <w:nsid w:val="6F0939F8"/>
    <w:multiLevelType w:val="hybridMultilevel"/>
    <w:lvl w:ilvl="0">
      <w:lvlJc w:val="left"/>
      <w:lvlText w:val="(%1)"/>
      <w:numFmt w:val="lowerLetter"/>
      <w:start w:val="2"/>
    </w:lvl>
  </w:abstractNum>
  <w:abstractNum w:abstractNumId="78">
    <w:nsid w:val="154291F6"/>
    <w:multiLevelType w:val="hybridMultilevel"/>
    <w:lvl w:ilvl="0">
      <w:lvlJc w:val="left"/>
      <w:lvlText w:val="(%1)"/>
      <w:numFmt w:val="decimal"/>
      <w:start w:val="1"/>
    </w:lvl>
  </w:abstractNum>
  <w:abstractNum w:abstractNumId="79">
    <w:nsid w:val="3CEBD7C7"/>
    <w:multiLevelType w:val="hybridMultilevel"/>
    <w:lvl w:ilvl="0">
      <w:lvlJc w:val="left"/>
      <w:lvlText w:val="(%1)"/>
      <w:numFmt w:val="lowerRoman"/>
      <w:start w:val="1"/>
    </w:lvl>
  </w:abstractNum>
  <w:abstractNum w:abstractNumId="80">
    <w:nsid w:val="60EE9C16"/>
    <w:multiLevelType w:val="hybridMultilevel"/>
    <w:lvl w:ilvl="0">
      <w:lvlJc w:val="left"/>
      <w:lvlText w:val="•"/>
      <w:numFmt w:val="bullet"/>
      <w:start w:val="1"/>
    </w:lvl>
  </w:abstractNum>
  <w:abstractNum w:abstractNumId="81">
    <w:nsid w:val="6385489E"/>
    <w:multiLevelType w:val="hybridMultilevel"/>
    <w:lvl w:ilvl="0">
      <w:lvlJc w:val="left"/>
      <w:lvlText w:val="•"/>
      <w:numFmt w:val="bullet"/>
      <w:start w:val="1"/>
    </w:lvl>
  </w:abstractNum>
  <w:abstractNum w:abstractNumId="82">
    <w:nsid w:val="E4B973"/>
    <w:multiLevelType w:val="hybridMultilevel"/>
    <w:lvl w:ilvl="0">
      <w:lvlJc w:val="left"/>
      <w:lvlText w:val="•"/>
      <w:numFmt w:val="bullet"/>
      <w:start w:val="1"/>
    </w:lvl>
  </w:abstractNum>
  <w:abstractNum w:abstractNumId="83">
    <w:nsid w:val="4A0FFA11"/>
    <w:multiLevelType w:val="hybridMultilevel"/>
    <w:lvl w:ilvl="0">
      <w:lvlJc w:val="left"/>
      <w:lvlText w:val="•"/>
      <w:numFmt w:val="bullet"/>
      <w:start w:val="1"/>
    </w:lvl>
  </w:abstractNum>
  <w:abstractNum w:abstractNumId="84">
    <w:nsid w:val="5E446208"/>
    <w:multiLevelType w:val="hybridMultilevel"/>
    <w:lvl w:ilvl="0">
      <w:lvlJc w:val="left"/>
      <w:lvlText w:val="•"/>
      <w:numFmt w:val="bullet"/>
      <w:start w:val="1"/>
    </w:lvl>
  </w:abstractNum>
  <w:abstractNum w:abstractNumId="85">
    <w:nsid w:val="5F3272DB"/>
    <w:multiLevelType w:val="hybridMultilevel"/>
    <w:lvl w:ilvl="0">
      <w:lvlJc w:val="left"/>
      <w:lvlText w:val="•"/>
      <w:numFmt w:val="bullet"/>
      <w:start w:val="1"/>
    </w:lvl>
  </w:abstractNum>
  <w:abstractNum w:abstractNumId="86">
    <w:nsid w:val="7616D704"/>
    <w:multiLevelType w:val="hybridMultilevel"/>
    <w:lvl w:ilvl="0">
      <w:lvlJc w:val="left"/>
      <w:lvlText w:val="•"/>
      <w:numFmt w:val="bullet"/>
      <w:start w:val="1"/>
    </w:lvl>
  </w:abstractNum>
  <w:abstractNum w:abstractNumId="87">
    <w:nsid w:val="C56F860"/>
    <w:multiLevelType w:val="hybridMultilevel"/>
    <w:lvl w:ilvl="0">
      <w:lvlJc w:val="left"/>
      <w:lvlText w:val="•"/>
      <w:numFmt w:val="bullet"/>
      <w:start w:val="1"/>
    </w:lvl>
  </w:abstractNum>
  <w:abstractNum w:abstractNumId="88">
    <w:nsid w:val="64D17722"/>
    <w:multiLevelType w:val="hybridMultilevel"/>
    <w:lvl w:ilvl="0">
      <w:lvlJc w:val="left"/>
      <w:lvlText w:val="•"/>
      <w:numFmt w:val="bullet"/>
      <w:start w:val="1"/>
    </w:lvl>
  </w:abstractNum>
  <w:abstractNum w:abstractNumId="89">
    <w:nsid w:val="7924CA0A"/>
    <w:multiLevelType w:val="hybridMultilevel"/>
    <w:lvl w:ilvl="0">
      <w:lvlJc w:val="left"/>
      <w:lvlText w:val="•"/>
      <w:numFmt w:val="bullet"/>
      <w:start w:val="1"/>
    </w:lvl>
  </w:abstractNum>
  <w:abstractNum w:abstractNumId="90">
    <w:nsid w:val="CFD4EA7"/>
    <w:multiLevelType w:val="hybridMultilevel"/>
    <w:lvl w:ilvl="0">
      <w:lvlJc w:val="left"/>
      <w:lvlText w:val="•"/>
      <w:numFmt w:val="bullet"/>
      <w:start w:val="1"/>
    </w:lvl>
  </w:abstractNum>
  <w:abstractNum w:abstractNumId="91">
    <w:nsid w:val="232FCF4D"/>
    <w:multiLevelType w:val="hybridMultilevel"/>
    <w:lvl w:ilvl="0">
      <w:lvlJc w:val="left"/>
      <w:lvlText w:val="•"/>
      <w:numFmt w:val="bullet"/>
      <w:start w:val="1"/>
    </w:lvl>
  </w:abstractNum>
  <w:abstractNum w:abstractNumId="92">
    <w:nsid w:val="1EA21031"/>
    <w:multiLevelType w:val="hybridMultilevel"/>
    <w:lvl w:ilvl="0">
      <w:lvlJc w:val="left"/>
      <w:lvlText w:val="•"/>
      <w:numFmt w:val="bullet"/>
      <w:start w:val="1"/>
    </w:lvl>
  </w:abstractNum>
  <w:abstractNum w:abstractNumId="93">
    <w:nsid w:val="67A5A6B5"/>
    <w:multiLevelType w:val="hybridMultilevel"/>
    <w:lvl w:ilvl="0">
      <w:lvlJc w:val="left"/>
      <w:lvlText w:val="•"/>
      <w:numFmt w:val="bullet"/>
      <w:start w:val="1"/>
    </w:lvl>
  </w:abstractNum>
  <w:abstractNum w:abstractNumId="94">
    <w:nsid w:val="C2A5C5B"/>
    <w:multiLevelType w:val="hybridMultilevel"/>
    <w:lvl w:ilvl="0">
      <w:lvlJc w:val="left"/>
      <w:lvlText w:val="•"/>
      <w:numFmt w:val="bullet"/>
      <w:start w:val="1"/>
    </w:lvl>
  </w:abstractNum>
  <w:abstractNum w:abstractNumId="95">
    <w:nsid w:val="5F94DC03"/>
    <w:multiLevelType w:val="hybridMultilevel"/>
    <w:lvl w:ilvl="0">
      <w:lvlJc w:val="left"/>
      <w:lvlText w:val="•"/>
      <w:numFmt w:val="bullet"/>
      <w:start w:val="1"/>
    </w:lvl>
  </w:abstractNum>
  <w:abstractNum w:abstractNumId="96">
    <w:nsid w:val="237BBCA0"/>
    <w:multiLevelType w:val="hybridMultilevel"/>
    <w:lvl w:ilvl="0">
      <w:lvlJc w:val="left"/>
      <w:lvlText w:val="(%1)"/>
      <w:numFmt w:val="lowerRoman"/>
      <w:start w:val="3"/>
    </w:lvl>
  </w:abstractNum>
  <w:abstractNum w:abstractNumId="97">
    <w:nsid w:val="162EB70D"/>
    <w:multiLevelType w:val="hybridMultilevel"/>
    <w:lvl w:ilvl="0">
      <w:lvlJc w:val="left"/>
      <w:lvlText w:val="(%1)"/>
      <w:numFmt w:val="lowerRoman"/>
      <w:start w:val="2"/>
    </w:lvl>
  </w:abstractNum>
  <w:abstractNum w:abstractNumId="98">
    <w:nsid w:val="78070222"/>
    <w:multiLevelType w:val="hybridMultilevel"/>
    <w:lvl w:ilvl="0">
      <w:lvlJc w:val="left"/>
      <w:lvlText w:val="(%1)"/>
      <w:numFmt w:val="upperLetter"/>
      <w:start w:val="9"/>
    </w:lvl>
  </w:abstractNum>
  <w:abstractNum w:abstractNumId="99">
    <w:nsid w:val="6163ED0D"/>
    <w:multiLevelType w:val="hybridMultilevel"/>
    <w:lvl w:ilvl="0">
      <w:lvlJc w:val="left"/>
      <w:lvlText w:val="•"/>
      <w:numFmt w:val="bullet"/>
      <w:start w:val="1"/>
    </w:lvl>
  </w:abstractNum>
  <w:abstractNum w:abstractNumId="100">
    <w:nsid w:val="C600E47"/>
    <w:multiLevelType w:val="hybridMultilevel"/>
    <w:lvl w:ilvl="0">
      <w:lvlJc w:val="left"/>
      <w:lvlText w:val="•"/>
      <w:numFmt w:val="bullet"/>
      <w:start w:val="1"/>
    </w:lvl>
  </w:abstractNum>
  <w:abstractNum w:abstractNumId="101">
    <w:nsid w:val="7D94F75D"/>
    <w:multiLevelType w:val="hybridMultilevel"/>
    <w:lvl w:ilvl="0">
      <w:lvlJc w:val="left"/>
      <w:lvlText w:val="•"/>
      <w:numFmt w:val="bullet"/>
      <w:start w:val="1"/>
    </w:lvl>
  </w:abstractNum>
  <w:abstractNum w:abstractNumId="102">
    <w:nsid w:val="6C31E7CD"/>
    <w:multiLevelType w:val="hybridMultilevel"/>
    <w:lvl w:ilvl="0">
      <w:lvlJc w:val="left"/>
      <w:lvlText w:val="•"/>
      <w:numFmt w:val="bullet"/>
      <w:start w:val="1"/>
    </w:lvl>
  </w:abstractNum>
  <w:abstractNum w:abstractNumId="103">
    <w:nsid w:val="2BB7929B"/>
    <w:multiLevelType w:val="hybridMultilevel"/>
    <w:lvl w:ilvl="0">
      <w:lvlJc w:val="left"/>
      <w:lvlText w:val="•"/>
      <w:numFmt w:val="bullet"/>
      <w:start w:val="1"/>
    </w:lvl>
  </w:abstractNum>
  <w:abstractNum w:abstractNumId="104">
    <w:nsid w:val="58A2A487"/>
    <w:multiLevelType w:val="hybridMultilevel"/>
    <w:lvl w:ilvl="0">
      <w:lvlJc w:val="left"/>
      <w:lvlText w:val="•"/>
      <w:numFmt w:val="bullet"/>
      <w:start w:val="1"/>
    </w:lvl>
  </w:abstractNum>
  <w:abstractNum w:abstractNumId="105">
    <w:nsid w:val="3A6F0E78"/>
    <w:multiLevelType w:val="hybridMultilevel"/>
    <w:lvl w:ilvl="0">
      <w:lvlJc w:val="left"/>
      <w:lvlText w:val="•"/>
      <w:numFmt w:val="bullet"/>
      <w:start w:val="1"/>
    </w:lvl>
  </w:abstractNum>
  <w:abstractNum w:abstractNumId="106">
    <w:nsid w:val="379A5B56"/>
    <w:multiLevelType w:val="hybridMultilevel"/>
    <w:lvl w:ilvl="0">
      <w:lvlJc w:val="left"/>
      <w:lvlText w:val="(%1)"/>
      <w:numFmt w:val="decimal"/>
      <w:start w:val="1"/>
    </w:lvl>
  </w:abstractNum>
  <w:abstractNum w:abstractNumId="107">
    <w:nsid w:val="53B735D5"/>
    <w:multiLevelType w:val="hybridMultilevel"/>
    <w:lvl w:ilvl="0">
      <w:lvlJc w:val="left"/>
      <w:lvlText w:val="(%1)"/>
      <w:numFmt w:val="decimal"/>
      <w:start w:val="5"/>
    </w:lvl>
  </w:abstractNum>
  <w:abstractNum w:abstractNumId="108">
    <w:nsid w:val="29784870"/>
    <w:multiLevelType w:val="hybridMultilevel"/>
    <w:lvl w:ilvl="0">
      <w:lvlJc w:val="left"/>
      <w:lvlText w:val="(%1)"/>
      <w:numFmt w:val="decimal"/>
      <w:start w:val="1"/>
    </w:lvl>
  </w:abstractNum>
  <w:abstractNum w:abstractNumId="109">
    <w:nsid w:val="4CDCED4C"/>
    <w:multiLevelType w:val="hybridMultilevel"/>
    <w:lvl w:ilvl="0">
      <w:lvlJc w:val="left"/>
      <w:lvlText w:val="•"/>
      <w:numFmt w:val="bullet"/>
      <w:start w:val="1"/>
    </w:lvl>
  </w:abstractNum>
  <w:abstractNum w:abstractNumId="110">
    <w:nsid w:val="10A30D9C"/>
    <w:multiLevelType w:val="hybridMultilevel"/>
    <w:lvl w:ilvl="0">
      <w:lvlJc w:val="left"/>
      <w:lvlText w:val="•"/>
      <w:numFmt w:val="bullet"/>
      <w:start w:val="1"/>
    </w:lvl>
  </w:abstractNum>
  <w:abstractNum w:abstractNumId="111">
    <w:nsid w:val="A66E486"/>
    <w:multiLevelType w:val="hybridMultilevel"/>
    <w:lvl w:ilvl="0">
      <w:lvlJc w:val="left"/>
      <w:lvlText w:val="•"/>
      <w:numFmt w:val="bullet"/>
      <w:start w:val="1"/>
    </w:lvl>
  </w:abstractNum>
  <w:abstractNum w:abstractNumId="112">
    <w:nsid w:val="306235EA"/>
    <w:multiLevelType w:val="hybridMultilevel"/>
    <w:lvl w:ilvl="0">
      <w:lvlJc w:val="left"/>
      <w:lvlText w:val="•"/>
      <w:numFmt w:val="bullet"/>
      <w:start w:val="1"/>
    </w:lvl>
  </w:abstractNum>
  <w:abstractNum w:abstractNumId="113">
    <w:nsid w:val="1187C70F"/>
    <w:multiLevelType w:val="hybridMultilevel"/>
    <w:lvl w:ilvl="0">
      <w:lvlJc w:val="left"/>
      <w:lvlText w:val="•"/>
      <w:numFmt w:val="bullet"/>
      <w:start w:val="1"/>
    </w:lvl>
  </w:abstractNum>
  <w:abstractNum w:abstractNumId="114">
    <w:nsid w:val="5476DE98"/>
    <w:multiLevelType w:val="hybridMultilevel"/>
    <w:lvl w:ilvl="0">
      <w:lvlJc w:val="left"/>
      <w:lvlText w:val="•"/>
      <w:numFmt w:val="bullet"/>
      <w:start w:val="1"/>
    </w:lvl>
  </w:abstractNum>
  <w:abstractNum w:abstractNumId="115">
    <w:nsid w:val="EA697F2"/>
    <w:multiLevelType w:val="hybridMultilevel"/>
    <w:lvl w:ilvl="0">
      <w:lvlJc w:val="left"/>
      <w:lvlText w:val="•"/>
      <w:numFmt w:val="bullet"/>
      <w:start w:val="1"/>
    </w:lvl>
  </w:abstractNum>
  <w:abstractNum w:abstractNumId="116">
    <w:nsid w:val="70BA39EB"/>
    <w:multiLevelType w:val="hybridMultilevel"/>
    <w:lvl w:ilvl="0">
      <w:lvlJc w:val="left"/>
      <w:lvlText w:val="*"/>
      <w:numFmt w:val="bullet"/>
      <w:start w:val="1"/>
    </w:lvl>
  </w:abstractNum>
  <w:abstractNum w:abstractNumId="117">
    <w:nsid w:val="4A8DB59C"/>
    <w:multiLevelType w:val="hybridMultilevel"/>
    <w:lvl w:ilvl="0">
      <w:lvlJc w:val="left"/>
      <w:lvlText w:val="(%1)"/>
      <w:numFmt w:val="decimal"/>
      <w:start w:val="1"/>
    </w:lvl>
  </w:abstractNum>
  <w:abstractNum w:abstractNumId="118">
    <w:nsid w:val="1AFD9053"/>
    <w:multiLevelType w:val="hybridMultilevel"/>
    <w:lvl w:ilvl="0">
      <w:lvlJc w:val="left"/>
      <w:lvlText w:val="(%1)"/>
      <w:numFmt w:val="decimal"/>
      <w:start w:val="2"/>
    </w:lvl>
  </w:abstractNum>
  <w:abstractNum w:abstractNumId="119">
    <w:nsid w:val="558BB10D"/>
    <w:multiLevelType w:val="hybridMultilevel"/>
    <w:lvl w:ilvl="0">
      <w:lvlJc w:val="left"/>
      <w:lvlText w:val="(%1)"/>
      <w:numFmt w:val="decimal"/>
      <w:start w:val="7"/>
    </w:lvl>
  </w:abstractNum>
  <w:abstractNum w:abstractNumId="120">
    <w:nsid w:val="43B27FA7"/>
    <w:multiLevelType w:val="hybridMultilevel"/>
    <w:lvl w:ilvl="0">
      <w:lvlJc w:val="left"/>
      <w:lvlText w:val="•"/>
      <w:numFmt w:val="bullet"/>
      <w:start w:val="1"/>
    </w:lvl>
  </w:abstractNum>
  <w:abstractNum w:abstractNumId="121">
    <w:nsid w:val="27FADEFA"/>
    <w:multiLevelType w:val="hybridMultilevel"/>
    <w:lvl w:ilvl="0">
      <w:lvlJc w:val="left"/>
      <w:lvlText w:val="(%1)"/>
      <w:numFmt w:val="decimal"/>
      <w:start w:val="1"/>
    </w:lvl>
  </w:abstractNum>
  <w:abstractNum w:abstractNumId="122">
    <w:nsid w:val="78BB805A"/>
    <w:multiLevelType w:val="hybridMultilevel"/>
    <w:lvl w:ilvl="0">
      <w:lvlJc w:val="left"/>
      <w:lvlText w:val="(%1)"/>
      <w:numFmt w:val="decimal"/>
      <w:start w:val="1"/>
    </w:lvl>
  </w:abstractNum>
  <w:abstractNum w:abstractNumId="123">
    <w:nsid w:val="62548FD8"/>
    <w:multiLevelType w:val="hybridMultilevel"/>
    <w:lvl w:ilvl="0">
      <w:lvlJc w:val="left"/>
      <w:lvlText w:val="(%1)"/>
      <w:numFmt w:val="decimal"/>
      <w:start w:val="1"/>
    </w:lvl>
  </w:abstractNum>
  <w:abstractNum w:abstractNumId="124">
    <w:nsid w:val="FA085B0"/>
    <w:multiLevelType w:val="hybridMultilevel"/>
    <w:lvl w:ilvl="0">
      <w:lvlJc w:val="left"/>
      <w:lvlText w:val="(%1)"/>
      <w:numFmt w:val="decimal"/>
      <w:start w:val="1"/>
    </w:lvl>
  </w:abstractNum>
  <w:abstractNum w:abstractNumId="125">
    <w:nsid w:val="4E5DCB5"/>
    <w:multiLevelType w:val="hybridMultilevel"/>
    <w:lvl w:ilvl="0">
      <w:lvlJc w:val="left"/>
      <w:lvlText w:val="(%1)"/>
      <w:numFmt w:val="decimal"/>
      <w:start w:val="1"/>
    </w:lvl>
  </w:abstractNum>
  <w:abstractNum w:abstractNumId="126">
    <w:nsid w:val="41E96BDB"/>
    <w:multiLevelType w:val="hybridMultilevel"/>
    <w:lvl w:ilvl="0">
      <w:lvlJc w:val="left"/>
      <w:lvlText w:val="(%1)"/>
      <w:numFmt w:val="lowerRoman"/>
      <w:start w:val="1"/>
    </w:lvl>
  </w:abstractNum>
  <w:abstractNum w:abstractNumId="127">
    <w:nsid w:val="331C4250"/>
    <w:multiLevelType w:val="hybridMultilevel"/>
    <w:lvl w:ilvl="0">
      <w:lvlJc w:val="left"/>
      <w:lvlText w:val="•"/>
      <w:numFmt w:val="bullet"/>
      <w:start w:val="1"/>
    </w:lvl>
  </w:abstractNum>
  <w:abstractNum w:abstractNumId="128">
    <w:nsid w:val="1B1493C2"/>
    <w:multiLevelType w:val="hybridMultilevel"/>
    <w:lvl w:ilvl="0">
      <w:lvlJc w:val="left"/>
      <w:lvlText w:val="•"/>
      <w:numFmt w:val="bullet"/>
      <w:start w:val="1"/>
    </w:lvl>
  </w:abstractNum>
  <w:abstractNum w:abstractNumId="129">
    <w:nsid w:val="39F06DFD"/>
    <w:multiLevelType w:val="hybridMultilevel"/>
    <w:lvl w:ilvl="0">
      <w:lvlJc w:val="left"/>
      <w:lvlText w:val="•"/>
      <w:numFmt w:val="bullet"/>
      <w:start w:val="1"/>
    </w:lvl>
  </w:abstractNum>
  <w:abstractNum w:abstractNumId="130">
    <w:nsid w:val="14802F5D"/>
    <w:multiLevelType w:val="hybridMultilevel"/>
    <w:lvl w:ilvl="0">
      <w:lvlJc w:val="left"/>
      <w:lvlText w:val="(%1)"/>
      <w:numFmt w:val="lowerRoman"/>
      <w:start w:val="1"/>
    </w:lvl>
  </w:abstractNum>
  <w:abstractNum w:abstractNumId="131">
    <w:nsid w:val="2774A209"/>
    <w:multiLevelType w:val="hybridMultilevel"/>
    <w:lvl w:ilvl="0">
      <w:lvlJc w:val="left"/>
      <w:lvlText w:val="(%1)"/>
      <w:numFmt w:val="lowerLetter"/>
      <w:start w:val="3"/>
    </w:lvl>
  </w:abstractNum>
  <w:abstractNum w:abstractNumId="132">
    <w:nsid w:val="3785655A"/>
    <w:multiLevelType w:val="hybridMultilevel"/>
    <w:lvl w:ilvl="0">
      <w:lvlJc w:val="left"/>
      <w:lvlText w:val="•"/>
      <w:numFmt w:val="bullet"/>
      <w:start w:val="1"/>
    </w:lvl>
  </w:abstractNum>
  <w:abstractNum w:abstractNumId="133">
    <w:nsid w:val="B2172A"/>
    <w:multiLevelType w:val="hybridMultilevel"/>
    <w:lvl w:ilvl="0">
      <w:lvlJc w:val="left"/>
      <w:lvlText w:val="•"/>
      <w:numFmt w:val="bullet"/>
      <w:start w:val="1"/>
    </w:lvl>
  </w:abstractNum>
  <w:abstractNum w:abstractNumId="134">
    <w:nsid w:val="532C34A5"/>
    <w:multiLevelType w:val="hybridMultilevel"/>
    <w:lvl w:ilvl="0">
      <w:lvlJc w:val="left"/>
      <w:lvlText w:val="•"/>
      <w:numFmt w:val="bullet"/>
      <w:start w:val="1"/>
    </w:lvl>
  </w:abstractNum>
  <w:abstractNum w:abstractNumId="135">
    <w:nsid w:val="102809E2"/>
    <w:multiLevelType w:val="hybridMultilevel"/>
    <w:lvl w:ilvl="0">
      <w:lvlJc w:val="left"/>
      <w:lvlText w:val="•"/>
      <w:numFmt w:val="bullet"/>
      <w:start w:val="1"/>
    </w:lvl>
  </w:abstractNum>
  <w:abstractNum w:abstractNumId="136">
    <w:nsid w:val="3B2125A3"/>
    <w:multiLevelType w:val="hybridMultilevel"/>
    <w:lvl w:ilvl="0">
      <w:lvlJc w:val="left"/>
      <w:lvlText w:val="(%1)"/>
      <w:numFmt w:val="decimal"/>
      <w:start w:val="1"/>
    </w:lvl>
  </w:abstractNum>
  <w:abstractNum w:abstractNumId="137">
    <w:nsid w:val="AC68FFB"/>
    <w:multiLevelType w:val="hybridMultilevel"/>
    <w:lvl w:ilvl="0">
      <w:lvlJc w:val="left"/>
      <w:lvlText w:val="•"/>
      <w:numFmt w:val="bullet"/>
      <w:start w:val="1"/>
    </w:lvl>
  </w:abstractNum>
  <w:abstractNum w:abstractNumId="138">
    <w:nsid w:val="63DF3FB7"/>
    <w:multiLevelType w:val="hybridMultilevel"/>
    <w:lvl w:ilvl="0">
      <w:lvlJc w:val="left"/>
      <w:lvlText w:val="•"/>
      <w:numFmt w:val="bullet"/>
      <w:start w:val="1"/>
    </w:lvl>
    <w:lvl w:ilvl="1">
      <w:lvlJc w:val="left"/>
      <w:lvlText w:val="◦"/>
      <w:numFmt w:val="bullet"/>
      <w:start w:val="1"/>
    </w:lvl>
  </w:abstractNum>
  <w:abstractNum w:abstractNumId="139">
    <w:nsid w:val="64996E13"/>
    <w:multiLevelType w:val="hybridMultilevel"/>
    <w:lvl w:ilvl="0">
      <w:lvlJc w:val="left"/>
      <w:lvlText w:val="•"/>
      <w:numFmt w:val="bullet"/>
      <w:start w:val="1"/>
    </w:lvl>
  </w:abstractNum>
  <w:abstractNum w:abstractNumId="140">
    <w:nsid w:val="57A37D47"/>
    <w:multiLevelType w:val="hybridMultilevel"/>
    <w:lvl w:ilvl="0">
      <w:lvlJc w:val="left"/>
      <w:lvlText w:val="•"/>
      <w:numFmt w:val="bullet"/>
      <w:start w:val="1"/>
    </w:lvl>
  </w:abstractNum>
  <w:abstractNum w:abstractNumId="141">
    <w:nsid w:val="74824D54"/>
    <w:multiLevelType w:val="hybridMultilevel"/>
    <w:lvl w:ilvl="0">
      <w:lvlJc w:val="left"/>
      <w:lvlText w:val="•"/>
      <w:numFmt w:val="bullet"/>
      <w:start w:val="1"/>
    </w:lvl>
  </w:abstractNum>
  <w:abstractNum w:abstractNumId="142">
    <w:nsid w:val="6F00529A"/>
    <w:multiLevelType w:val="hybridMultilevel"/>
    <w:lvl w:ilvl="0">
      <w:lvlJc w:val="left"/>
      <w:lvlText w:val="•"/>
      <w:numFmt w:val="bullet"/>
      <w:start w:val="1"/>
    </w:lvl>
  </w:abstractNum>
  <w:abstractNum w:abstractNumId="143">
    <w:nsid w:val="805B331"/>
    <w:multiLevelType w:val="hybridMultilevel"/>
    <w:lvl w:ilvl="0">
      <w:lvlJc w:val="left"/>
      <w:lvlText w:val="(%1)"/>
      <w:numFmt w:val="decimal"/>
      <w:start w:val="1"/>
    </w:lvl>
  </w:abstractNum>
  <w:abstractNum w:abstractNumId="144">
    <w:nsid w:val="60A1463"/>
    <w:multiLevelType w:val="hybridMultilevel"/>
    <w:lvl w:ilvl="0">
      <w:lvlJc w:val="left"/>
      <w:lvlText w:val="•"/>
      <w:numFmt w:val="bullet"/>
      <w:start w:val="1"/>
    </w:lvl>
  </w:abstractNum>
  <w:abstractNum w:abstractNumId="145">
    <w:nsid w:val="43773132"/>
    <w:multiLevelType w:val="hybridMultilevel"/>
    <w:lvl w:ilvl="0">
      <w:lvlJc w:val="left"/>
      <w:lvlText w:val="•"/>
      <w:numFmt w:val="bullet"/>
      <w:start w:val="1"/>
    </w:lvl>
    <w:lvl w:ilvl="1">
      <w:lvlJc w:val="left"/>
      <w:lvlText w:val="◦"/>
      <w:numFmt w:val="bullet"/>
      <w:start w:val="1"/>
    </w:lvl>
  </w:abstractNum>
  <w:abstractNum w:abstractNumId="146">
    <w:nsid w:val="16AC4B23"/>
    <w:multiLevelType w:val="hybridMultilevel"/>
    <w:lvl w:ilvl="0">
      <w:lvlJc w:val="left"/>
      <w:lvlText w:val="•"/>
      <w:numFmt w:val="bullet"/>
      <w:start w:val="1"/>
    </w:lvl>
    <w:lvl w:ilvl="1">
      <w:lvlJc w:val="left"/>
      <w:lvlText w:val="◦"/>
      <w:numFmt w:val="bullet"/>
      <w:start w:val="1"/>
    </w:lvl>
  </w:abstractNum>
  <w:abstractNum w:abstractNumId="147">
    <w:nsid w:val="76C44E4E"/>
    <w:multiLevelType w:val="hybridMultilevel"/>
    <w:lvl w:ilvl="0">
      <w:lvlJc w:val="left"/>
      <w:lvlText w:val="(%1)"/>
      <w:numFmt w:val="lowerRoman"/>
      <w:start w:val="1"/>
    </w:lvl>
  </w:abstractNum>
  <w:abstractNum w:abstractNumId="148">
    <w:nsid w:val="E04E6CE"/>
    <w:multiLevelType w:val="hybridMultilevel"/>
    <w:lvl w:ilvl="0">
      <w:lvlJc w:val="left"/>
      <w:lvlText w:val="%1"/>
      <w:numFmt w:val="lowerRoman"/>
      <w:start w:val="1"/>
    </w:lvl>
    <w:lvl w:ilvl="1">
      <w:lvlJc w:val="left"/>
      <w:lvlText w:val="(%2)"/>
      <w:numFmt w:val="lowerRoman"/>
      <w:start w:val="5"/>
    </w:lvl>
  </w:abstractNum>
  <w:abstractNum w:abstractNumId="149">
    <w:nsid w:val="31A9DB76"/>
    <w:multiLevelType w:val="hybridMultilevel"/>
    <w:lvl w:ilvl="0">
      <w:lvlJc w:val="left"/>
      <w:lvlText w:val="(%1)"/>
      <w:numFmt w:val="lowerRoman"/>
      <w:start w:val="8"/>
    </w:lvl>
    <w:lvl w:ilvl="1">
      <w:lvlJc w:val="left"/>
      <w:lvlText w:val="(%2)"/>
      <w:numFmt w:val="lowerRoman"/>
      <w:start w:val="10"/>
    </w:lvl>
  </w:abstractNum>
  <w:abstractNum w:abstractNumId="150">
    <w:nsid w:val="4C4FFF5B"/>
    <w:multiLevelType w:val="hybridMultilevel"/>
    <w:lvl w:ilvl="0">
      <w:lvlJc w:val="left"/>
      <w:lvlText w:val="(%1)"/>
      <w:numFmt w:val="lowerRoman"/>
      <w:start w:val="13"/>
    </w:lvl>
  </w:abstractNum>
  <w:abstractNum w:abstractNumId="151">
    <w:nsid w:val="51B76675"/>
    <w:multiLevelType w:val="hybridMultilevel"/>
    <w:lvl w:ilvl="0">
      <w:lvlJc w:val="left"/>
      <w:lvlText w:val="•"/>
      <w:numFmt w:val="bullet"/>
      <w:start w:val="1"/>
    </w:lvl>
  </w:abstractNum>
  <w:abstractNum w:abstractNumId="152">
    <w:nsid w:val="59A4BA71"/>
    <w:multiLevelType w:val="hybridMultilevel"/>
    <w:lvl w:ilvl="0">
      <w:lvlJc w:val="left"/>
      <w:lvlText w:val="(%1)"/>
      <w:numFmt w:val="lowerRoman"/>
      <w:start w:val="1"/>
    </w:lvl>
  </w:abstractNum>
  <w:abstractNum w:abstractNumId="153">
    <w:nsid w:val="450B7FB6"/>
    <w:multiLevelType w:val="hybridMultilevel"/>
    <w:lvl w:ilvl="0">
      <w:lvlJc w:val="left"/>
      <w:lvlText w:val="(%1)"/>
      <w:numFmt w:val="lowerRoman"/>
      <w:start w:val="8"/>
    </w:lvl>
  </w:abstractNum>
  <w:abstractNum w:abstractNumId="154">
    <w:nsid w:val="340BF64D"/>
    <w:multiLevelType w:val="hybridMultilevel"/>
    <w:lvl w:ilvl="0">
      <w:lvlJc w:val="left"/>
      <w:lvlText w:val="(%1)"/>
      <w:numFmt w:val="lowerLetter"/>
      <w:start w:val="1"/>
    </w:lvl>
  </w:abstractNum>
  <w:abstractNum w:abstractNumId="155">
    <w:nsid w:val="69454021"/>
    <w:multiLevelType w:val="hybridMultilevel"/>
    <w:lvl w:ilvl="0">
      <w:lvlJc w:val="left"/>
      <w:lvlText w:val="(%1)"/>
      <w:numFmt w:val="lowerLetter"/>
      <w:start w:val="1"/>
    </w:lvl>
  </w:abstractNum>
  <w:abstractNum w:abstractNumId="156">
    <w:nsid w:val="49F15C6B"/>
    <w:multiLevelType w:val="hybridMultilevel"/>
    <w:lvl w:ilvl="0">
      <w:lvlJc w:val="left"/>
      <w:lvlText w:val="(%1)"/>
      <w:numFmt w:val="lowerLetter"/>
      <w:start w:val="1"/>
    </w:lvl>
  </w:abstractNum>
  <w:abstractNum w:abstractNumId="157">
    <w:nsid w:val="75F56228"/>
    <w:multiLevelType w:val="hybridMultilevel"/>
    <w:lvl w:ilvl="0">
      <w:lvlJc w:val="left"/>
      <w:lvlText w:val="(%1)"/>
      <w:numFmt w:val="decimal"/>
      <w:start w:val="1"/>
    </w:lvl>
  </w:abstractNum>
  <w:abstractNum w:abstractNumId="158">
    <w:nsid w:val="1C618271"/>
    <w:multiLevelType w:val="hybridMultilevel"/>
    <w:lvl w:ilvl="0">
      <w:lvlJc w:val="left"/>
      <w:lvlText w:val="(%1)"/>
      <w:numFmt w:val="lowerLetter"/>
      <w:start w:val="3"/>
    </w:lvl>
  </w:abstractNum>
  <w:abstractNum w:abstractNumId="159">
    <w:nsid w:val="6505F02E"/>
    <w:multiLevelType w:val="hybridMultilevel"/>
    <w:lvl w:ilvl="0">
      <w:lvlJc w:val="left"/>
      <w:lvlText w:val="•"/>
      <w:numFmt w:val="bullet"/>
      <w:start w:val="1"/>
    </w:lvl>
  </w:abstractNum>
  <w:abstractNum w:abstractNumId="160">
    <w:nsid w:val="2FE5D025"/>
    <w:multiLevelType w:val="hybridMultilevel"/>
    <w:lvl w:ilvl="0">
      <w:lvlJc w:val="left"/>
      <w:lvlText w:val="(%1)"/>
      <w:numFmt w:val="decimal"/>
      <w:start w:val="1"/>
    </w:lvl>
  </w:abstractNum>
  <w:abstractNum w:abstractNumId="161">
    <w:nsid w:val="30E1B1CF"/>
    <w:multiLevelType w:val="hybridMultilevel"/>
    <w:lvl w:ilvl="0">
      <w:lvlJc w:val="left"/>
      <w:lvlText w:val="•"/>
      <w:numFmt w:val="bullet"/>
      <w:start w:val="1"/>
    </w:lvl>
  </w:abstractNum>
  <w:abstractNum w:abstractNumId="162">
    <w:nsid w:val="C7A9237"/>
    <w:multiLevelType w:val="hybridMultilevel"/>
    <w:lvl w:ilvl="0">
      <w:lvlJc w:val="left"/>
      <w:lvlText w:val="(%1)"/>
      <w:numFmt w:val="decimal"/>
      <w:start w:val="1"/>
    </w:lvl>
  </w:abstractNum>
  <w:abstractNum w:abstractNumId="163">
    <w:nsid w:val="676B3580"/>
    <w:multiLevelType w:val="hybridMultilevel"/>
    <w:lvl w:ilvl="0">
      <w:lvlJc w:val="left"/>
      <w:lvlText w:val="(%1)"/>
      <w:numFmt w:val="decimal"/>
      <w:start w:val="1"/>
    </w:lvl>
  </w:abstractNum>
  <w:abstractNum w:abstractNumId="164">
    <w:nsid w:val="3193C8F9"/>
    <w:multiLevelType w:val="hybridMultilevel"/>
    <w:lvl w:ilvl="0">
      <w:lvlJc w:val="left"/>
      <w:lvlText w:val="(%1)"/>
      <w:numFmt w:val="lowerLetter"/>
      <w:start w:val="1"/>
    </w:lvl>
  </w:abstractNum>
  <w:abstractNum w:abstractNumId="165">
    <w:nsid w:val="5FA6C6DC"/>
    <w:multiLevelType w:val="hybridMultilevel"/>
    <w:lvl w:ilvl="0">
      <w:lvlJc w:val="left"/>
      <w:lvlText w:val="(%1)"/>
      <w:numFmt w:val="decimal"/>
      <w:start w:val="1"/>
    </w:lvl>
  </w:abstractNum>
  <w:abstractNum w:abstractNumId="166">
    <w:nsid w:val="77933F62"/>
    <w:multiLevelType w:val="hybridMultilevel"/>
    <w:lvl w:ilvl="0">
      <w:lvlJc w:val="left"/>
      <w:lvlText w:val="%1."/>
      <w:numFmt w:val="decimal"/>
      <w:start w:val="1"/>
    </w:lvl>
  </w:abstractNum>
  <w:abstractNum w:abstractNumId="167">
    <w:nsid w:val="6CB4EE9C"/>
    <w:multiLevelType w:val="hybridMultilevel"/>
    <w:lvl w:ilvl="0">
      <w:lvlJc w:val="left"/>
      <w:lvlText w:val="(%1)"/>
      <w:numFmt w:val="lowerLetter"/>
      <w:start w:val="1"/>
    </w:lvl>
  </w:abstractNum>
  <w:abstractNum w:abstractNumId="168">
    <w:nsid w:val="6A6D56D7"/>
    <w:multiLevelType w:val="hybridMultilevel"/>
    <w:lvl w:ilvl="0">
      <w:lvlJc w:val="left"/>
      <w:lvlText w:val="(%1)"/>
      <w:numFmt w:val="lowerRoman"/>
      <w:start w:val="1"/>
    </w:lvl>
  </w:abstractNum>
  <w:abstractNum w:abstractNumId="169">
    <w:nsid w:val="5B727F19"/>
    <w:multiLevelType w:val="hybridMultilevel"/>
    <w:lvl w:ilvl="0">
      <w:lvlJc w:val="left"/>
      <w:lvlText w:val="(%1)"/>
      <w:numFmt w:val="lowerLetter"/>
      <w:start w:val="2"/>
    </w:lvl>
  </w:abstractNum>
  <w:abstractNum w:abstractNumId="170">
    <w:nsid w:val="514E5CB0"/>
    <w:multiLevelType w:val="hybridMultilevel"/>
    <w:lvl w:ilvl="0">
      <w:lvlJc w:val="left"/>
      <w:lvlText w:val="(%1)"/>
      <w:numFmt w:val="lowerLetter"/>
      <w:start w:val="3"/>
    </w:lvl>
  </w:abstractNum>
  <w:abstractNum w:abstractNumId="171">
    <w:nsid w:val="4210D41E"/>
    <w:multiLevelType w:val="hybridMultilevel"/>
    <w:lvl w:ilvl="0">
      <w:lvlJc w:val="left"/>
      <w:lvlText w:val="%1"/>
      <w:numFmt w:val="lowerLetter"/>
      <w:start w:val="1"/>
    </w:lvl>
    <w:lvl w:ilvl="1">
      <w:lvlJc w:val="left"/>
      <w:lvlText w:val="(%2)"/>
      <w:numFmt w:val="lowerLetter"/>
      <w:start w:val="1"/>
    </w:lvl>
  </w:abstractNum>
  <w:abstractNum w:abstractNumId="172">
    <w:nsid w:val="4FF4CC6D"/>
    <w:multiLevelType w:val="hybridMultilevel"/>
    <w:lvl w:ilvl="0">
      <w:lvlJc w:val="left"/>
      <w:lvlText w:val="(%1)"/>
      <w:numFmt w:val="lowerLetter"/>
      <w:start w:val="9"/>
    </w:lvl>
    <w:lvl w:ilvl="1">
      <w:lvlJc w:val="left"/>
      <w:lvlText w:val="%2"/>
      <w:numFmt w:val="lowerLetter"/>
      <w:start w:val="1"/>
    </w:lvl>
  </w:abstractNum>
  <w:abstractNum w:abstractNumId="173">
    <w:nsid w:val="404EAF4A"/>
    <w:multiLevelType w:val="hybridMultilevel"/>
    <w:lvl w:ilvl="0">
      <w:lvlJc w:val="left"/>
      <w:lvlText w:val="%1"/>
      <w:numFmt w:val="lowerLetter"/>
      <w:start w:val="1"/>
    </w:lvl>
    <w:lvl w:ilvl="1">
      <w:lvlJc w:val="left"/>
      <w:lvlText w:val="(%2)"/>
      <w:numFmt w:val="lowerLetter"/>
      <w:start w:val="2"/>
    </w:lvl>
  </w:abstractNum>
  <w:abstractNum w:abstractNumId="174">
    <w:nsid w:val="4A16874F"/>
    <w:multiLevelType w:val="hybridMultilevel"/>
    <w:lvl w:ilvl="0">
      <w:lvlJc w:val="left"/>
      <w:lvlText w:val="(%1)"/>
      <w:numFmt w:val="lowerLetter"/>
      <w:start w:val="9"/>
    </w:lvl>
    <w:lvl w:ilvl="1">
      <w:lvlJc w:val="left"/>
      <w:lvlText w:val="%2"/>
      <w:numFmt w:val="lowerLetter"/>
      <w:start w:val="1"/>
    </w:lvl>
  </w:abstractNum>
  <w:abstractNum w:abstractNumId="175">
    <w:nsid w:val="55FEE0D1"/>
    <w:multiLevelType w:val="hybridMultilevel"/>
    <w:lvl w:ilvl="0">
      <w:lvlJc w:val="left"/>
      <w:lvlText w:val="(%1)"/>
      <w:numFmt w:val="lowerLetter"/>
      <w:start w:val="1"/>
    </w:lvl>
  </w:abstractNum>
  <w:abstractNum w:abstractNumId="176">
    <w:nsid w:val="3C5E07C"/>
    <w:multiLevelType w:val="hybridMultilevel"/>
    <w:lvl w:ilvl="0">
      <w:lvlJc w:val="left"/>
      <w:lvlText w:val="(%1)"/>
      <w:numFmt w:val="lowerRoman"/>
      <w:start w:val="1"/>
    </w:lvl>
  </w:abstractNum>
  <w:abstractNum w:abstractNumId="177">
    <w:nsid w:val="60C2D273"/>
    <w:multiLevelType w:val="hybridMultilevel"/>
    <w:lvl w:ilvl="0">
      <w:lvlJc w:val="left"/>
      <w:lvlText w:val="(%1)"/>
      <w:numFmt w:val="decimal"/>
      <w:start w:val="1"/>
    </w:lvl>
    <w:lvl w:ilvl="1">
      <w:lvlJc w:val="left"/>
      <w:lvlText w:val="(%2)"/>
      <w:numFmt w:val="lowerLetter"/>
      <w:start w:val="3"/>
    </w:lvl>
  </w:abstractNum>
  <w:abstractNum w:abstractNumId="178">
    <w:nsid w:val="4CC32F1F"/>
    <w:multiLevelType w:val="hybridMultilevel"/>
    <w:lvl w:ilvl="0">
      <w:lvlJc w:val="left"/>
      <w:lvlText w:val="(%1)"/>
      <w:numFmt w:val="lowerLetter"/>
      <w:start w:val="1"/>
    </w:lvl>
  </w:abstractNum>
  <w:abstractNum w:abstractNumId="179">
    <w:nsid w:val="11CAC74A"/>
    <w:multiLevelType w:val="hybridMultilevel"/>
    <w:lvl w:ilvl="0">
      <w:lvlJc w:val="left"/>
      <w:lvlText w:val="(%1)"/>
      <w:numFmt w:val="lowerLetter"/>
      <w:start w:val="1"/>
    </w:lvl>
  </w:abstractNum>
  <w:abstractNum w:abstractNumId="180">
    <w:nsid w:val="126CADE9"/>
    <w:multiLevelType w:val="hybridMultilevel"/>
    <w:lvl w:ilvl="0">
      <w:lvlJc w:val="left"/>
      <w:lvlText w:val="(%1)"/>
      <w:numFmt w:val="lowerLetter"/>
      <w:start w:val="7"/>
    </w:lvl>
  </w:abstractNum>
  <w:abstractNum w:abstractNumId="181">
    <w:nsid w:val="19132E7B"/>
    <w:multiLevelType w:val="hybridMultilevel"/>
    <w:lvl w:ilvl="0">
      <w:lvlJc w:val="left"/>
      <w:lvlText w:val="(%1)"/>
      <w:numFmt w:val="decimal"/>
      <w:start w:val="3"/>
    </w:lvl>
  </w:abstractNum>
  <w:abstractNum w:abstractNumId="182">
    <w:nsid w:val="63822DC0"/>
    <w:multiLevelType w:val="hybridMultilevel"/>
    <w:lvl w:ilvl="0">
      <w:lvlJc w:val="left"/>
      <w:lvlText w:val="(%1)"/>
      <w:numFmt w:val="lowerLetter"/>
      <w:start w:val="1"/>
    </w:lvl>
  </w:abstractNum>
  <w:abstractNum w:abstractNumId="183">
    <w:nsid w:val="6C11685A"/>
    <w:multiLevelType w:val="hybridMultilevel"/>
    <w:lvl w:ilvl="0">
      <w:lvlJc w:val="left"/>
      <w:lvlText w:val="(%1)"/>
      <w:numFmt w:val="lowerLetter"/>
      <w:start w:val="13"/>
    </w:lvl>
  </w:abstractNum>
  <w:abstractNum w:abstractNumId="184">
    <w:nsid w:val="5E1EAE31"/>
    <w:multiLevelType w:val="hybridMultilevel"/>
    <w:lvl w:ilvl="0">
      <w:lvlJc w:val="left"/>
      <w:lvlText w:val="(%1)"/>
      <w:numFmt w:val="lowerRoman"/>
      <w:start w:val="1"/>
    </w:lvl>
  </w:abstractNum>
  <w:abstractNum w:abstractNumId="185">
    <w:nsid w:val="178E240D"/>
    <w:multiLevelType w:val="hybridMultilevel"/>
    <w:lvl w:ilvl="0">
      <w:lvlJc w:val="left"/>
      <w:lvlText w:val="(%1)"/>
      <w:numFmt w:val="lowerRoman"/>
      <w:start w:val="5"/>
    </w:lvl>
  </w:abstractNum>
  <w:abstractNum w:abstractNumId="186">
    <w:nsid w:val="5556A87B"/>
    <w:multiLevelType w:val="hybridMultilevel"/>
    <w:lvl w:ilvl="0">
      <w:lvlJc w:val="left"/>
      <w:lvlText w:val="%1"/>
      <w:numFmt w:val="lowerLetter"/>
      <w:start w:val="1"/>
    </w:lvl>
    <w:lvl w:ilvl="1">
      <w:lvlJc w:val="left"/>
      <w:lvlText w:val="(%2)"/>
      <w:numFmt w:val="lowerLetter"/>
      <w:start w:val="17"/>
    </w:lvl>
  </w:abstractNum>
  <w:abstractNum w:abstractNumId="187">
    <w:nsid w:val="28100A9C"/>
    <w:multiLevelType w:val="hybridMultilevel"/>
    <w:lvl w:ilvl="0">
      <w:lvlJc w:val="left"/>
      <w:lvlText w:val="(%1)"/>
      <w:numFmt w:val="lowerLetter"/>
      <w:start w:val="35"/>
    </w:lvl>
    <w:lvl w:ilvl="1">
      <w:lvlJc w:val="left"/>
      <w:lvlText w:val="(%2)"/>
      <w:numFmt w:val="lowerLetter"/>
      <w:start w:val="21"/>
    </w:lvl>
  </w:abstractNum>
  <w:abstractNum w:abstractNumId="188">
    <w:nsid w:val="D838636"/>
    <w:multiLevelType w:val="hybridMultilevel"/>
    <w:lvl w:ilvl="0">
      <w:lvlJc w:val="left"/>
      <w:lvlText w:val="(%1)"/>
      <w:numFmt w:val="lowerRoman"/>
      <w:start w:val="1"/>
    </w:lvl>
  </w:abstractNum>
  <w:abstractNum w:abstractNumId="189">
    <w:nsid w:val="71B82AED"/>
    <w:multiLevelType w:val="hybridMultilevel"/>
    <w:lvl w:ilvl="0">
      <w:lvlJc w:val="left"/>
      <w:lvlText w:val="(%1)"/>
      <w:numFmt w:val="lowerRoman"/>
      <w:start w:val="5"/>
    </w:lvl>
  </w:abstractNum>
  <w:abstractNum w:abstractNumId="190">
    <w:nsid w:val="D15FACA"/>
    <w:multiLevelType w:val="hybridMultilevel"/>
    <w:lvl w:ilvl="0">
      <w:lvlJc w:val="left"/>
      <w:lvlText w:val="(%1)"/>
      <w:numFmt w:val="lowerRoman"/>
      <w:start w:val="1"/>
    </w:lvl>
  </w:abstractNum>
  <w:abstractNum w:abstractNumId="191">
    <w:nsid w:val="3D69565B"/>
    <w:multiLevelType w:val="hybridMultilevel"/>
    <w:lvl w:ilvl="0">
      <w:lvlJc w:val="left"/>
      <w:lvlText w:val="(%1)"/>
      <w:numFmt w:val="lowerLetter"/>
      <w:start w:val="25"/>
    </w:lvl>
  </w:abstractNum>
  <w:abstractNum w:abstractNumId="192">
    <w:nsid w:val="2299DCBC"/>
    <w:multiLevelType w:val="hybridMultilevel"/>
    <w:lvl w:ilvl="0">
      <w:lvlJc w:val="left"/>
      <w:lvlText w:val="(%1)"/>
      <w:numFmt w:val="lowerLetter"/>
      <w:start w:val="27"/>
    </w:lvl>
  </w:abstractNum>
  <w:abstractNum w:abstractNumId="193">
    <w:nsid w:val="19908D02"/>
    <w:multiLevelType w:val="hybridMultilevel"/>
    <w:lvl w:ilvl="0">
      <w:lvlJc w:val="left"/>
      <w:lvlText w:val="(%1)"/>
      <w:numFmt w:val="lowerLetter"/>
      <w:start w:val="29"/>
    </w:lvl>
  </w:abstractNum>
  <w:abstractNum w:abstractNumId="194">
    <w:nsid w:val="24D48BDB"/>
    <w:multiLevelType w:val="hybridMultilevel"/>
    <w:lvl w:ilvl="0">
      <w:lvlJc w:val="left"/>
      <w:lvlText w:val="(%1)"/>
      <w:numFmt w:val="lowerRoman"/>
      <w:start w:val="1"/>
    </w:lvl>
  </w:abstractNum>
  <w:abstractNum w:abstractNumId="195">
    <w:nsid w:val="542DA5B5"/>
    <w:multiLevelType w:val="hybridMultilevel"/>
    <w:lvl w:ilvl="0">
      <w:lvlJc w:val="left"/>
      <w:lvlText w:val="(%1)"/>
      <w:numFmt w:val="lowerRoman"/>
      <w:start w:val="3"/>
    </w:lvl>
  </w:abstractNum>
  <w:abstractNum w:abstractNumId="196">
    <w:nsid w:val="793753DE"/>
    <w:multiLevelType w:val="hybridMultilevel"/>
    <w:lvl w:ilvl="0">
      <w:lvlJc w:val="left"/>
      <w:lvlText w:val="(%1)"/>
      <w:numFmt w:val="lowerLetter"/>
      <w:start w:val="33"/>
    </w:lvl>
  </w:abstractNum>
  <w:abstractNum w:abstractNumId="197">
    <w:nsid w:val="1C67CB3D"/>
    <w:multiLevelType w:val="hybridMultilevel"/>
    <w:lvl w:ilvl="0">
      <w:lvlJc w:val="left"/>
      <w:lvlText w:val="(%1)"/>
      <w:numFmt w:val="lowerLetter"/>
      <w:start w:val="34"/>
    </w:lvl>
  </w:abstractNum>
  <w:abstractNum w:abstractNumId="198">
    <w:nsid w:val="40E29452"/>
    <w:multiLevelType w:val="hybridMultilevel"/>
    <w:lvl w:ilvl="0">
      <w:lvlJc w:val="left"/>
      <w:lvlText w:val="(%1)"/>
      <w:numFmt w:val="lowerLetter"/>
      <w:start w:val="1"/>
    </w:lvl>
  </w:abstractNum>
  <w:abstractNum w:abstractNumId="199">
    <w:nsid w:val="63A4AAB6"/>
    <w:multiLevelType w:val="hybridMultilevel"/>
    <w:lvl w:ilvl="0">
      <w:lvlJc w:val="left"/>
      <w:lvlText w:val="(%1)"/>
      <w:numFmt w:val="lowerLetter"/>
      <w:start w:val="3"/>
    </w:lvl>
  </w:abstractNum>
  <w:abstractNum w:abstractNumId="200">
    <w:nsid w:val="77DA4A57"/>
    <w:multiLevelType w:val="hybridMultilevel"/>
    <w:lvl w:ilvl="0">
      <w:lvlJc w:val="left"/>
      <w:lvlText w:val="(%1)"/>
      <w:numFmt w:val="lowerRoman"/>
      <w:start w:val="2"/>
    </w:lvl>
  </w:abstractNum>
  <w:abstractNum w:abstractNumId="201">
    <w:nsid w:val="1230F102"/>
    <w:multiLevelType w:val="hybridMultilevel"/>
    <w:lvl w:ilvl="0">
      <w:lvlJc w:val="left"/>
      <w:lvlText w:val="%1"/>
      <w:numFmt w:val="lowerLetter"/>
      <w:start w:val="1"/>
    </w:lvl>
    <w:lvl w:ilvl="1">
      <w:lvlJc w:val="left"/>
      <w:lvlText w:val="(%2)"/>
      <w:numFmt w:val="lowerLetter"/>
      <w:start w:val="1"/>
    </w:lvl>
  </w:abstractNum>
  <w:abstractNum w:abstractNumId="202">
    <w:nsid w:val="25B57ED4"/>
    <w:multiLevelType w:val="hybridMultilevel"/>
    <w:lvl w:ilvl="0">
      <w:lvlJc w:val="left"/>
      <w:lvlText w:val="(%1)"/>
      <w:numFmt w:val="lowerLetter"/>
      <w:start w:val="9"/>
    </w:lvl>
    <w:lvl w:ilvl="1">
      <w:lvlJc w:val="left"/>
      <w:lvlText w:val="(%2)"/>
      <w:numFmt w:val="lowerLetter"/>
      <w:start w:val="2"/>
    </w:lvl>
  </w:abstractNum>
  <w:abstractNum w:abstractNumId="203">
    <w:nsid w:val="47CF16C4"/>
    <w:multiLevelType w:val="hybridMultilevel"/>
    <w:lvl w:ilvl="0">
      <w:lvlJc w:val="left"/>
      <w:lvlText w:val="(%1)"/>
      <w:numFmt w:val="lowerLetter"/>
      <w:start w:val="3"/>
    </w:lvl>
  </w:abstractNum>
  <w:abstractNum w:abstractNumId="204">
    <w:nsid w:val="527FA04C"/>
    <w:multiLevelType w:val="hybridMultilevel"/>
    <w:lvl w:ilvl="0">
      <w:lvlJc w:val="left"/>
      <w:lvlText w:val="(%1)"/>
      <w:numFmt w:val="lowerLetter"/>
      <w:start w:val="1"/>
    </w:lvl>
  </w:abstractNum>
  <w:abstractNum w:abstractNumId="205">
    <w:nsid w:val="6FCC0624"/>
    <w:multiLevelType w:val="hybridMultilevel"/>
    <w:lvl w:ilvl="0">
      <w:lvlJc w:val="left"/>
      <w:lvlText w:val="(%1)"/>
      <w:numFmt w:val="lowerLetter"/>
      <w:start w:val="2"/>
    </w:lvl>
  </w:abstractNum>
  <w:abstractNum w:abstractNumId="206">
    <w:nsid w:val="1DCDF79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207">
    <w:nsid w:val="564580C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8">
    <w:nsid w:val="508ED89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9">
    <w:nsid w:val="6A9126B5"/>
    <w:multiLevelType w:val="hybridMultilevel"/>
    <w:lvl w:ilvl="0">
      <w:lvlJc w:val="left"/>
      <w:lvlText w:val="(%1)"/>
      <w:numFmt w:val="upperLetter"/>
      <w:start w:val="8"/>
    </w:lvl>
  </w:abstractNum>
  <w:abstractNum w:abstractNumId="210">
    <w:nsid w:val="68104812"/>
    <w:multiLevelType w:val="hybridMultilevel"/>
    <w:lvl w:ilvl="0">
      <w:lvlJc w:val="left"/>
      <w:lvlText w:val="(%1)"/>
      <w:numFmt w:val="lowerRoman"/>
      <w:start w:val="2"/>
    </w:lvl>
  </w:abstractNum>
  <w:abstractNum w:abstractNumId="211">
    <w:nsid w:val="62FB868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12">
    <w:nsid w:val="3A45530"/>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213">
    <w:nsid w:val="4B9275D2"/>
    <w:multiLevelType w:val="hybridMultilevel"/>
    <w:lvl w:ilvl="0">
      <w:lvlJc w:val="left"/>
      <w:lvlText w:val="(%1)"/>
      <w:numFmt w:val="lowerRoman"/>
      <w:start w:val="3"/>
    </w:lvl>
  </w:abstractNum>
  <w:abstractNum w:abstractNumId="214">
    <w:nsid w:val="4F0CEEDB"/>
    <w:multiLevelType w:val="hybridMultilevel"/>
    <w:lvl w:ilvl="0">
      <w:lvlJc w:val="left"/>
      <w:lvlText w:val="(%1)"/>
      <w:numFmt w:val="lowerRoman"/>
      <w:start w:val="2"/>
    </w:lvl>
  </w:abstractNum>
  <w:abstractNum w:abstractNumId="215">
    <w:nsid w:val="61C30361"/>
    <w:multiLevelType w:val="hybridMultilevel"/>
    <w:lvl w:ilvl="0">
      <w:lvlJc w:val="left"/>
      <w:lvlText w:val="%1."/>
      <w:numFmt w:val="decimal"/>
      <w:start w:val="1"/>
    </w:lvl>
  </w:abstractNum>
  <w:abstractNum w:abstractNumId="216">
    <w:nsid w:val="632099E0"/>
    <w:multiLevelType w:val="hybridMultilevel"/>
    <w:lvl w:ilvl="0">
      <w:lvlJc w:val="left"/>
      <w:lvlText w:val="%1."/>
      <w:numFmt w:val="decimal"/>
      <w:start w:val="2"/>
    </w:lvl>
  </w:abstractNum>
  <w:abstractNum w:abstractNumId="217">
    <w:nsid w:val="24639756"/>
    <w:multiLevelType w:val="hybridMultilevel"/>
    <w:lvl w:ilvl="0">
      <w:lvlJc w:val="left"/>
      <w:lvlText w:val="(%1)"/>
      <w:numFmt w:val="lowerLetter"/>
      <w:start w:val="1"/>
    </w:lvl>
  </w:abstractNum>
  <w:abstractNum w:abstractNumId="218">
    <w:nsid w:val="9D30D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19">
    <w:nsid w:val="70A4201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0">
    <w:nsid w:val="161BC24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1">
    <w:nsid w:val="16E908C8"/>
    <w:multiLevelType w:val="hybridMultilevel"/>
    <w:lvl w:ilvl="0">
      <w:lvlJc w:val="left"/>
      <w:lvlText w:val="(%1)"/>
      <w:numFmt w:val="lowerLetter"/>
      <w:start w:val="1"/>
    </w:lvl>
  </w:abstractNum>
  <w:abstractNum w:abstractNumId="222">
    <w:nsid w:val="2E0D7671"/>
    <w:multiLevelType w:val="hybridMultilevel"/>
    <w:lvl w:ilvl="0">
      <w:lvlJc w:val="left"/>
      <w:lvlText w:val="%1."/>
      <w:numFmt w:val="decimal"/>
      <w:start w:val="6"/>
    </w:lvl>
  </w:abstractNum>
  <w:abstractNum w:abstractNumId="223">
    <w:nsid w:val="38B59EFF"/>
    <w:multiLevelType w:val="hybridMultilevel"/>
    <w:lvl w:ilvl="0">
      <w:lvlJc w:val="left"/>
      <w:lvlText w:val="%1."/>
      <w:numFmt w:val="decimal"/>
      <w:start w:val="8"/>
    </w:lvl>
  </w:abstractNum>
  <w:abstractNum w:abstractNumId="224">
    <w:nsid w:val="307995CA"/>
    <w:multiLevelType w:val="hybridMultilevel"/>
    <w:lvl w:ilvl="0">
      <w:lvlJc w:val="left"/>
      <w:lvlText w:val="%1."/>
      <w:numFmt w:val="decimal"/>
      <w:start w:val="9"/>
    </w:lvl>
  </w:abstractNum>
  <w:abstractNum w:abstractNumId="225">
    <w:nsid w:val="52E2024D"/>
    <w:multiLevelType w:val="hybridMultilevel"/>
    <w:lvl w:ilvl="0">
      <w:lvlJc w:val="left"/>
      <w:lvlText w:val="%1."/>
      <w:numFmt w:val="decimal"/>
      <w:start w:val="10"/>
    </w:lvl>
  </w:abstractNum>
  <w:abstractNum w:abstractNumId="226">
    <w:nsid w:val="CE344B5"/>
    <w:multiLevelType w:val="hybridMultilevel"/>
    <w:lvl w:ilvl="0">
      <w:lvlJc w:val="left"/>
      <w:lvlText w:val="%1."/>
      <w:numFmt w:val="decimal"/>
      <w:start w:val="11"/>
    </w:lvl>
  </w:abstractNum>
  <w:abstractNum w:abstractNumId="227">
    <w:nsid w:val="29B0E9A8"/>
    <w:multiLevelType w:val="hybridMultilevel"/>
    <w:lvl w:ilvl="0">
      <w:lvlJc w:val="left"/>
      <w:lvlText w:val="%1."/>
      <w:numFmt w:val="decimal"/>
      <w:start w:val="12"/>
    </w:lvl>
  </w:abstractNum>
  <w:abstractNum w:abstractNumId="228">
    <w:nsid w:val="6F49CD8A"/>
    <w:multiLevelType w:val="hybridMultilevel"/>
    <w:lvl w:ilvl="0">
      <w:lvlJc w:val="left"/>
      <w:lvlText w:val="["/>
      <w:numFmt w:val="bullet"/>
      <w:start w:val="1"/>
    </w:lvl>
  </w:abstractNum>
  <w:abstractNum w:abstractNumId="229">
    <w:nsid w:val="4DC5D907"/>
    <w:multiLevelType w:val="hybridMultilevel"/>
    <w:lvl w:ilvl="0">
      <w:lvlJc w:val="left"/>
      <w:lvlText w:val="(%1)"/>
      <w:numFmt w:val="lowerRoman"/>
      <w:start w:val="1"/>
    </w:lvl>
  </w:abstractNum>
  <w:abstractNum w:abstractNumId="230">
    <w:nsid w:val="D55945E"/>
    <w:multiLevelType w:val="hybridMultilevel"/>
    <w:lvl w:ilvl="0">
      <w:lvlJc w:val="left"/>
      <w:lvlText w:val="%1."/>
      <w:numFmt w:val="decimal"/>
      <w:start w:val="1"/>
    </w:lvl>
  </w:abstractNum>
  <w:abstractNum w:abstractNumId="231">
    <w:nsid w:val="672417E1"/>
    <w:multiLevelType w:val="hybridMultilevel"/>
    <w:lvl w:ilvl="0">
      <w:lvlJc w:val="left"/>
      <w:lvlText w:val="(%1)"/>
      <w:numFmt w:val="lowerRoman"/>
      <w:start w:val="1"/>
    </w:lvl>
  </w:abstractNum>
  <w:abstractNum w:abstractNumId="232">
    <w:nsid w:val="5FF6CA09"/>
    <w:multiLevelType w:val="hybridMultilevel"/>
    <w:lvl w:ilvl="0">
      <w:lvlJc w:val="left"/>
      <w:lvlText w:val="%1."/>
      <w:numFmt w:val="decimal"/>
      <w:start w:val="3"/>
    </w:lvl>
  </w:abstractNum>
  <w:abstractNum w:abstractNumId="233">
    <w:nsid w:val="330B1333"/>
    <w:multiLevelType w:val="hybridMultilevel"/>
    <w:lvl w:ilvl="0">
      <w:lvlJc w:val="left"/>
      <w:lvlText w:val="(%1)"/>
      <w:numFmt w:val="lowerLetter"/>
      <w:start w:val="25"/>
    </w:lvl>
    <w:lvl w:ilvl="1">
      <w:lvlJc w:val="left"/>
      <w:lvlText w:val="%2."/>
      <w:numFmt w:val="decimal"/>
      <w:start w:val="4"/>
    </w:lvl>
  </w:abstractNum>
  <w:abstractNum w:abstractNumId="234">
    <w:nsid w:val="2EF32EA6"/>
    <w:multiLevelType w:val="hybridMultilevel"/>
    <w:lvl w:ilvl="0">
      <w:lvlJc w:val="left"/>
      <w:lvlText w:val="%1."/>
      <w:numFmt w:val="decimal"/>
      <w:start w:val="5"/>
    </w:lvl>
  </w:abstractNum>
  <w:abstractNum w:abstractNumId="235">
    <w:nsid w:val="32766A55"/>
    <w:multiLevelType w:val="hybridMultilevel"/>
    <w:lvl w:ilvl="0">
      <w:lvlJc w:val="left"/>
      <w:lvlText w:val="%1."/>
      <w:numFmt w:val="decimal"/>
      <w:start w:val="1"/>
    </w:lvl>
  </w:abstractNum>
  <w:abstractNum w:abstractNumId="236">
    <w:nsid w:val="22D71957"/>
    <w:multiLevelType w:val="hybridMultilevel"/>
    <w:lvl w:ilvl="0">
      <w:lvlJc w:val="left"/>
      <w:lvlText w:val="%1."/>
      <w:numFmt w:val="decimal"/>
      <w:start w:val="3"/>
    </w:lvl>
  </w:abstractNum>
  <w:abstractNum w:abstractNumId="237">
    <w:nsid w:val="4CC1263B"/>
    <w:multiLevelType w:val="hybridMultilevel"/>
    <w:lvl w:ilvl="0">
      <w:lvlJc w:val="left"/>
      <w:lvlText w:val="%1."/>
      <w:numFmt w:val="decimal"/>
      <w:start w:val="4"/>
    </w:lvl>
  </w:abstractNum>
  <w:abstractNum w:abstractNumId="238">
    <w:nsid w:val="8BBEB1D"/>
    <w:multiLevelType w:val="hybridMultilevel"/>
    <w:lvl w:ilvl="0">
      <w:lvlJc w:val="left"/>
      <w:lvlText w:val="%1."/>
      <w:numFmt w:val="decimal"/>
      <w:start w:val="5"/>
    </w:lvl>
  </w:abstractNum>
  <w:abstractNum w:abstractNumId="239">
    <w:nsid w:val="7365F1EE"/>
    <w:multiLevelType w:val="hybridMultilevel"/>
    <w:lvl w:ilvl="0">
      <w:lvlJc w:val="left"/>
      <w:lvlText w:val="%1."/>
      <w:numFmt w:val="decimal"/>
      <w:start w:val="6"/>
    </w:lvl>
  </w:abstractNum>
  <w:abstractNum w:abstractNumId="240">
    <w:nsid w:val="37524CF0"/>
    <w:multiLevelType w:val="hybridMultilevel"/>
    <w:lvl w:ilvl="0">
      <w:lvlJc w:val="left"/>
      <w:lvlText w:val="%1."/>
      <w:numFmt w:val="decimal"/>
      <w:start w:val="7"/>
    </w:lvl>
  </w:abstractNum>
  <w:abstractNum w:abstractNumId="241">
    <w:nsid w:val="70CC332F"/>
    <w:multiLevelType w:val="hybridMultilevel"/>
    <w:lvl w:ilvl="0">
      <w:lvlJc w:val="left"/>
      <w:lvlText w:val="%1."/>
      <w:numFmt w:val="decimal"/>
      <w:start w:val="8"/>
    </w:lvl>
  </w:abstractNum>
  <w:abstractNum w:abstractNumId="242">
    <w:nsid w:val="5661786E"/>
    <w:multiLevelType w:val="hybridMultilevel"/>
    <w:lvl w:ilvl="0">
      <w:lvlJc w:val="left"/>
      <w:lvlText w:val="(%1)"/>
      <w:numFmt w:val="lowerLetter"/>
      <w:start w:val="1"/>
    </w:lvl>
  </w:abstractNum>
  <w:abstractNum w:abstractNumId="243">
    <w:nsid w:val="3AF6A220"/>
    <w:multiLevelType w:val="hybridMultilevel"/>
    <w:lvl w:ilvl="0">
      <w:lvlJc w:val="left"/>
      <w:lvlText w:val="(%1)"/>
      <w:numFmt w:val="lowerLetter"/>
      <w:start w:val="7"/>
    </w:lvl>
  </w:abstractNum>
  <w:abstractNum w:abstractNumId="244">
    <w:nsid w:val="3C5EA902"/>
    <w:multiLevelType w:val="hybridMultilevel"/>
    <w:lvl w:ilvl="0">
      <w:lvlJc w:val="left"/>
      <w:lvlText w:val="%1."/>
      <w:numFmt w:val="decimal"/>
      <w:start w:val="9"/>
    </w:lvl>
  </w:abstractNum>
  <w:abstractNum w:abstractNumId="245">
    <w:nsid w:val="256E6749"/>
    <w:multiLevelType w:val="hybridMultilevel"/>
    <w:lvl w:ilvl="0">
      <w:lvlJc w:val="left"/>
      <w:lvlText w:val="%1."/>
      <w:numFmt w:val="decimal"/>
      <w:start w:val="10"/>
    </w:lvl>
  </w:abstractNum>
  <w:abstractNum w:abstractNumId="246">
    <w:nsid w:val="1CB9A581"/>
    <w:multiLevelType w:val="hybridMultilevel"/>
    <w:lvl w:ilvl="0">
      <w:lvlJc w:val="left"/>
      <w:lvlText w:val="%1."/>
      <w:numFmt w:val="decimal"/>
      <w:start w:val="11"/>
    </w:lvl>
  </w:abstractNum>
  <w:abstractNum w:abstractNumId="247">
    <w:nsid w:val="1F7F42E2"/>
    <w:multiLevelType w:val="hybridMultilevel"/>
    <w:lvl w:ilvl="0">
      <w:lvlJc w:val="left"/>
      <w:lvlText w:val="(%1)"/>
      <w:numFmt w:val="lowerLetter"/>
      <w:start w:val="1"/>
    </w:lvl>
  </w:abstractNum>
  <w:abstractNum w:abstractNumId="248">
    <w:nsid w:val="49D1FEA0"/>
    <w:multiLevelType w:val="hybridMultilevel"/>
    <w:lvl w:ilvl="0">
      <w:lvlJc w:val="left"/>
      <w:lvlText w:val="(%1)"/>
      <w:numFmt w:val="lowerLetter"/>
      <w:start w:val="2"/>
    </w:lvl>
  </w:abstractNum>
  <w:abstractNum w:abstractNumId="249">
    <w:nsid w:val="268CB37F"/>
    <w:multiLevelType w:val="hybridMultilevel"/>
    <w:lvl w:ilvl="0">
      <w:lvlJc w:val="left"/>
      <w:lvlText w:val="(%1)"/>
      <w:numFmt w:val="lowerLetter"/>
      <w:start w:val="3"/>
    </w:lvl>
  </w:abstractNum>
  <w:abstractNum w:abstractNumId="250">
    <w:nsid w:val="102362F8"/>
    <w:multiLevelType w:val="hybridMultilevel"/>
    <w:lvl w:ilvl="0">
      <w:lvlJc w:val="left"/>
      <w:lvlText w:val="%1."/>
      <w:numFmt w:val="decimal"/>
      <w:start w:val="12"/>
    </w:lvl>
  </w:abstractNum>
  <w:abstractNum w:abstractNumId="251">
    <w:nsid w:val="5FEDC0E3"/>
    <w:multiLevelType w:val="hybridMultilevel"/>
    <w:lvl w:ilvl="0">
      <w:lvlJc w:val="left"/>
      <w:lvlText w:val="(%1)"/>
      <w:numFmt w:val="lowerLetter"/>
      <w:start w:val="1"/>
    </w:lvl>
  </w:abstractNum>
  <w:abstractNum w:abstractNumId="252">
    <w:nsid w:val="3D75BC47"/>
    <w:multiLevelType w:val="hybridMultilevel"/>
    <w:lvl w:ilvl="0">
      <w:lvlJc w:val="left"/>
      <w:lvlText w:val="(%1)"/>
      <w:numFmt w:val="lowerLetter"/>
      <w:start w:val="13"/>
    </w:lvl>
  </w:abstractNum>
  <w:abstractNum w:abstractNumId="253">
    <w:nsid w:val="3E30D969"/>
    <w:multiLevelType w:val="hybridMultilevel"/>
    <w:lvl w:ilvl="0">
      <w:lvlJc w:val="left"/>
      <w:lvlText w:val="%1."/>
      <w:numFmt w:val="decimal"/>
      <w:start w:val="13"/>
    </w:lvl>
  </w:abstractNum>
  <w:abstractNum w:abstractNumId="254">
    <w:nsid w:val="18A35FE3"/>
    <w:multiLevelType w:val="hybridMultilevel"/>
    <w:lvl w:ilvl="0">
      <w:lvlJc w:val="left"/>
      <w:lvlText w:val="%1."/>
      <w:numFmt w:val="decimal"/>
      <w:start w:val="14"/>
    </w:lvl>
    <w:lvl w:ilvl="1">
      <w:lvlJc w:val="left"/>
      <w:lvlText w:val="(%2)"/>
      <w:numFmt w:val="lowerLetter"/>
      <w:start w:val="1"/>
    </w:lvl>
  </w:abstractNum>
  <w:abstractNum w:abstractNumId="255">
    <w:nsid w:val="6DEF5211"/>
    <w:multiLevelType w:val="hybridMultilevel"/>
    <w:lvl w:ilvl="0">
      <w:lvlJc w:val="left"/>
      <w:lvlText w:val="(%1)"/>
      <w:numFmt w:val="lowerLetter"/>
      <w:start w:val="2"/>
    </w:lvl>
  </w:abstractNum>
  <w:abstractNum w:abstractNumId="256">
    <w:nsid w:val="1112DBB6"/>
    <w:multiLevelType w:val="hybridMultilevel"/>
    <w:lvl w:ilvl="0">
      <w:lvlJc w:val="left"/>
      <w:lvlText w:val="(%1)"/>
      <w:numFmt w:val="lowerLetter"/>
      <w:start w:val="1"/>
    </w:lvl>
  </w:abstractNum>
  <w:abstractNum w:abstractNumId="257">
    <w:nsid w:val="2586A498"/>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9"/>
    </w:lvl>
  </w:abstractNum>
  <w:abstractNum w:abstractNumId="258">
    <w:nsid w:val="17A03BB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35"/>
    </w:lvl>
  </w:abstractNum>
  <w:abstractNum w:abstractNumId="259">
    <w:nsid w:val="5CA941"/>
    <w:multiLevelType w:val="hybridMultilevel"/>
    <w:lvl w:ilvl="0">
      <w:lvlJc w:val="left"/>
      <w:lvlText w:val="(%1)"/>
      <w:numFmt w:val="lowerLetter"/>
      <w:start w:val="2"/>
    </w:lvl>
  </w:abstractNum>
  <w:abstractNum w:abstractNumId="260">
    <w:nsid w:val="734C7D9F"/>
    <w:multiLevelType w:val="hybridMultilevel"/>
    <w:lvl w:ilvl="0">
      <w:lvlJc w:val="left"/>
      <w:lvlText w:val="%1."/>
      <w:numFmt w:val="decimal"/>
      <w:start w:val="1"/>
    </w:lvl>
  </w:abstractNum>
  <w:abstractNum w:abstractNumId="261">
    <w:nsid w:val="24F5D018"/>
    <w:multiLevelType w:val="hybridMultilevel"/>
    <w:lvl w:ilvl="0">
      <w:lvlJc w:val="left"/>
      <w:lvlText w:val="(%1)"/>
      <w:numFmt w:val="lowerLetter"/>
      <w:start w:val="4"/>
    </w:lvl>
  </w:abstractNum>
  <w:abstractNum w:abstractNumId="262">
    <w:nsid w:val="6780C122"/>
    <w:multiLevelType w:val="hybridMultilevel"/>
    <w:lvl w:ilvl="0">
      <w:lvlJc w:val="left"/>
      <w:lvlText w:val="%1."/>
      <w:numFmt w:val="decimal"/>
      <w:start w:val="1"/>
    </w:lvl>
  </w:abstractNum>
  <w:abstractNum w:abstractNumId="263">
    <w:nsid w:val="534347A8"/>
    <w:multiLevelType w:val="hybridMultilevel"/>
    <w:lvl w:ilvl="0">
      <w:lvlJc w:val="left"/>
      <w:lvlText w:val="%1."/>
      <w:numFmt w:val="decimal"/>
      <w:start w:val="7"/>
    </w:lvl>
  </w:abstractNum>
  <w:abstractNum w:abstractNumId="264">
    <w:nsid w:val="5800E34B"/>
    <w:multiLevelType w:val="hybridMultilevel"/>
    <w:lvl w:ilvl="0">
      <w:lvlJc w:val="left"/>
      <w:lvlText w:val="%1."/>
      <w:numFmt w:val="decimal"/>
      <w:start w:val="10"/>
    </w:lvl>
  </w:abstractNum>
  <w:abstractNum w:abstractNumId="265">
    <w:nsid w:val="1673EFC8"/>
    <w:multiLevelType w:val="hybridMultilevel"/>
    <w:lvl w:ilvl="0">
      <w:lvlJc w:val="left"/>
      <w:lvlText w:val="%1."/>
      <w:numFmt w:val="decimal"/>
      <w:start w:val="15"/>
    </w:lvl>
  </w:abstractNum>
  <w:abstractNum w:abstractNumId="266">
    <w:nsid w:val="5B9B1FD"/>
    <w:multiLevelType w:val="hybridMultilevel"/>
    <w:lvl w:ilvl="0">
      <w:lvlJc w:val="left"/>
      <w:lvlText w:val="%1."/>
      <w:numFmt w:val="decimal"/>
      <w:start w:val="20"/>
    </w:lvl>
    <w:lvl w:ilvl="1">
      <w:lvlJc w:val="left"/>
      <w:lvlText w:val="*"/>
      <w:numFmt w:val="bullet"/>
      <w:start w:val="1"/>
    </w:lvl>
  </w:abstractNum>
  <w:abstractNum w:abstractNumId="267">
    <w:nsid w:val="7AD7FCA2"/>
    <w:multiLevelType w:val="hybridMultilevel"/>
    <w:lvl w:ilvl="0">
      <w:lvlJc w:val="left"/>
      <w:lvlText w:val="(%1)"/>
      <w:numFmt w:val="lowerLetter"/>
      <w:start w:val="1"/>
    </w:lvl>
    <w:lvl w:ilvl="1">
      <w:lvlJc w:val="left"/>
      <w:lvlText w:val="(%2)"/>
      <w:numFmt w:val="lowerRoman"/>
      <w:start w:val="1"/>
    </w:lvl>
  </w:abstractNum>
  <w:abstractNum w:abstractNumId="268">
    <w:nsid w:val="63351604"/>
    <w:multiLevelType w:val="hybridMultilevel"/>
    <w:lvl w:ilvl="0">
      <w:lvlJc w:val="left"/>
      <w:lvlText w:val="(%1)"/>
      <w:numFmt w:val="lowerLetter"/>
      <w:start w:val="2"/>
    </w:lvl>
  </w:abstractNum>
  <w:abstractNum w:abstractNumId="269">
    <w:nsid w:val="E759D1A"/>
    <w:multiLevelType w:val="hybridMultilevel"/>
    <w:lvl w:ilvl="0">
      <w:lvlJc w:val="left"/>
      <w:lvlText w:val="%1."/>
      <w:numFmt w:val="decimal"/>
      <w:start w:val="1"/>
    </w:lvl>
  </w:abstractNum>
  <w:abstractNum w:abstractNumId="270">
    <w:nsid w:val="6E3DEE90"/>
    <w:multiLevelType w:val="hybridMultilevel"/>
    <w:lvl w:ilvl="0">
      <w:lvlJc w:val="left"/>
      <w:lvlText w:val="%1."/>
      <w:numFmt w:val="decimal"/>
      <w:start w:val="7"/>
    </w:lvl>
  </w:abstractNum>
  <w:abstractNum w:abstractNumId="271">
    <w:nsid w:val="1A8762F4"/>
    <w:multiLevelType w:val="hybridMultilevel"/>
    <w:lvl w:ilvl="0">
      <w:lvlJc w:val="left"/>
      <w:lvlText w:val="%1."/>
      <w:numFmt w:val="decimal"/>
      <w:start w:val="10"/>
    </w:lvl>
  </w:abstractNum>
  <w:abstractNum w:abstractNumId="272">
    <w:nsid w:val="7F41D049"/>
    <w:multiLevelType w:val="hybridMultilevel"/>
    <w:lvl w:ilvl="0">
      <w:lvlJc w:val="left"/>
      <w:lvlText w:val="%1."/>
      <w:numFmt w:val="decimal"/>
      <w:start w:val="14"/>
    </w:lvl>
  </w:abstractNum>
  <w:abstractNum w:abstractNumId="273">
    <w:nsid w:val="449F66FE"/>
    <w:multiLevelType w:val="hybridMultilevel"/>
    <w:lvl w:ilvl="0">
      <w:lvlJc w:val="left"/>
      <w:lvlText w:val="%1."/>
      <w:numFmt w:val="decimal"/>
      <w:start w:val="19"/>
    </w:lvl>
    <w:lvl w:ilvl="1">
      <w:lvlJc w:val="left"/>
      <w:lvlText w:val="*"/>
      <w:numFmt w:val="bullet"/>
      <w:start w:val="1"/>
    </w:lvl>
  </w:abstractNum>
  <w:abstractNum w:abstractNumId="274">
    <w:nsid w:val="557E0515"/>
    <w:multiLevelType w:val="hybridMultilevel"/>
    <w:lvl w:ilvl="0">
      <w:lvlJc w:val="left"/>
      <w:lvlText w:val="(%1)"/>
      <w:numFmt w:val="lowerLetter"/>
      <w:start w:val="1"/>
    </w:lvl>
    <w:lvl w:ilvl="1">
      <w:lvlJc w:val="left"/>
      <w:lvlText w:val="(%2)"/>
      <w:numFmt w:val="lowerRoman"/>
      <w:start w:val="1"/>
    </w:lvl>
  </w:abstractNum>
  <w:abstractNum w:abstractNumId="275">
    <w:nsid w:val="3BA0794B"/>
    <w:multiLevelType w:val="hybridMultilevel"/>
    <w:lvl w:ilvl="0">
      <w:lvlJc w:val="left"/>
      <w:lvlText w:val="(%1)"/>
      <w:numFmt w:val="lowerLetter"/>
      <w:start w:val="2"/>
    </w:lvl>
  </w:abstractNum>
  <w:abstractNum w:abstractNumId="276">
    <w:nsid w:val="6A0DCE48"/>
    <w:multiLevelType w:val="hybridMultilevel"/>
    <w:lvl w:ilvl="0">
      <w:lvlJc w:val="left"/>
      <w:lvlText w:val="(%1)"/>
      <w:numFmt w:val="lowerLetter"/>
      <w:start w:val="1"/>
    </w:lvl>
  </w:abstractNum>
  <w:abstractNum w:abstractNumId="277">
    <w:nsid w:val="7237AA96"/>
    <w:multiLevelType w:val="hybridMultilevel"/>
    <w:lvl w:ilvl="0">
      <w:lvlJc w:val="left"/>
      <w:lvlText w:val="(%1)"/>
      <w:numFmt w:val="lowerLetter"/>
      <w:start w:val="2"/>
    </w:lvl>
  </w:abstractNum>
  <w:abstractNum w:abstractNumId="278">
    <w:nsid w:val="5B1FBC2D"/>
    <w:multiLevelType w:val="hybridMultilevel"/>
    <w:lvl w:ilvl="0">
      <w:lvlJc w:val="left"/>
      <w:lvlText w:val="%1."/>
      <w:numFmt w:val="decimal"/>
      <w:start w:val="1"/>
    </w:lvl>
  </w:abstractNum>
  <w:abstractNum w:abstractNumId="279">
    <w:nsid w:val="33DFCCE8"/>
    <w:multiLevelType w:val="hybridMultilevel"/>
    <w:lvl w:ilvl="0">
      <w:lvlJc w:val="left"/>
      <w:lvlText w:val="%1."/>
      <w:numFmt w:val="decimal"/>
      <w:start w:val="7"/>
    </w:lvl>
  </w:abstractNum>
  <w:abstractNum w:abstractNumId="280">
    <w:nsid w:val="18C45E15"/>
    <w:multiLevelType w:val="hybridMultilevel"/>
    <w:lvl w:ilvl="0">
      <w:lvlJc w:val="left"/>
      <w:lvlText w:val="%1."/>
      <w:numFmt w:val="decimal"/>
      <w:start w:val="10"/>
    </w:lvl>
  </w:abstractNum>
  <w:abstractNum w:abstractNumId="281">
    <w:nsid w:val="6B431F25"/>
    <w:multiLevelType w:val="hybridMultilevel"/>
    <w:lvl w:ilvl="0">
      <w:lvlJc w:val="left"/>
      <w:lvlText w:val="%1."/>
      <w:numFmt w:val="decimal"/>
      <w:start w:val="15"/>
    </w:lvl>
  </w:abstractNum>
  <w:abstractNum w:abstractNumId="282">
    <w:nsid w:val="13CD8DCB"/>
    <w:multiLevelType w:val="hybridMultilevel"/>
    <w:lvl w:ilvl="0">
      <w:lvlJc w:val="left"/>
      <w:lvlText w:val="%1."/>
      <w:numFmt w:val="decimal"/>
      <w:start w:val="20"/>
    </w:lvl>
    <w:lvl w:ilvl="1">
      <w:lvlJc w:val="left"/>
      <w:lvlText w:val="*"/>
      <w:numFmt w:val="bullet"/>
      <w:start w:val="1"/>
    </w:lvl>
  </w:abstractNum>
  <w:abstractNum w:abstractNumId="283">
    <w:nsid w:val="563A1A5C"/>
    <w:multiLevelType w:val="hybridMultilevel"/>
    <w:lvl w:ilvl="0">
      <w:lvlJc w:val="left"/>
      <w:lvlText w:val="(%1)"/>
      <w:numFmt w:val="lowerLetter"/>
      <w:start w:val="1"/>
    </w:lvl>
  </w:abstractNum>
  <w:abstractNum w:abstractNumId="284">
    <w:nsid w:val="2973F88F"/>
    <w:multiLevelType w:val="hybridMultilevel"/>
    <w:lvl w:ilvl="0">
      <w:lvlJc w:val="left"/>
      <w:lvlText w:val="(%1)"/>
      <w:numFmt w:val="lowerRoman"/>
      <w:start w:val="1"/>
    </w:lvl>
  </w:abstractNum>
  <w:abstractNum w:abstractNumId="285">
    <w:nsid w:val="2C70EDAE"/>
    <w:multiLevelType w:val="hybridMultilevel"/>
    <w:lvl w:ilvl="0">
      <w:lvlJc w:val="left"/>
      <w:lvlText w:val="(%1)"/>
      <w:numFmt w:val="lowerRoman"/>
      <w:start w:val="2"/>
    </w:lvl>
  </w:abstractNum>
  <w:abstractNum w:abstractNumId="286">
    <w:nsid w:val="44296C6D"/>
    <w:multiLevelType w:val="hybridMultilevel"/>
    <w:lvl w:ilvl="0">
      <w:lvlJc w:val="left"/>
      <w:lvlText w:val="(%1)"/>
      <w:numFmt w:val="lowerLetter"/>
      <w:start w:val="2"/>
    </w:lvl>
  </w:abstractNum>
  <w:abstractNum w:abstractNumId="287">
    <w:nsid w:val="3A86D445"/>
    <w:multiLevelType w:val="hybridMultilevel"/>
    <w:lvl w:ilvl="0">
      <w:lvlJc w:val="left"/>
      <w:lvlText w:val="(%1)"/>
      <w:numFmt w:val="lowerLetter"/>
      <w:start w:val="1"/>
    </w:lvl>
  </w:abstractNum>
  <w:abstractNum w:abstractNumId="288">
    <w:nsid w:val="51F79246"/>
    <w:multiLevelType w:val="hybridMultilevel"/>
    <w:lvl w:ilvl="0">
      <w:lvlJc w:val="left"/>
      <w:lvlText w:val="(%1)"/>
      <w:numFmt w:val="lowerLetter"/>
      <w:start w:val="2"/>
    </w:lvl>
    <w:lvl w:ilvl="1">
      <w:lvlJc w:val="left"/>
      <w:lvlText w:val="(%2)"/>
      <w:numFmt w:val="upperLetter"/>
      <w:start w:val="1"/>
    </w:lvl>
  </w:abstractNum>
  <w:abstractNum w:abstractNumId="289">
    <w:nsid w:val="5BC9A827"/>
    <w:multiLevelType w:val="hybridMultilevel"/>
    <w:lvl w:ilvl="0">
      <w:lvlJc w:val="left"/>
      <w:lvlText w:val="(%1)"/>
      <w:numFmt w:val="lowerLetter"/>
      <w:start w:val="5"/>
    </w:lvl>
  </w:abstractNum>
  <w:abstractNum w:abstractNumId="290">
    <w:nsid w:val="3AE37D86"/>
    <w:multiLevelType w:val="hybridMultilevel"/>
    <w:lvl w:ilvl="0">
      <w:lvlJc w:val="left"/>
      <w:lvlText w:val="%1."/>
      <w:numFmt w:val="decimal"/>
      <w:start w:val="1"/>
    </w:lvl>
  </w:abstractNum>
  <w:abstractNum w:abstractNumId="291">
    <w:nsid w:val="45440FE5"/>
    <w:multiLevelType w:val="hybridMultilevel"/>
    <w:lvl w:ilvl="0">
      <w:lvlJc w:val="left"/>
      <w:lvlText w:val="%1."/>
      <w:numFmt w:val="decimal"/>
      <w:start w:val="7"/>
    </w:lvl>
  </w:abstractNum>
  <w:abstractNum w:abstractNumId="292">
    <w:nsid w:val="BF783F"/>
    <w:multiLevelType w:val="hybridMultilevel"/>
    <w:lvl w:ilvl="0">
      <w:lvlJc w:val="left"/>
      <w:lvlText w:val="%1."/>
      <w:numFmt w:val="decimal"/>
      <w:start w:val="10"/>
    </w:lvl>
  </w:abstractNum>
  <w:abstractNum w:abstractNumId="293">
    <w:nsid w:val="22643EA9"/>
    <w:multiLevelType w:val="hybridMultilevel"/>
    <w:lvl w:ilvl="0">
      <w:lvlJc w:val="left"/>
      <w:lvlText w:val="%1."/>
      <w:numFmt w:val="decimal"/>
      <w:start w:val="15"/>
    </w:lvl>
  </w:abstractNum>
  <w:abstractNum w:abstractNumId="294">
    <w:nsid w:val="1887578D"/>
    <w:multiLevelType w:val="hybridMultilevel"/>
    <w:lvl w:ilvl="0">
      <w:lvlJc w:val="left"/>
      <w:lvlText w:val="%1."/>
      <w:numFmt w:val="decimal"/>
      <w:start w:val="20"/>
    </w:lvl>
    <w:lvl w:ilvl="1">
      <w:lvlJc w:val="left"/>
      <w:lvlText w:val="*"/>
      <w:numFmt w:val="bullet"/>
      <w:start w:val="1"/>
    </w:lvl>
  </w:abstractNum>
  <w:abstractNum w:abstractNumId="295">
    <w:nsid w:val="58C05B8A"/>
    <w:multiLevelType w:val="hybridMultilevel"/>
    <w:lvl w:ilvl="0">
      <w:lvlJc w:val="left"/>
      <w:lvlText w:val="(%1)"/>
      <w:numFmt w:val="lowerRoman"/>
      <w:start w:val="2"/>
    </w:lvl>
  </w:abstractNum>
  <w:abstractNum w:abstractNumId="296">
    <w:nsid w:val="38D82E71"/>
    <w:multiLevelType w:val="hybridMultilevel"/>
    <w:lvl w:ilvl="0">
      <w:lvlJc w:val="left"/>
      <w:lvlText w:val="%1."/>
      <w:numFmt w:val="decimal"/>
      <w:start w:val="1"/>
    </w:lvl>
  </w:abstractNum>
  <w:abstractNum w:abstractNumId="297">
    <w:nsid w:val="1E41098A"/>
    <w:multiLevelType w:val="hybridMultilevel"/>
    <w:lvl w:ilvl="0">
      <w:lvlJc w:val="left"/>
      <w:lvlText w:val="%1"/>
      <w:numFmt w:val="lowerLetter"/>
      <w:start w:val="1"/>
    </w:lvl>
    <w:lvl w:ilvl="1">
      <w:lvlJc w:val="left"/>
      <w:lvlText w:val="(%2)"/>
      <w:numFmt w:val="lowerLetter"/>
      <w:start w:val="1"/>
    </w:lvl>
  </w:abstractNum>
  <w:abstractNum w:abstractNumId="298">
    <w:nsid w:val="5398582C"/>
    <w:multiLevelType w:val="hybridMultilevel"/>
    <w:lvl w:ilvl="0">
      <w:lvlJc w:val="left"/>
      <w:lvlText w:val="(%1)"/>
      <w:numFmt w:val="lowerLetter"/>
      <w:start w:val="35"/>
    </w:lvl>
    <w:lvl w:ilvl="1">
      <w:lvlJc w:val="left"/>
      <w:lvlText w:val="(%2)"/>
      <w:numFmt w:val="lowerLetter"/>
      <w:start w:val="3"/>
    </w:lvl>
  </w:abstractNum>
  <w:abstractNum w:abstractNumId="299">
    <w:nsid w:val="1C0D4475"/>
    <w:multiLevelType w:val="hybridMultilevel"/>
    <w:lvl w:ilvl="0">
      <w:lvlJc w:val="left"/>
      <w:lvlText w:val="%1."/>
      <w:numFmt w:val="decimal"/>
      <w:start w:val="5"/>
    </w:lvl>
  </w:abstractNum>
  <w:abstractNum w:abstractNumId="300">
    <w:nsid w:val="2CB6A6A4"/>
    <w:multiLevelType w:val="hybridMultilevel"/>
    <w:lvl w:ilvl="0">
      <w:lvlJc w:val="left"/>
      <w:lvlText w:val="(%1)"/>
      <w:numFmt w:val="lowerLetter"/>
      <w:start w:val="1"/>
    </w:lvl>
  </w:abstractNum>
  <w:abstractNum w:abstractNumId="301">
    <w:nsid w:val="41D646BC"/>
    <w:multiLevelType w:val="hybridMultilevel"/>
    <w:lvl w:ilvl="0">
      <w:lvlJc w:val="left"/>
      <w:lvlText w:val="(%1)"/>
      <w:numFmt w:val="lowerLetter"/>
      <w:start w:val="4"/>
    </w:lvl>
  </w:abstractNum>
  <w:abstractNum w:abstractNumId="302">
    <w:nsid w:val="3694A76A"/>
    <w:multiLevelType w:val="hybridMultilevel"/>
    <w:lvl w:ilvl="0">
      <w:lvlJc w:val="left"/>
      <w:lvlText w:val="%1"/>
      <w:numFmt w:val="lowerRoman"/>
      <w:start w:val="1"/>
    </w:lvl>
    <w:lvl w:ilvl="1">
      <w:lvlJc w:val="left"/>
      <w:lvlText w:val="%2."/>
      <w:numFmt w:val="decimal"/>
      <w:start w:val="8"/>
    </w:lvl>
  </w:abstractNum>
  <w:abstractNum w:abstractNumId="303">
    <w:nsid w:val="2BF876EE"/>
    <w:multiLevelType w:val="hybridMultilevel"/>
    <w:lvl w:ilvl="0">
      <w:lvlJc w:val="left"/>
      <w:lvlText w:val="(%1)"/>
      <w:numFmt w:val="lowerRoman"/>
      <w:start w:val="2"/>
    </w:lvl>
    <w:lvl w:ilvl="1">
      <w:lvlJc w:val="left"/>
      <w:lvlText w:val="%2."/>
      <w:numFmt w:val="decimal"/>
      <w:start w:val="9"/>
    </w:lvl>
  </w:abstractNum>
  <w:abstractNum w:abstractNumId="304">
    <w:nsid w:val="675ADBA"/>
    <w:multiLevelType w:val="hybridMultilevel"/>
    <w:lvl w:ilvl="0">
      <w:lvlJc w:val="left"/>
      <w:lvlText w:val="%1."/>
      <w:numFmt w:val="decimal"/>
      <w:start w:val="10"/>
    </w:lvl>
  </w:abstractNum>
  <w:abstractNum w:abstractNumId="305">
    <w:nsid w:val="C12AC7F"/>
    <w:multiLevelType w:val="hybridMultilevel"/>
    <w:lvl w:ilvl="0">
      <w:lvlJc w:val="left"/>
      <w:lvlText w:val="(%1)"/>
      <w:numFmt w:val="lowerLetter"/>
      <w:start w:val="1"/>
    </w:lvl>
  </w:abstractNum>
  <w:abstractNum w:abstractNumId="306">
    <w:nsid w:val="6798F039"/>
    <w:multiLevelType w:val="hybridMultilevel"/>
    <w:lvl w:ilvl="0">
      <w:lvlJc w:val="left"/>
      <w:lvlText w:val="%1."/>
      <w:numFmt w:val="decimal"/>
      <w:start w:val="13"/>
    </w:lvl>
  </w:abstractNum>
  <w:abstractNum w:abstractNumId="307">
    <w:nsid w:val="70837C02"/>
    <w:multiLevelType w:val="hybridMultilevel"/>
    <w:lvl w:ilvl="0">
      <w:lvlJc w:val="left"/>
      <w:lvlText w:val="%1"/>
      <w:numFmt w:val="lowerRoman"/>
      <w:start w:val="1"/>
    </w:lvl>
    <w:lvl w:ilvl="1">
      <w:lvlJc w:val="left"/>
      <w:lvlText w:val="%2."/>
      <w:numFmt w:val="decimal"/>
      <w:start w:val="15"/>
    </w:lvl>
  </w:abstractNum>
  <w:abstractNum w:abstractNumId="308">
    <w:nsid w:val="7E4A5715"/>
    <w:multiLevelType w:val="hybridMultilevel"/>
    <w:lvl w:ilvl="0">
      <w:lvlJc w:val="left"/>
      <w:lvlText w:val="(%1)"/>
      <w:numFmt w:val="lowerRoman"/>
      <w:start w:val="1"/>
    </w:lvl>
    <w:lvl w:ilvl="1">
      <w:lvlJc w:val="left"/>
      <w:lvlText w:val="%2."/>
      <w:numFmt w:val="decimal"/>
      <w:start w:val="16"/>
    </w:lvl>
  </w:abstractNum>
  <w:abstractNum w:abstractNumId="309">
    <w:nsid w:val="42B8AC67"/>
    <w:multiLevelType w:val="hybridMultilevel"/>
    <w:lvl w:ilvl="0">
      <w:lvlJc w:val="left"/>
      <w:lvlText w:val="%1."/>
      <w:numFmt w:val="decimal"/>
      <w:start w:val="17"/>
    </w:lvl>
  </w:abstractNum>
  <w:abstractNum w:abstractNumId="310">
    <w:nsid w:val="246348EA"/>
    <w:multiLevelType w:val="hybridMultilevel"/>
    <w:lvl w:ilvl="0">
      <w:lvlJc w:val="left"/>
      <w:lvlText w:val="(%1)"/>
      <w:numFmt w:val="lowerLetter"/>
      <w:start w:val="1"/>
    </w:lvl>
  </w:abstractNum>
  <w:abstractNum w:abstractNumId="311">
    <w:nsid w:val="170EB52B"/>
    <w:multiLevelType w:val="hybridMultilevel"/>
    <w:lvl w:ilvl="0">
      <w:lvlJc w:val="left"/>
      <w:lvlText w:val="(%1)"/>
      <w:numFmt w:val="lowerLetter"/>
      <w:start w:val="1"/>
    </w:lvl>
  </w:abstractNum>
  <w:abstractNum w:abstractNumId="312">
    <w:nsid w:val="2DFBCB8C"/>
    <w:multiLevelType w:val="hybridMultilevel"/>
    <w:lvl w:ilvl="0">
      <w:lvlJc w:val="left"/>
      <w:lvlText w:val="(%1)"/>
      <w:numFmt w:val="lowerLetter"/>
      <w:start w:val="1"/>
    </w:lvl>
  </w:abstractNum>
  <w:abstractNum w:abstractNumId="313">
    <w:nsid w:val="3830D6B6"/>
    <w:multiLevelType w:val="hybridMultilevel"/>
    <w:lvl w:ilvl="0">
      <w:lvlJc w:val="left"/>
      <w:lvlText w:val="2"/>
      <w:numFmt w:val="bullet"/>
      <w:start w:val="1"/>
    </w:lvl>
  </w:abstractNum>
  <w:abstractNum w:abstractNumId="314">
    <w:nsid w:val="6D48CF87"/>
    <w:multiLevelType w:val="hybridMultilevel"/>
    <w:lvl w:ilvl="0">
      <w:lvlJc w:val="left"/>
      <w:lvlText w:val="(%1)"/>
      <w:numFmt w:val="lowerLetter"/>
      <w:start w:val="3"/>
    </w:lvl>
  </w:abstractNum>
  <w:abstractNum w:abstractNumId="315">
    <w:nsid w:val="576FC41B"/>
    <w:multiLevelType w:val="hybridMultilevel"/>
    <w:lvl w:ilvl="0">
      <w:lvlJc w:val="left"/>
      <w:lvlText w:val="(%1)"/>
      <w:numFmt w:val="lowerLetter"/>
      <w:start w:val="1"/>
    </w:lvl>
    <w:lvl w:ilvl="1">
      <w:lvlJc w:val="left"/>
      <w:lvlText w:val="(%2)"/>
      <w:numFmt w:val="lowerRoman"/>
      <w:start w:val="1"/>
    </w:lvl>
  </w:abstractNum>
  <w:abstractNum w:abstractNumId="316">
    <w:nsid w:val="64A1C464"/>
    <w:multiLevelType w:val="hybridMultilevel"/>
    <w:lvl w:ilvl="0">
      <w:lvlJc w:val="left"/>
      <w:lvlText w:val="(%1)"/>
      <w:numFmt w:val="lowerRoman"/>
      <w:start w:val="3"/>
    </w:lvl>
  </w:abstractNum>
  <w:abstractNum w:abstractNumId="317">
    <w:nsid w:val="31723BF5"/>
    <w:multiLevelType w:val="hybridMultilevel"/>
    <w:lvl w:ilvl="0">
      <w:lvlJc w:val="left"/>
      <w:lvlText w:val="(%1)"/>
      <w:numFmt w:val="lowerLetter"/>
      <w:start w:val="7"/>
    </w:lvl>
    <w:lvl w:ilvl="1">
      <w:lvlJc w:val="left"/>
      <w:lvlText w:val="(%2)"/>
      <w:numFmt w:val="lowerRoman"/>
      <w:start w:val="1"/>
    </w:lvl>
  </w:abstractNum>
  <w:abstractNum w:abstractNumId="318">
    <w:nsid w:val="11F69861"/>
    <w:multiLevelType w:val="hybridMultilevel"/>
    <w:lvl w:ilvl="0">
      <w:lvlJc w:val="left"/>
      <w:lvlText w:val="(%1)"/>
      <w:numFmt w:val="lowerRoman"/>
      <w:start w:val="1"/>
    </w:lvl>
  </w:abstractNum>
  <w:abstractNum w:abstractNumId="319">
    <w:nsid w:val="369956AB"/>
    <w:multiLevelType w:val="hybridMultilevel"/>
    <w:lvl w:ilvl="0">
      <w:lvlJc w:val="left"/>
      <w:lvlText w:val="(%1)"/>
      <w:numFmt w:val="lowerLetter"/>
      <w:start w:val="10"/>
    </w:lvl>
  </w:abstractNum>
  <w:abstractNum w:abstractNumId="320">
    <w:nsid w:val="D3BE41C"/>
    <w:multiLevelType w:val="hybridMultilevel"/>
    <w:lvl w:ilvl="0">
      <w:lvlJc w:val="left"/>
      <w:lvlText w:val="(%1)"/>
      <w:numFmt w:val="lowerLetter"/>
      <w:start w:val="1"/>
    </w:lvl>
  </w:abstractNum>
  <w:abstractNum w:abstractNumId="321">
    <w:nsid w:val="4CDA15E7"/>
    <w:multiLevelType w:val="hybridMultilevel"/>
    <w:lvl w:ilvl="0">
      <w:lvlJc w:val="left"/>
      <w:lvlText w:val="(%1)"/>
      <w:numFmt w:val="lowerLetter"/>
      <w:start w:val="4"/>
    </w:lvl>
  </w:abstractNum>
  <w:abstractNum w:abstractNumId="322">
    <w:nsid w:val="7BDD6690"/>
    <w:multiLevelType w:val="hybridMultilevel"/>
    <w:lvl w:ilvl="0">
      <w:lvlJc w:val="left"/>
      <w:lvlText w:val="(%1)"/>
      <w:numFmt w:val="lowerLetter"/>
      <w:start w:val="1"/>
    </w:lvl>
  </w:abstractNum>
  <w:abstractNum w:abstractNumId="323">
    <w:nsid w:val="DFB5C5B"/>
    <w:multiLevelType w:val="hybridMultilevel"/>
    <w:lvl w:ilvl="0">
      <w:lvlJc w:val="left"/>
      <w:lvlText w:val="(%1)"/>
      <w:numFmt w:val="lowerLetter"/>
      <w:start w:val="4"/>
    </w:lvl>
  </w:abstractNum>
  <w:abstractNum w:abstractNumId="324">
    <w:nsid w:val="6F3E5490"/>
    <w:multiLevelType w:val="hybridMultilevel"/>
    <w:lvl w:ilvl="0">
      <w:lvlJc w:val="left"/>
      <w:lvlText w:val="(%1)"/>
      <w:numFmt w:val="lowerLetter"/>
      <w:start w:val="10"/>
    </w:lvl>
  </w:abstractNum>
  <w:abstractNum w:abstractNumId="325">
    <w:nsid w:val="1464BE1E"/>
    <w:multiLevelType w:val="hybridMultilevel"/>
    <w:lvl w:ilvl="0">
      <w:lvlJc w:val="left"/>
      <w:lvlText w:val="(%1)"/>
      <w:numFmt w:val="lowerLetter"/>
      <w:start w:val="1"/>
    </w:lvl>
  </w:abstractNum>
  <w:abstractNum w:abstractNumId="326">
    <w:nsid w:val="66BBB7E5"/>
    <w:multiLevelType w:val="hybridMultilevel"/>
    <w:lvl w:ilvl="0">
      <w:lvlJc w:val="left"/>
      <w:lvlText w:val="(%1)"/>
      <w:numFmt w:val="lowerRoman"/>
      <w:start w:val="2"/>
    </w:lvl>
  </w:abstractNum>
  <w:abstractNum w:abstractNumId="327">
    <w:nsid w:val="28168302"/>
    <w:multiLevelType w:val="hybridMultilevel"/>
    <w:lvl w:ilvl="0">
      <w:lvlJc w:val="left"/>
      <w:lvlText w:val="(%1)"/>
      <w:numFmt w:val="lowerRoman"/>
      <w:start w:val="7"/>
    </w:lvl>
  </w:abstractNum>
  <w:abstractNum w:abstractNumId="328">
    <w:nsid w:val="32A5C7A8"/>
    <w:multiLevelType w:val="hybridMultilevel"/>
    <w:lvl w:ilvl="0">
      <w:lvlJc w:val="left"/>
      <w:lvlText w:val="%1"/>
      <w:numFmt w:val="lowerLetter"/>
      <w:start w:val="1"/>
    </w:lvl>
    <w:lvl w:ilvl="1">
      <w:lvlJc w:val="left"/>
      <w:lvlText w:val="(%2)"/>
      <w:numFmt w:val="lowerLetter"/>
      <w:start w:val="3"/>
    </w:lvl>
  </w:abstractNum>
  <w:abstractNum w:abstractNumId="329">
    <w:nsid w:val="3A541011"/>
    <w:multiLevelType w:val="hybridMultilevel"/>
    <w:lvl w:ilvl="0">
      <w:lvlJc w:val="left"/>
      <w:lvlText w:val="(%1)"/>
      <w:numFmt w:val="lowerLetter"/>
      <w:start w:val="9"/>
    </w:lvl>
    <w:lvl w:ilvl="1">
      <w:lvlJc w:val="left"/>
      <w:lvlText w:val="%2"/>
      <w:numFmt w:val="lowerLetter"/>
      <w:start w:val="1"/>
    </w:lvl>
  </w:abstractNum>
  <w:abstractNum w:abstractNumId="330">
    <w:nsid w:val="4423C777"/>
    <w:multiLevelType w:val="hybridMultilevel"/>
    <w:lvl w:ilvl="0">
      <w:lvlJc w:val="left"/>
      <w:lvlText w:val="(%1)"/>
      <w:numFmt w:val="lowerLetter"/>
      <w:start w:val="1"/>
    </w:lvl>
  </w:abstractNum>
  <w:abstractNum w:abstractNumId="331">
    <w:nsid w:val="5F5C6E4D"/>
    <w:multiLevelType w:val="hybridMultilevel"/>
    <w:lvl w:ilvl="0">
      <w:lvlJc w:val="left"/>
      <w:lvlText w:val="(%1)"/>
      <w:numFmt w:val="lowerLetter"/>
      <w:start w:val="5"/>
    </w:lvl>
    <w:lvl w:ilvl="1">
      <w:lvlJc w:val="left"/>
      <w:lvlText w:val="(%2)"/>
      <w:numFmt w:val="lowerRoman"/>
      <w:start w:val="1"/>
    </w:lvl>
  </w:abstractNum>
  <w:abstractNum w:abstractNumId="332">
    <w:nsid w:val="7C2A56CD"/>
    <w:multiLevelType w:val="hybridMultilevel"/>
    <w:lvl w:ilvl="0">
      <w:lvlJc w:val="left"/>
      <w:lvlText w:val="(%1)"/>
      <w:numFmt w:val="lowerRoman"/>
      <w:start w:val="3"/>
    </w:lvl>
  </w:abstractNum>
  <w:abstractNum w:abstractNumId="333">
    <w:nsid w:val="7AB86EE1"/>
    <w:multiLevelType w:val="hybridMultilevel"/>
    <w:lvl w:ilvl="0">
      <w:lvlJc w:val="left"/>
      <w:lvlText w:val="%1"/>
      <w:numFmt w:val="lowerLetter"/>
      <w:start w:val="1"/>
    </w:lvl>
    <w:lvl w:ilvl="1">
      <w:lvlJc w:val="left"/>
      <w:lvlText w:val="(%2)"/>
      <w:numFmt w:val="lowerLetter"/>
      <w:start w:val="1"/>
    </w:lvl>
  </w:abstractNum>
  <w:abstractNum w:abstractNumId="334">
    <w:nsid w:val="B54E53B"/>
    <w:multiLevelType w:val="hybridMultilevel"/>
    <w:lvl w:ilvl="0">
      <w:lvlJc w:val="left"/>
      <w:lvlText w:val="(%1)"/>
      <w:numFmt w:val="lowerLetter"/>
      <w:start w:val="9"/>
    </w:lvl>
    <w:lvl w:ilvl="1">
      <w:lvlJc w:val="left"/>
      <w:lvlText w:val="%2"/>
      <w:numFmt w:val="lowerLetter"/>
      <w:start w:val="1"/>
    </w:lvl>
  </w:abstractNum>
  <w:abstractNum w:abstractNumId="335">
    <w:nsid w:val="2A00487"/>
    <w:multiLevelType w:val="hybridMultilevel"/>
    <w:lvl w:ilvl="0">
      <w:lvlJc w:val="left"/>
      <w:lvlText w:val="(%1)"/>
      <w:numFmt w:val="lowerLetter"/>
      <w:start w:val="1"/>
    </w:lvl>
  </w:abstractNum>
  <w:abstractNum w:abstractNumId="336">
    <w:nsid w:val="6CB1B60"/>
    <w:multiLevelType w:val="hybridMultilevel"/>
    <w:lvl w:ilvl="0">
      <w:lvlJc w:val="left"/>
      <w:lvlText w:val="(%1)"/>
      <w:numFmt w:val="lowerLetter"/>
      <w:start w:val="2"/>
    </w:lvl>
  </w:abstractNum>
  <w:abstractNum w:abstractNumId="337">
    <w:nsid w:val="72EDD574"/>
    <w:multiLevelType w:val="hybridMultilevel"/>
    <w:lvl w:ilvl="0">
      <w:lvlJc w:val="left"/>
      <w:lvlText w:val="(%1)"/>
      <w:numFmt w:val="lowerLetter"/>
      <w:start w:val="6"/>
    </w:lvl>
  </w:abstractNum>
  <w:abstractNum w:abstractNumId="338">
    <w:nsid w:val="7323808A"/>
    <w:multiLevelType w:val="hybridMultilevel"/>
    <w:lvl w:ilvl="0">
      <w:lvlJc w:val="left"/>
      <w:lvlText w:val="(%1)"/>
      <w:numFmt w:val="lowerLetter"/>
      <w:start w:val="18"/>
    </w:lvl>
  </w:abstractNum>
  <w:abstractNum w:abstractNumId="339">
    <w:nsid w:val="5157276"/>
    <w:multiLevelType w:val="hybridMultilevel"/>
    <w:lvl w:ilvl="0">
      <w:lvlJc w:val="left"/>
      <w:lvlText w:val="(%1)"/>
      <w:numFmt w:val="lowerLetter"/>
      <w:start w:val="19"/>
    </w:lvl>
  </w:abstractNum>
  <w:abstractNum w:abstractNumId="340">
    <w:nsid w:val="35A681DB"/>
    <w:multiLevelType w:val="hybridMultilevel"/>
    <w:lvl w:ilvl="0">
      <w:lvlJc w:val="left"/>
      <w:lvlText w:val="(%1)"/>
      <w:numFmt w:val="lowerLetter"/>
      <w:start w:val="27"/>
    </w:lvl>
  </w:abstractNum>
  <w:abstractNum w:abstractNumId="341">
    <w:nsid w:val="1786C974"/>
    <w:multiLevelType w:val="hybridMultilevel"/>
    <w:lvl w:ilvl="0">
      <w:lvlJc w:val="left"/>
      <w:lvlText w:val="(%1)"/>
      <w:numFmt w:val="lowerLetter"/>
      <w:start w:val="33"/>
    </w:lvl>
  </w:abstractNum>
  <w:abstractNum w:abstractNumId="342">
    <w:nsid w:val="1C2427A1"/>
    <w:multiLevelType w:val="hybridMultilevel"/>
    <w:lvl w:ilvl="0">
      <w:lvlJc w:val="left"/>
      <w:lvlText w:val="(%1)"/>
      <w:numFmt w:val="lowerLetter"/>
      <w:start w:val="1"/>
    </w:lvl>
  </w:abstractNum>
  <w:abstractNum w:abstractNumId="343">
    <w:nsid w:val="63A24D68"/>
    <w:multiLevelType w:val="hybridMultilevel"/>
    <w:lvl w:ilvl="0">
      <w:lvlJc w:val="left"/>
      <w:lvlText w:val="(%1)"/>
      <w:numFmt w:val="lowerLetter"/>
      <w:start w:val="1"/>
    </w:lvl>
  </w:abstractNum>
  <w:abstractNum w:abstractNumId="344">
    <w:nsid w:val="4FB7A02A"/>
    <w:multiLevelType w:val="hybridMultilevel"/>
    <w:lvl w:ilvl="0">
      <w:lvlJc w:val="left"/>
      <w:lvlText w:val="(%1)"/>
      <w:numFmt w:val="lowerLetter"/>
      <w:start w:val="3"/>
    </w:lvl>
  </w:abstractNum>
  <w:abstractNum w:abstractNumId="345">
    <w:nsid w:val="96CF728"/>
    <w:multiLevelType w:val="hybridMultilevel"/>
    <w:lvl w:ilvl="0">
      <w:lvlJc w:val="left"/>
      <w:lvlText w:val="(%1)"/>
      <w:numFmt w:val="lowerLetter"/>
      <w:start w:val="1"/>
    </w:lvl>
  </w:abstractNum>
  <w:abstractNum w:abstractNumId="346">
    <w:nsid w:val="3B121183"/>
    <w:multiLevelType w:val="hybridMultilevel"/>
    <w:lvl w:ilvl="0">
      <w:lvlJc w:val="left"/>
      <w:lvlText w:val="%1"/>
      <w:numFmt w:val="lowerLetter"/>
      <w:start w:val="1"/>
    </w:lvl>
    <w:lvl w:ilvl="1">
      <w:lvlJc w:val="left"/>
      <w:lvlText w:val="(%2)"/>
      <w:numFmt w:val="lowerLetter"/>
      <w:start w:val="1"/>
    </w:lvl>
  </w:abstractNum>
  <w:abstractNum w:abstractNumId="347">
    <w:nsid w:val="3459648F"/>
    <w:multiLevelType w:val="hybridMultilevel"/>
    <w:lvl w:ilvl="0">
      <w:lvlJc w:val="left"/>
      <w:lvlText w:val="(%1)"/>
      <w:numFmt w:val="lowerLetter"/>
      <w:start w:val="61"/>
    </w:lvl>
    <w:lvl w:ilvl="1">
      <w:lvlJc w:val="left"/>
      <w:lvlText w:val="(%2)"/>
      <w:numFmt w:val="lowerLetter"/>
      <w:start w:val="2"/>
    </w:lvl>
  </w:abstractNum>
  <w:abstractNum w:abstractNumId="348">
    <w:nsid w:val="3ADF331D"/>
    <w:multiLevelType w:val="hybridMultilevel"/>
    <w:lvl w:ilvl="0">
      <w:lvlJc w:val="left"/>
      <w:lvlText w:val="(%1)"/>
      <w:numFmt w:val="lowerLetter"/>
      <w:start w:val="1"/>
    </w:lvl>
  </w:abstractNum>
  <w:abstractNum w:abstractNumId="349">
    <w:nsid w:val="4D08A9E4"/>
    <w:multiLevelType w:val="hybridMultilevel"/>
    <w:lvl w:ilvl="0">
      <w:lvlJc w:val="left"/>
      <w:lvlText w:val="(%1)"/>
      <w:numFmt w:val="lowerLetter"/>
      <w:start w:val="4"/>
    </w:lvl>
  </w:abstractNum>
  <w:abstractNum w:abstractNumId="350">
    <w:nsid w:val="6AF2BB3A"/>
    <w:multiLevelType w:val="hybridMultilevel"/>
    <w:lvl w:ilvl="0">
      <w:lvlJc w:val="left"/>
      <w:lvlText w:val="(%1)"/>
      <w:numFmt w:val="lowerLetter"/>
      <w:start w:val="1"/>
    </w:lvl>
  </w:abstractNum>
  <w:abstractNum w:abstractNumId="351">
    <w:nsid w:val="481B1739"/>
    <w:multiLevelType w:val="hybridMultilevel"/>
    <w:lvl w:ilvl="0">
      <w:lvlJc w:val="left"/>
      <w:lvlText w:val="(%1)"/>
      <w:numFmt w:val="lowerLetter"/>
      <w:start w:val="3"/>
    </w:lvl>
  </w:abstractNum>
  <w:abstractNum w:abstractNumId="352">
    <w:nsid w:val="19E2BFCC"/>
    <w:multiLevelType w:val="hybridMultilevel"/>
    <w:lvl w:ilvl="0">
      <w:lvlJc w:val="left"/>
      <w:lvlText w:val="(%1)"/>
      <w:numFmt w:val="lowerLetter"/>
      <w:start w:val="6"/>
    </w:lvl>
  </w:abstractNum>
  <w:abstractNum w:abstractNumId="353">
    <w:nsid w:val="66D021CA"/>
    <w:multiLevelType w:val="hybridMultilevel"/>
    <w:lvl w:ilvl="0">
      <w:lvlJc w:val="left"/>
      <w:lvlText w:val="(%1)"/>
      <w:numFmt w:val="lowerLetter"/>
      <w:start w:val="8"/>
    </w:lvl>
  </w:abstractNum>
  <w:abstractNum w:abstractNumId="354">
    <w:nsid w:val="56167394"/>
    <w:multiLevelType w:val="hybridMultilevel"/>
    <w:lvl w:ilvl="0">
      <w:lvlJc w:val="left"/>
      <w:lvlText w:val="(%1)"/>
      <w:numFmt w:val="lowerLetter"/>
      <w:start w:val="1"/>
    </w:lvl>
  </w:abstractNum>
  <w:abstractNum w:abstractNumId="355">
    <w:nsid w:val="921145C"/>
    <w:multiLevelType w:val="hybridMultilevel"/>
    <w:lvl w:ilvl="0">
      <w:lvlJc w:val="left"/>
      <w:lvlText w:val="(%1)"/>
      <w:numFmt w:val="lowerLetter"/>
      <w:start w:val="4"/>
    </w:lvl>
  </w:abstractNum>
  <w:abstractNum w:abstractNumId="356">
    <w:nsid w:val="7B34DFE8"/>
    <w:multiLevelType w:val="hybridMultilevel"/>
    <w:lvl w:ilvl="0">
      <w:lvlJc w:val="left"/>
      <w:lvlText w:val="(%1)"/>
      <w:numFmt w:val="lowerLetter"/>
      <w:start w:val="1"/>
    </w:lvl>
  </w:abstractNum>
  <w:abstractNum w:abstractNumId="357">
    <w:nsid w:val="3CD22B79"/>
    <w:multiLevelType w:val="hybridMultilevel"/>
    <w:lvl w:ilvl="0">
      <w:lvlJc w:val="left"/>
      <w:lvlText w:val="(%1)"/>
      <w:numFmt w:val="lowerLetter"/>
      <w:start w:val="2"/>
    </w:lvl>
  </w:abstractNum>
  <w:abstractNum w:abstractNumId="358">
    <w:nsid w:val="3137975E"/>
    <w:multiLevelType w:val="hybridMultilevel"/>
    <w:lvl w:ilvl="0">
      <w:lvlJc w:val="left"/>
      <w:lvlText w:val="(%1)"/>
      <w:numFmt w:val="lowerLetter"/>
      <w:start w:val="8"/>
    </w:lvl>
  </w:abstractNum>
  <w:abstractNum w:abstractNumId="359">
    <w:nsid w:val="2DDAA791"/>
    <w:multiLevelType w:val="hybridMultilevel"/>
    <w:lvl w:ilvl="0">
      <w:lvlJc w:val="left"/>
      <w:lvlText w:val="(%1)"/>
      <w:numFmt w:val="lowerLetter"/>
      <w:start w:val="1"/>
    </w:lvl>
  </w:abstractNum>
  <w:abstractNum w:abstractNumId="360">
    <w:nsid w:val="77263B8A"/>
    <w:multiLevelType w:val="hybridMultilevel"/>
    <w:lvl w:ilvl="0">
      <w:lvlJc w:val="left"/>
      <w:lvlText w:val="(%1)"/>
      <w:numFmt w:val="lowerLetter"/>
      <w:start w:val="9"/>
    </w:lvl>
  </w:abstractNum>
  <w:abstractNum w:abstractNumId="361">
    <w:nsid w:val="755B5ED6"/>
    <w:multiLevelType w:val="hybridMultilevel"/>
    <w:lvl w:ilvl="0">
      <w:lvlJc w:val="left"/>
      <w:lvlText w:val="(%1)"/>
      <w:numFmt w:val="lowerLetter"/>
      <w:start w:val="17"/>
    </w:lvl>
  </w:abstractNum>
  <w:abstractNum w:abstractNumId="362">
    <w:nsid w:val="D3715DE"/>
    <w:multiLevelType w:val="hybridMultilevel"/>
    <w:lvl w:ilvl="0">
      <w:lvlJc w:val="left"/>
      <w:lvlText w:val="(%1)"/>
      <w:numFmt w:val="lowerLetter"/>
      <w:start w:val="1"/>
    </w:lvl>
  </w:abstractNum>
  <w:abstractNum w:abstractNumId="363">
    <w:nsid w:val="73509257"/>
    <w:multiLevelType w:val="hybridMultilevel"/>
    <w:lvl w:ilvl="0">
      <w:lvlJc w:val="left"/>
      <w:lvlText w:val="(%1)"/>
      <w:numFmt w:val="lowerLetter"/>
      <w:start w:val="1"/>
    </w:lvl>
  </w:abstractNum>
  <w:abstractNum w:abstractNumId="364">
    <w:nsid w:val="7013CDB7"/>
    <w:multiLevelType w:val="hybridMultilevel"/>
    <w:lvl w:ilvl="0">
      <w:lvlJc w:val="left"/>
      <w:lvlText w:val="(%1)"/>
      <w:numFmt w:val="lowerLetter"/>
      <w:start w:val="3"/>
    </w:lvl>
  </w:abstractNum>
  <w:abstractNum w:abstractNumId="365">
    <w:nsid w:val="188BFB19"/>
    <w:multiLevelType w:val="hybridMultilevel"/>
    <w:lvl w:ilvl="0">
      <w:lvlJc w:val="left"/>
      <w:lvlText w:val="(%1)"/>
      <w:numFmt w:val="lowerLetter"/>
      <w:start w:val="1"/>
    </w:lvl>
  </w:abstractNum>
  <w:abstractNum w:abstractNumId="366">
    <w:nsid w:val="75F096DF"/>
    <w:multiLevelType w:val="hybridMultilevel"/>
    <w:lvl w:ilvl="0">
      <w:lvlJc w:val="left"/>
      <w:lvlText w:val="%1"/>
      <w:numFmt w:val="lowerLetter"/>
      <w:start w:val="1"/>
    </w:lvl>
    <w:lvl w:ilvl="1">
      <w:lvlJc w:val="left"/>
      <w:lvlText w:val="(%2)"/>
      <w:numFmt w:val="lowerLetter"/>
      <w:start w:val="1"/>
    </w:lvl>
  </w:abstractNum>
  <w:abstractNum w:abstractNumId="367">
    <w:nsid w:val="76DEE918"/>
    <w:multiLevelType w:val="hybridMultilevel"/>
    <w:lvl w:ilvl="0">
      <w:lvlJc w:val="left"/>
      <w:lvlText w:val="(%1)"/>
      <w:numFmt w:val="lowerLetter"/>
      <w:start w:val="61"/>
    </w:lvl>
    <w:lvl w:ilvl="1">
      <w:lvlJc w:val="left"/>
      <w:lvlText w:val="(%2)"/>
      <w:numFmt w:val="lowerLetter"/>
      <w:start w:val="2"/>
    </w:lvl>
  </w:abstractNum>
  <w:abstractNum w:abstractNumId="368">
    <w:nsid w:val="B79D08D"/>
    <w:multiLevelType w:val="hybridMultilevel"/>
    <w:lvl w:ilvl="0">
      <w:lvlJc w:val="left"/>
      <w:lvlText w:val="(%1)"/>
      <w:numFmt w:val="lowerLetter"/>
      <w:start w:val="1"/>
    </w:lvl>
  </w:abstractNum>
  <w:abstractNum w:abstractNumId="369">
    <w:nsid w:val="69141769"/>
    <w:multiLevelType w:val="hybridMultilevel"/>
    <w:lvl w:ilvl="0">
      <w:lvlJc w:val="left"/>
      <w:lvlText w:val="(%1)"/>
      <w:numFmt w:val="lowerLetter"/>
      <w:start w:val="4"/>
    </w:lvl>
  </w:abstractNum>
  <w:abstractNum w:abstractNumId="370">
    <w:nsid w:val="7BF45B8E"/>
    <w:multiLevelType w:val="hybridMultilevel"/>
    <w:lvl w:ilvl="0">
      <w:lvlJc w:val="left"/>
      <w:lvlText w:val="(%1)"/>
      <w:numFmt w:val="lowerLetter"/>
      <w:start w:val="1"/>
    </w:lvl>
  </w:abstractNum>
  <w:abstractNum w:abstractNumId="371">
    <w:nsid w:val="41205269"/>
    <w:multiLevelType w:val="hybridMultilevel"/>
    <w:lvl w:ilvl="0">
      <w:lvlJc w:val="left"/>
      <w:lvlText w:val="(%1)"/>
      <w:numFmt w:val="lowerLetter"/>
      <w:start w:val="3"/>
    </w:lvl>
  </w:abstractNum>
  <w:abstractNum w:abstractNumId="372">
    <w:nsid w:val="9AE0DD"/>
    <w:multiLevelType w:val="hybridMultilevel"/>
    <w:lvl w:ilvl="0">
      <w:lvlJc w:val="left"/>
      <w:lvlText w:val="(%1)"/>
      <w:numFmt w:val="lowerLetter"/>
      <w:start w:val="5"/>
    </w:lvl>
  </w:abstractNum>
  <w:abstractNum w:abstractNumId="373">
    <w:nsid w:val="1818832F"/>
    <w:multiLevelType w:val="hybridMultilevel"/>
    <w:lvl w:ilvl="0">
      <w:lvlJc w:val="left"/>
      <w:lvlText w:val="(%1)"/>
      <w:numFmt w:val="lowerLetter"/>
      <w:start w:val="8"/>
    </w:lvl>
  </w:abstractNum>
  <w:abstractNum w:abstractNumId="374">
    <w:nsid w:val="24C29FD1"/>
    <w:multiLevelType w:val="hybridMultilevel"/>
    <w:lvl w:ilvl="0">
      <w:lvlJc w:val="left"/>
      <w:lvlText w:val="(%1)"/>
      <w:numFmt w:val="lowerLetter"/>
      <w:start w:val="1"/>
    </w:lvl>
  </w:abstractNum>
  <w:abstractNum w:abstractNumId="375">
    <w:nsid w:val="50528108"/>
    <w:multiLevelType w:val="hybridMultilevel"/>
    <w:lvl w:ilvl="0">
      <w:lvlJc w:val="left"/>
      <w:lvlText w:val="(%1)"/>
      <w:numFmt w:val="lowerLetter"/>
      <w:start w:val="3"/>
    </w:lvl>
  </w:abstractNum>
  <w:abstractNum w:abstractNumId="376">
    <w:nsid w:val="21857A57"/>
    <w:multiLevelType w:val="hybridMultilevel"/>
    <w:lvl w:ilvl="0">
      <w:lvlJc w:val="left"/>
      <w:lvlText w:val="(%1)"/>
      <w:numFmt w:val="lowerLetter"/>
      <w:start w:val="1"/>
    </w:lvl>
  </w:abstractNum>
  <w:abstractNum w:abstractNumId="377">
    <w:nsid w:val="5FD4B154"/>
    <w:multiLevelType w:val="hybridMultilevel"/>
    <w:lvl w:ilvl="0">
      <w:lvlJc w:val="left"/>
      <w:lvlText w:val="(%1)"/>
      <w:numFmt w:val="lowerLetter"/>
      <w:start w:val="2"/>
    </w:lvl>
  </w:abstractNum>
  <w:abstractNum w:abstractNumId="378">
    <w:nsid w:val="4ABE597"/>
    <w:multiLevelType w:val="hybridMultilevel"/>
    <w:lvl w:ilvl="0">
      <w:lvlJc w:val="left"/>
      <w:lvlText w:val="(%1)"/>
      <w:numFmt w:val="lowerLetter"/>
      <w:start w:val="1"/>
    </w:lvl>
  </w:abstractNum>
  <w:abstractNum w:abstractNumId="379">
    <w:nsid w:val="5C64AD75"/>
    <w:multiLevelType w:val="hybridMultilevel"/>
    <w:lvl w:ilvl="0">
      <w:lvlJc w:val="left"/>
      <w:lvlText w:val="(%1)"/>
      <w:numFmt w:val="lowerLetter"/>
      <w:start w:val="5"/>
    </w:lvl>
  </w:abstractNum>
  <w:abstractNum w:abstractNumId="380">
    <w:nsid w:val="2CDD5B39"/>
    <w:multiLevelType w:val="hybridMultilevel"/>
    <w:lvl w:ilvl="0">
      <w:lvlJc w:val="left"/>
      <w:lvlText w:val="(%1)"/>
      <w:numFmt w:val="lowerLetter"/>
      <w:start w:val="11"/>
    </w:lvl>
  </w:abstractNum>
  <w:abstractNum w:abstractNumId="381">
    <w:nsid w:val="6F9EA0D1"/>
    <w:multiLevelType w:val="hybridMultilevel"/>
    <w:lvl w:ilvl="0">
      <w:lvlJc w:val="left"/>
      <w:lvlText w:val="(%1)"/>
      <w:numFmt w:val="lowerLetter"/>
      <w:start w:val="20"/>
    </w:lvl>
  </w:abstractNum>
  <w:abstractNum w:abstractNumId="382">
    <w:nsid w:val="247FC4AE"/>
    <w:multiLevelType w:val="hybridMultilevel"/>
    <w:lvl w:ilvl="0">
      <w:lvlJc w:val="left"/>
      <w:lvlText w:val="(%1)"/>
      <w:numFmt w:val="lowerLetter"/>
      <w:start w:val="1"/>
    </w:lvl>
  </w:abstractNum>
  <w:abstractNum w:abstractNumId="383">
    <w:nsid w:val="46C01B05"/>
    <w:multiLevelType w:val="hybridMultilevel"/>
    <w:lvl w:ilvl="0">
      <w:lvlJc w:val="left"/>
      <w:lvlText w:val="(%1)"/>
      <w:numFmt w:val="lowerLetter"/>
      <w:start w:val="1"/>
    </w:lvl>
  </w:abstractNum>
  <w:abstractNum w:abstractNumId="384">
    <w:nsid w:val="566EC29B"/>
    <w:multiLevelType w:val="hybridMultilevel"/>
    <w:lvl w:ilvl="0">
      <w:lvlJc w:val="left"/>
      <w:lvlText w:val="(%1)"/>
      <w:numFmt w:val="lowerLetter"/>
      <w:start w:val="2"/>
    </w:lvl>
  </w:abstractNum>
  <w:abstractNum w:abstractNumId="385">
    <w:nsid w:val="7A963843"/>
    <w:multiLevelType w:val="hybridMultilevel"/>
    <w:lvl w:ilvl="0">
      <w:lvlJc w:val="left"/>
      <w:lvlText w:val="(%1)"/>
      <w:numFmt w:val="lowerLetter"/>
      <w:start w:val="1"/>
    </w:lvl>
  </w:abstractNum>
  <w:abstractNum w:abstractNumId="386">
    <w:nsid w:val="4FE12F61"/>
    <w:multiLevelType w:val="hybridMultilevel"/>
    <w:lvl w:ilvl="0">
      <w:lvlJc w:val="left"/>
      <w:lvlText w:val="(%1)"/>
      <w:numFmt w:val="lowerLetter"/>
      <w:start w:val="1"/>
    </w:lvl>
  </w:abstractNum>
  <w:abstractNum w:abstractNumId="387">
    <w:nsid w:val="51A3A284"/>
    <w:multiLevelType w:val="hybridMultilevel"/>
    <w:lvl w:ilvl="0">
      <w:lvlJc w:val="left"/>
      <w:lvlText w:val="(%1)"/>
      <w:numFmt w:val="lowerLetter"/>
      <w:start w:val="1"/>
    </w:lvl>
    <w:lvl w:ilvl="1">
      <w:lvlJc w:val="left"/>
      <w:lvlText w:val="(%2)"/>
      <w:numFmt w:val="lowerRoman"/>
      <w:start w:val="1"/>
    </w:lvl>
  </w:abstractNum>
  <w:abstractNum w:abstractNumId="388">
    <w:nsid w:val="376863BC"/>
    <w:multiLevelType w:val="hybridMultilevel"/>
    <w:lvl w:ilvl="0">
      <w:lvlJc w:val="left"/>
      <w:lvlText w:val="(%1)"/>
      <w:numFmt w:val="lowerLetter"/>
      <w:start w:val="3"/>
    </w:lvl>
    <w:lvl w:ilvl="1">
      <w:lvlJc w:val="left"/>
      <w:lvlText w:val="(%2)"/>
      <w:numFmt w:val="lowerRoman"/>
      <w:start w:val="1"/>
    </w:lvl>
  </w:abstractNum>
  <w:abstractNum w:abstractNumId="389">
    <w:nsid w:val="118C6C0"/>
    <w:multiLevelType w:val="hybridMultilevel"/>
    <w:lvl w:ilvl="0">
      <w:lvlJc w:val="left"/>
      <w:lvlText w:val="(%1)"/>
      <w:numFmt w:val="lowerLetter"/>
      <w:start w:val="4"/>
    </w:lvl>
  </w:abstractNum>
  <w:abstractNum w:abstractNumId="390">
    <w:nsid w:val="7F7E4A15"/>
    <w:multiLevelType w:val="hybridMultilevel"/>
    <w:lvl w:ilvl="0">
      <w:lvlJc w:val="left"/>
      <w:lvlText w:val="(%1)"/>
      <w:numFmt w:val="lowerLetter"/>
      <w:start w:val="6"/>
    </w:lvl>
    <w:lvl w:ilvl="1">
      <w:lvlJc w:val="left"/>
      <w:lvlText w:val="(%2)"/>
      <w:numFmt w:val="lowerRoman"/>
      <w:start w:val="1"/>
    </w:lvl>
  </w:abstractNum>
  <w:abstractNum w:abstractNumId="391">
    <w:nsid w:val="2E8E9F47"/>
    <w:multiLevelType w:val="hybridMultilevel"/>
    <w:lvl w:ilvl="0">
      <w:lvlJc w:val="left"/>
      <w:lvlText w:val="(%1)"/>
      <w:numFmt w:val="lowerLetter"/>
      <w:start w:val="1"/>
    </w:lvl>
  </w:abstractNum>
  <w:abstractNum w:abstractNumId="392">
    <w:nsid w:val="76742596"/>
    <w:multiLevelType w:val="hybridMultilevel"/>
    <w:lvl w:ilvl="0">
      <w:lvlJc w:val="left"/>
      <w:lvlText w:val="(%1)"/>
      <w:numFmt w:val="lowerLetter"/>
      <w:start w:val="3"/>
    </w:lvl>
  </w:abstractNum>
  <w:abstractNum w:abstractNumId="393">
    <w:nsid w:val="CB55FF3"/>
    <w:multiLevelType w:val="hybridMultilevel"/>
    <w:lvl w:ilvl="0">
      <w:lvlJc w:val="left"/>
      <w:lvlText w:val="(%1)"/>
      <w:numFmt w:val="lowerLetter"/>
      <w:start w:val="7"/>
    </w:lvl>
  </w:abstractNum>
  <w:abstractNum w:abstractNumId="394">
    <w:nsid w:val="21DF319E"/>
    <w:multiLevelType w:val="hybridMultilevel"/>
    <w:lvl w:ilvl="0">
      <w:lvlJc w:val="left"/>
      <w:lvlText w:val="(%1)"/>
      <w:numFmt w:val="lowerLetter"/>
      <w:start w:val="1"/>
    </w:lvl>
  </w:abstractNum>
  <w:abstractNum w:abstractNumId="395">
    <w:nsid w:val="6687F34D"/>
    <w:multiLevelType w:val="hybridMultilevel"/>
    <w:lvl w:ilvl="0">
      <w:lvlJc w:val="left"/>
      <w:lvlText w:val="(%1)"/>
      <w:numFmt w:val="lowerLetter"/>
      <w:start w:val="1"/>
    </w:lvl>
  </w:abstractNum>
  <w:abstractNum w:abstractNumId="396">
    <w:nsid w:val="25415B0C"/>
    <w:multiLevelType w:val="hybridMultilevel"/>
    <w:lvl w:ilvl="0">
      <w:lvlJc w:val="left"/>
      <w:lvlText w:val="(%1)"/>
      <w:numFmt w:val="lowerLetter"/>
      <w:start w:val="3"/>
    </w:lvl>
  </w:abstractNum>
  <w:abstractNum w:abstractNumId="397">
    <w:nsid w:val="17CFC87D"/>
    <w:multiLevelType w:val="hybridMultilevel"/>
    <w:lvl w:ilvl="0">
      <w:lvlJc w:val="left"/>
      <w:lvlText w:val="(%1)"/>
      <w:numFmt w:val="lowerLetter"/>
      <w:start w:val="6"/>
    </w:lvl>
  </w:abstractNum>
  <w:abstractNum w:abstractNumId="398">
    <w:nsid w:val="5D66DC65"/>
    <w:multiLevelType w:val="hybridMultilevel"/>
    <w:lvl w:ilvl="0">
      <w:lvlJc w:val="left"/>
      <w:lvlText w:val="(%1)"/>
      <w:numFmt w:val="lowerLetter"/>
      <w:start w:val="7"/>
    </w:lvl>
  </w:abstractNum>
  <w:abstractNum w:abstractNumId="399">
    <w:nsid w:val="30BB2B99"/>
    <w:multiLevelType w:val="hybridMultilevel"/>
    <w:lvl w:ilvl="0">
      <w:lvlJc w:val="left"/>
      <w:lvlText w:val="(%1)"/>
      <w:numFmt w:val="lowerLetter"/>
      <w:start w:val="1"/>
    </w:lvl>
  </w:abstractNum>
  <w:abstractNum w:abstractNumId="400">
    <w:nsid w:val="E3DFE6"/>
    <w:multiLevelType w:val="hybridMultilevel"/>
    <w:lvl w:ilvl="0">
      <w:lvlJc w:val="left"/>
      <w:lvlText w:val="(%1)"/>
      <w:numFmt w:val="lowerLetter"/>
      <w:start w:val="6"/>
    </w:lvl>
  </w:abstractNum>
  <w:abstractNum w:abstractNumId="401">
    <w:nsid w:val="595B37F3"/>
    <w:multiLevelType w:val="hybridMultilevel"/>
    <w:lvl w:ilvl="0">
      <w:lvlJc w:val="left"/>
      <w:lvlText w:val="(%1)"/>
      <w:numFmt w:val="lowerLetter"/>
      <w:start w:val="1"/>
    </w:lvl>
  </w:abstractNum>
  <w:abstractNum w:abstractNumId="402">
    <w:nsid w:val="71DB7E02"/>
    <w:multiLevelType w:val="hybridMultilevel"/>
    <w:lvl w:ilvl="0">
      <w:lvlJc w:val="left"/>
      <w:lvlText w:val="(%1)"/>
      <w:numFmt w:val="lowerLetter"/>
      <w:start w:val="4"/>
    </w:lvl>
  </w:abstractNum>
  <w:abstractNum w:abstractNumId="403">
    <w:nsid w:val="17EC0C4"/>
    <w:multiLevelType w:val="hybridMultilevel"/>
    <w:lvl w:ilvl="0">
      <w:lvlJc w:val="left"/>
      <w:lvlText w:val="(%1)"/>
      <w:numFmt w:val="lowerLetter"/>
      <w:start w:val="1"/>
    </w:lvl>
  </w:abstractNum>
  <w:abstractNum w:abstractNumId="404">
    <w:nsid w:val="7173BB22"/>
    <w:multiLevelType w:val="hybridMultilevel"/>
    <w:lvl w:ilvl="0">
      <w:lvlJc w:val="left"/>
      <w:lvlText w:val="(%1)"/>
      <w:numFmt w:val="lowerLetter"/>
      <w:start w:val="5"/>
    </w:lvl>
  </w:abstractNum>
  <w:abstractNum w:abstractNumId="405">
    <w:nsid w:val="169E1DD3"/>
    <w:multiLevelType w:val="hybridMultilevel"/>
    <w:lvl w:ilvl="0">
      <w:lvlJc w:val="left"/>
      <w:lvlText w:val="(%1)"/>
      <w:numFmt w:val="lowerLetter"/>
      <w:start w:val="10"/>
    </w:lvl>
  </w:abstractNum>
  <w:abstractNum w:abstractNumId="406">
    <w:nsid w:val="51D141CC"/>
    <w:multiLevelType w:val="hybridMultilevel"/>
    <w:lvl w:ilvl="0">
      <w:lvlJc w:val="left"/>
      <w:lvlText w:val="(%1)"/>
      <w:numFmt w:val="lowerLetter"/>
      <w:start w:val="12"/>
    </w:lvl>
  </w:abstractNum>
  <w:abstractNum w:abstractNumId="407">
    <w:nsid w:val="12F9357A"/>
    <w:multiLevelType w:val="hybridMultilevel"/>
    <w:lvl w:ilvl="0">
      <w:lvlJc w:val="left"/>
      <w:lvlText w:val="%1."/>
      <w:numFmt w:val="decimal"/>
      <w:start w:val="1"/>
    </w:lvl>
  </w:abstractNum>
  <w:abstractNum w:abstractNumId="408">
    <w:nsid w:val="7672CF28"/>
    <w:multiLevelType w:val="hybridMultilevel"/>
    <w:lvl w:ilvl="0">
      <w:lvlJc w:val="left"/>
      <w:lvlText w:val="%1."/>
      <w:numFmt w:val="decimal"/>
      <w:start w:val="2"/>
    </w:lvl>
  </w:abstractNum>
  <w:abstractNum w:abstractNumId="409">
    <w:nsid w:val="567D2763"/>
    <w:multiLevelType w:val="hybridMultilevel"/>
    <w:lvl w:ilvl="0">
      <w:lvlJc w:val="left"/>
      <w:lvlText w:val="%1."/>
      <w:numFmt w:val="decimal"/>
      <w:start w:val="1"/>
    </w:lvl>
  </w:abstractNum>
  <w:abstractNum w:abstractNumId="410">
    <w:nsid w:val="6F5DE2EF"/>
    <w:multiLevelType w:val="hybridMultilevel"/>
    <w:lvl w:ilvl="0">
      <w:lvlJc w:val="left"/>
      <w:lvlText w:val="%1."/>
      <w:numFmt w:val="decimal"/>
      <w:start w:val="2"/>
    </w:lvl>
  </w:abstractNum>
  <w:abstractNum w:abstractNumId="411">
    <w:nsid w:val="23502A61"/>
    <w:multiLevelType w:val="hybridMultilevel"/>
    <w:lvl w:ilvl="0">
      <w:lvlJc w:val="left"/>
      <w:lvlText w:val="•"/>
      <w:numFmt w:val="bullet"/>
      <w:start w:val="1"/>
    </w:lvl>
  </w:abstractNum>
  <w:abstractNum w:abstractNumId="412">
    <w:nsid w:val="461BC834"/>
    <w:multiLevelType w:val="hybridMultilevel"/>
    <w:lvl w:ilvl="0">
      <w:lvlJc w:val="left"/>
      <w:lvlText w:val="%1."/>
      <w:numFmt w:val="decimal"/>
      <w:start w:val="1"/>
    </w:lvl>
  </w:abstractNum>
  <w:abstractNum w:abstractNumId="413">
    <w:nsid w:val="13DDA79D"/>
    <w:multiLevelType w:val="hybridMultilevel"/>
    <w:lvl w:ilvl="0">
      <w:lvlJc w:val="left"/>
      <w:lvlText w:val="%1."/>
      <w:numFmt w:val="decimal"/>
      <w:start w:val="3"/>
    </w:lvl>
  </w:abstractNum>
  <w:abstractNum w:abstractNumId="414">
    <w:nsid w:val="6A104566"/>
    <w:multiLevelType w:val="hybridMultilevel"/>
    <w:lvl w:ilvl="0">
      <w:lvlJc w:val="left"/>
      <w:lvlText w:val="%1."/>
      <w:numFmt w:val="decimal"/>
      <w:start w:val="5"/>
    </w:lvl>
  </w:abstractNum>
  <w:abstractNum w:abstractNumId="415">
    <w:nsid w:val="1C8A8ACF"/>
    <w:multiLevelType w:val="hybridMultilevel"/>
    <w:lvl w:ilvl="0">
      <w:lvlJc w:val="left"/>
      <w:lvlText w:val="(%1)"/>
      <w:numFmt w:val="lowerLetter"/>
      <w:start w:val="1"/>
    </w:lvl>
  </w:abstractNum>
  <w:abstractNum w:abstractNumId="416">
    <w:nsid w:val="E73DFE0"/>
    <w:multiLevelType w:val="hybridMultilevel"/>
    <w:lvl w:ilvl="0">
      <w:lvlJc w:val="left"/>
      <w:lvlText w:val="%1."/>
      <w:numFmt w:val="decimal"/>
      <w:start w:val="6"/>
    </w:lvl>
  </w:abstractNum>
  <w:abstractNum w:abstractNumId="417">
    <w:nsid w:val="39F174C7"/>
    <w:multiLevelType w:val="hybridMultilevel"/>
    <w:lvl w:ilvl="0">
      <w:lvlJc w:val="left"/>
      <w:lvlText w:val="%1."/>
      <w:numFmt w:val="decimal"/>
      <w:start w:val="7"/>
    </w:lvl>
  </w:abstractNum>
  <w:abstractNum w:abstractNumId="418">
    <w:nsid w:val="6E2E2D53"/>
    <w:multiLevelType w:val="hybridMultilevel"/>
    <w:lvl w:ilvl="0">
      <w:lvlJc w:val="left"/>
      <w:lvlText w:val="(%1)"/>
      <w:numFmt w:val="lowerLetter"/>
      <w:start w:val="1"/>
    </w:lvl>
  </w:abstractNum>
  <w:abstractNum w:abstractNumId="419">
    <w:nsid w:val="45DC439D"/>
    <w:multiLevelType w:val="hybridMultilevel"/>
    <w:lvl w:ilvl="0">
      <w:lvlJc w:val="left"/>
      <w:lvlText w:val="(%1)"/>
      <w:numFmt w:val="lowerLetter"/>
      <w:start w:val="3"/>
    </w:lvl>
  </w:abstractNum>
  <w:abstractNum w:abstractNumId="420">
    <w:nsid w:val="3B0A3B87"/>
    <w:multiLevelType w:val="hybridMultilevel"/>
    <w:lvl w:ilvl="0">
      <w:lvlJc w:val="left"/>
      <w:lvlText w:val="%1."/>
      <w:numFmt w:val="decimal"/>
      <w:start w:val="8"/>
    </w:lvl>
  </w:abstractNum>
  <w:abstractNum w:abstractNumId="421">
    <w:nsid w:val="6DAC7768"/>
    <w:multiLevelType w:val="hybridMultilevel"/>
    <w:lvl w:ilvl="0">
      <w:lvlJc w:val="left"/>
      <w:lvlText w:val="%1."/>
      <w:numFmt w:val="decimal"/>
      <w:start w:val="9"/>
    </w:lvl>
  </w:abstractNum>
  <w:abstractNum w:abstractNumId="422">
    <w:nsid w:val="746AE2E4"/>
    <w:multiLevelType w:val="hybridMultilevel"/>
    <w:lvl w:ilvl="0">
      <w:lvlJc w:val="left"/>
      <w:lvlText w:val="%1."/>
      <w:numFmt w:val="decimal"/>
      <w:start w:val="12"/>
    </w:lvl>
  </w:abstractNum>
  <w:abstractNum w:abstractNumId="423">
    <w:nsid w:val="317E611D"/>
    <w:multiLevelType w:val="hybridMultilevel"/>
    <w:lvl w:ilvl="0">
      <w:lvlJc w:val="left"/>
      <w:lvlText w:val="(%1)"/>
      <w:numFmt w:val="lowerLetter"/>
      <w:start w:val="1"/>
    </w:lvl>
  </w:abstractNum>
  <w:abstractNum w:abstractNumId="424">
    <w:nsid w:val="7A61D75B"/>
    <w:multiLevelType w:val="hybridMultilevel"/>
    <w:lvl w:ilvl="0">
      <w:lvlJc w:val="left"/>
      <w:lvlText w:val="(%1)"/>
      <w:numFmt w:val="lowerLetter"/>
      <w:start w:val="3"/>
    </w:lvl>
  </w:abstractNum>
  <w:abstractNum w:abstractNumId="425">
    <w:nsid w:val="164A1482"/>
    <w:multiLevelType w:val="hybridMultilevel"/>
    <w:lvl w:ilvl="0">
      <w:lvlJc w:val="left"/>
      <w:lvlText w:val="%1."/>
      <w:numFmt w:val="decimal"/>
      <w:start w:val="13"/>
    </w:lvl>
  </w:abstractNum>
  <w:abstractNum w:abstractNumId="426">
    <w:nsid w:val="1806546B"/>
    <w:multiLevelType w:val="hybridMultilevel"/>
    <w:lvl w:ilvl="0">
      <w:lvlJc w:val="left"/>
      <w:lvlText w:val="%1."/>
      <w:numFmt w:val="decimal"/>
      <w:start w:val="15"/>
    </w:lvl>
  </w:abstractNum>
  <w:abstractNum w:abstractNumId="427">
    <w:nsid w:val="1FA33267"/>
    <w:multiLevelType w:val="hybridMultilevel"/>
    <w:lvl w:ilvl="0">
      <w:lvlJc w:val="left"/>
      <w:lvlText w:val="%1."/>
      <w:numFmt w:val="decimal"/>
      <w:start w:val="16"/>
    </w:lvl>
  </w:abstractNum>
  <w:abstractNum w:abstractNumId="428">
    <w:nsid w:val="2E19DD00"/>
    <w:multiLevelType w:val="hybridMultilevel"/>
    <w:lvl w:ilvl="0">
      <w:lvlJc w:val="left"/>
      <w:lvlText w:val="(%1)"/>
      <w:numFmt w:val="lowerRoman"/>
      <w:start w:val="2"/>
    </w:lvl>
  </w:abstractNum>
  <w:abstractNum w:abstractNumId="429">
    <w:nsid w:val="756D30D0"/>
    <w:multiLevelType w:val="hybridMultilevel"/>
    <w:lvl w:ilvl="0">
      <w:lvlJc w:val="left"/>
      <w:lvlText w:val="(%1)"/>
      <w:numFmt w:val="decimal"/>
      <w:start w:val="1"/>
    </w:lvl>
  </w:abstractNum>
  <w:abstractNum w:abstractNumId="430">
    <w:nsid w:val="505E5E01"/>
    <w:multiLevelType w:val="hybridMultilevel"/>
    <w:lvl w:ilvl="0">
      <w:lvlJc w:val="left"/>
      <w:lvlText w:val="(%1)"/>
      <w:numFmt w:val="decimal"/>
      <w:start w:val="2"/>
    </w:lvl>
  </w:abstractNum>
  <w:abstractNum w:abstractNumId="431">
    <w:nsid w:val="2EFDBCE6"/>
    <w:multiLevelType w:val="hybridMultilevel"/>
    <w:lvl w:ilvl="0">
      <w:lvlJc w:val="left"/>
      <w:lvlText w:val="(%1)"/>
      <w:numFmt w:val="decimal"/>
      <w:start w:val="1"/>
    </w:lvl>
  </w:abstractNum>
  <w:abstractNum w:abstractNumId="432">
    <w:nsid w:val="4EC868C4"/>
    <w:multiLevelType w:val="hybridMultilevel"/>
    <w:lvl w:ilvl="0">
      <w:lvlJc w:val="left"/>
      <w:lvlText w:val="(%1)"/>
      <w:numFmt w:val="decimal"/>
      <w:start w:val="2"/>
    </w:lvl>
  </w:abstractNum>
  <w:abstractNum w:abstractNumId="433">
    <w:nsid w:val="4239DC03"/>
    <w:multiLevelType w:val="hybridMultilevel"/>
    <w:lvl w:ilvl="0">
      <w:lvlJc w:val="left"/>
      <w:lvlText w:val="(%1)"/>
      <w:numFmt w:val="decimal"/>
      <w:start w:val="1"/>
    </w:lvl>
  </w:abstractNum>
  <w:abstractNum w:abstractNumId="434">
    <w:nsid w:val="307C7DAA"/>
    <w:multiLevelType w:val="hybridMultilevel"/>
    <w:lvl w:ilvl="0">
      <w:lvlJc w:val="left"/>
      <w:lvlText w:val="(%1)"/>
      <w:numFmt w:val="decimal"/>
      <w:start w:val="1"/>
    </w:lvl>
  </w:abstractNum>
  <w:abstractNum w:abstractNumId="435">
    <w:nsid w:val="403C23E6"/>
    <w:multiLevelType w:val="hybridMultilevel"/>
    <w:lvl w:ilvl="0">
      <w:lvlJc w:val="left"/>
      <w:lvlText w:val="(%1)"/>
      <w:numFmt w:val="lowerRoman"/>
      <w:start w:val="1"/>
    </w:lvl>
  </w:abstractNum>
  <w:abstractNum w:abstractNumId="436">
    <w:nsid w:val="58D7F9D7"/>
    <w:multiLevelType w:val="hybridMultilevel"/>
    <w:lvl w:ilvl="0">
      <w:lvlJc w:val="left"/>
      <w:lvlText w:val="(%1)"/>
      <w:numFmt w:val="lowerLetter"/>
      <w:start w:val="1"/>
    </w:lvl>
  </w:abstractNum>
  <w:abstractNum w:abstractNumId="437">
    <w:nsid w:val="24DBF76"/>
    <w:multiLevelType w:val="hybridMultilevel"/>
    <w:lvl w:ilvl="0">
      <w:lvlJc w:val="left"/>
      <w:lvlText w:val="(%1)"/>
      <w:numFmt w:val="lowerLetter"/>
      <w:start w:val="3"/>
    </w:lvl>
  </w:abstractNum>
  <w:abstractNum w:abstractNumId="438">
    <w:nsid w:val="53355960"/>
    <w:multiLevelType w:val="hybridMultilevel"/>
    <w:lvl w:ilvl="0">
      <w:lvlJc w:val="left"/>
      <w:lvlText w:val="(%1)"/>
      <w:numFmt w:val="lowerRoman"/>
      <w:start w:val="1"/>
    </w:lvl>
  </w:abstractNum>
  <w:abstractNum w:abstractNumId="439">
    <w:nsid w:val="4F4AC8FF"/>
    <w:multiLevelType w:val="hybridMultilevel"/>
    <w:lvl w:ilvl="0">
      <w:lvlJc w:val="left"/>
      <w:lvlText w:val="(%1)"/>
      <w:numFmt w:val="lowerRoman"/>
      <w:start w:val="3"/>
    </w:lvl>
  </w:abstractNum>
  <w:abstractNum w:abstractNumId="440">
    <w:nsid w:val="58CAE6D9"/>
    <w:multiLevelType w:val="hybridMultilevel"/>
    <w:lvl w:ilvl="0">
      <w:lvlJc w:val="left"/>
      <w:lvlText w:val="(%1)"/>
      <w:numFmt w:val="lowerLetter"/>
      <w:start w:val="4"/>
    </w:lvl>
  </w:abstractNum>
  <w:abstractNum w:abstractNumId="441">
    <w:nsid w:val="42933C4F"/>
    <w:multiLevelType w:val="hybridMultilevel"/>
    <w:lvl w:ilvl="0">
      <w:lvlJc w:val="left"/>
      <w:lvlText w:val="(%1)"/>
      <w:numFmt w:val="lowerLetter"/>
      <w:start w:val="1"/>
    </w:lvl>
  </w:abstractNum>
  <w:abstractNum w:abstractNumId="442">
    <w:nsid w:val="729AF360"/>
    <w:multiLevelType w:val="hybridMultilevel"/>
    <w:lvl w:ilvl="0">
      <w:lvlJc w:val="left"/>
      <w:lvlText w:val="(%1)"/>
      <w:numFmt w:val="lowerLetter"/>
      <w:start w:val="26"/>
    </w:lvl>
  </w:abstractNum>
  <w:abstractNum w:abstractNumId="443">
    <w:nsid w:val="1EE6AF0D"/>
    <w:multiLevelType w:val="hybridMultilevel"/>
    <w:lvl w:ilvl="0">
      <w:lvlJc w:val="left"/>
      <w:lvlText w:val="(%1)"/>
      <w:numFmt w:val="lowerLetter"/>
      <w:start w:val="2"/>
    </w:lvl>
  </w:abstractNum>
  <w:abstractNum w:abstractNumId="444">
    <w:nsid w:val="5670E3ED"/>
    <w:multiLevelType w:val="hybridMultilevel"/>
    <w:lvl w:ilvl="0">
      <w:lvlJc w:val="left"/>
      <w:lvlText w:val="(%1)"/>
      <w:numFmt w:val="lowerLetter"/>
      <w:start w:val="1"/>
    </w:lvl>
  </w:abstractNum>
  <w:abstractNum w:abstractNumId="445">
    <w:nsid w:val="5CAB38C6"/>
    <w:multiLevelType w:val="hybridMultilevel"/>
    <w:lvl w:ilvl="0">
      <w:lvlJc w:val="left"/>
      <w:lvlText w:val="(%1)"/>
      <w:numFmt w:val="lowerLetter"/>
      <w:start w:val="8"/>
    </w:lvl>
  </w:abstractNum>
  <w:abstractNum w:abstractNumId="446">
    <w:nsid w:val="3B7139DD"/>
    <w:multiLevelType w:val="hybridMultilevel"/>
    <w:lvl w:ilvl="0">
      <w:lvlJc w:val="left"/>
      <w:lvlText w:val="(%1)"/>
      <w:numFmt w:val="lowerLetter"/>
      <w:start w:val="21"/>
    </w:lvl>
  </w:abstractNum>
  <w:abstractNum w:abstractNumId="447">
    <w:nsid w:val="64E4C3CD"/>
    <w:multiLevelType w:val="hybridMultilevel"/>
    <w:lvl w:ilvl="0">
      <w:lvlJc w:val="left"/>
      <w:lvlText w:val="(%1)"/>
      <w:numFmt w:val="lowerLetter"/>
      <w:start w:val="1"/>
    </w:lvl>
  </w:abstractNum>
  <w:abstractNum w:abstractNumId="448">
    <w:nsid w:val="169CAD8D"/>
    <w:multiLevelType w:val="hybridMultilevel"/>
    <w:lvl w:ilvl="0">
      <w:lvlJc w:val="left"/>
      <w:lvlText w:val="(%1)"/>
      <w:numFmt w:val="lowerLetter"/>
      <w:start w:val="1"/>
    </w:lvl>
  </w:abstractNum>
  <w:abstractNum w:abstractNumId="449">
    <w:nsid w:val="299F6730"/>
    <w:multiLevelType w:val="hybridMultilevel"/>
    <w:lvl w:ilvl="0">
      <w:lvlJc w:val="left"/>
      <w:lvlText w:val="(%1)"/>
      <w:numFmt w:val="lowerLetter"/>
      <w:start w:val="2"/>
    </w:lvl>
  </w:abstractNum>
  <w:abstractNum w:abstractNumId="450">
    <w:nsid w:val="2AC1076A"/>
    <w:multiLevelType w:val="hybridMultilevel"/>
    <w:lvl w:ilvl="0">
      <w:lvlJc w:val="left"/>
      <w:lvlText w:val="(%1)"/>
      <w:numFmt w:val="lowerLetter"/>
      <w:start w:val="3"/>
    </w:lvl>
  </w:abstractNum>
  <w:abstractNum w:abstractNumId="451">
    <w:nsid w:val="51A6E915"/>
    <w:multiLevelType w:val="hybridMultilevel"/>
    <w:lvl w:ilvl="0">
      <w:lvlJc w:val="left"/>
      <w:lvlText w:val="(%1)"/>
      <w:numFmt w:val="lowerLetter"/>
      <w:start w:val="1"/>
    </w:lvl>
  </w:abstractNum>
  <w:abstractNum w:abstractNumId="452">
    <w:nsid w:val="174BDE99"/>
    <w:multiLevelType w:val="hybridMultilevel"/>
    <w:lvl w:ilvl="0">
      <w:lvlJc w:val="left"/>
      <w:lvlText w:val="(%1)"/>
      <w:numFmt w:val="lowerLetter"/>
      <w:start w:val="1"/>
    </w:lvl>
  </w:abstractNum>
  <w:abstractNum w:abstractNumId="453">
    <w:nsid w:val="1F2BEA4E"/>
    <w:multiLevelType w:val="hybridMultilevel"/>
    <w:lvl w:ilvl="0">
      <w:lvlJc w:val="left"/>
      <w:lvlText w:val="(%1)"/>
      <w:numFmt w:val="lowerLetter"/>
      <w:start w:val="1"/>
    </w:lvl>
  </w:abstractNum>
  <w:abstractNum w:abstractNumId="454">
    <w:nsid w:val="3254A32"/>
    <w:multiLevelType w:val="hybridMultilevel"/>
    <w:lvl w:ilvl="0">
      <w:lvlJc w:val="left"/>
      <w:lvlText w:val="(%1)"/>
      <w:numFmt w:val="lowerLetter"/>
      <w:start w:val="2"/>
    </w:lvl>
  </w:abstractNum>
  <w:abstractNum w:abstractNumId="455">
    <w:nsid w:val="11ADB5F4"/>
    <w:multiLevelType w:val="hybridMultilevel"/>
    <w:lvl w:ilvl="0">
      <w:lvlJc w:val="left"/>
      <w:lvlText w:val="(%1)"/>
      <w:numFmt w:val="lowerLetter"/>
      <w:start w:val="4"/>
    </w:lvl>
  </w:abstractNum>
  <w:abstractNum w:abstractNumId="456">
    <w:nsid w:val="3575FED1"/>
    <w:multiLevelType w:val="hybridMultilevel"/>
    <w:lvl w:ilvl="0">
      <w:lvlJc w:val="left"/>
      <w:lvlText w:val="(%1)"/>
      <w:numFmt w:val="lowerLetter"/>
      <w:start w:val="2"/>
    </w:lvl>
  </w:abstractNum>
  <w:abstractNum w:abstractNumId="457">
    <w:nsid w:val="1B2B9E9D"/>
    <w:multiLevelType w:val="hybridMultilevel"/>
    <w:lvl w:ilvl="0">
      <w:lvlJc w:val="left"/>
      <w:lvlText w:val="(%1)"/>
      <w:numFmt w:val="lowerLetter"/>
      <w:start w:val="2"/>
    </w:lvl>
  </w:abstractNum>
  <w:abstractNum w:abstractNumId="458">
    <w:nsid w:val="3150E85C"/>
    <w:multiLevelType w:val="hybridMultilevel"/>
    <w:lvl w:ilvl="0">
      <w:lvlJc w:val="left"/>
      <w:lvlText w:val="(%1)"/>
      <w:numFmt w:val="lowerLetter"/>
      <w:start w:val="2"/>
    </w:lvl>
  </w:abstractNum>
  <w:abstractNum w:abstractNumId="459">
    <w:nsid w:val="638FDBD1"/>
    <w:multiLevelType w:val="hybridMultilevel"/>
    <w:lvl w:ilvl="0">
      <w:lvlJc w:val="left"/>
      <w:lvlText w:val="(%1)"/>
      <w:numFmt w:val="lowerLetter"/>
      <w:start w:val="2"/>
    </w:lvl>
  </w:abstractNum>
  <w:abstractNum w:abstractNumId="460">
    <w:nsid w:val="1098CF6E"/>
    <w:multiLevelType w:val="hybridMultilevel"/>
    <w:lvl w:ilvl="0">
      <w:lvlJc w:val="left"/>
      <w:lvlText w:val="(%1)"/>
      <w:numFmt w:val="lowerLetter"/>
      <w:start w:val="1"/>
    </w:lvl>
  </w:abstractNum>
  <w:abstractNum w:abstractNumId="461">
    <w:nsid w:val="1AF465D"/>
    <w:multiLevelType w:val="hybridMultilevel"/>
    <w:lvl w:ilvl="0">
      <w:lvlJc w:val="left"/>
      <w:lvlText w:val="(%1)"/>
      <w:numFmt w:val="lowerLetter"/>
      <w:start w:val="4"/>
    </w:lvl>
  </w:abstractNum>
  <w:abstractNum w:abstractNumId="462">
    <w:nsid w:val="128D98B7"/>
    <w:multiLevelType w:val="hybridMultilevel"/>
    <w:lvl w:ilvl="0">
      <w:lvlJc w:val="left"/>
      <w:lvlText w:val="(%1)"/>
      <w:numFmt w:val="lowerLetter"/>
      <w:start w:val="2"/>
    </w:lvl>
  </w:abstractNum>
  <w:abstractNum w:abstractNumId="463">
    <w:nsid w:val="5F613832"/>
    <w:multiLevelType w:val="hybridMultilevel"/>
    <w:lvl w:ilvl="0">
      <w:lvlJc w:val="left"/>
      <w:lvlText w:val="(%1)"/>
      <w:numFmt w:val="lowerLetter"/>
      <w:start w:val="4"/>
    </w:lvl>
  </w:abstractNum>
  <w:abstractNum w:abstractNumId="464">
    <w:nsid w:val="43E92260"/>
    <w:multiLevelType w:val="hybridMultilevel"/>
    <w:lvl w:ilvl="0">
      <w:lvlJc w:val="left"/>
      <w:lvlText w:val="(%1)"/>
      <w:numFmt w:val="lowerLetter"/>
      <w:start w:val="2"/>
    </w:lvl>
  </w:abstractNum>
  <w:abstractNum w:abstractNumId="465">
    <w:nsid w:val="430A1662"/>
    <w:multiLevelType w:val="hybridMultilevel"/>
    <w:lvl w:ilvl="0">
      <w:lvlJc w:val="left"/>
      <w:lvlText w:val="(%1)"/>
      <w:numFmt w:val="lowerRoman"/>
      <w:start w:val="1"/>
    </w:lvl>
  </w:abstractNum>
  <w:abstractNum w:abstractNumId="466">
    <w:nsid w:val="1F9D5C18"/>
    <w:multiLevelType w:val="hybridMultilevel"/>
    <w:lvl w:ilvl="0">
      <w:lvlJc w:val="left"/>
      <w:lvlText w:val="%1"/>
      <w:numFmt w:val="lowerLetter"/>
      <w:start w:val="1"/>
    </w:lvl>
    <w:lvl w:ilvl="1">
      <w:lvlJc w:val="left"/>
      <w:lvlText w:val="(%2)"/>
      <w:numFmt w:val="lowerLetter"/>
      <w:start w:val="2"/>
    </w:lvl>
  </w:abstractNum>
  <w:abstractNum w:abstractNumId="467">
    <w:nsid w:val="1CC11C37"/>
    <w:multiLevelType w:val="hybridMultilevel"/>
    <w:lvl w:ilvl="0">
      <w:lvlJc w:val="left"/>
      <w:lvlText w:val="(%1)"/>
      <w:numFmt w:val="lowerLetter"/>
      <w:start w:val="61"/>
    </w:lvl>
    <w:lvl w:ilvl="1">
      <w:lvlJc w:val="left"/>
      <w:lvlText w:val="%2"/>
      <w:numFmt w:val="lowerLetter"/>
      <w:start w:val="1"/>
    </w:lvl>
  </w:abstractNum>
  <w:abstractNum w:abstractNumId="468">
    <w:nsid w:val="4557D5D8"/>
    <w:multiLevelType w:val="hybridMultilevel"/>
    <w:lvl w:ilvl="0">
      <w:lvlJc w:val="left"/>
      <w:lvlText w:val="(%1)"/>
      <w:numFmt w:val="lowerLetter"/>
      <w:start w:val="6"/>
    </w:lvl>
  </w:abstractNum>
  <w:abstractNum w:abstractNumId="469">
    <w:nsid w:val="72D2B579"/>
    <w:multiLevelType w:val="hybridMultilevel"/>
    <w:lvl w:ilvl="0">
      <w:lvlJc w:val="left"/>
      <w:lvlText w:val="%1"/>
      <w:numFmt w:val="lowerLetter"/>
      <w:start w:val="1"/>
    </w:lvl>
    <w:lvl w:ilvl="1">
      <w:lvlJc w:val="left"/>
      <w:lvlText w:val="(%2)"/>
      <w:numFmt w:val="lowerRoman"/>
      <w:start w:val="1"/>
    </w:lvl>
  </w:abstractNum>
  <w:abstractNum w:abstractNumId="470">
    <w:nsid w:val="6C0BE536"/>
    <w:multiLevelType w:val="hybridMultilevel"/>
    <w:lvl w:ilvl="0">
      <w:lvlJc w:val="left"/>
      <w:lvlText w:val="(%1)"/>
      <w:numFmt w:val="lowerLetter"/>
      <w:start w:val="2"/>
    </w:lvl>
    <w:lvl w:ilvl="1">
      <w:lvlJc w:val="left"/>
      <w:lvlText w:val="%2"/>
      <w:numFmt w:val="lowerRoman"/>
      <w:start w:val="1"/>
    </w:lvl>
  </w:abstractNum>
  <w:abstractNum w:abstractNumId="471">
    <w:nsid w:val="1E22BCB2"/>
    <w:multiLevelType w:val="hybridMultilevel"/>
    <w:lvl w:ilvl="0">
      <w:lvlJc w:val="left"/>
      <w:lvlText w:val="(%1)"/>
      <w:numFmt w:val="lowerLetter"/>
      <w:start w:val="2"/>
    </w:lvl>
  </w:abstractNum>
  <w:abstractNum w:abstractNumId="472">
    <w:nsid w:val="3565F1C8"/>
    <w:multiLevelType w:val="hybridMultilevel"/>
    <w:lvl w:ilvl="0">
      <w:lvlJc w:val="left"/>
      <w:lvlText w:val="(%1)"/>
      <w:numFmt w:val="lowerLetter"/>
      <w:start w:val="3"/>
    </w:lvl>
  </w:abstractNum>
  <w:abstractNum w:abstractNumId="473">
    <w:nsid w:val="5EA6D896"/>
    <w:multiLevelType w:val="hybridMultilevel"/>
    <w:lvl w:ilvl="0">
      <w:lvlJc w:val="left"/>
      <w:lvlText w:val="(%1)"/>
      <w:numFmt w:val="lowerLetter"/>
      <w:start w:val="2"/>
    </w:lvl>
  </w:abstractNum>
  <w:abstractNum w:abstractNumId="474">
    <w:nsid w:val="3D096BBF"/>
    <w:multiLevelType w:val="hybridMultilevel"/>
    <w:lvl w:ilvl="0">
      <w:lvlJc w:val="left"/>
      <w:lvlText w:val="(%1)"/>
      <w:numFmt w:val="lowerLetter"/>
      <w:start w:val="5"/>
    </w:lvl>
  </w:abstractNum>
  <w:abstractNum w:abstractNumId="475">
    <w:nsid w:val="BD6D5B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476">
    <w:nsid w:val="3B52115C"/>
    <w:multiLevelType w:val="hybridMultilevel"/>
    <w:lvl w:ilvl="0">
      <w:lvlJc w:val="left"/>
      <w:lvlText w:val="(%1)"/>
      <w:numFmt w:val="upperLetter"/>
      <w:start w:val="3"/>
    </w:lvl>
    <w:lvl w:ilvl="1">
      <w:lvlJc w:val="left"/>
      <w:lvlText w:val="%2"/>
      <w:numFmt w:val="lowerRoman"/>
      <w:start w:val="1"/>
    </w:lvl>
    <w:lvl w:ilvl="2">
      <w:lvlJc w:val="left"/>
      <w:lvlText w:val="(%3)"/>
      <w:numFmt w:val="upperLetter"/>
      <w:start w:val="5"/>
    </w:lvl>
  </w:abstractNum>
  <w:abstractNum w:abstractNumId="477">
    <w:nsid w:val="787AA59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6"/>
    </w:lvl>
  </w:abstractNum>
  <w:abstractNum w:abstractNumId="478">
    <w:nsid w:val="70BB998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479">
    <w:nsid w:val="51EEBEEA"/>
    <w:multiLevelType w:val="hybridMultilevel"/>
    <w:lvl w:ilvl="0">
      <w:lvlJc w:val="left"/>
      <w:lvlText w:val="(%1)"/>
      <w:numFmt w:val="lowerLetter"/>
      <w:start w:val="9"/>
    </w:lvl>
    <w:lvl w:ilvl="1">
      <w:lvlJc w:val="left"/>
      <w:lvlText w:val="(%2)"/>
      <w:numFmt w:val="lowerLetter"/>
      <w:start w:val="7"/>
    </w:lvl>
    <w:lvl w:ilvl="2">
      <w:lvlJc w:val="left"/>
      <w:lvlText w:val="%3"/>
      <w:numFmt w:val="lowerLetter"/>
      <w:start w:val="1"/>
    </w:lvl>
    <w:lvl w:ilvl="3">
      <w:lvlJc w:val="left"/>
      <w:lvlText w:val="%4"/>
      <w:numFmt w:val="upperLetter"/>
      <w:start w:val="1"/>
    </w:lvl>
  </w:abstractNum>
  <w:abstractNum w:abstractNumId="480">
    <w:nsid w:val="221A0CCD"/>
    <w:multiLevelType w:val="hybridMultilevel"/>
    <w:lvl w:ilvl="0">
      <w:lvlJc w:val="left"/>
      <w:lvlText w:val="%1"/>
      <w:numFmt w:val="lowerRoman"/>
      <w:start w:val="1"/>
    </w:lvl>
    <w:lvl w:ilvl="1">
      <w:lvlJc w:val="left"/>
      <w:lvlText w:val="(%2)"/>
      <w:numFmt w:val="lowerRoman"/>
      <w:start w:val="1"/>
    </w:lvl>
  </w:abstractNum>
  <w:abstractNum w:abstractNumId="481">
    <w:nsid w:val="1B7CA0ED"/>
    <w:multiLevelType w:val="hybridMultilevel"/>
    <w:lvl w:ilvl="0">
      <w:lvlJc w:val="left"/>
      <w:lvlText w:val="(%1)"/>
      <w:numFmt w:val="lowerRoman"/>
      <w:start w:val="1"/>
    </w:lvl>
    <w:lvl w:ilvl="1">
      <w:lvlJc w:val="left"/>
      <w:lvlText w:val="%2"/>
      <w:numFmt w:val="lowerRoman"/>
      <w:start w:val="1"/>
    </w:lvl>
  </w:abstractNum>
  <w:abstractNum w:abstractNumId="482">
    <w:nsid w:val="2395A7FF"/>
    <w:multiLevelType w:val="hybridMultilevel"/>
    <w:lvl w:ilvl="0">
      <w:lvlJc w:val="left"/>
      <w:lvlText w:val="(%1)"/>
      <w:numFmt w:val="lowerLetter"/>
      <w:start w:val="2"/>
    </w:lvl>
  </w:abstractNum>
  <w:abstractNum w:abstractNumId="483">
    <w:nsid w:val="3965EB66"/>
    <w:multiLevelType w:val="hybridMultilevel"/>
    <w:lvl w:ilvl="0">
      <w:lvlJc w:val="left"/>
      <w:lvlText w:val="(%1)"/>
      <w:numFmt w:val="lowerLetter"/>
      <w:start w:val="4"/>
    </w:lvl>
  </w:abstractNum>
  <w:abstractNum w:abstractNumId="484">
    <w:nsid w:val="3AA88B3C"/>
    <w:multiLevelType w:val="hybridMultilevel"/>
    <w:lvl w:ilvl="0">
      <w:lvlJc w:val="left"/>
      <w:lvlText w:val="(%1)"/>
      <w:numFmt w:val="lowerLetter"/>
      <w:start w:val="2"/>
    </w:lvl>
  </w:abstractNum>
  <w:abstractNum w:abstractNumId="485">
    <w:nsid w:val="26BAF231"/>
    <w:multiLevelType w:val="hybridMultilevel"/>
    <w:lvl w:ilvl="0">
      <w:lvlJc w:val="left"/>
      <w:lvlText w:val="(%1)"/>
      <w:numFmt w:val="lowerLetter"/>
      <w:start w:val="1"/>
    </w:lvl>
  </w:abstractNum>
  <w:abstractNum w:abstractNumId="486">
    <w:nsid w:val="4B13A15A"/>
    <w:multiLevelType w:val="hybridMultilevel"/>
    <w:lvl w:ilvl="0">
      <w:lvlJc w:val="left"/>
      <w:lvlText w:val="(%1)"/>
      <w:numFmt w:val="lowerLetter"/>
      <w:start w:val="2"/>
    </w:lvl>
  </w:abstractNum>
  <w:abstractNum w:abstractNumId="487">
    <w:nsid w:val="701E8A0D"/>
    <w:multiLevelType w:val="hybridMultilevel"/>
    <w:lvl w:ilvl="0">
      <w:lvlJc w:val="left"/>
      <w:lvlText w:val="(%1)"/>
      <w:numFmt w:val="lowerLetter"/>
      <w:start w:val="4"/>
    </w:lvl>
    <w:lvl w:ilvl="1">
      <w:lvlJc w:val="left"/>
      <w:lvlText w:val="(%2)"/>
      <w:numFmt w:val="lowerRoman"/>
      <w:start w:val="1"/>
    </w:lvl>
  </w:abstractNum>
  <w:abstractNum w:abstractNumId="488">
    <w:nsid w:val="41E690CF"/>
    <w:multiLevelType w:val="hybridMultilevel"/>
    <w:lvl w:ilvl="0">
      <w:lvlJc w:val="left"/>
      <w:lvlText w:val="(%1)"/>
      <w:numFmt w:val="lowerLetter"/>
      <w:start w:val="6"/>
    </w:lvl>
  </w:abstractNum>
  <w:abstractNum w:abstractNumId="489">
    <w:nsid w:val="7C6489B6"/>
    <w:multiLevelType w:val="hybridMultilevel"/>
    <w:lvl w:ilvl="0">
      <w:lvlJc w:val="left"/>
      <w:lvlText w:val="(%1)"/>
      <w:numFmt w:val="lowerLetter"/>
      <w:start w:val="1"/>
    </w:lvl>
  </w:abstractNum>
  <w:abstractNum w:abstractNumId="490">
    <w:nsid w:val="53AE65DE"/>
    <w:multiLevelType w:val="hybridMultilevel"/>
    <w:lvl w:ilvl="0">
      <w:lvlJc w:val="left"/>
      <w:lvlText w:val="(%1)"/>
      <w:numFmt w:val="lowerLetter"/>
      <w:start w:val="2"/>
    </w:lvl>
  </w:abstractNum>
  <w:abstractNum w:abstractNumId="491">
    <w:nsid w:val="527F603D"/>
    <w:multiLevelType w:val="hybridMultilevel"/>
    <w:lvl w:ilvl="0">
      <w:lvlJc w:val="left"/>
      <w:lvlText w:val="(%1)"/>
      <w:numFmt w:val="lowerLetter"/>
      <w:start w:val="1"/>
    </w:lvl>
  </w:abstractNum>
  <w:abstractNum w:abstractNumId="492">
    <w:nsid w:val="7E13D013"/>
    <w:multiLevelType w:val="hybridMultilevel"/>
    <w:lvl w:ilvl="0">
      <w:lvlJc w:val="left"/>
      <w:lvlText w:val="(%1)"/>
      <w:numFmt w:val="lowerRoman"/>
      <w:start w:val="4"/>
    </w:lvl>
    <w:lvl w:ilvl="1">
      <w:lvlJc w:val="left"/>
      <w:lvlText w:val="(%2)"/>
      <w:numFmt w:val="lowerLetter"/>
      <w:start w:val="2"/>
    </w:lvl>
  </w:abstractNum>
  <w:abstractNum w:abstractNumId="493">
    <w:nsid w:val="663BFE95"/>
    <w:multiLevelType w:val="hybridMultilevel"/>
    <w:lvl w:ilvl="0">
      <w:lvlJc w:val="left"/>
      <w:lvlText w:val="(%1)"/>
      <w:numFmt w:val="lowerLetter"/>
      <w:start w:val="6"/>
    </w:lvl>
    <w:lvl w:ilvl="1">
      <w:lvlJc w:val="left"/>
      <w:lvlText w:val="(%2)"/>
      <w:numFmt w:val="lowerRoman"/>
      <w:start w:val="2"/>
    </w:lvl>
  </w:abstractNum>
  <w:abstractNum w:abstractNumId="494">
    <w:nsid w:val="31E0986F"/>
    <w:multiLevelType w:val="hybridMultilevel"/>
    <w:lvl w:ilvl="0">
      <w:lvlJc w:val="left"/>
      <w:lvlText w:val="%1"/>
      <w:numFmt w:val="lowerLetter"/>
      <w:start w:val="1"/>
    </w:lvl>
    <w:lvl w:ilvl="1">
      <w:lvlJc w:val="left"/>
      <w:lvlText w:val="(%2)"/>
      <w:numFmt w:val="lowerRoman"/>
      <w:start w:val="1"/>
    </w:lvl>
  </w:abstractNum>
  <w:abstractNum w:abstractNumId="495">
    <w:nsid w:val="41FCF274"/>
    <w:multiLevelType w:val="hybridMultilevel"/>
    <w:lvl w:ilvl="0">
      <w:lvlJc w:val="left"/>
      <w:lvlText w:val="(%1)"/>
      <w:numFmt w:val="lowerLetter"/>
      <w:start w:val="10"/>
    </w:lvl>
    <w:lvl w:ilvl="1">
      <w:lvlJc w:val="left"/>
      <w:lvlText w:val="(%2)"/>
      <w:numFmt w:val="lowerRoman"/>
      <w:start w:val="2"/>
    </w:lvl>
  </w:abstractNum>
  <w:abstractNum w:abstractNumId="496">
    <w:nsid w:val="294614F7"/>
    <w:multiLevelType w:val="hybridMultilevel"/>
    <w:lvl w:ilvl="0">
      <w:lvlJc w:val="left"/>
      <w:lvlText w:val="(%1)"/>
      <w:numFmt w:val="lowerLetter"/>
      <w:start w:val="13"/>
    </w:lvl>
  </w:abstractNum>
  <w:abstractNum w:abstractNumId="497">
    <w:nsid w:val="517DF487"/>
    <w:multiLevelType w:val="hybridMultilevel"/>
    <w:lvl w:ilvl="0">
      <w:lvlJc w:val="left"/>
      <w:lvlText w:val="(%1)"/>
      <w:numFmt w:val="lowerLetter"/>
      <w:start w:val="1"/>
    </w:lvl>
  </w:abstractNum>
  <w:abstractNum w:abstractNumId="498">
    <w:nsid w:val="5EBE0EAB"/>
    <w:multiLevelType w:val="hybridMultilevel"/>
    <w:lvl w:ilvl="0">
      <w:lvlJc w:val="left"/>
      <w:lvlText w:val="(%1)"/>
      <w:numFmt w:val="lowerLetter"/>
      <w:start w:val="8"/>
    </w:lvl>
  </w:abstractNum>
  <w:abstractNum w:abstractNumId="499">
    <w:nsid w:val="6E9DEAD0"/>
    <w:multiLevelType w:val="hybridMultilevel"/>
    <w:lvl w:ilvl="0">
      <w:lvlJc w:val="left"/>
      <w:lvlText w:val="(%1)"/>
      <w:numFmt w:val="lowerLetter"/>
      <w:start w:val="1"/>
    </w:lvl>
  </w:abstractNum>
  <w:abstractNum w:abstractNumId="500">
    <w:nsid w:val="4450AA00"/>
    <w:multiLevelType w:val="hybridMultilevel"/>
    <w:lvl w:ilvl="0">
      <w:lvlJc w:val="left"/>
      <w:lvlText w:val="(%1)"/>
      <w:numFmt w:val="lowerLetter"/>
      <w:start w:val="3"/>
    </w:lvl>
  </w:abstractNum>
  <w:abstractNum w:abstractNumId="501">
    <w:nsid w:val="4AC9F3E2"/>
    <w:multiLevelType w:val="hybridMultilevel"/>
    <w:lvl w:ilvl="0">
      <w:lvlJc w:val="left"/>
      <w:lvlText w:val="(%1)"/>
      <w:numFmt w:val="lowerLetter"/>
      <w:start w:val="1"/>
    </w:lvl>
    <w:lvl w:ilvl="1">
      <w:lvlJc w:val="left"/>
      <w:lvlText w:val="(%2)"/>
      <w:numFmt w:val="lowerRoman"/>
      <w:start w:val="1"/>
    </w:lvl>
  </w:abstractNum>
  <w:abstractNum w:abstractNumId="502">
    <w:nsid w:val="CC0A782"/>
    <w:multiLevelType w:val="hybridMultilevel"/>
    <w:lvl w:ilvl="0">
      <w:lvlJc w:val="left"/>
      <w:lvlText w:val="(%1)"/>
      <w:numFmt w:val="lowerRoman"/>
      <w:start w:val="3"/>
    </w:lvl>
  </w:abstractNum>
  <w:abstractNum w:abstractNumId="503">
    <w:nsid w:val="79B69BC9"/>
    <w:multiLevelType w:val="hybridMultilevel"/>
    <w:lvl w:ilvl="0">
      <w:lvlJc w:val="left"/>
      <w:lvlText w:val="%1"/>
      <w:numFmt w:val="lowerLetter"/>
      <w:start w:val="1"/>
    </w:lvl>
    <w:lvl w:ilvl="1">
      <w:lvlJc w:val="left"/>
      <w:lvlText w:val="(%2)"/>
      <w:numFmt w:val="lowerRoman"/>
      <w:start w:val="6"/>
    </w:lvl>
  </w:abstractNum>
  <w:abstractNum w:abstractNumId="504">
    <w:nsid w:val="2970CC78"/>
    <w:multiLevelType w:val="hybridMultilevel"/>
    <w:lvl w:ilvl="0">
      <w:lvlJc w:val="left"/>
      <w:lvlText w:val="(%1)"/>
      <w:numFmt w:val="lowerLetter"/>
      <w:start w:val="2"/>
    </w:lvl>
    <w:lvl w:ilvl="1">
      <w:lvlJc w:val="left"/>
      <w:lvlText w:val="%2"/>
      <w:numFmt w:val="lowerRoman"/>
      <w:start w:val="1"/>
    </w:lvl>
  </w:abstractNum>
  <w:abstractNum w:abstractNumId="505">
    <w:nsid w:val="49CA1341"/>
    <w:multiLevelType w:val="hybridMultilevel"/>
    <w:lvl w:ilvl="0">
      <w:lvlJc w:val="left"/>
      <w:lvlText w:val="(%1)"/>
      <w:numFmt w:val="lowerLetter"/>
      <w:start w:val="9"/>
    </w:lvl>
    <w:lvl w:ilvl="1">
      <w:lvlJc w:val="left"/>
      <w:lvlText w:val="(%2)"/>
      <w:numFmt w:val="lowerLetter"/>
      <w:start w:val="6"/>
    </w:lvl>
  </w:abstractNum>
  <w:abstractNum w:abstractNumId="506">
    <w:nsid w:val="58D717E"/>
    <w:multiLevelType w:val="hybridMultilevel"/>
    <w:lvl w:ilvl="0">
      <w:lvlJc w:val="left"/>
      <w:lvlText w:val="(%1)"/>
      <w:numFmt w:val="lowerLetter"/>
      <w:start w:val="9"/>
    </w:lvl>
  </w:abstractNum>
  <w:abstractNum w:abstractNumId="507">
    <w:nsid w:val="64C2DDD5"/>
    <w:multiLevelType w:val="hybridMultilevel"/>
    <w:lvl w:ilvl="0">
      <w:lvlJc w:val="left"/>
      <w:lvlText w:val="(%1)"/>
      <w:numFmt w:val="lowerLetter"/>
      <w:start w:val="1"/>
    </w:lvl>
    <w:lvl w:ilvl="1">
      <w:lvlJc w:val="left"/>
      <w:lvlText w:val="(%2)"/>
      <w:numFmt w:val="lowerRoman"/>
      <w:start w:val="1"/>
    </w:lvl>
  </w:abstractNum>
  <w:abstractNum w:abstractNumId="508">
    <w:nsid w:val="4244B8DE"/>
    <w:multiLevelType w:val="hybridMultilevel"/>
    <w:lvl w:ilvl="0">
      <w:lvlJc w:val="left"/>
      <w:lvlText w:val="(%1)"/>
      <w:numFmt w:val="lowerRoman"/>
      <w:start w:val="4"/>
    </w:lvl>
  </w:abstractNum>
  <w:abstractNum w:abstractNumId="509">
    <w:nsid w:val="76490B01"/>
    <w:multiLevelType w:val="hybridMultilevel"/>
    <w:lvl w:ilvl="0">
      <w:lvlJc w:val="left"/>
      <w:lvlText w:val="(%1)"/>
      <w:numFmt w:val="lowerRoman"/>
      <w:start w:val="12"/>
    </w:lvl>
  </w:abstractNum>
  <w:abstractNum w:abstractNumId="510">
    <w:nsid w:val="36B19CB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1">
    <w:nsid w:val="645EC5A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512">
    <w:nsid w:val="11C5ABEF"/>
    <w:multiLevelType w:val="hybridMultilevel"/>
    <w:lvl w:ilvl="0">
      <w:lvlJc w:val="left"/>
      <w:lvlText w:val="(%1)"/>
      <w:numFmt w:val="lowerRoman"/>
      <w:start w:val="3"/>
    </w:lvl>
  </w:abstractNum>
  <w:abstractNum w:abstractNumId="513">
    <w:nsid w:val="5A4744BE"/>
    <w:multiLevelType w:val="hybridMultilevel"/>
    <w:lvl w:ilvl="0">
      <w:lvlJc w:val="left"/>
      <w:lvlText w:val="(%1)"/>
      <w:numFmt w:val="lowerRoman"/>
      <w:start w:val="6"/>
    </w:lvl>
  </w:abstractNum>
  <w:abstractNum w:abstractNumId="514">
    <w:nsid w:val="1DC4B111"/>
    <w:multiLevelType w:val="hybridMultilevel"/>
    <w:lvl w:ilvl="0">
      <w:lvlJc w:val="left"/>
      <w:lvlText w:val="(%1)"/>
      <w:numFmt w:val="lowerRoman"/>
      <w:start w:val="15"/>
    </w:lvl>
  </w:abstractNum>
  <w:abstractNum w:abstractNumId="515">
    <w:nsid w:val="4C6E372B"/>
    <w:multiLevelType w:val="hybridMultilevel"/>
    <w:lvl w:ilvl="0">
      <w:lvlJc w:val="left"/>
      <w:lvlText w:val="(%1)"/>
      <w:numFmt w:val="lowerLetter"/>
      <w:start w:val="3"/>
    </w:lvl>
    <w:lvl w:ilvl="1">
      <w:lvlJc w:val="left"/>
      <w:lvlText w:val="(%2)"/>
      <w:numFmt w:val="lowerRoman"/>
      <w:start w:val="1"/>
    </w:lvl>
  </w:abstractNum>
  <w:abstractNum w:abstractNumId="516">
    <w:nsid w:val="10236EF"/>
    <w:multiLevelType w:val="hybridMultilevel"/>
    <w:lvl w:ilvl="0">
      <w:lvlJc w:val="left"/>
      <w:lvlText w:val="(%1)"/>
      <w:numFmt w:val="lowerLetter"/>
      <w:start w:val="5"/>
    </w:lvl>
  </w:abstractNum>
  <w:abstractNum w:abstractNumId="517">
    <w:nsid w:val="68D8526B"/>
    <w:multiLevelType w:val="hybridMultilevel"/>
    <w:lvl w:ilvl="0">
      <w:lvlJc w:val="left"/>
      <w:lvlText w:val="(%1)"/>
      <w:numFmt w:val="lowerLetter"/>
      <w:start w:val="6"/>
    </w:lvl>
    <w:lvl w:ilvl="1">
      <w:lvlJc w:val="left"/>
      <w:lvlText w:val="(%2)"/>
      <w:numFmt w:val="lowerRoman"/>
      <w:start w:val="1"/>
    </w:lvl>
  </w:abstractNum>
  <w:abstractNum w:abstractNumId="518">
    <w:nsid w:val="3C8CC138"/>
    <w:multiLevelType w:val="hybridMultilevel"/>
    <w:lvl w:ilvl="0">
      <w:lvlJc w:val="left"/>
      <w:lvlText w:val="(%1)"/>
      <w:numFmt w:val="lowerRoman"/>
      <w:start w:val="3"/>
    </w:lvl>
  </w:abstractNum>
  <w:abstractNum w:abstractNumId="519">
    <w:nsid w:val="42E8C7BE"/>
    <w:multiLevelType w:val="hybridMultilevel"/>
    <w:lvl w:ilvl="0">
      <w:lvlJc w:val="left"/>
      <w:lvlText w:val="(%1)"/>
      <w:numFmt w:val="lowerRoman"/>
      <w:start w:val="5"/>
    </w:lvl>
  </w:abstractNum>
  <w:abstractNum w:abstractNumId="520">
    <w:nsid w:val="653CDC22"/>
    <w:multiLevelType w:val="hybridMultilevel"/>
    <w:lvl w:ilvl="0">
      <w:lvlJc w:val="left"/>
      <w:lvlText w:val="%1"/>
      <w:numFmt w:val="lowerLetter"/>
      <w:start w:val="1"/>
    </w:lvl>
    <w:lvl w:ilvl="1">
      <w:lvlJc w:val="left"/>
      <w:lvlText w:val="(%2)"/>
      <w:numFmt w:val="lowerRoman"/>
      <w:start w:val="16"/>
    </w:lvl>
  </w:abstractNum>
  <w:abstractNum w:abstractNumId="521">
    <w:nsid w:val="103B2716"/>
    <w:multiLevelType w:val="hybridMultilevel"/>
    <w:lvl w:ilvl="0">
      <w:lvlJc w:val="left"/>
      <w:lvlText w:val="(%1)"/>
      <w:numFmt w:val="lowerLetter"/>
      <w:start w:val="11"/>
    </w:lvl>
    <w:lvl w:ilvl="1">
      <w:lvlJc w:val="left"/>
      <w:lvlText w:val="(%2)"/>
      <w:numFmt w:val="lowerRoman"/>
      <w:start w:val="22"/>
    </w:lvl>
  </w:abstractNum>
  <w:abstractNum w:abstractNumId="522">
    <w:nsid w:val="156827FB"/>
    <w:multiLevelType w:val="hybridMultilevel"/>
    <w:lvl w:ilvl="0">
      <w:lvlJc w:val="left"/>
      <w:lvlText w:val="%1"/>
      <w:numFmt w:val="lowerLetter"/>
      <w:start w:val="1"/>
    </w:lvl>
    <w:lvl w:ilvl="1">
      <w:lvlJc w:val="left"/>
      <w:lvlText w:val="(%2)"/>
      <w:numFmt w:val="lowerLetter"/>
      <w:start w:val="8"/>
    </w:lvl>
  </w:abstractNum>
  <w:abstractNum w:abstractNumId="523">
    <w:nsid w:val="6350AC35"/>
    <w:multiLevelType w:val="hybridMultilevel"/>
    <w:lvl w:ilvl="0">
      <w:lvlJc w:val="left"/>
      <w:lvlText w:val="(%1)"/>
      <w:numFmt w:val="lowerLetter"/>
      <w:start w:val="35"/>
    </w:lvl>
    <w:lvl w:ilvl="1">
      <w:lvlJc w:val="left"/>
      <w:lvlText w:val="%2"/>
      <w:numFmt w:val="lowerLetter"/>
      <w:start w:val="1"/>
    </w:lvl>
  </w:abstractNum>
  <w:abstractNum w:abstractNumId="524">
    <w:nsid w:val="767725AB"/>
    <w:multiLevelType w:val="hybridMultilevel"/>
    <w:lvl w:ilvl="0">
      <w:lvlJc w:val="left"/>
      <w:lvlText w:val="%1"/>
      <w:numFmt w:val="lowerLetter"/>
      <w:start w:val="1"/>
    </w:lvl>
    <w:lvl w:ilvl="1">
      <w:lvlJc w:val="left"/>
      <w:lvlText w:val="(%2)"/>
      <w:numFmt w:val="lowerLetter"/>
      <w:start w:val="10"/>
    </w:lvl>
  </w:abstractNum>
  <w:abstractNum w:abstractNumId="525">
    <w:nsid w:val="4748C06A"/>
    <w:multiLevelType w:val="hybridMultilevel"/>
    <w:lvl w:ilvl="0">
      <w:lvlJc w:val="left"/>
      <w:lvlText w:val="(%1)"/>
      <w:numFmt w:val="lowerLetter"/>
      <w:start w:val="1"/>
    </w:lvl>
    <w:lvl w:ilvl="1">
      <w:lvlJc w:val="left"/>
      <w:lvlText w:val="%2"/>
      <w:numFmt w:val="lowerLetter"/>
      <w:start w:val="1"/>
    </w:lvl>
  </w:abstractNum>
  <w:abstractNum w:abstractNumId="526">
    <w:nsid w:val="254D9EA9"/>
    <w:multiLevelType w:val="hybridMultilevel"/>
    <w:lvl w:ilvl="0">
      <w:lvlJc w:val="left"/>
      <w:lvlText w:val="(%1)"/>
      <w:numFmt w:val="lowerLetter"/>
      <w:start w:val="35"/>
    </w:lvl>
    <w:lvl w:ilvl="1">
      <w:lvlJc w:val="left"/>
      <w:lvlText w:val="%2"/>
      <w:numFmt w:val="lowerLetter"/>
      <w:start w:val="1"/>
    </w:lvl>
  </w:abstractNum>
  <w:abstractNum w:abstractNumId="527">
    <w:nsid w:val="1FBD3AA3"/>
    <w:multiLevelType w:val="hybridMultilevel"/>
    <w:lvl w:ilvl="0">
      <w:lvlJc w:val="left"/>
      <w:lvlText w:val="(%1)"/>
      <w:numFmt w:val="lowerLetter"/>
      <w:start w:val="14"/>
    </w:lvl>
  </w:abstractNum>
  <w:abstractNum w:abstractNumId="528">
    <w:nsid w:val="18C6B4F2"/>
    <w:multiLevelType w:val="hybridMultilevel"/>
    <w:lvl w:ilvl="0">
      <w:lvlJc w:val="left"/>
      <w:lvlText w:val="(%1)"/>
      <w:numFmt w:val="lowerLetter"/>
      <w:start w:val="15"/>
    </w:lvl>
  </w:abstractNum>
  <w:abstractNum w:abstractNumId="529">
    <w:nsid w:val="40BAD55"/>
    <w:multiLevelType w:val="hybridMultilevel"/>
    <w:lvl w:ilvl="0">
      <w:lvlJc w:val="left"/>
      <w:lvlText w:val="(%1)"/>
      <w:numFmt w:val="lowerLetter"/>
      <w:start w:val="1"/>
    </w:lvl>
  </w:abstractNum>
  <w:abstractNum w:abstractNumId="530">
    <w:nsid w:val="E5B2573"/>
    <w:multiLevelType w:val="hybridMultilevel"/>
    <w:lvl w:ilvl="0">
      <w:lvlJc w:val="left"/>
      <w:lvlText w:val="%1"/>
      <w:numFmt w:val="lowerLetter"/>
      <w:start w:val="1"/>
    </w:lvl>
    <w:lvl w:ilvl="1">
      <w:lvlJc w:val="left"/>
      <w:lvlText w:val="(%2)"/>
      <w:numFmt w:val="lowerLetter"/>
      <w:start w:val="1"/>
    </w:lvl>
  </w:abstractNum>
  <w:abstractNum w:abstractNumId="531">
    <w:nsid w:val="5D175EF2"/>
    <w:multiLevelType w:val="hybridMultilevel"/>
    <w:lvl w:ilvl="0">
      <w:lvlJc w:val="left"/>
      <w:lvlText w:val="(%1)"/>
      <w:numFmt w:val="lowerLetter"/>
      <w:start w:val="35"/>
    </w:lvl>
    <w:lvl w:ilvl="1">
      <w:lvlJc w:val="left"/>
      <w:lvlText w:val="(%2)"/>
      <w:numFmt w:val="lowerLetter"/>
      <w:start w:val="2"/>
    </w:lvl>
  </w:abstractNum>
  <w:abstractNum w:abstractNumId="532">
    <w:nsid w:val="4ED5A137"/>
    <w:multiLevelType w:val="hybridMultilevel"/>
    <w:lvl w:ilvl="0">
      <w:lvlJc w:val="left"/>
      <w:lvlText w:val="(%1)"/>
      <w:numFmt w:val="lowerLetter"/>
      <w:start w:val="6"/>
    </w:lvl>
  </w:abstractNum>
  <w:abstractNum w:abstractNumId="533">
    <w:nsid w:val="1B1BCCF5"/>
    <w:multiLevelType w:val="hybridMultilevel"/>
    <w:lvl w:ilvl="0">
      <w:lvlJc w:val="left"/>
      <w:lvlText w:val="(%1)"/>
      <w:numFmt w:val="lowerLetter"/>
      <w:start w:val="9"/>
    </w:lvl>
  </w:abstractNum>
  <w:abstractNum w:abstractNumId="534">
    <w:nsid w:val="56CDFABB"/>
    <w:multiLevelType w:val="hybridMultilevel"/>
    <w:lvl w:ilvl="0">
      <w:lvlJc w:val="left"/>
      <w:lvlText w:val="(%1)"/>
      <w:numFmt w:val="lowerLetter"/>
      <w:start w:val="1"/>
    </w:lvl>
    <w:lvl w:ilvl="1">
      <w:lvlJc w:val="left"/>
      <w:lvlText w:val="(%2)"/>
      <w:numFmt w:val="lowerLetter"/>
      <w:start w:val="9"/>
    </w:lvl>
  </w:abstractNum>
  <w:abstractNum w:abstractNumId="535">
    <w:nsid w:val="78466DAF"/>
    <w:multiLevelType w:val="hybridMultilevel"/>
    <w:lvl w:ilvl="0">
      <w:lvlJc w:val="left"/>
      <w:lvlText w:val="(%1)"/>
      <w:numFmt w:val="lowerRoman"/>
      <w:start w:val="2"/>
    </w:lvl>
  </w:abstractNum>
  <w:abstractNum w:abstractNumId="536">
    <w:nsid w:val="64E5E036"/>
    <w:multiLevelType w:val="hybridMultilevel"/>
    <w:lvl w:ilvl="0">
      <w:lvlJc w:val="left"/>
      <w:lvlText w:val="(%1)"/>
      <w:numFmt w:val="lowerLetter"/>
      <w:start w:val="2"/>
    </w:lvl>
  </w:abstractNum>
  <w:abstractNum w:abstractNumId="537">
    <w:nsid w:val="5C5B6C3A"/>
    <w:multiLevelType w:val="hybridMultilevel"/>
    <w:lvl w:ilvl="0">
      <w:lvlJc w:val="left"/>
      <w:lvlText w:val="(%1)"/>
      <w:numFmt w:val="lowerLetter"/>
      <w:start w:val="3"/>
    </w:lvl>
    <w:lvl w:ilvl="1">
      <w:lvlJc w:val="left"/>
      <w:lvlText w:val="(%2)"/>
      <w:numFmt w:val="lowerRoman"/>
      <w:start w:val="1"/>
    </w:lvl>
  </w:abstractNum>
  <w:abstractNum w:abstractNumId="538">
    <w:nsid w:val="5D094B84"/>
    <w:multiLevelType w:val="hybridMultilevel"/>
    <w:lvl w:ilvl="0">
      <w:lvlJc w:val="left"/>
      <w:lvlText w:val="(%1)"/>
      <w:numFmt w:val="lowerLetter"/>
      <w:start w:val="5"/>
    </w:lvl>
    <w:lvl w:ilvl="1">
      <w:lvlJc w:val="left"/>
      <w:lvlText w:val="(%2)"/>
      <w:numFmt w:val="lowerRoman"/>
      <w:start w:val="1"/>
    </w:lvl>
  </w:abstractNum>
  <w:abstractNum w:abstractNumId="539">
    <w:nsid w:val="272A9914"/>
    <w:multiLevelType w:val="hybridMultilevel"/>
    <w:lvl w:ilvl="0">
      <w:lvlJc w:val="left"/>
      <w:lvlText w:val="(%1)"/>
      <w:numFmt w:val="lowerLetter"/>
      <w:start w:val="7"/>
    </w:lvl>
  </w:abstractNum>
  <w:abstractNum w:abstractNumId="540">
    <w:nsid w:val="52A4773B"/>
    <w:multiLevelType w:val="hybridMultilevel"/>
    <w:lvl w:ilvl="0">
      <w:lvlJc w:val="left"/>
      <w:lvlText w:val="%1"/>
      <w:numFmt w:val="lowerRoman"/>
      <w:start w:val="1"/>
    </w:lvl>
    <w:lvl w:ilvl="1">
      <w:lvlJc w:val="left"/>
      <w:lvlText w:val="(%2)"/>
      <w:numFmt w:val="lowerLetter"/>
      <w:start w:val="2"/>
    </w:lvl>
  </w:abstractNum>
  <w:abstractNum w:abstractNumId="541">
    <w:nsid w:val="13BAE843"/>
    <w:multiLevelType w:val="hybridMultilevel"/>
    <w:lvl w:ilvl="0">
      <w:lvlJc w:val="left"/>
      <w:lvlText w:val="(%1)"/>
      <w:numFmt w:val="lowerRoman"/>
      <w:start w:val="6"/>
    </w:lvl>
    <w:lvl w:ilvl="1">
      <w:lvlJc w:val="left"/>
      <w:lvlText w:val="(%2)"/>
      <w:numFmt w:val="lowerLetter"/>
      <w:start w:val="3"/>
    </w:lvl>
  </w:abstractNum>
  <w:abstractNum w:abstractNumId="542">
    <w:nsid w:val="B895EBF"/>
    <w:multiLevelType w:val="hybridMultilevel"/>
    <w:lvl w:ilvl="0">
      <w:lvlJc w:val="left"/>
      <w:lvlText w:val="(%1)"/>
      <w:numFmt w:val="lowerLetter"/>
      <w:start w:val="2"/>
    </w:lvl>
  </w:abstractNum>
  <w:abstractNum w:abstractNumId="543">
    <w:nsid w:val="646A232A"/>
    <w:multiLevelType w:val="hybridMultilevel"/>
    <w:lvl w:ilvl="0">
      <w:lvlJc w:val="left"/>
      <w:lvlText w:val="(%1)"/>
      <w:numFmt w:val="lowerLetter"/>
      <w:start w:val="4"/>
    </w:lvl>
  </w:abstractNum>
  <w:abstractNum w:abstractNumId="544">
    <w:nsid w:val="6E022D01"/>
    <w:multiLevelType w:val="hybridMultilevel"/>
    <w:lvl w:ilvl="0">
      <w:lvlJc w:val="left"/>
      <w:lvlText w:val="(%1)"/>
      <w:numFmt w:val="lowerLetter"/>
      <w:start w:val="2"/>
    </w:lvl>
  </w:abstractNum>
  <w:abstractNum w:abstractNumId="545">
    <w:nsid w:val="294E0FD0"/>
    <w:multiLevelType w:val="hybridMultilevel"/>
    <w:lvl w:ilvl="0">
      <w:lvlJc w:val="left"/>
      <w:lvlText w:val="(%1)"/>
      <w:numFmt w:val="lowerLetter"/>
      <w:start w:val="2"/>
    </w:lvl>
  </w:abstractNum>
  <w:abstractNum w:abstractNumId="546">
    <w:nsid w:val="30D85A55"/>
    <w:multiLevelType w:val="hybridMultilevel"/>
    <w:lvl w:ilvl="0">
      <w:lvlJc w:val="left"/>
      <w:lvlText w:val="(%1)"/>
      <w:numFmt w:val="lowerRoman"/>
      <w:start w:val="1"/>
    </w:lvl>
  </w:abstractNum>
  <w:abstractNum w:abstractNumId="547">
    <w:nsid w:val="6F0463F1"/>
    <w:multiLevelType w:val="hybridMultilevel"/>
    <w:lvl w:ilvl="0">
      <w:lvlJc w:val="left"/>
      <w:lvlText w:val="(%1)"/>
      <w:numFmt w:val="lowerRoman"/>
      <w:start w:val="3"/>
    </w:lvl>
  </w:abstractNum>
  <w:abstractNum w:abstractNumId="548">
    <w:nsid w:val="1226623C"/>
    <w:multiLevelType w:val="hybridMultilevel"/>
    <w:lvl w:ilvl="0">
      <w:lvlJc w:val="left"/>
      <w:lvlText w:val="(%1)"/>
      <w:numFmt w:val="lowerLetter"/>
      <w:start w:val="1"/>
    </w:lvl>
  </w:abstractNum>
  <w:abstractNum w:abstractNumId="549">
    <w:nsid w:val="6D651B8D"/>
    <w:multiLevelType w:val="hybridMultilevel"/>
    <w:lvl w:ilvl="0">
      <w:lvlJc w:val="left"/>
      <w:lvlText w:val="%1"/>
      <w:numFmt w:val="lowerLetter"/>
      <w:start w:val="1"/>
    </w:lvl>
    <w:lvl w:ilvl="1">
      <w:lvlJc w:val="left"/>
      <w:lvlText w:val="(%2)"/>
      <w:numFmt w:val="lowerRoman"/>
      <w:start w:val="1"/>
    </w:lvl>
  </w:abstractNum>
  <w:abstractNum w:abstractNumId="550">
    <w:nsid w:val="31ED2BAF"/>
    <w:multiLevelType w:val="hybridMultilevel"/>
    <w:lvl w:ilvl="0">
      <w:lvlJc w:val="left"/>
      <w:lvlText w:val="(%1)"/>
      <w:numFmt w:val="lowerLetter"/>
      <w:start w:val="2"/>
    </w:lvl>
    <w:lvl w:ilvl="1">
      <w:lvlJc w:val="left"/>
      <w:lvlText w:val="%2"/>
      <w:numFmt w:val="lowerRoman"/>
      <w:start w:val="1"/>
    </w:lvl>
  </w:abstractNum>
  <w:abstractNum w:abstractNumId="551">
    <w:nsid w:val="77633E5E"/>
    <w:multiLevelType w:val="hybridMultilevel"/>
    <w:lvl w:ilvl="0">
      <w:lvlJc w:val="left"/>
      <w:lvlText w:val="(%1)"/>
      <w:numFmt w:val="lowerLetter"/>
      <w:start w:val="3"/>
    </w:lvl>
  </w:abstractNum>
  <w:abstractNum w:abstractNumId="552">
    <w:nsid w:val="7DA042A3"/>
    <w:multiLevelType w:val="hybridMultilevel"/>
    <w:lvl w:ilvl="0">
      <w:lvlJc w:val="left"/>
      <w:lvlText w:val="(%1)"/>
      <w:numFmt w:val="lowerRoman"/>
      <w:start w:val="1"/>
    </w:lvl>
  </w:abstractNum>
  <w:abstractNum w:abstractNumId="553">
    <w:nsid w:val="475553AB"/>
    <w:multiLevelType w:val="hybridMultilevel"/>
    <w:lvl w:ilvl="0">
      <w:lvlJc w:val="left"/>
      <w:lvlText w:val="(%1)"/>
      <w:numFmt w:val="lowerRoman"/>
      <w:start w:val="2"/>
    </w:lvl>
  </w:abstractNum>
  <w:abstractNum w:abstractNumId="554">
    <w:nsid w:val="5AB3EA93"/>
    <w:multiLevelType w:val="hybridMultilevel"/>
    <w:lvl w:ilvl="0">
      <w:lvlJc w:val="left"/>
      <w:lvlText w:val="(%1)"/>
      <w:numFmt w:val="lowerLetter"/>
      <w:start w:val="2"/>
    </w:lvl>
  </w:abstractNum>
  <w:abstractNum w:abstractNumId="555">
    <w:nsid w:val="7417684F"/>
    <w:multiLevelType w:val="hybridMultilevel"/>
    <w:lvl w:ilvl="0">
      <w:lvlJc w:val="left"/>
      <w:lvlText w:val="(%1)"/>
      <w:numFmt w:val="lowerLetter"/>
      <w:start w:val="2"/>
    </w:lvl>
  </w:abstractNum>
  <w:abstractNum w:abstractNumId="556">
    <w:nsid w:val="E9E1415"/>
    <w:multiLevelType w:val="hybridMultilevel"/>
    <w:lvl w:ilvl="0">
      <w:lvlJc w:val="left"/>
      <w:lvlText w:val="(%1)"/>
      <w:numFmt w:val="lowerLetter"/>
      <w:start w:val="1"/>
    </w:lvl>
  </w:abstractNum>
  <w:abstractNum w:abstractNumId="557">
    <w:nsid w:val="1893D"/>
    <w:multiLevelType w:val="hybridMultilevel"/>
    <w:lvl w:ilvl="0">
      <w:lvlJc w:val="left"/>
      <w:lvlText w:val="(%1)"/>
      <w:numFmt w:val="lowerLetter"/>
      <w:start w:val="2"/>
    </w:lvl>
  </w:abstractNum>
  <w:abstractNum w:abstractNumId="558">
    <w:nsid w:val="13D4A2F2"/>
    <w:multiLevelType w:val="hybridMultilevel"/>
    <w:lvl w:ilvl="0">
      <w:lvlJc w:val="left"/>
      <w:lvlText w:val="(%1)"/>
      <w:numFmt w:val="lowerLetter"/>
      <w:start w:val="4"/>
    </w:lvl>
  </w:abstractNum>
  <w:abstractNum w:abstractNumId="559">
    <w:nsid w:val="2764C9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60">
    <w:nsid w:val="40D3692"/>
    <w:multiLevelType w:val="hybridMultilevel"/>
    <w:lvl w:ilvl="0">
      <w:lvlJc w:val="left"/>
      <w:lvlText w:val="(%1)"/>
      <w:numFmt w:val="upperLetter"/>
      <w:start w:val="4"/>
    </w:lvl>
  </w:abstractNum>
  <w:abstractNum w:abstractNumId="561">
    <w:nsid w:val="222FC865"/>
    <w:multiLevelType w:val="hybridMultilevel"/>
    <w:lvl w:ilvl="0">
      <w:lvlJc w:val="left"/>
      <w:lvlText w:val="(%1)"/>
      <w:numFmt w:val="lowerRoman"/>
      <w:start w:val="3"/>
    </w:lvl>
  </w:abstractNum>
  <w:abstractNum w:abstractNumId="562">
    <w:nsid w:val="47C27FA"/>
    <w:multiLevelType w:val="hybridMultilevel"/>
    <w:lvl w:ilvl="0">
      <w:lvlJc w:val="left"/>
      <w:lvlText w:val="(%1)"/>
      <w:numFmt w:val="lowerRoman"/>
      <w:start w:val="5"/>
    </w:lvl>
  </w:abstractNum>
  <w:abstractNum w:abstractNumId="563">
    <w:nsid w:val="52E2D7C9"/>
    <w:multiLevelType w:val="hybridMultilevel"/>
    <w:lvl w:ilvl="0">
      <w:lvlJc w:val="left"/>
      <w:lvlText w:val="(%1)"/>
      <w:numFmt w:val="lowerLetter"/>
      <w:start w:val="3"/>
    </w:lvl>
  </w:abstractNum>
  <w:abstractNum w:abstractNumId="564">
    <w:nsid w:val="3D4B955A"/>
    <w:multiLevelType w:val="hybridMultilevel"/>
    <w:lvl w:ilvl="0">
      <w:lvlJc w:val="left"/>
      <w:lvlText w:val="(%1)"/>
      <w:numFmt w:val="lowerLetter"/>
      <w:start w:val="2"/>
    </w:lvl>
  </w:abstractNum>
  <w:abstractNum w:abstractNumId="565">
    <w:nsid w:val="5B4A22B5"/>
    <w:multiLevelType w:val="hybridMultilevel"/>
    <w:lvl w:ilvl="0">
      <w:lvlJc w:val="left"/>
      <w:lvlText w:val="(%1)"/>
      <w:numFmt w:val="lowerLetter"/>
      <w:start w:val="2"/>
    </w:lvl>
  </w:abstractNum>
  <w:abstractNum w:abstractNumId="566">
    <w:nsid w:val="4B294578"/>
    <w:multiLevelType w:val="hybridMultilevel"/>
    <w:lvl w:ilvl="0">
      <w:lvlJc w:val="left"/>
      <w:lvlText w:val="(%1)"/>
      <w:numFmt w:val="lowerLetter"/>
      <w:start w:val="5"/>
    </w:lvl>
  </w:abstractNum>
  <w:abstractNum w:abstractNumId="567">
    <w:nsid w:val="22317590"/>
    <w:multiLevelType w:val="hybridMultilevel"/>
    <w:lvl w:ilvl="0">
      <w:lvlJc w:val="left"/>
      <w:lvlText w:val="(%1)"/>
      <w:numFmt w:val="lowerLetter"/>
      <w:start w:val="2"/>
    </w:lvl>
  </w:abstractNum>
  <w:abstractNum w:abstractNumId="568">
    <w:nsid w:val="37A58EEF"/>
    <w:multiLevelType w:val="hybridMultilevel"/>
    <w:lvl w:ilvl="0">
      <w:lvlJc w:val="left"/>
      <w:lvlText w:val="(%1)"/>
      <w:numFmt w:val="lowerLetter"/>
      <w:start w:val="2"/>
    </w:lvl>
  </w:abstractNum>
  <w:abstractNum w:abstractNumId="569">
    <w:nsid w:val="283290FD"/>
    <w:multiLevelType w:val="hybridMultilevel"/>
    <w:lvl w:ilvl="0">
      <w:lvlJc w:val="left"/>
      <w:lvlText w:val="(%1)"/>
      <w:numFmt w:val="lowerLetter"/>
      <w:start w:val="3"/>
    </w:lvl>
  </w:abstractNum>
  <w:abstractNum w:abstractNumId="570">
    <w:nsid w:val="495C0EA5"/>
    <w:multiLevelType w:val="hybridMultilevel"/>
    <w:lvl w:ilvl="0">
      <w:lvlJc w:val="left"/>
      <w:lvlText w:val="(%1)"/>
      <w:numFmt w:val="lowerLetter"/>
      <w:start w:val="1"/>
    </w:lvl>
    <w:lvl w:ilvl="1">
      <w:lvlJc w:val="left"/>
      <w:lvlText w:val="(%2)"/>
      <w:numFmt w:val="lowerRoman"/>
      <w:start w:val="1"/>
    </w:lvl>
  </w:abstractNum>
  <w:abstractNum w:abstractNumId="571">
    <w:nsid w:val="A4A062B"/>
    <w:multiLevelType w:val="hybridMultilevel"/>
    <w:lvl w:ilvl="0">
      <w:lvlJc w:val="left"/>
      <w:lvlText w:val="(%1)"/>
      <w:numFmt w:val="lowerLetter"/>
      <w:start w:val="1"/>
    </w:lvl>
  </w:abstractNum>
  <w:abstractNum w:abstractNumId="572">
    <w:nsid w:val="3BED7940"/>
    <w:multiLevelType w:val="hybridMultilevel"/>
    <w:lvl w:ilvl="0">
      <w:lvlJc w:val="left"/>
      <w:lvlText w:val="(%1)"/>
      <w:numFmt w:val="lowerLetter"/>
      <w:start w:val="1"/>
    </w:lvl>
  </w:abstractNum>
  <w:abstractNum w:abstractNumId="573">
    <w:nsid w:val="54E56D64"/>
    <w:multiLevelType w:val="hybridMultilevel"/>
    <w:lvl w:ilvl="0">
      <w:lvlJc w:val="left"/>
      <w:lvlText w:val="(%1)"/>
      <w:numFmt w:val="lowerLetter"/>
      <w:start w:val="1"/>
    </w:lvl>
  </w:abstractNum>
  <w:abstractNum w:abstractNumId="574">
    <w:nsid w:val="6EB42955"/>
    <w:multiLevelType w:val="hybridMultilevel"/>
    <w:lvl w:ilvl="0">
      <w:lvlJc w:val="left"/>
      <w:lvlText w:val="(%1)"/>
      <w:numFmt w:val="lowerLetter"/>
      <w:start w:val="3"/>
    </w:lvl>
  </w:abstractNum>
  <w:abstractNum w:abstractNumId="575">
    <w:nsid w:val="29EFA642"/>
    <w:multiLevelType w:val="hybridMultilevel"/>
    <w:lvl w:ilvl="0">
      <w:lvlJc w:val="left"/>
      <w:lvlText w:val="(%1)"/>
      <w:numFmt w:val="lowerLetter"/>
      <w:start w:val="1"/>
    </w:lvl>
  </w:abstractNum>
  <w:abstractNum w:abstractNumId="576">
    <w:nsid w:val="7E337D35"/>
    <w:multiLevelType w:val="hybridMultilevel"/>
    <w:lvl w:ilvl="0">
      <w:lvlJc w:val="left"/>
      <w:lvlText w:val="(%1)"/>
      <w:numFmt w:val="lowerLetter"/>
      <w:start w:val="3"/>
    </w:lvl>
  </w:abstractNum>
  <w:abstractNum w:abstractNumId="577">
    <w:nsid w:val="1F8C83AB"/>
    <w:multiLevelType w:val="hybridMultilevel"/>
    <w:lvl w:ilvl="0">
      <w:lvlJc w:val="left"/>
      <w:lvlText w:val="%1"/>
      <w:numFmt w:val="lowerLetter"/>
      <w:start w:val="1"/>
    </w:lvl>
    <w:lvl w:ilvl="1">
      <w:lvlJc w:val="left"/>
      <w:lvlText w:val="(%2)"/>
      <w:numFmt w:val="lowerLetter"/>
      <w:start w:val="1"/>
    </w:lvl>
  </w:abstractNum>
  <w:abstractNum w:abstractNumId="578">
    <w:nsid w:val="18F40A33"/>
    <w:multiLevelType w:val="hybridMultilevel"/>
    <w:lvl w:ilvl="0">
      <w:lvlJc w:val="left"/>
      <w:lvlText w:val="(%1)"/>
      <w:numFmt w:val="lowerLetter"/>
      <w:start w:val="61"/>
    </w:lvl>
    <w:lvl w:ilvl="1">
      <w:lvlJc w:val="left"/>
      <w:lvlText w:val="(%2)"/>
      <w:numFmt w:val="lowerLetter"/>
      <w:start w:val="2"/>
    </w:lvl>
  </w:abstractNum>
  <w:abstractNum w:abstractNumId="579">
    <w:nsid w:val="1059DF71"/>
    <w:multiLevelType w:val="hybridMultilevel"/>
    <w:lvl w:ilvl="0">
      <w:lvlJc w:val="left"/>
      <w:lvlText w:val="(%1)"/>
      <w:numFmt w:val="lowerLetter"/>
      <w:start w:val="1"/>
    </w:lvl>
  </w:abstractNum>
  <w:abstractNum w:abstractNumId="580">
    <w:nsid w:val="CF19F38"/>
    <w:multiLevelType w:val="hybridMultilevel"/>
    <w:lvl w:ilvl="0">
      <w:lvlJc w:val="left"/>
      <w:lvlText w:val="(%1)"/>
      <w:numFmt w:val="lowerLetter"/>
      <w:start w:val="4"/>
    </w:lvl>
  </w:abstractNum>
  <w:abstractNum w:abstractNumId="581">
    <w:nsid w:val="4AE135E2"/>
    <w:multiLevelType w:val="hybridMultilevel"/>
    <w:lvl w:ilvl="0">
      <w:lvlJc w:val="left"/>
      <w:lvlText w:val="(%1)"/>
      <w:numFmt w:val="lowerLetter"/>
      <w:start w:val="1"/>
    </w:lvl>
  </w:abstractNum>
  <w:abstractNum w:abstractNumId="582">
    <w:nsid w:val="7BD1DCF"/>
    <w:multiLevelType w:val="hybridMultilevel"/>
    <w:lvl w:ilvl="0">
      <w:lvlJc w:val="left"/>
      <w:lvlText w:val="(%1)"/>
      <w:numFmt w:val="lowerLetter"/>
      <w:start w:val="2"/>
    </w:lvl>
  </w:abstractNum>
  <w:abstractNum w:abstractNumId="583">
    <w:nsid w:val="A91E1DC"/>
    <w:multiLevelType w:val="hybridMultilevel"/>
    <w:lvl w:ilvl="0">
      <w:lvlJc w:val="left"/>
      <w:lvlText w:val="(%1)"/>
      <w:numFmt w:val="lowerLetter"/>
      <w:start w:val="4"/>
    </w:lvl>
  </w:abstractNum>
  <w:abstractNum w:abstractNumId="584">
    <w:nsid w:val="1236898D"/>
    <w:multiLevelType w:val="hybridMultilevel"/>
    <w:lvl w:ilvl="0">
      <w:lvlJc w:val="left"/>
      <w:lvlText w:val="(%1)"/>
      <w:numFmt w:val="lowerLetter"/>
      <w:start w:val="8"/>
    </w:lvl>
  </w:abstractNum>
  <w:abstractNum w:abstractNumId="585">
    <w:nsid w:val="62710862"/>
    <w:multiLevelType w:val="hybridMultilevel"/>
    <w:lvl w:ilvl="0">
      <w:lvlJc w:val="left"/>
      <w:lvlText w:val="(%1)"/>
      <w:numFmt w:val="lowerLetter"/>
      <w:start w:val="1"/>
    </w:lvl>
  </w:abstractNum>
  <w:abstractNum w:abstractNumId="586">
    <w:nsid w:val="7EA94A2B"/>
    <w:multiLevelType w:val="hybridMultilevel"/>
    <w:lvl w:ilvl="0">
      <w:lvlJc w:val="left"/>
      <w:lvlText w:val="(%1)"/>
      <w:numFmt w:val="lowerLetter"/>
      <w:start w:val="3"/>
    </w:lvl>
  </w:abstractNum>
  <w:abstractNum w:abstractNumId="587">
    <w:nsid w:val="20D49DA3"/>
    <w:multiLevelType w:val="hybridMultilevel"/>
    <w:lvl w:ilvl="0">
      <w:lvlJc w:val="left"/>
      <w:lvlText w:val="(%1)"/>
      <w:numFmt w:val="lowerLetter"/>
      <w:start w:val="1"/>
    </w:lvl>
  </w:abstractNum>
  <w:abstractNum w:abstractNumId="588">
    <w:nsid w:val="6272919F"/>
    <w:multiLevelType w:val="hybridMultilevel"/>
    <w:lvl w:ilvl="0">
      <w:lvlJc w:val="left"/>
      <w:lvlText w:val="(%1)"/>
      <w:numFmt w:val="lowerLetter"/>
      <w:start w:val="6"/>
    </w:lvl>
  </w:abstractNum>
  <w:abstractNum w:abstractNumId="589">
    <w:nsid w:val="127DED1D"/>
    <w:multiLevelType w:val="hybridMultilevel"/>
    <w:lvl w:ilvl="0">
      <w:lvlJc w:val="left"/>
      <w:lvlText w:val="(%1)"/>
      <w:numFmt w:val="lowerLetter"/>
      <w:start w:val="1"/>
    </w:lvl>
  </w:abstractNum>
  <w:abstractNum w:abstractNumId="590">
    <w:nsid w:val="483966AA"/>
    <w:multiLevelType w:val="hybridMultilevel"/>
    <w:lvl w:ilvl="0">
      <w:lvlJc w:val="left"/>
      <w:lvlText w:val="(%1)"/>
      <w:numFmt w:val="lowerLetter"/>
      <w:start w:val="5"/>
    </w:lvl>
  </w:abstractNum>
  <w:abstractNum w:abstractNumId="591">
    <w:nsid w:val="667FC831"/>
    <w:multiLevelType w:val="hybridMultilevel"/>
    <w:lvl w:ilvl="0">
      <w:lvlJc w:val="left"/>
      <w:lvlText w:val="(%1)"/>
      <w:numFmt w:val="lowerLetter"/>
      <w:start w:val="14"/>
    </w:lvl>
  </w:abstractNum>
  <w:abstractNum w:abstractNumId="592">
    <w:nsid w:val="34ADB582"/>
    <w:multiLevelType w:val="hybridMultilevel"/>
    <w:lvl w:ilvl="0">
      <w:lvlJc w:val="left"/>
      <w:lvlText w:val="(%1)"/>
      <w:numFmt w:val="lowerLetter"/>
      <w:start w:val="1"/>
    </w:lvl>
  </w:abstractNum>
  <w:abstractNum w:abstractNumId="593">
    <w:nsid w:val="4CB58EA4"/>
    <w:multiLevelType w:val="hybridMultilevel"/>
    <w:lvl w:ilvl="0">
      <w:lvlJc w:val="left"/>
      <w:lvlText w:val="(%1)"/>
      <w:numFmt w:val="lowerLetter"/>
      <w:start w:val="1"/>
    </w:lvl>
  </w:abstractNum>
  <w:abstractNum w:abstractNumId="594">
    <w:nsid w:val="39629FFA"/>
    <w:multiLevelType w:val="hybridMultilevel"/>
    <w:lvl w:ilvl="0">
      <w:lvlJc w:val="left"/>
      <w:lvlText w:val="(%1)"/>
      <w:numFmt w:val="lowerLetter"/>
      <w:start w:val="2"/>
    </w:lvl>
  </w:abstractNum>
  <w:abstractNum w:abstractNumId="595">
    <w:nsid w:val="71F94ADC"/>
    <w:multiLevelType w:val="hybridMultilevel"/>
    <w:lvl w:ilvl="0">
      <w:lvlJc w:val="left"/>
      <w:lvlText w:val="(%1)"/>
      <w:numFmt w:val="lowerLetter"/>
      <w:start w:val="1"/>
    </w:lvl>
  </w:abstractNum>
  <w:abstractNum w:abstractNumId="596">
    <w:nsid w:val="27FFB15A"/>
    <w:multiLevelType w:val="hybridMultilevel"/>
    <w:lvl w:ilvl="0">
      <w:lvlJc w:val="left"/>
      <w:lvlText w:val="(%1)"/>
      <w:numFmt w:val="lowerLetter"/>
      <w:start w:val="2"/>
    </w:lvl>
  </w:abstractNum>
  <w:abstractNum w:abstractNumId="597">
    <w:nsid w:val="48BE573"/>
    <w:multiLevelType w:val="hybridMultilevel"/>
    <w:lvl w:ilvl="0">
      <w:lvlJc w:val="left"/>
      <w:lvlText w:val="(%1)"/>
      <w:numFmt w:val="lowerLetter"/>
      <w:start w:val="1"/>
    </w:lvl>
  </w:abstractNum>
  <w:abstractNum w:abstractNumId="598">
    <w:nsid w:val="142AC06C"/>
    <w:multiLevelType w:val="hybridMultilevel"/>
    <w:lvl w:ilvl="0">
      <w:lvlJc w:val="left"/>
      <w:lvlText w:val="(%1)"/>
      <w:numFmt w:val="lowerLetter"/>
      <w:start w:val="1"/>
    </w:lvl>
  </w:abstractNum>
  <w:abstractNum w:abstractNumId="599">
    <w:nsid w:val="5FA54049"/>
    <w:multiLevelType w:val="hybridMultilevel"/>
    <w:lvl w:ilvl="0">
      <w:lvlJc w:val="left"/>
      <w:lvlText w:val="(%1)"/>
      <w:numFmt w:val="lowerLetter"/>
      <w:start w:val="4"/>
    </w:lvl>
  </w:abstractNum>
  <w:abstractNum w:abstractNumId="600">
    <w:nsid w:val="2CBE7670"/>
    <w:multiLevelType w:val="hybridMultilevel"/>
    <w:lvl w:ilvl="0">
      <w:lvlJc w:val="left"/>
      <w:lvlText w:val="%1"/>
      <w:numFmt w:val="lowerLetter"/>
      <w:start w:val="1"/>
    </w:lvl>
    <w:lvl w:ilvl="1">
      <w:lvlJc w:val="left"/>
      <w:lvlText w:val="(%2)"/>
      <w:numFmt w:val="lowerLetter"/>
      <w:start w:val="1"/>
    </w:lvl>
  </w:abstractNum>
  <w:abstractNum w:abstractNumId="601">
    <w:nsid w:val="5D86CF11"/>
    <w:multiLevelType w:val="hybridMultilevel"/>
    <w:lvl w:ilvl="0">
      <w:lvlJc w:val="left"/>
      <w:lvlText w:val="(%1)"/>
      <w:numFmt w:val="lowerLetter"/>
      <w:start w:val="35"/>
    </w:lvl>
    <w:lvl w:ilvl="1">
      <w:lvlJc w:val="left"/>
      <w:lvlText w:val="%2"/>
      <w:numFmt w:val="lowerLetter"/>
      <w:start w:val="1"/>
    </w:lvl>
  </w:abstractNum>
  <w:abstractNum w:abstractNumId="602">
    <w:nsid w:val="69EF4674"/>
    <w:multiLevelType w:val="hybridMultilevel"/>
    <w:lvl w:ilvl="0">
      <w:lvlJc w:val="left"/>
      <w:lvlText w:val="(%1)"/>
      <w:numFmt w:val="lowerLetter"/>
      <w:start w:val="2"/>
    </w:lvl>
  </w:abstractNum>
  <w:abstractNum w:abstractNumId="603">
    <w:nsid w:val="68ABEFB0"/>
    <w:multiLevelType w:val="hybridMultilevel"/>
    <w:lvl w:ilvl="0">
      <w:lvlJc w:val="left"/>
      <w:lvlText w:val="(%1)"/>
      <w:numFmt w:val="lowerLetter"/>
      <w:start w:val="4"/>
    </w:lvl>
  </w:abstractNum>
  <w:abstractNum w:abstractNumId="604">
    <w:nsid w:val="326C3C76"/>
    <w:multiLevelType w:val="hybridMultilevel"/>
    <w:lvl w:ilvl="0">
      <w:lvlJc w:val="left"/>
      <w:lvlText w:val="(%1)"/>
      <w:numFmt w:val="lowerLetter"/>
      <w:start w:val="8"/>
    </w:lvl>
  </w:abstractNum>
  <w:abstractNum w:abstractNumId="605">
    <w:nsid w:val="58A36FCA"/>
    <w:multiLevelType w:val="hybridMultilevel"/>
    <w:lvl w:ilvl="0">
      <w:lvlJc w:val="left"/>
      <w:lvlText w:val="(%1)"/>
      <w:numFmt w:val="lowerLetter"/>
      <w:start w:val="1"/>
    </w:lvl>
  </w:abstractNum>
  <w:abstractNum w:abstractNumId="606">
    <w:nsid w:val="129B95F2"/>
    <w:multiLevelType w:val="hybridMultilevel"/>
    <w:lvl w:ilvl="0">
      <w:lvlJc w:val="left"/>
      <w:lvlText w:val="(%1)"/>
      <w:numFmt w:val="lowerLetter"/>
      <w:start w:val="3"/>
    </w:lvl>
  </w:abstractNum>
  <w:abstractNum w:abstractNumId="607">
    <w:nsid w:val="309FB9AB"/>
    <w:multiLevelType w:val="hybridMultilevel"/>
    <w:lvl w:ilvl="0">
      <w:lvlJc w:val="left"/>
      <w:lvlText w:val="(%1)"/>
      <w:numFmt w:val="lowerLetter"/>
      <w:start w:val="1"/>
    </w:lvl>
  </w:abstractNum>
  <w:abstractNum w:abstractNumId="608">
    <w:nsid w:val="782FF375"/>
    <w:multiLevelType w:val="hybridMultilevel"/>
    <w:lvl w:ilvl="0">
      <w:lvlJc w:val="left"/>
      <w:lvlText w:val="(%1)"/>
      <w:numFmt w:val="lowerLetter"/>
      <w:start w:val="6"/>
    </w:lvl>
  </w:abstractNum>
  <w:abstractNum w:abstractNumId="609">
    <w:nsid w:val="2B8FA025"/>
    <w:multiLevelType w:val="hybridMultilevel"/>
    <w:lvl w:ilvl="0">
      <w:lvlJc w:val="left"/>
      <w:lvlText w:val="(%1)"/>
      <w:numFmt w:val="lowerLetter"/>
      <w:start w:val="1"/>
    </w:lvl>
  </w:abstractNum>
  <w:abstractNum w:abstractNumId="610">
    <w:nsid w:val="40F9991C"/>
    <w:multiLevelType w:val="hybridMultilevel"/>
    <w:lvl w:ilvl="0">
      <w:lvlJc w:val="left"/>
      <w:lvlText w:val="%1"/>
      <w:numFmt w:val="lowerRoman"/>
      <w:start w:val="1"/>
    </w:lvl>
    <w:lvl w:ilvl="1">
      <w:lvlJc w:val="left"/>
      <w:lvlText w:val="(%2)"/>
      <w:numFmt w:val="lowerLetter"/>
      <w:start w:val="2"/>
    </w:lvl>
  </w:abstractNum>
  <w:abstractNum w:abstractNumId="611">
    <w:nsid w:val="52192AD"/>
    <w:multiLevelType w:val="hybridMultilevel"/>
    <w:lvl w:ilvl="0">
      <w:lvlJc w:val="left"/>
      <w:lvlText w:val="(%1)"/>
      <w:numFmt w:val="lowerRoman"/>
      <w:start w:val="2"/>
    </w:lvl>
    <w:lvl w:ilvl="1">
      <w:lvlJc w:val="left"/>
      <w:lvlText w:val="%2"/>
      <w:numFmt w:val="lowerLetter"/>
      <w:start w:val="1"/>
    </w:lvl>
  </w:abstractNum>
  <w:abstractNum w:abstractNumId="612">
    <w:nsid w:val="7670D608"/>
    <w:multiLevelType w:val="hybridMultilevel"/>
    <w:lvl w:ilvl="0">
      <w:lvlJc w:val="left"/>
      <w:lvlText w:val="(%1)"/>
      <w:numFmt w:val="lowerRoman"/>
      <w:start w:val="4"/>
    </w:lvl>
    <w:lvl w:ilvl="1">
      <w:lvlJc w:val="left"/>
      <w:lvlText w:val="(%2)"/>
      <w:numFmt w:val="lowerLetter"/>
      <w:start w:val="5"/>
    </w:lvl>
  </w:abstractNum>
  <w:abstractNum w:abstractNumId="613">
    <w:nsid w:val="48B6B6EB"/>
    <w:multiLevelType w:val="hybridMultilevel"/>
    <w:lvl w:ilvl="0">
      <w:lvlJc w:val="left"/>
      <w:lvlText w:val="(%1)"/>
      <w:numFmt w:val="lowerLetter"/>
      <w:start w:val="9"/>
    </w:lvl>
    <w:lvl w:ilvl="1">
      <w:lvlJc w:val="left"/>
      <w:lvlText w:val="(%2)"/>
      <w:numFmt w:val="lowerRoman"/>
      <w:start w:val="1"/>
    </w:lvl>
  </w:abstractNum>
  <w:abstractNum w:abstractNumId="614">
    <w:nsid w:val="FB37489"/>
    <w:multiLevelType w:val="hybridMultilevel"/>
    <w:lvl w:ilvl="0">
      <w:lvlJc w:val="left"/>
      <w:lvlText w:val="(%1)"/>
      <w:numFmt w:val="lowerLetter"/>
      <w:start w:val="16"/>
    </w:lvl>
  </w:abstractNum>
  <w:abstractNum w:abstractNumId="615">
    <w:nsid w:val="8A75F95"/>
    <w:multiLevelType w:val="hybridMultilevel"/>
    <w:lvl w:ilvl="0">
      <w:lvlJc w:val="left"/>
      <w:lvlText w:val="(%1)"/>
      <w:numFmt w:val="lowerLetter"/>
      <w:start w:val="17"/>
    </w:lvl>
  </w:abstractNum>
  <w:abstractNum w:abstractNumId="616">
    <w:nsid w:val="2B27BF4D"/>
    <w:multiLevelType w:val="hybridMultilevel"/>
    <w:lvl w:ilvl="0">
      <w:lvlJc w:val="left"/>
      <w:lvlText w:val="%1"/>
      <w:numFmt w:val="lowerRoman"/>
      <w:start w:val="1"/>
    </w:lvl>
    <w:lvl w:ilvl="1">
      <w:lvlJc w:val="left"/>
      <w:lvlText w:val="(%2)"/>
      <w:numFmt w:val="lowerRoman"/>
      <w:start w:val="5"/>
    </w:lvl>
  </w:abstractNum>
  <w:abstractNum w:abstractNumId="617">
    <w:nsid w:val="E5CBEB4"/>
    <w:multiLevelType w:val="hybridMultilevel"/>
    <w:lvl w:ilvl="0">
      <w:lvlJc w:val="left"/>
      <w:lvlText w:val="(%1)"/>
      <w:numFmt w:val="lowerRoman"/>
      <w:start w:val="2"/>
    </w:lvl>
    <w:lvl w:ilvl="1">
      <w:lvlJc w:val="left"/>
      <w:lvlText w:val="%2"/>
      <w:numFmt w:val="lowerRoman"/>
      <w:start w:val="1"/>
    </w:lvl>
  </w:abstractNum>
  <w:abstractNum w:abstractNumId="618">
    <w:nsid w:val="297BFD38"/>
    <w:multiLevelType w:val="hybridMultilevel"/>
    <w:lvl w:ilvl="0">
      <w:lvlJc w:val="left"/>
      <w:lvlText w:val="(%1)"/>
      <w:numFmt w:val="lowerLetter"/>
      <w:start w:val="23"/>
    </w:lvl>
  </w:abstractNum>
  <w:abstractNum w:abstractNumId="619">
    <w:nsid w:val="D9A50ED"/>
    <w:multiLevelType w:val="hybridMultilevel"/>
    <w:lvl w:ilvl="0">
      <w:lvlJc w:val="left"/>
      <w:lvlText w:val="(%1)"/>
      <w:numFmt w:val="lowerLetter"/>
      <w:start w:val="26"/>
    </w:lvl>
  </w:abstractNum>
  <w:abstractNum w:abstractNumId="620">
    <w:nsid w:val="20DAABD1"/>
    <w:multiLevelType w:val="hybridMultilevel"/>
    <w:lvl w:ilvl="0">
      <w:lvlJc w:val="left"/>
      <w:lvlText w:val="%1."/>
      <w:numFmt w:val="decimal"/>
      <w:start w:val="1"/>
    </w:lvl>
  </w:abstractNum>
  <w:abstractNum w:abstractNumId="621">
    <w:nsid w:val="71B563E3"/>
    <w:multiLevelType w:val="hybridMultilevel"/>
    <w:lvl w:ilvl="0">
      <w:lvlJc w:val="left"/>
      <w:lvlText w:val="%1."/>
      <w:numFmt w:val="decimal"/>
      <w:start w:val="7"/>
    </w:lvl>
  </w:abstractNum>
  <w:abstractNum w:abstractNumId="622">
    <w:nsid w:val="741A191E"/>
    <w:multiLevelType w:val="hybridMultilevel"/>
    <w:lvl w:ilvl="0">
      <w:lvlJc w:val="left"/>
      <w:lvlText w:val="%1."/>
      <w:numFmt w:val="decimal"/>
      <w:start w:val="10"/>
    </w:lvl>
  </w:abstractNum>
  <w:abstractNum w:abstractNumId="623">
    <w:nsid w:val="55886153"/>
    <w:multiLevelType w:val="hybridMultilevel"/>
    <w:lvl w:ilvl="0">
      <w:lvlJc w:val="left"/>
      <w:lvlText w:val="%1."/>
      <w:numFmt w:val="decimal"/>
      <w:start w:val="15"/>
    </w:lvl>
  </w:abstractNum>
  <w:abstractNum w:abstractNumId="624">
    <w:nsid w:val="3E6AF287"/>
    <w:multiLevelType w:val="hybridMultilevel"/>
    <w:lvl w:ilvl="0">
      <w:lvlJc w:val="left"/>
      <w:lvlText w:val="%1."/>
      <w:numFmt w:val="decimal"/>
      <w:start w:val="19"/>
    </w:lvl>
    <w:lvl w:ilvl="1">
      <w:lvlJc w:val="left"/>
      <w:lvlText w:val="*"/>
      <w:numFmt w:val="bullet"/>
      <w:start w:val="1"/>
    </w:lvl>
  </w:abstractNum>
  <w:abstractNum w:abstractNumId="625">
    <w:nsid w:val="2D7CB919"/>
    <w:multiLevelType w:val="hybridMultilevel"/>
    <w:lvl w:ilvl="0">
      <w:lvlJc w:val="left"/>
      <w:lvlText w:val="(%1)"/>
      <w:numFmt w:val="lowerLetter"/>
      <w:start w:val="1"/>
    </w:lvl>
  </w:abstractNum>
  <w:abstractNum w:abstractNumId="626">
    <w:nsid w:val="4781AC2F"/>
    <w:multiLevelType w:val="hybridMultilevel"/>
    <w:lvl w:ilvl="0">
      <w:lvlJc w:val="left"/>
      <w:lvlText w:val="**"/>
      <w:numFmt w:val="bullet"/>
      <w:start w:val="1"/>
    </w:lvl>
  </w:abstractNum>
  <w:abstractNum w:abstractNumId="627">
    <w:nsid w:val="666AA3E1"/>
    <w:multiLevelType w:val="hybridMultilevel"/>
    <w:lvl w:ilvl="0">
      <w:lvlJc w:val="left"/>
      <w:lvlText w:val="(%1)"/>
      <w:numFmt w:val="lowerLetter"/>
      <w:start w:val="1"/>
    </w:lvl>
  </w:abstractNum>
  <w:abstractNum w:abstractNumId="628">
    <w:nsid w:val="32089E8C"/>
    <w:multiLevelType w:val="hybridMultilevel"/>
    <w:lvl w:ilvl="0">
      <w:lvlJc w:val="left"/>
      <w:lvlText w:val="(%1)"/>
      <w:numFmt w:val="lowerRoman"/>
      <w:start w:val="1"/>
    </w:lvl>
  </w:abstractNum>
  <w:abstractNum w:abstractNumId="629">
    <w:nsid w:val="5BAC6C9C"/>
    <w:multiLevelType w:val="hybridMultilevel"/>
    <w:lvl w:ilvl="0">
      <w:lvlJc w:val="left"/>
      <w:lvlText w:val="(%1)"/>
      <w:numFmt w:val="lowerRoman"/>
      <w:start w:val="3"/>
    </w:lvl>
  </w:abstractNum>
  <w:abstractNum w:abstractNumId="630">
    <w:nsid w:val="460FE42B"/>
    <w:multiLevelType w:val="hybridMultilevel"/>
    <w:lvl w:ilvl="0">
      <w:lvlJc w:val="left"/>
      <w:lvlText w:val="1"/>
      <w:numFmt w:val="bullet"/>
      <w:start w:val="1"/>
    </w:lvl>
  </w:abstractNum>
  <w:abstractNum w:abstractNumId="631">
    <w:nsid w:val="5EC714FC"/>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632">
    <w:nsid w:val="39333BAD"/>
    <w:multiLevelType w:val="hybridMultilevel"/>
    <w:lvl w:ilvl="0">
      <w:lvlJc w:val="left"/>
      <w:lvlText w:val="(%1)"/>
      <w:numFmt w:val="lowerLetter"/>
      <w:start w:val="2"/>
    </w:lvl>
  </w:abstractNum>
  <w:abstractNum w:abstractNumId="633">
    <w:nsid w:val="2FFF2A9F"/>
    <w:multiLevelType w:val="hybridMultilevel"/>
    <w:lvl w:ilvl="0">
      <w:lvlJc w:val="left"/>
      <w:lvlText w:val="(%1)"/>
      <w:numFmt w:val="lowerRoman"/>
      <w:start w:val="1"/>
    </w:lvl>
  </w:abstractNum>
  <w:abstractNum w:abstractNumId="634">
    <w:nsid w:val="477304AC"/>
    <w:multiLevelType w:val="hybridMultilevel"/>
    <w:lvl w:ilvl="0">
      <w:lvlJc w:val="left"/>
      <w:lvlText w:val="(%1)"/>
      <w:numFmt w:val="lowerRoman"/>
      <w:start w:val="2"/>
    </w:lvl>
  </w:abstractNum>
  <w:abstractNum w:abstractNumId="635">
    <w:nsid w:val="6B9F7823"/>
    <w:multiLevelType w:val="hybridMultilevel"/>
    <w:lvl w:ilvl="0">
      <w:lvlJc w:val="left"/>
      <w:lvlText w:val="%1."/>
      <w:numFmt w:val="decimal"/>
      <w:start w:val="1"/>
    </w:lvl>
  </w:abstractNum>
  <w:abstractNum w:abstractNumId="636">
    <w:nsid w:val="8A29A69"/>
    <w:multiLevelType w:val="hybridMultilevel"/>
    <w:lvl w:ilvl="0">
      <w:lvlJc w:val="left"/>
      <w:lvlText w:val="%1."/>
      <w:numFmt w:val="decimal"/>
      <w:start w:val="7"/>
    </w:lvl>
  </w:abstractNum>
  <w:abstractNum w:abstractNumId="637">
    <w:nsid w:val="5A0E9A9F"/>
    <w:multiLevelType w:val="hybridMultilevel"/>
    <w:lvl w:ilvl="0">
      <w:lvlJc w:val="left"/>
      <w:lvlText w:val="%1."/>
      <w:numFmt w:val="decimal"/>
      <w:start w:val="10"/>
    </w:lvl>
  </w:abstractNum>
  <w:abstractNum w:abstractNumId="638">
    <w:nsid w:val="1C3F31CE"/>
    <w:multiLevelType w:val="hybridMultilevel"/>
    <w:lvl w:ilvl="0">
      <w:lvlJc w:val="left"/>
      <w:lvlText w:val="%1."/>
      <w:numFmt w:val="decimal"/>
      <w:start w:val="15"/>
    </w:lvl>
  </w:abstractNum>
  <w:abstractNum w:abstractNumId="639">
    <w:nsid w:val="D28DDE"/>
    <w:multiLevelType w:val="hybridMultilevel"/>
    <w:lvl w:ilvl="0">
      <w:lvlJc w:val="left"/>
      <w:lvlText w:val="%1."/>
      <w:numFmt w:val="decimal"/>
      <w:start w:val="20"/>
    </w:lvl>
    <w:lvl w:ilvl="1">
      <w:lvlJc w:val="left"/>
      <w:lvlText w:val="*"/>
      <w:numFmt w:val="bullet"/>
      <w:start w:val="1"/>
    </w:lvl>
  </w:abstractNum>
  <w:abstractNum w:abstractNumId="640">
    <w:nsid w:val="59E3AC4"/>
    <w:multiLevelType w:val="hybridMultilevel"/>
    <w:lvl w:ilvl="0">
      <w:lvlJc w:val="left"/>
      <w:lvlText w:val="%1."/>
      <w:numFmt w:val="decimal"/>
      <w:start w:val="1"/>
    </w:lvl>
    <w:lvl w:ilvl="1">
      <w:lvlJc w:val="left"/>
      <w:lvlText w:val="(%2)"/>
      <w:numFmt w:val="lowerLetter"/>
      <w:start w:val="1"/>
    </w:lvl>
  </w:abstractNum>
  <w:abstractNum w:abstractNumId="641">
    <w:nsid w:val="5D38CAEA"/>
    <w:multiLevelType w:val="hybridMultilevel"/>
    <w:lvl w:ilvl="0">
      <w:lvlJc w:val="left"/>
      <w:lvlText w:val="(%1)"/>
      <w:numFmt w:val="lowerLetter"/>
      <w:start w:val="6"/>
    </w:lvl>
    <w:lvl w:ilvl="1">
      <w:lvlJc w:val="left"/>
      <w:lvlText w:val="(%2)"/>
      <w:numFmt w:val="lowerRoman"/>
      <w:start w:val="1"/>
    </w:lvl>
  </w:abstractNum>
  <w:abstractNum w:abstractNumId="642">
    <w:nsid w:val="5F4208C"/>
    <w:multiLevelType w:val="hybridMultilevel"/>
    <w:lvl w:ilvl="0">
      <w:lvlJc w:val="left"/>
      <w:lvlText w:val="(%1)"/>
      <w:numFmt w:val="lowerRoman"/>
      <w:start w:val="3"/>
    </w:lvl>
  </w:abstractNum>
  <w:abstractNum w:abstractNumId="643">
    <w:nsid w:val="7C0F10CC"/>
    <w:multiLevelType w:val="hybridMultilevel"/>
    <w:lvl w:ilvl="0">
      <w:lvlJc w:val="left"/>
      <w:lvlText w:val="(%1)"/>
      <w:numFmt w:val="lowerLetter"/>
      <w:start w:val="11"/>
    </w:lvl>
  </w:abstractNum>
  <w:abstractNum w:abstractNumId="644">
    <w:nsid w:val="25EF81D5"/>
    <w:multiLevelType w:val="hybridMultilevel"/>
    <w:lvl w:ilvl="0">
      <w:lvlJc w:val="left"/>
      <w:lvlText w:val="(%1)"/>
      <w:numFmt w:val="lowerLetter"/>
      <w:start w:val="12"/>
    </w:lvl>
  </w:abstractNum>
  <w:abstractNum w:abstractNumId="645">
    <w:nsid w:val="15A79515"/>
    <w:multiLevelType w:val="hybridMultilevel"/>
    <w:lvl w:ilvl="0">
      <w:lvlJc w:val="left"/>
      <w:lvlText w:val="(%1)"/>
      <w:numFmt w:val="lowerLetter"/>
      <w:start w:val="14"/>
    </w:lvl>
  </w:abstractNum>
  <w:abstractNum w:abstractNumId="646">
    <w:nsid w:val="4B67062"/>
    <w:multiLevelType w:val="hybridMultilevel"/>
    <w:lvl w:ilvl="0">
      <w:lvlJc w:val="left"/>
      <w:lvlText w:val="(%1)"/>
      <w:numFmt w:val="lowerLetter"/>
      <w:start w:val="15"/>
    </w:lvl>
  </w:abstractNum>
  <w:abstractNum w:abstractNumId="647">
    <w:nsid w:val="51174123"/>
    <w:multiLevelType w:val="hybridMultilevel"/>
    <w:lvl w:ilvl="0">
      <w:lvlJc w:val="left"/>
      <w:lvlText w:val="(%1)"/>
      <w:numFmt w:val="lowerRoman"/>
      <w:start w:val="10"/>
    </w:lvl>
  </w:abstractNum>
  <w:abstractNum w:abstractNumId="648">
    <w:nsid w:val="240453CA"/>
    <w:multiLevelType w:val="hybridMultilevel"/>
    <w:lvl w:ilvl="0">
      <w:lvlJc w:val="left"/>
      <w:lvlText w:val="(%1)"/>
      <w:numFmt w:val="lowerLetter"/>
      <w:start w:val="25"/>
    </w:lvl>
  </w:abstractNum>
  <w:abstractNum w:abstractNumId="649">
    <w:nsid w:val="2E326D9A"/>
    <w:multiLevelType w:val="hybridMultilevel"/>
    <w:lvl w:ilvl="0">
      <w:lvlJc w:val="left"/>
      <w:lvlText w:val="(%1)"/>
      <w:numFmt w:val="lowerLetter"/>
      <w:start w:val="27"/>
    </w:lvl>
  </w:abstractNum>
  <w:abstractNum w:abstractNumId="650">
    <w:nsid w:val="5EB19210"/>
    <w:multiLevelType w:val="hybridMultilevel"/>
    <w:lvl w:ilvl="0">
      <w:lvlJc w:val="left"/>
      <w:lvlText w:val="(%1)"/>
      <w:numFmt w:val="lowerLetter"/>
      <w:start w:val="36"/>
    </w:lvl>
  </w:abstractNum>
  <w:abstractNum w:abstractNumId="651">
    <w:nsid w:val="44DEFF9B"/>
    <w:multiLevelType w:val="hybridMultilevel"/>
    <w:lvl w:ilvl="0">
      <w:lvlJc w:val="left"/>
      <w:lvlText w:val="%1"/>
      <w:numFmt w:val="decimal"/>
      <w:start w:val="1"/>
    </w:lvl>
    <w:lvl w:ilvl="1">
      <w:lvlJc w:val="left"/>
      <w:lvlText w:val="(%2)"/>
      <w:numFmt w:val="lowerLetter"/>
      <w:start w:val="49"/>
    </w:lvl>
  </w:abstractNum>
  <w:abstractNum w:abstractNumId="652">
    <w:nsid w:val="1FE7D17D"/>
    <w:multiLevelType w:val="hybridMultilevel"/>
    <w:lvl w:ilvl="0">
      <w:lvlJc w:val="left"/>
      <w:lvlText w:val="%1."/>
      <w:numFmt w:val="decimal"/>
      <w:start w:val="4"/>
    </w:lvl>
    <w:lvl w:ilvl="1">
      <w:lvlJc w:val="left"/>
      <w:lvlText w:val="(%2)"/>
      <w:numFmt w:val="lowerLetter"/>
      <w:start w:val="1"/>
    </w:lvl>
  </w:abstractNum>
  <w:abstractNum w:abstractNumId="653">
    <w:nsid w:val="52CBAB2E"/>
    <w:multiLevelType w:val="hybridMultilevel"/>
    <w:lvl w:ilvl="0">
      <w:lvlJc w:val="left"/>
      <w:lvlText w:val="1"/>
      <w:numFmt w:val="bullet"/>
      <w:start w:val="1"/>
    </w:lvl>
  </w:abstractNum>
  <w:abstractNum w:abstractNumId="654">
    <w:nsid w:val="1A6760EF"/>
    <w:multiLevelType w:val="hybridMultilevel"/>
    <w:lvl w:ilvl="0">
      <w:lvlJc w:val="left"/>
      <w:lvlText w:val="%1"/>
      <w:numFmt w:val="decimal"/>
      <w:start w:val="1"/>
    </w:lvl>
    <w:lvl w:ilvl="1">
      <w:lvlJc w:val="left"/>
      <w:lvlText w:val="(%2)"/>
      <w:numFmt w:val="lowerLetter"/>
      <w:start w:val="4"/>
    </w:lvl>
  </w:abstractNum>
  <w:abstractNum w:abstractNumId="655">
    <w:nsid w:val="5E52C405"/>
    <w:multiLevelType w:val="hybridMultilevel"/>
    <w:lvl w:ilvl="0">
      <w:lvlJc w:val="left"/>
      <w:lvlText w:val="%1."/>
      <w:numFmt w:val="decimal"/>
      <w:start w:val="5"/>
    </w:lvl>
    <w:lvl w:ilvl="1">
      <w:lvlJc w:val="left"/>
      <w:lvlText w:val="(%2)"/>
      <w:numFmt w:val="lowerLetter"/>
      <w:start w:val="1"/>
    </w:lvl>
  </w:abstractNum>
  <w:abstractNum w:abstractNumId="656">
    <w:nsid w:val="486447"/>
    <w:multiLevelType w:val="hybridMultilevel"/>
    <w:lvl w:ilvl="0">
      <w:lvlJc w:val="left"/>
      <w:lvlText w:val="(%1)"/>
      <w:numFmt w:val="lowerRoman"/>
      <w:start w:val="9"/>
    </w:lvl>
    <w:lvl w:ilvl="1">
      <w:lvlJc w:val="left"/>
      <w:lvlText w:val="(%2)"/>
      <w:numFmt w:val="lowerLetter"/>
      <w:start w:val="3"/>
    </w:lvl>
  </w:abstractNum>
  <w:abstractNum w:abstractNumId="657">
    <w:nsid w:val="61E90D1E"/>
    <w:multiLevelType w:val="hybridMultilevel"/>
    <w:lvl w:ilvl="0">
      <w:lvlJc w:val="left"/>
      <w:lvlText w:val="%1"/>
      <w:numFmt w:val="decimal"/>
      <w:start w:val="1"/>
    </w:lvl>
    <w:lvl w:ilvl="1">
      <w:lvlJc w:val="left"/>
      <w:lvlText w:val="(%2)"/>
      <w:numFmt w:val="lowerLetter"/>
      <w:start w:val="5"/>
    </w:lvl>
  </w:abstractNum>
  <w:abstractNum w:abstractNumId="658">
    <w:nsid w:val="44BD67E6"/>
    <w:multiLevelType w:val="hybridMultilevel"/>
    <w:lvl w:ilvl="0">
      <w:lvlJc w:val="left"/>
      <w:lvlText w:val="%1."/>
      <w:numFmt w:val="decimal"/>
      <w:start w:val="6"/>
    </w:lvl>
    <w:lvl w:ilvl="1">
      <w:lvlJc w:val="left"/>
      <w:lvlText w:val="(%2)"/>
      <w:numFmt w:val="lowerLetter"/>
      <w:start w:val="1"/>
    </w:lvl>
  </w:abstractNum>
  <w:abstractNum w:abstractNumId="659">
    <w:nsid w:val="325102D3"/>
    <w:multiLevelType w:val="hybridMultilevel"/>
    <w:lvl w:ilvl="0">
      <w:lvlJc w:val="left"/>
      <w:lvlText w:val="%1"/>
      <w:numFmt w:val="lowerRoman"/>
      <w:start w:val="1"/>
    </w:lvl>
    <w:lvl w:ilvl="1">
      <w:lvlJc w:val="left"/>
      <w:lvlText w:val="(%2)"/>
      <w:numFmt w:val="lowerLetter"/>
      <w:start w:val="4"/>
    </w:lvl>
  </w:abstractNum>
  <w:abstractNum w:abstractNumId="660">
    <w:nsid w:val="3D9579BA"/>
    <w:multiLevelType w:val="hybridMultilevel"/>
    <w:lvl w:ilvl="0">
      <w:lvlJc w:val="left"/>
      <w:lvlText w:val="(%1)"/>
      <w:numFmt w:val="lowerRoman"/>
      <w:start w:val="6"/>
    </w:lvl>
    <w:lvl w:ilvl="1">
      <w:lvlJc w:val="left"/>
      <w:lvlText w:val="(%2)"/>
      <w:numFmt w:val="lowerLetter"/>
      <w:start w:val="7"/>
    </w:lvl>
  </w:abstractNum>
  <w:abstractNum w:abstractNumId="661">
    <w:nsid w:val="ACD4C11"/>
    <w:multiLevelType w:val="hybridMultilevel"/>
    <w:lvl w:ilvl="0">
      <w:lvlJc w:val="left"/>
      <w:lvlText w:val="%1"/>
      <w:numFmt w:val="decimal"/>
      <w:start w:val="1"/>
    </w:lvl>
    <w:lvl w:ilvl="1">
      <w:lvlJc w:val="left"/>
      <w:lvlText w:val="(%2)"/>
      <w:numFmt w:val="lowerLetter"/>
      <w:start w:val="8"/>
    </w:lvl>
  </w:abstractNum>
  <w:abstractNum w:abstractNumId="662">
    <w:nsid w:val="111817CF"/>
    <w:multiLevelType w:val="hybridMultilevel"/>
    <w:lvl w:ilvl="0">
      <w:lvlJc w:val="left"/>
      <w:lvlText w:val="%1."/>
      <w:numFmt w:val="decimal"/>
      <w:start w:val="8"/>
    </w:lvl>
    <w:lvl w:ilvl="1">
      <w:lvlJc w:val="left"/>
      <w:lvlText w:val="(%2)"/>
      <w:numFmt w:val="lowerLetter"/>
      <w:start w:val="1"/>
    </w:lvl>
  </w:abstractNum>
  <w:abstractNum w:abstractNumId="663">
    <w:nsid w:val="76C8B568"/>
    <w:multiLevelType w:val="hybridMultilevel"/>
    <w:lvl w:ilvl="0">
      <w:lvlJc w:val="left"/>
      <w:lvlText w:val="%1"/>
      <w:numFmt w:val="decimal"/>
      <w:start w:val="1"/>
    </w:lvl>
    <w:lvl w:ilvl="1">
      <w:lvlJc w:val="left"/>
      <w:lvlText w:val="(%2)"/>
      <w:numFmt w:val="lowerLetter"/>
      <w:start w:val="4"/>
    </w:lvl>
  </w:abstractNum>
  <w:abstractNum w:abstractNumId="664">
    <w:nsid w:val="3ACC76B1"/>
    <w:multiLevelType w:val="hybridMultilevel"/>
    <w:lvl w:ilvl="0">
      <w:lvlJc w:val="left"/>
      <w:lvlText w:val="%1."/>
      <w:numFmt w:val="decimal"/>
      <w:start w:val="9"/>
    </w:lvl>
    <w:lvl w:ilvl="1">
      <w:lvlJc w:val="left"/>
      <w:lvlText w:val="(%2)"/>
      <w:numFmt w:val="lowerLetter"/>
      <w:start w:val="1"/>
    </w:lvl>
  </w:abstractNum>
  <w:abstractNum w:abstractNumId="665">
    <w:nsid w:val="588B1C7C"/>
    <w:multiLevelType w:val="hybridMultilevel"/>
    <w:lvl w:ilvl="0">
      <w:lvlJc w:val="left"/>
      <w:lvlText w:val="%1."/>
      <w:numFmt w:val="decimal"/>
      <w:start w:val="10"/>
    </w:lvl>
    <w:lvl w:ilvl="1">
      <w:lvlJc w:val="left"/>
      <w:lvlText w:val="(%2)"/>
      <w:numFmt w:val="lowerLetter"/>
      <w:start w:val="1"/>
    </w:lvl>
  </w:abstractNum>
  <w:abstractNum w:abstractNumId="666">
    <w:nsid w:val="62682D8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67">
    <w:nsid w:val="436F111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668">
    <w:nsid w:val="3299B71B"/>
    <w:multiLevelType w:val="hybridMultilevel"/>
    <w:lvl w:ilvl="0">
      <w:lvlJc w:val="left"/>
      <w:lvlText w:val="(%1)"/>
      <w:numFmt w:val="lowerLetter"/>
      <w:start w:val="2"/>
    </w:lvl>
    <w:lvl w:ilvl="1">
      <w:lvlJc w:val="left"/>
      <w:lvlText w:val="%2."/>
      <w:numFmt w:val="decimal"/>
      <w:start w:val="14"/>
    </w:lvl>
    <w:lvl w:ilvl="2">
      <w:lvlJc w:val="left"/>
      <w:lvlText w:val="%3"/>
      <w:numFmt w:val="lowerLetter"/>
      <w:start w:val="1"/>
    </w:lvl>
  </w:abstractNum>
  <w:abstractNum w:abstractNumId="669">
    <w:nsid w:val="7EA75F5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2"/>
    </w:lvl>
  </w:abstractNum>
  <w:abstractNum w:abstractNumId="670">
    <w:nsid w:val="44419EF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671">
    <w:nsid w:val="3837F1DF"/>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672">
    <w:nsid w:val="5BE02A44"/>
    <w:multiLevelType w:val="hybridMultilevel"/>
    <w:lvl w:ilvl="0">
      <w:lvlJc w:val="left"/>
      <w:lvlText w:val="(%1)"/>
      <w:numFmt w:val="lowerRoman"/>
      <w:start w:val="3"/>
    </w:lvl>
  </w:abstractNum>
  <w:abstractNum w:abstractNumId="673">
    <w:nsid w:val="4A35BF85"/>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35"/>
    </w:lvl>
  </w:abstractNum>
  <w:abstractNum w:abstractNumId="674">
    <w:nsid w:val="344702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75">
    <w:nsid w:val="1CFAC1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76">
    <w:nsid w:val="5FDD549A"/>
    <w:multiLevelType w:val="hybridMultilevel"/>
    <w:lvl w:ilvl="0">
      <w:lvlJc w:val="left"/>
      <w:lvlText w:val="%1"/>
      <w:numFmt w:val="decimal"/>
      <w:start w:val="1"/>
    </w:lvl>
    <w:lvl w:ilvl="1">
      <w:lvlJc w:val="left"/>
      <w:lvlText w:val="(%2)"/>
      <w:numFmt w:val="lowerLetter"/>
      <w:start w:val="2"/>
    </w:lvl>
  </w:abstractNum>
  <w:abstractNum w:abstractNumId="677">
    <w:nsid w:val="38FD730E"/>
    <w:multiLevelType w:val="hybridMultilevel"/>
    <w:lvl w:ilvl="0">
      <w:lvlJc w:val="left"/>
      <w:lvlText w:val="%1."/>
      <w:numFmt w:val="decimal"/>
      <w:start w:val="19"/>
    </w:lvl>
    <w:lvl w:ilvl="1">
      <w:lvlJc w:val="left"/>
      <w:lvlText w:val="(%2)"/>
      <w:numFmt w:val="lowerLetter"/>
      <w:start w:val="1"/>
    </w:lvl>
  </w:abstractNum>
  <w:abstractNum w:abstractNumId="678">
    <w:nsid w:val="52E6ED3D"/>
    <w:multiLevelType w:val="hybridMultilevel"/>
    <w:lvl w:ilvl="0">
      <w:lvlJc w:val="left"/>
      <w:lvlText w:val="%1."/>
      <w:numFmt w:val="decimal"/>
      <w:start w:val="22"/>
    </w:lvl>
  </w:abstractNum>
  <w:abstractNum w:abstractNumId="679">
    <w:nsid w:val="3E1A864"/>
    <w:multiLevelType w:val="hybridMultilevel"/>
    <w:lvl w:ilvl="0">
      <w:lvlJc w:val="left"/>
      <w:lvlText w:val="%1."/>
      <w:numFmt w:val="decimal"/>
      <w:start w:val="27"/>
    </w:lvl>
  </w:abstractNum>
  <w:abstractNum w:abstractNumId="680">
    <w:nsid w:val="672FE0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81">
    <w:nsid w:val="31987F4D"/>
    <w:multiLevelType w:val="hybridMultilevel"/>
    <w:lvl w:ilvl="0">
      <w:lvlJc w:val="left"/>
      <w:lvlText w:val="(%1)"/>
      <w:numFmt w:val="lowerRoman"/>
      <w:start w:val="2"/>
    </w:lvl>
  </w:abstractNum>
  <w:abstractNum w:abstractNumId="682">
    <w:nsid w:val="48C0A800"/>
    <w:multiLevelType w:val="hybridMultilevel"/>
    <w:lvl w:ilvl="0">
      <w:lvlJc w:val="left"/>
      <w:lvlText w:val="%1"/>
      <w:numFmt w:val="lowerLetter"/>
      <w:start w:val="1"/>
    </w:lvl>
    <w:lvl w:ilvl="1">
      <w:lvlJc w:val="left"/>
      <w:lvlText w:val="(%2)"/>
      <w:numFmt w:val="lowerLetter"/>
      <w:start w:val="7"/>
    </w:lvl>
  </w:abstractNum>
  <w:abstractNum w:abstractNumId="683">
    <w:nsid w:val="717B226"/>
    <w:multiLevelType w:val="hybridMultilevel"/>
    <w:lvl w:ilvl="0">
      <w:lvlJc w:val="left"/>
      <w:lvlText w:val="(%1)"/>
      <w:numFmt w:val="lowerLetter"/>
      <w:start w:val="35"/>
    </w:lvl>
    <w:lvl w:ilvl="1">
      <w:lvlJc w:val="left"/>
      <w:lvlText w:val="%2"/>
      <w:numFmt w:val="lowerLetter"/>
      <w:start w:val="1"/>
    </w:lvl>
  </w:abstractNum>
  <w:abstractNum w:abstractNumId="684">
    <w:nsid w:val="4642A7B"/>
    <w:multiLevelType w:val="hybridMultilevel"/>
    <w:lvl w:ilvl="0">
      <w:lvlJc w:val="left"/>
      <w:lvlText w:val="(%1)"/>
      <w:numFmt w:val="lowerLetter"/>
      <w:start w:val="14"/>
    </w:lvl>
  </w:abstractNum>
  <w:abstractNum w:abstractNumId="685">
    <w:nsid w:val="632808EF"/>
    <w:multiLevelType w:val="hybridMultilevel"/>
    <w:lvl w:ilvl="0">
      <w:lvlJc w:val="left"/>
      <w:lvlText w:val="(%1)"/>
      <w:numFmt w:val="lowerLetter"/>
      <w:start w:val="18"/>
    </w:lvl>
  </w:abstractNum>
  <w:abstractNum w:abstractNumId="686">
    <w:nsid w:val="656A762B"/>
    <w:multiLevelType w:val="hybridMultilevel"/>
    <w:lvl w:ilvl="0">
      <w:lvlJc w:val="left"/>
      <w:lvlText w:val="(%1)"/>
      <w:numFmt w:val="lowerLetter"/>
      <w:start w:val="21"/>
    </w:lvl>
  </w:abstractNum>
  <w:abstractNum w:abstractNumId="687">
    <w:nsid w:val="4AC8EC3"/>
    <w:multiLevelType w:val="hybridMultilevel"/>
    <w:lvl w:ilvl="0">
      <w:lvlJc w:val="left"/>
      <w:lvlText w:val="(%1)"/>
      <w:numFmt w:val="lowerLetter"/>
      <w:start w:val="22"/>
    </w:lvl>
  </w:abstractNum>
  <w:abstractNum w:abstractNumId="688">
    <w:nsid w:val="4511160D"/>
    <w:multiLevelType w:val="hybridMultilevel"/>
    <w:lvl w:ilvl="0">
      <w:lvlJc w:val="left"/>
      <w:lvlText w:val="(%1)"/>
      <w:numFmt w:val="lowerLetter"/>
      <w:start w:val="27"/>
    </w:lvl>
  </w:abstractNum>
  <w:abstractNum w:abstractNumId="689">
    <w:nsid w:val="2A27DE11"/>
    <w:multiLevelType w:val="hybridMultilevel"/>
    <w:lvl w:ilvl="0">
      <w:lvlJc w:val="left"/>
      <w:lvlText w:val="(%1)"/>
      <w:numFmt w:val="lowerLetter"/>
      <w:start w:val="31"/>
    </w:lvl>
  </w:abstractNum>
  <w:abstractNum w:abstractNumId="690">
    <w:nsid w:val="36FD9196"/>
    <w:multiLevelType w:val="hybridMultilevel"/>
    <w:lvl w:ilvl="0">
      <w:lvlJc w:val="left"/>
      <w:lvlText w:val="%1"/>
      <w:numFmt w:val="decimal"/>
      <w:start w:val="1"/>
    </w:lvl>
    <w:lvl w:ilvl="1">
      <w:lvlJc w:val="left"/>
      <w:lvlText w:val="(%2)"/>
      <w:numFmt w:val="lowerLetter"/>
      <w:start w:val="37"/>
    </w:lvl>
  </w:abstractNum>
  <w:abstractNum w:abstractNumId="691">
    <w:nsid w:val="2A68FC8"/>
    <w:multiLevelType w:val="hybridMultilevel"/>
    <w:lvl w:ilvl="0">
      <w:lvlJc w:val="left"/>
      <w:lvlText w:val="%1."/>
      <w:numFmt w:val="decimal"/>
      <w:start w:val="3"/>
    </w:lvl>
    <w:lvl w:ilvl="1">
      <w:lvlJc w:val="left"/>
      <w:lvlText w:val="(%2)"/>
      <w:numFmt w:val="lowerLetter"/>
      <w:start w:val="1"/>
    </w:lvl>
  </w:abstractNum>
  <w:abstractNum w:abstractNumId="692">
    <w:nsid w:val="34F52A23"/>
    <w:multiLevelType w:val="hybridMultilevel"/>
    <w:lvl w:ilvl="0">
      <w:lvlJc w:val="left"/>
      <w:lvlText w:val="(%1)"/>
      <w:numFmt w:val="lowerRoman"/>
      <w:start w:val="2"/>
    </w:lvl>
    <w:lvl w:ilvl="1">
      <w:lvlJc w:val="left"/>
      <w:lvlText w:val="1"/>
      <w:numFmt w:val="bullet"/>
      <w:start w:val="1"/>
    </w:lvl>
  </w:abstractNum>
  <w:abstractNum w:abstractNumId="693">
    <w:nsid w:val="4815A9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94">
    <w:nsid w:val="796F4530"/>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95">
    <w:nsid w:val="6FC1A0D4"/>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abstractNum>
  <w:abstractNum w:abstractNumId="696">
    <w:nsid w:val="20A0C5E2"/>
    <w:multiLevelType w:val="hybridMultilevel"/>
    <w:lvl w:ilvl="0">
      <w:lvlJc w:val="left"/>
      <w:lvlText w:val="%1."/>
      <w:numFmt w:val="decimal"/>
      <w:start w:val="6"/>
    </w:lvl>
    <w:lvl w:ilvl="1">
      <w:lvlJc w:val="left"/>
      <w:lvlText w:val="(%2)"/>
      <w:numFmt w:val="lowerLetter"/>
      <w:start w:val="1"/>
    </w:lvl>
  </w:abstractNum>
  <w:abstractNum w:abstractNumId="697">
    <w:nsid w:val="5BD772BB"/>
    <w:multiLevelType w:val="hybridMultilevel"/>
    <w:lvl w:ilvl="0">
      <w:lvlJc w:val="left"/>
      <w:lvlText w:val="(%1)"/>
      <w:numFmt w:val="lowerLetter"/>
      <w:start w:val="5"/>
    </w:lvl>
  </w:abstractNum>
  <w:abstractNum w:abstractNumId="698">
    <w:nsid w:val="3330B1EE"/>
    <w:multiLevelType w:val="hybridMultilevel"/>
    <w:lvl w:ilvl="0">
      <w:lvlJc w:val="left"/>
      <w:lvlText w:val="%1."/>
      <w:numFmt w:val="decimal"/>
      <w:start w:val="8"/>
    </w:lvl>
    <w:lvl w:ilvl="1">
      <w:lvlJc w:val="left"/>
      <w:lvlText w:val="(%2)"/>
      <w:numFmt w:val="lowerLetter"/>
      <w:start w:val="1"/>
    </w:lvl>
  </w:abstractNum>
  <w:abstractNum w:abstractNumId="699">
    <w:nsid w:val="533A7CFD"/>
    <w:multiLevelType w:val="hybridMultilevel"/>
    <w:lvl w:ilvl="0">
      <w:lvlJc w:val="left"/>
      <w:lvlText w:val="%1."/>
      <w:numFmt w:val="decimal"/>
      <w:start w:val="10"/>
    </w:lvl>
    <w:lvl w:ilvl="1">
      <w:lvlJc w:val="left"/>
      <w:lvlText w:val="(%2)"/>
      <w:numFmt w:val="lowerLetter"/>
      <w:start w:val="1"/>
    </w:lvl>
  </w:abstractNum>
  <w:abstractNum w:abstractNumId="700">
    <w:nsid w:val="5A7ED215"/>
    <w:multiLevelType w:val="hybridMultilevel"/>
    <w:lvl w:ilvl="0">
      <w:lvlJc w:val="left"/>
      <w:lvlText w:val="%1."/>
      <w:numFmt w:val="decimal"/>
      <w:start w:val="12"/>
    </w:lvl>
  </w:abstractNum>
  <w:abstractNum w:abstractNumId="701">
    <w:nsid w:val="777250E7"/>
    <w:multiLevelType w:val="hybridMultilevel"/>
    <w:lvl w:ilvl="0">
      <w:lvlJc w:val="left"/>
      <w:lvlText w:val="%1."/>
      <w:numFmt w:val="decimal"/>
      <w:start w:val="13"/>
    </w:lvl>
    <w:lvl w:ilvl="1">
      <w:lvlJc w:val="left"/>
      <w:lvlText w:val="(%2)"/>
      <w:numFmt w:val="lowerLetter"/>
      <w:start w:val="1"/>
    </w:lvl>
  </w:abstractNum>
  <w:abstractNum w:abstractNumId="702">
    <w:nsid w:val="B726EDC"/>
    <w:multiLevelType w:val="hybridMultilevel"/>
    <w:lvl w:ilvl="0">
      <w:lvlJc w:val="left"/>
      <w:lvlText w:val="%1"/>
      <w:numFmt w:val="decimal"/>
      <w:start w:val="1"/>
    </w:lvl>
    <w:lvl w:ilvl="1">
      <w:lvlJc w:val="left"/>
      <w:lvlText w:val="(%2)"/>
      <w:numFmt w:val="lowerLetter"/>
      <w:start w:val="2"/>
    </w:lvl>
  </w:abstractNum>
  <w:abstractNum w:abstractNumId="703">
    <w:nsid w:val="365EFC5A"/>
    <w:multiLevelType w:val="hybridMultilevel"/>
    <w:lvl w:ilvl="0">
      <w:lvlJc w:val="left"/>
      <w:lvlText w:val="%1."/>
      <w:numFmt w:val="decimal"/>
      <w:start w:val="15"/>
    </w:lvl>
    <w:lvl w:ilvl="1">
      <w:lvlJc w:val="left"/>
      <w:lvlText w:val="(%2)"/>
      <w:numFmt w:val="lowerLetter"/>
      <w:start w:val="1"/>
    </w:lvl>
  </w:abstractNum>
  <w:abstractNum w:abstractNumId="704">
    <w:nsid w:val="41A8106C"/>
    <w:multiLevelType w:val="hybridMultilevel"/>
    <w:lvl w:ilvl="0">
      <w:lvlJc w:val="left"/>
      <w:lvlText w:val="%1"/>
      <w:numFmt w:val="decimal"/>
      <w:start w:val="1"/>
    </w:lvl>
    <w:lvl w:ilvl="1">
      <w:lvlJc w:val="left"/>
      <w:lvlText w:val="(%2)"/>
      <w:numFmt w:val="lowerLetter"/>
      <w:start w:val="3"/>
    </w:lvl>
  </w:abstractNum>
  <w:abstractNum w:abstractNumId="705">
    <w:nsid w:val="3FB97188"/>
    <w:multiLevelType w:val="hybridMultilevel"/>
    <w:lvl w:ilvl="0">
      <w:lvlJc w:val="left"/>
      <w:lvlText w:val="%1."/>
      <w:numFmt w:val="decimal"/>
      <w:start w:val="16"/>
    </w:lvl>
    <w:lvl w:ilvl="1">
      <w:lvlJc w:val="left"/>
      <w:lvlText w:val="(%2)"/>
      <w:numFmt w:val="lowerLetter"/>
      <w:start w:val="1"/>
    </w:lvl>
  </w:abstractNum>
  <w:abstractNum w:abstractNumId="706">
    <w:nsid w:val="382EA874"/>
    <w:multiLevelType w:val="hybridMultilevel"/>
    <w:lvl w:ilvl="0">
      <w:lvlJc w:val="left"/>
      <w:lvlText w:val="%1"/>
      <w:numFmt w:val="decimal"/>
      <w:start w:val="1"/>
    </w:lvl>
    <w:lvl w:ilvl="1">
      <w:lvlJc w:val="left"/>
      <w:lvlText w:val="(%2)"/>
      <w:numFmt w:val="lowerLetter"/>
      <w:start w:val="3"/>
    </w:lvl>
  </w:abstractNum>
  <w:abstractNum w:abstractNumId="707">
    <w:nsid w:val="21856507"/>
    <w:multiLevelType w:val="hybridMultilevel"/>
    <w:lvl w:ilvl="0">
      <w:lvlJc w:val="left"/>
      <w:lvlText w:val="%1."/>
      <w:numFmt w:val="decimal"/>
      <w:start w:val="20"/>
    </w:lvl>
    <w:lvl w:ilvl="1">
      <w:lvlJc w:val="left"/>
      <w:lvlText w:val="(%2)"/>
      <w:numFmt w:val="lowerLetter"/>
      <w:start w:val="1"/>
    </w:lvl>
  </w:abstractNum>
  <w:abstractNum w:abstractNumId="708">
    <w:nsid w:val="78B6E496"/>
    <w:multiLevelType w:val="hybridMultilevel"/>
    <w:lvl w:ilvl="0">
      <w:lvlJc w:val="left"/>
      <w:lvlText w:val="(%1)"/>
      <w:numFmt w:val="lowerLetter"/>
      <w:start w:val="3"/>
    </w:lvl>
    <w:lvl w:ilvl="1">
      <w:lvlJc w:val="left"/>
      <w:lvlText w:val="(%2)"/>
      <w:numFmt w:val="lowerRoman"/>
      <w:start w:val="1"/>
    </w:lvl>
  </w:abstractNum>
  <w:abstractNum w:abstractNumId="709">
    <w:nsid w:val="B1595B1"/>
    <w:multiLevelType w:val="hybridMultilevel"/>
    <w:lvl w:ilvl="0">
      <w:lvlJc w:val="left"/>
      <w:lvlText w:val="%1."/>
      <w:numFmt w:val="decimal"/>
      <w:start w:val="21"/>
    </w:lvl>
  </w:abstractNum>
  <w:abstractNum w:abstractNumId="710">
    <w:nsid w:val="25670D6B"/>
    <w:multiLevelType w:val="hybridMultilevel"/>
    <w:lvl w:ilvl="0">
      <w:lvlJc w:val="left"/>
      <w:lvlText w:val="%1."/>
      <w:numFmt w:val="decimal"/>
      <w:start w:val="23"/>
    </w:lvl>
  </w:abstractNum>
  <w:abstractNum w:abstractNumId="711">
    <w:nsid w:val="5FE6C53F"/>
    <w:multiLevelType w:val="hybridMultilevel"/>
    <w:lvl w:ilvl="0">
      <w:lvlJc w:val="left"/>
      <w:lvlText w:val="%1."/>
      <w:numFmt w:val="decimal"/>
      <w:start w:val="24"/>
    </w:lvl>
  </w:abstractNum>
  <w:abstractNum w:abstractNumId="712">
    <w:nsid w:val="3CAE14FE"/>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2021-07-01T12:24:30Z</dcterms:created>
  <dcterms:modified xsi:type="dcterms:W3CDTF">2021-07-01T12:24:30Z</dcterms:modified>
</cp:coreProperties>
</file>