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8-K</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Pursuant to Section 13 or 15(d) of the</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Securities Exchange Act of 1934</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July 31, 2024</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Robinhood Markets,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Delaware</w:t>
            </w:r>
          </w:p>
        </w:tc>
        <w:tc>
          <w:tcPr>
            <w:tcW w:w="420" w:type="dxa"/>
            <w:vAlign w:val="bottom"/>
          </w:tcPr>
          <w:p>
            <w:pPr>
              <w:spacing w:after="0"/>
              <w:rPr>
                <w:sz w:val="14"/>
                <w:szCs w:val="14"/>
                <w:color w:val="auto"/>
              </w:rPr>
            </w:pPr>
          </w:p>
        </w:tc>
        <w:tc>
          <w:tcPr>
            <w:tcW w:w="3400" w:type="dxa"/>
            <w:vAlign w:val="bottom"/>
            <w:tcBorders>
              <w:bottom w:val="single" w:sz="8" w:color="auto"/>
            </w:tcBorders>
          </w:tcPr>
          <w:p>
            <w:pPr>
              <w:jc w:val="right"/>
              <w:ind w:right="1343"/>
              <w:spacing w:after="0"/>
              <w:rPr>
                <w:sz w:val="20"/>
                <w:szCs w:val="20"/>
                <w:color w:val="auto"/>
              </w:rPr>
            </w:pPr>
            <w:r>
              <w:rPr>
                <w:rFonts w:ascii="Arial" w:cs="Arial" w:eastAsia="Arial" w:hAnsi="Arial"/>
                <w:sz w:val="12"/>
                <w:szCs w:val="12"/>
                <w:b w:val="1"/>
                <w:bCs w:val="1"/>
                <w:color w:val="auto"/>
              </w:rPr>
              <w:t>001-40691</w:t>
            </w:r>
          </w:p>
        </w:tc>
        <w:tc>
          <w:tcPr>
            <w:tcW w:w="42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46-4364776</w:t>
            </w:r>
          </w:p>
        </w:tc>
      </w:tr>
      <w:tr>
        <w:trPr>
          <w:trHeight w:val="345"/>
        </w:trPr>
        <w:tc>
          <w:tcPr>
            <w:tcW w:w="3940" w:type="dxa"/>
            <w:vAlign w:val="bottom"/>
            <w:gridSpan w:val="2"/>
          </w:tcPr>
          <w:p>
            <w:pPr>
              <w:jc w:val="center"/>
              <w:ind w:right="420"/>
              <w:spacing w:after="0"/>
              <w:rPr>
                <w:sz w:val="20"/>
                <w:szCs w:val="20"/>
                <w:color w:val="auto"/>
              </w:rPr>
            </w:pPr>
            <w:r>
              <w:rPr>
                <w:rFonts w:ascii="Arial" w:cs="Arial" w:eastAsia="Arial" w:hAnsi="Arial"/>
                <w:sz w:val="11"/>
                <w:szCs w:val="11"/>
                <w:color w:val="auto"/>
                <w:w w:val="98"/>
              </w:rPr>
              <w:t>(State or other jurisdiction</w:t>
            </w:r>
          </w:p>
        </w:tc>
        <w:tc>
          <w:tcPr>
            <w:tcW w:w="3820" w:type="dxa"/>
            <w:vAlign w:val="bottom"/>
            <w:gridSpan w:val="2"/>
          </w:tcPr>
          <w:p>
            <w:pPr>
              <w:jc w:val="center"/>
              <w:ind w:right="420"/>
              <w:spacing w:after="0"/>
              <w:rPr>
                <w:sz w:val="20"/>
                <w:szCs w:val="20"/>
                <w:color w:val="auto"/>
              </w:rPr>
            </w:pPr>
            <w:r>
              <w:rPr>
                <w:rFonts w:ascii="Arial" w:cs="Arial" w:eastAsia="Arial" w:hAnsi="Arial"/>
                <w:sz w:val="11"/>
                <w:szCs w:val="11"/>
                <w:color w:val="auto"/>
                <w:w w:val="99"/>
              </w:rPr>
              <w:t>(Commission</w:t>
            </w:r>
          </w:p>
        </w:tc>
        <w:tc>
          <w:tcPr>
            <w:tcW w:w="3540" w:type="dxa"/>
            <w:vAlign w:val="bottom"/>
          </w:tcPr>
          <w:p>
            <w:pPr>
              <w:jc w:val="center"/>
              <w:spacing w:after="0"/>
              <w:rPr>
                <w:sz w:val="20"/>
                <w:szCs w:val="20"/>
                <w:color w:val="auto"/>
              </w:rPr>
            </w:pPr>
            <w:r>
              <w:rPr>
                <w:rFonts w:ascii="Arial" w:cs="Arial" w:eastAsia="Arial" w:hAnsi="Arial"/>
                <w:sz w:val="11"/>
                <w:szCs w:val="11"/>
                <w:color w:val="auto"/>
                <w:w w:val="97"/>
              </w:rPr>
              <w:t>(IRS Employer</w:t>
            </w:r>
          </w:p>
        </w:tc>
      </w:tr>
      <w:tr>
        <w:trPr>
          <w:trHeight w:val="142"/>
        </w:trPr>
        <w:tc>
          <w:tcPr>
            <w:tcW w:w="3940" w:type="dxa"/>
            <w:vAlign w:val="bottom"/>
            <w:gridSpan w:val="2"/>
          </w:tcPr>
          <w:p>
            <w:pPr>
              <w:jc w:val="center"/>
              <w:ind w:right="440"/>
              <w:spacing w:after="0"/>
              <w:rPr>
                <w:sz w:val="20"/>
                <w:szCs w:val="20"/>
                <w:color w:val="auto"/>
              </w:rPr>
            </w:pPr>
            <w:r>
              <w:rPr>
                <w:rFonts w:ascii="Arial" w:cs="Arial" w:eastAsia="Arial" w:hAnsi="Arial"/>
                <w:sz w:val="11"/>
                <w:szCs w:val="11"/>
                <w:color w:val="auto"/>
                <w:w w:val="98"/>
              </w:rPr>
              <w:t>of incorporation)</w:t>
            </w:r>
          </w:p>
        </w:tc>
        <w:tc>
          <w:tcPr>
            <w:tcW w:w="3820" w:type="dxa"/>
            <w:vAlign w:val="bottom"/>
            <w:gridSpan w:val="2"/>
          </w:tcPr>
          <w:p>
            <w:pPr>
              <w:jc w:val="center"/>
              <w:ind w:right="400"/>
              <w:spacing w:after="0"/>
              <w:rPr>
                <w:sz w:val="20"/>
                <w:szCs w:val="20"/>
                <w:color w:val="auto"/>
              </w:rPr>
            </w:pPr>
            <w:r>
              <w:rPr>
                <w:rFonts w:ascii="Arial" w:cs="Arial" w:eastAsia="Arial" w:hAnsi="Arial"/>
                <w:sz w:val="11"/>
                <w:szCs w:val="11"/>
                <w:color w:val="auto"/>
                <w:w w:val="97"/>
              </w:rPr>
              <w:t>File Number)</w:t>
            </w:r>
          </w:p>
        </w:tc>
        <w:tc>
          <w:tcPr>
            <w:tcW w:w="3540" w:type="dxa"/>
            <w:vAlign w:val="bottom"/>
          </w:tcPr>
          <w:p>
            <w:pPr>
              <w:jc w:val="center"/>
              <w:spacing w:after="0"/>
              <w:rPr>
                <w:sz w:val="20"/>
                <w:szCs w:val="20"/>
                <w:color w:val="auto"/>
              </w:rPr>
            </w:pPr>
            <w:r>
              <w:rPr>
                <w:rFonts w:ascii="Arial" w:cs="Arial" w:eastAsia="Arial" w:hAnsi="Arial"/>
                <w:sz w:val="11"/>
                <w:szCs w:val="11"/>
                <w:color w:val="auto"/>
                <w:w w:val="98"/>
              </w:rPr>
              <w:t>Identification No.)</w:t>
            </w:r>
          </w:p>
        </w:tc>
      </w:tr>
      <w:tr>
        <w:trPr>
          <w:trHeight w:val="475"/>
        </w:trPr>
        <w:tc>
          <w:tcPr>
            <w:tcW w:w="3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9"/>
              </w:rPr>
              <w:t>85 Willow Road</w:t>
            </w:r>
          </w:p>
        </w:tc>
        <w:tc>
          <w:tcPr>
            <w:tcW w:w="3540" w:type="dxa"/>
            <w:vAlign w:val="bottom"/>
          </w:tcPr>
          <w:p>
            <w:pPr>
              <w:spacing w:after="0"/>
              <w:rPr>
                <w:sz w:val="24"/>
                <w:szCs w:val="24"/>
                <w:color w:val="auto"/>
              </w:rPr>
            </w:pPr>
          </w:p>
        </w:tc>
      </w:tr>
      <w:tr>
        <w:trPr>
          <w:trHeight w:val="148"/>
        </w:trPr>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9"/>
              </w:rPr>
              <w:t>Menlo Park, CA 94025</w:t>
            </w:r>
          </w:p>
        </w:tc>
        <w:tc>
          <w:tcPr>
            <w:tcW w:w="354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20" w:type="dxa"/>
            <w:vAlign w:val="bottom"/>
            <w:gridSpan w:val="2"/>
          </w:tcPr>
          <w:p>
            <w:pPr>
              <w:jc w:val="center"/>
              <w:ind w:right="400"/>
              <w:spacing w:after="0"/>
              <w:rPr>
                <w:sz w:val="20"/>
                <w:szCs w:val="20"/>
                <w:color w:val="auto"/>
              </w:rPr>
            </w:pPr>
            <w:r>
              <w:rPr>
                <w:rFonts w:ascii="Arial" w:cs="Arial" w:eastAsia="Arial" w:hAnsi="Arial"/>
                <w:sz w:val="11"/>
                <w:szCs w:val="11"/>
                <w:color w:val="auto"/>
                <w:w w:val="97"/>
              </w:rPr>
              <w:t>(Address of principal executive offices) (Zip Code)</w:t>
            </w:r>
          </w:p>
        </w:tc>
        <w:tc>
          <w:tcPr>
            <w:tcW w:w="3540" w:type="dxa"/>
            <w:vAlign w:val="bottom"/>
          </w:tcPr>
          <w:p>
            <w:pPr>
              <w:spacing w:after="0"/>
              <w:rPr>
                <w:sz w:val="12"/>
                <w:szCs w:val="12"/>
                <w:color w:val="auto"/>
              </w:rPr>
            </w:pPr>
          </w:p>
        </w:tc>
      </w:tr>
      <w:tr>
        <w:trPr>
          <w:trHeight w:val="290"/>
        </w:trPr>
        <w:tc>
          <w:tcPr>
            <w:tcW w:w="3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0" w:type="dxa"/>
            <w:vAlign w:val="bottom"/>
          </w:tcPr>
          <w:p>
            <w:pPr>
              <w:jc w:val="right"/>
              <w:ind w:right="1223"/>
              <w:spacing w:after="0"/>
              <w:rPr>
                <w:sz w:val="20"/>
                <w:szCs w:val="20"/>
                <w:color w:val="auto"/>
              </w:rPr>
            </w:pPr>
            <w:r>
              <w:rPr>
                <w:rFonts w:ascii="Arial" w:cs="Arial" w:eastAsia="Arial" w:hAnsi="Arial"/>
                <w:sz w:val="12"/>
                <w:szCs w:val="12"/>
                <w:b w:val="1"/>
                <w:bCs w:val="1"/>
                <w:color w:val="auto"/>
              </w:rPr>
              <w:t>(844) 428-5411</w:t>
            </w:r>
          </w:p>
        </w:tc>
        <w:tc>
          <w:tcPr>
            <w:tcW w:w="4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42"/>
        </w:trPr>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20" w:type="dxa"/>
            <w:vAlign w:val="bottom"/>
            <w:gridSpan w:val="2"/>
          </w:tcPr>
          <w:p>
            <w:pPr>
              <w:jc w:val="center"/>
              <w:ind w:right="420"/>
              <w:spacing w:after="0"/>
              <w:rPr>
                <w:sz w:val="20"/>
                <w:szCs w:val="20"/>
                <w:color w:val="auto"/>
              </w:rPr>
            </w:pPr>
            <w:r>
              <w:rPr>
                <w:rFonts w:ascii="Arial" w:cs="Arial" w:eastAsia="Arial" w:hAnsi="Arial"/>
                <w:sz w:val="11"/>
                <w:szCs w:val="11"/>
                <w:color w:val="auto"/>
                <w:w w:val="97"/>
              </w:rPr>
              <w:t>(Registrant’s telephone number, including area code)</w:t>
            </w:r>
          </w:p>
        </w:tc>
        <w:tc>
          <w:tcPr>
            <w:tcW w:w="3540" w:type="dxa"/>
            <w:vAlign w:val="bottom"/>
          </w:tcPr>
          <w:p>
            <w:pPr>
              <w:spacing w:after="0"/>
              <w:rPr>
                <w:sz w:val="12"/>
                <w:szCs w:val="12"/>
                <w:color w:val="auto"/>
              </w:rPr>
            </w:pPr>
          </w:p>
        </w:tc>
      </w:tr>
      <w:tr>
        <w:trPr>
          <w:trHeight w:val="290"/>
        </w:trPr>
        <w:tc>
          <w:tcPr>
            <w:tcW w:w="3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9"/>
              </w:rPr>
              <w:t>Not Applicable</w:t>
            </w:r>
          </w:p>
        </w:tc>
        <w:tc>
          <w:tcPr>
            <w:tcW w:w="3540" w:type="dxa"/>
            <w:vAlign w:val="bottom"/>
          </w:tcPr>
          <w:p>
            <w:pPr>
              <w:spacing w:after="0"/>
              <w:rPr>
                <w:sz w:val="24"/>
                <w:szCs w:val="24"/>
                <w:color w:val="auto"/>
              </w:rPr>
            </w:pPr>
          </w:p>
        </w:tc>
      </w:tr>
      <w:tr>
        <w:trPr>
          <w:trHeight w:val="142"/>
        </w:trPr>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20" w:type="dxa"/>
            <w:vAlign w:val="bottom"/>
            <w:gridSpan w:val="2"/>
          </w:tcPr>
          <w:p>
            <w:pPr>
              <w:jc w:val="center"/>
              <w:ind w:right="420"/>
              <w:spacing w:after="0"/>
              <w:rPr>
                <w:sz w:val="20"/>
                <w:szCs w:val="20"/>
                <w:color w:val="auto"/>
              </w:rPr>
            </w:pPr>
            <w:r>
              <w:rPr>
                <w:rFonts w:ascii="Arial" w:cs="Arial" w:eastAsia="Arial" w:hAnsi="Arial"/>
                <w:sz w:val="11"/>
                <w:szCs w:val="11"/>
                <w:color w:val="auto"/>
                <w:w w:val="98"/>
              </w:rPr>
              <w:t>(Former name or former address, if changed since last report)</w:t>
            </w:r>
          </w:p>
        </w:tc>
        <w:tc>
          <w:tcPr>
            <w:tcW w:w="3540" w:type="dxa"/>
            <w:vAlign w:val="bottom"/>
          </w:tcPr>
          <w:p>
            <w:pPr>
              <w:spacing w:after="0"/>
              <w:rPr>
                <w:sz w:val="12"/>
                <w:szCs w:val="12"/>
                <w:color w:val="auto"/>
              </w:rPr>
            </w:pPr>
          </w:p>
        </w:tc>
      </w:tr>
    </w:tbl>
    <w:p>
      <w:pPr>
        <w:spacing w:after="0" w:line="232"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720" w:hanging="716"/>
        <w:spacing w:after="0"/>
        <w:tabs>
          <w:tab w:leader="none" w:pos="72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Written communications pursuant to Rule 425 under the Securities Act (17 CFR 230.425)</w:t>
      </w:r>
    </w:p>
    <w:p>
      <w:pPr>
        <w:spacing w:after="0" w:line="233" w:lineRule="exact"/>
        <w:rPr>
          <w:rFonts w:ascii="MS PGothic" w:cs="MS PGothic" w:eastAsia="MS PGothic" w:hAnsi="MS PGothic"/>
          <w:sz w:val="12"/>
          <w:szCs w:val="12"/>
          <w:color w:val="auto"/>
        </w:rPr>
      </w:pPr>
    </w:p>
    <w:p>
      <w:pPr>
        <w:ind w:left="720" w:hanging="716"/>
        <w:spacing w:after="0"/>
        <w:tabs>
          <w:tab w:leader="none" w:pos="72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Soliciting material pursuant to Rule 14a-12 under the Exchange Act (17 CFR 240.14a-12)</w:t>
      </w:r>
    </w:p>
    <w:p>
      <w:pPr>
        <w:spacing w:after="0" w:line="233" w:lineRule="exact"/>
        <w:rPr>
          <w:rFonts w:ascii="MS PGothic" w:cs="MS PGothic" w:eastAsia="MS PGothic" w:hAnsi="MS PGothic"/>
          <w:sz w:val="12"/>
          <w:szCs w:val="12"/>
          <w:color w:val="auto"/>
        </w:rPr>
      </w:pPr>
    </w:p>
    <w:p>
      <w:pPr>
        <w:ind w:left="720" w:hanging="716"/>
        <w:spacing w:after="0"/>
        <w:tabs>
          <w:tab w:leader="none" w:pos="72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14d-2(b) under the Exchange Act (17 CFR 240.14d-2(b))</w:t>
      </w:r>
    </w:p>
    <w:p>
      <w:pPr>
        <w:spacing w:after="0" w:line="233" w:lineRule="exact"/>
        <w:rPr>
          <w:rFonts w:ascii="MS PGothic" w:cs="MS PGothic" w:eastAsia="MS PGothic" w:hAnsi="MS PGothic"/>
          <w:sz w:val="12"/>
          <w:szCs w:val="12"/>
          <w:color w:val="auto"/>
        </w:rPr>
      </w:pPr>
    </w:p>
    <w:p>
      <w:pPr>
        <w:ind w:left="720" w:hanging="716"/>
        <w:spacing w:after="0"/>
        <w:tabs>
          <w:tab w:leader="none" w:pos="72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13e-4(c) under the Exchange Act (17 CFR 240.13e-4(c))</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21" w:lineRule="exact"/>
        <w:rPr>
          <w:sz w:val="24"/>
          <w:szCs w:val="24"/>
          <w:color w:val="auto"/>
        </w:rPr>
      </w:pPr>
    </w:p>
    <w:tbl>
      <w:tblPr>
        <w:tblLayout w:type="fixed"/>
        <w:tblInd w:w="10" w:type="dxa"/>
        <w:tblCellMar>
          <w:top w:w="0" w:type="dxa"/>
          <w:left w:w="0" w:type="dxa"/>
          <w:bottom w:w="0" w:type="dxa"/>
          <w:right w:w="0" w:type="dxa"/>
        </w:tblCellMar>
      </w:tblPr>
      <w:tr>
        <w:trPr>
          <w:trHeight w:val="150"/>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7"/>
              </w:rPr>
              <w:t>Title of each class</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Name of each exchange on which registered</w:t>
            </w:r>
          </w:p>
        </w:tc>
      </w:tr>
      <w:tr>
        <w:trPr>
          <w:trHeight w:val="144"/>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Class A Common Stock, $0.0001 par value per share</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HOOD</w:t>
            </w:r>
          </w:p>
        </w:tc>
        <w:tc>
          <w:tcPr>
            <w:tcW w:w="4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The Nasdaq Stock Market LLC</w:t>
            </w:r>
          </w:p>
        </w:tc>
      </w:tr>
    </w:tbl>
    <w:p>
      <w:pPr>
        <w:spacing w:after="0" w:line="252" w:lineRule="exact"/>
        <w:rPr>
          <w:sz w:val="24"/>
          <w:szCs w:val="24"/>
          <w:color w:val="auto"/>
        </w:rPr>
      </w:pPr>
    </w:p>
    <w:p>
      <w:pPr>
        <w:ind w:right="1000"/>
        <w:spacing w:after="0" w:line="285" w:lineRule="auto"/>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10480" w:type="dxa"/>
            <w:vAlign w:val="bottom"/>
          </w:tcPr>
          <w:p>
            <w:pPr>
              <w:jc w:val="right"/>
              <w:ind w:right="126"/>
              <w:spacing w:after="0"/>
              <w:rPr>
                <w:sz w:val="20"/>
                <w:szCs w:val="20"/>
                <w:color w:val="auto"/>
              </w:rPr>
            </w:pPr>
            <w:r>
              <w:rPr>
                <w:rFonts w:ascii="Arial" w:cs="Arial" w:eastAsia="Arial" w:hAnsi="Arial"/>
                <w:sz w:val="11"/>
                <w:szCs w:val="11"/>
                <w:color w:val="auto"/>
              </w:rPr>
              <w:t>Emerging growth company</w:t>
            </w:r>
          </w:p>
        </w:tc>
        <w:tc>
          <w:tcPr>
            <w:tcW w:w="820" w:type="dxa"/>
            <w:vAlign w:val="bottom"/>
          </w:tcPr>
          <w:p>
            <w:pPr>
              <w:ind w:left="180"/>
              <w:spacing w:after="0" w:line="111" w:lineRule="exact"/>
              <w:rPr>
                <w:sz w:val="20"/>
                <w:szCs w:val="20"/>
                <w:color w:val="auto"/>
              </w:rPr>
            </w:pPr>
            <w:r>
              <w:rPr>
                <w:rFonts w:ascii="MS PGothic" w:cs="MS PGothic" w:eastAsia="MS PGothic" w:hAnsi="MS PGothic"/>
                <w:sz w:val="11"/>
                <w:szCs w:val="11"/>
                <w:color w:val="auto"/>
              </w:rPr>
              <w:t>☐</w:t>
            </w:r>
          </w:p>
        </w:tc>
      </w:tr>
      <w:tr>
        <w:trPr>
          <w:trHeight w:val="303"/>
        </w:trPr>
        <w:tc>
          <w:tcPr>
            <w:tcW w:w="10480" w:type="dxa"/>
            <w:vAlign w:val="bottom"/>
          </w:tcPr>
          <w:p>
            <w:pPr>
              <w:jc w:val="right"/>
              <w:ind w:right="126"/>
              <w:spacing w:after="0"/>
              <w:rPr>
                <w:sz w:val="20"/>
                <w:szCs w:val="20"/>
                <w:color w:val="auto"/>
              </w:rPr>
            </w:pPr>
            <w:r>
              <w:rPr>
                <w:rFonts w:ascii="Arial" w:cs="Arial" w:eastAsia="Arial" w:hAnsi="Arial"/>
                <w:sz w:val="11"/>
                <w:szCs w:val="11"/>
                <w:color w:val="auto"/>
                <w:w w:val="98"/>
              </w:rPr>
              <w:t>If an emerging growth company, indicate by check mark if the registrant has elected not to use the extended transition period for complying with any new or revised financial accounting standards provided pursuant to</w:t>
            </w:r>
          </w:p>
        </w:tc>
        <w:tc>
          <w:tcPr>
            <w:tcW w:w="820" w:type="dxa"/>
            <w:vAlign w:val="bottom"/>
          </w:tcPr>
          <w:p>
            <w:pPr>
              <w:ind w:left="180"/>
              <w:spacing w:after="0" w:line="111" w:lineRule="exact"/>
              <w:rPr>
                <w:sz w:val="20"/>
                <w:szCs w:val="20"/>
                <w:color w:val="auto"/>
              </w:rPr>
            </w:pPr>
            <w:r>
              <w:rPr>
                <w:rFonts w:ascii="MS PGothic" w:cs="MS PGothic" w:eastAsia="MS PGothic" w:hAnsi="MS PGothic"/>
                <w:sz w:val="11"/>
                <w:szCs w:val="11"/>
                <w:color w:val="auto"/>
              </w:rPr>
              <w:t>☐</w:t>
            </w:r>
          </w:p>
        </w:tc>
      </w:tr>
      <w:tr>
        <w:trPr>
          <w:trHeight w:val="142"/>
        </w:trPr>
        <w:tc>
          <w:tcPr>
            <w:tcW w:w="10480" w:type="dxa"/>
            <w:vAlign w:val="bottom"/>
          </w:tcPr>
          <w:p>
            <w:pPr>
              <w:jc w:val="right"/>
              <w:ind w:right="8746"/>
              <w:spacing w:after="0"/>
              <w:rPr>
                <w:sz w:val="20"/>
                <w:szCs w:val="20"/>
                <w:color w:val="auto"/>
              </w:rPr>
            </w:pPr>
            <w:r>
              <w:rPr>
                <w:rFonts w:ascii="Arial" w:cs="Arial" w:eastAsia="Arial" w:hAnsi="Arial"/>
                <w:sz w:val="11"/>
                <w:szCs w:val="11"/>
                <w:color w:val="auto"/>
                <w:w w:val="97"/>
              </w:rPr>
              <w:t>Section 13(a) of the Exchange Act.</w:t>
            </w:r>
          </w:p>
        </w:tc>
        <w:tc>
          <w:tcPr>
            <w:tcW w:w="820" w:type="dxa"/>
            <w:vAlign w:val="bottom"/>
          </w:tcPr>
          <w:p>
            <w:pPr>
              <w:spacing w:after="0"/>
              <w:rPr>
                <w:sz w:val="12"/>
                <w:szCs w:val="12"/>
                <w:color w:val="auto"/>
              </w:rPr>
            </w:pPr>
          </w:p>
        </w:tc>
      </w:tr>
      <w:tr>
        <w:trPr>
          <w:trHeight w:val="731"/>
        </w:trPr>
        <w:tc>
          <w:tcPr>
            <w:tcW w:w="104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information contained in Item 7.01 of this report is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Robinhood’s Broker-Dealer Subsidiaries Release Reports Pursuant to SEC Rule 606(a) for the Second Quarter of 2024</w:t>
      </w:r>
    </w:p>
    <w:p>
      <w:pPr>
        <w:spacing w:after="0" w:line="16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2"/>
          <w:szCs w:val="12"/>
          <w:color w:val="auto"/>
        </w:rPr>
        <w:t>Robinhood Markets, Inc. (“Robinhood” or the "Company") is furnishing as Exhibits 99.1 and 99.2 hereto the Held NMS Stocks and Options Order Routing Public Reports (“606-Reports”) for the second quarter of 2024 for each of its broker-dealer subsidiaries, Robinhood Financial LLC (“RHF”) and Robinhood Securities, LLC (“RHS”).</w:t>
      </w:r>
    </w:p>
    <w:p>
      <w:pPr>
        <w:spacing w:after="0" w:line="12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As subsidiary reports, these 606-Reports do not present the Company’s consolidated results. These 606-Reports were prepared to comply with U.S. Securities and Exchange Commission (“SEC”) Rule 606(a) of Regulation National Market System (Reg. NMS) under the Securities Exchange Act of 1934, as amended (the “Exchange Act”), which requires broker-dealers to make available specified quarterly reports regarding the routing of certain non-directed orders. As required by such rule and related regulatory guidance, the 606-Reports present some (but not necessarily all) of the payment for order flow (“PFOF”) received from venues to which orders were routed. (As disclosed on the 606-Reports, RHS shares the PFOF it receives with RHF pursuant to a revenue and cost allocation agreement.)</w:t>
      </w:r>
    </w:p>
    <w:p>
      <w:pPr>
        <w:spacing w:after="0" w:line="1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2"/>
          <w:szCs w:val="12"/>
          <w:color w:val="auto"/>
        </w:rPr>
        <w:t>The 606-Reports are unaudited, made available without commentary, and should be read together with Robinhood’s most recent quarterly and annual consolidated results on Forms 10-Q and 10-K (as well as Robinhood’s other SEC filings), which are or will be available on the Financials tab of Robinhood’s Investor Relations website at investors.robinhood.com.</w:t>
      </w:r>
    </w:p>
    <w:p>
      <w:pPr>
        <w:spacing w:after="0" w:line="121"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2"/>
          <w:szCs w:val="12"/>
          <w:color w:val="auto"/>
        </w:rPr>
        <w:t>Robinhood uses the "Overview" tab of its Investor Relations website (accessible at investors.robinhood.com/overview) and its Newsroom (accessible at newsroom.aboutrobinhood.com), as means of disclosing information to the public in a broad, non-exclusionary manner for purposes of the U.S. Securities and Exchange Commission's ("SEC") Regulation Fair Disclosure (Reg. FD). Investors should routinely monitor those web pages, in addition to Robinhood’s press releases, SEC filings, and public conference calls and webcasts, as information posted on them could be deemed to be material information.</w:t>
      </w:r>
    </w:p>
    <w:p>
      <w:pPr>
        <w:spacing w:after="0" w:line="132"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2"/>
          <w:szCs w:val="12"/>
          <w:color w:val="auto"/>
        </w:rPr>
        <w:t>The information furnished with Item 2.02 and Item 7.01, including Exhibits 99.1 and 99.2, shall not be deemed “filed” for purposes of Section 18 of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80" w:type="dxa"/>
            <w:vAlign w:val="bottom"/>
            <w:gridSpan w:val="2"/>
          </w:tcPr>
          <w:p>
            <w:pPr>
              <w:spacing w:after="0"/>
              <w:rPr>
                <w:sz w:val="20"/>
                <w:szCs w:val="20"/>
                <w:color w:val="auto"/>
              </w:rPr>
            </w:pPr>
            <w:r>
              <w:rPr>
                <w:rFonts w:ascii="Arial" w:cs="Arial" w:eastAsia="Arial" w:hAnsi="Arial"/>
                <w:sz w:val="12"/>
                <w:szCs w:val="12"/>
                <w:b w:val="1"/>
                <w:bCs w:val="1"/>
                <w:color w:val="auto"/>
              </w:rPr>
              <w:t>Item 9.01 Financial Statements and Exhibits.</w:t>
            </w:r>
          </w:p>
        </w:tc>
        <w:tc>
          <w:tcPr>
            <w:tcW w:w="6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00" w:type="dxa"/>
            <w:vAlign w:val="bottom"/>
          </w:tcPr>
          <w:p>
            <w:pPr>
              <w:spacing w:after="0"/>
              <w:rPr>
                <w:sz w:val="14"/>
                <w:szCs w:val="14"/>
                <w:color w:val="auto"/>
              </w:rPr>
            </w:pPr>
          </w:p>
        </w:tc>
      </w:tr>
      <w:tr>
        <w:trPr>
          <w:trHeight w:val="300"/>
        </w:trPr>
        <w:tc>
          <w:tcPr>
            <w:tcW w:w="3080" w:type="dxa"/>
            <w:vAlign w:val="bottom"/>
            <w:gridSpan w:val="2"/>
          </w:tcPr>
          <w:p>
            <w:pPr>
              <w:spacing w:after="0"/>
              <w:rPr>
                <w:sz w:val="20"/>
                <w:szCs w:val="20"/>
                <w:color w:val="auto"/>
              </w:rPr>
            </w:pPr>
            <w:r>
              <w:rPr>
                <w:rFonts w:ascii="Arial" w:cs="Arial" w:eastAsia="Arial" w:hAnsi="Arial"/>
                <w:sz w:val="12"/>
                <w:szCs w:val="12"/>
                <w:color w:val="auto"/>
              </w:rPr>
              <w:t>(d) Exhibits</w:t>
            </w:r>
          </w:p>
        </w:tc>
        <w:tc>
          <w:tcPr>
            <w:tcW w:w="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31"/>
        </w:trPr>
        <w:tc>
          <w:tcPr>
            <w:tcW w:w="9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9"/>
              </w:rPr>
              <w:t>Exhibit Number</w:t>
            </w:r>
          </w:p>
        </w:tc>
        <w:tc>
          <w:tcPr>
            <w:tcW w:w="218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6"/>
              </w:rPr>
              <w:t>Description</w:t>
            </w:r>
          </w:p>
        </w:tc>
        <w:tc>
          <w:tcPr>
            <w:tcW w:w="7560" w:type="dxa"/>
            <w:vAlign w:val="bottom"/>
            <w:gridSpan w:val="3"/>
          </w:tcPr>
          <w:p>
            <w:pPr>
              <w:spacing w:after="0"/>
              <w:rPr>
                <w:sz w:val="24"/>
                <w:szCs w:val="24"/>
                <w:color w:val="auto"/>
              </w:rPr>
            </w:pPr>
          </w:p>
        </w:tc>
      </w:tr>
      <w:tr>
        <w:trPr>
          <w:trHeight w:val="151"/>
        </w:trPr>
        <w:tc>
          <w:tcPr>
            <w:tcW w:w="900" w:type="dxa"/>
            <w:vAlign w:val="bottom"/>
          </w:tcPr>
          <w:p>
            <w:pPr>
              <w:spacing w:after="0"/>
              <w:rPr>
                <w:sz w:val="20"/>
                <w:szCs w:val="20"/>
                <w:color w:val="auto"/>
              </w:rPr>
            </w:pPr>
            <w:r>
              <w:rPr>
                <w:rFonts w:ascii="Arial" w:cs="Arial" w:eastAsia="Arial" w:hAnsi="Arial"/>
                <w:sz w:val="12"/>
                <w:szCs w:val="12"/>
                <w:color w:val="auto"/>
              </w:rPr>
              <w:t>99.1</w:t>
            </w:r>
          </w:p>
        </w:tc>
        <w:tc>
          <w:tcPr>
            <w:tcW w:w="2180" w:type="dxa"/>
            <w:vAlign w:val="bottom"/>
          </w:tcPr>
          <w:p>
            <w:pPr>
              <w:spacing w:after="0"/>
              <w:rPr>
                <w:sz w:val="13"/>
                <w:szCs w:val="13"/>
                <w:color w:val="auto"/>
              </w:rPr>
            </w:pPr>
          </w:p>
        </w:tc>
        <w:tc>
          <w:tcPr>
            <w:tcW w:w="4640" w:type="dxa"/>
            <w:vAlign w:val="bottom"/>
            <w:tcBorders>
              <w:bottom w:val="single" w:sz="8" w:color="0000FF"/>
            </w:tcBorders>
            <w:gridSpan w:val="2"/>
          </w:tcPr>
          <w:p>
            <w:pPr>
              <w:spacing w:after="0"/>
              <w:rPr>
                <w:sz w:val="20"/>
                <w:szCs w:val="20"/>
                <w:color w:val="auto"/>
              </w:rPr>
            </w:pPr>
            <w:r>
              <w:rPr>
                <w:rFonts w:ascii="Arial" w:cs="Arial" w:eastAsia="Arial" w:hAnsi="Arial"/>
                <w:sz w:val="12"/>
                <w:szCs w:val="12"/>
                <w:color w:val="0000FF"/>
                <w:w w:val="99"/>
              </w:rPr>
              <w:t>Robinhood Financial LLC – Held NMS Stocks and Options Order Routing Public Report</w:t>
            </w:r>
          </w:p>
        </w:tc>
        <w:tc>
          <w:tcPr>
            <w:tcW w:w="3580" w:type="dxa"/>
            <w:vAlign w:val="bottom"/>
            <w:gridSpan w:val="2"/>
          </w:tcPr>
          <w:p>
            <w:pPr>
              <w:spacing w:after="0"/>
              <w:rPr>
                <w:sz w:val="13"/>
                <w:szCs w:val="13"/>
                <w:color w:val="auto"/>
              </w:rPr>
            </w:pPr>
          </w:p>
        </w:tc>
      </w:tr>
      <w:tr>
        <w:trPr>
          <w:trHeight w:val="169"/>
        </w:trPr>
        <w:tc>
          <w:tcPr>
            <w:tcW w:w="900" w:type="dxa"/>
            <w:vAlign w:val="bottom"/>
          </w:tcPr>
          <w:p>
            <w:pPr>
              <w:spacing w:after="0"/>
              <w:rPr>
                <w:sz w:val="20"/>
                <w:szCs w:val="20"/>
                <w:color w:val="auto"/>
              </w:rPr>
            </w:pPr>
            <w:r>
              <w:rPr>
                <w:rFonts w:ascii="Arial" w:cs="Arial" w:eastAsia="Arial" w:hAnsi="Arial"/>
                <w:sz w:val="12"/>
                <w:szCs w:val="12"/>
                <w:color w:val="auto"/>
              </w:rPr>
              <w:t>99.2</w:t>
            </w:r>
          </w:p>
        </w:tc>
        <w:tc>
          <w:tcPr>
            <w:tcW w:w="2180" w:type="dxa"/>
            <w:vAlign w:val="bottom"/>
          </w:tcPr>
          <w:p>
            <w:pPr>
              <w:spacing w:after="0"/>
              <w:rPr>
                <w:sz w:val="14"/>
                <w:szCs w:val="14"/>
                <w:color w:val="auto"/>
              </w:rPr>
            </w:pPr>
          </w:p>
        </w:tc>
        <w:tc>
          <w:tcPr>
            <w:tcW w:w="4720" w:type="dxa"/>
            <w:vAlign w:val="bottom"/>
            <w:tcBorders>
              <w:bottom w:val="single" w:sz="8" w:color="0000FF"/>
            </w:tcBorders>
            <w:gridSpan w:val="3"/>
          </w:tcPr>
          <w:p>
            <w:pPr>
              <w:spacing w:after="0"/>
              <w:rPr>
                <w:sz w:val="20"/>
                <w:szCs w:val="20"/>
                <w:color w:val="auto"/>
              </w:rPr>
            </w:pPr>
            <w:r>
              <w:rPr>
                <w:rFonts w:ascii="Arial" w:cs="Arial" w:eastAsia="Arial" w:hAnsi="Arial"/>
                <w:sz w:val="12"/>
                <w:szCs w:val="12"/>
                <w:color w:val="0000FF"/>
                <w:w w:val="99"/>
              </w:rPr>
              <w:t>Robinhood Securities, LLC – Held NMS Stocks and Options Order Routing Public Report</w:t>
            </w:r>
          </w:p>
        </w:tc>
        <w:tc>
          <w:tcPr>
            <w:tcW w:w="3500" w:type="dxa"/>
            <w:vAlign w:val="bottom"/>
          </w:tcPr>
          <w:p>
            <w:pPr>
              <w:spacing w:after="0"/>
              <w:rPr>
                <w:sz w:val="14"/>
                <w:szCs w:val="14"/>
                <w:color w:val="auto"/>
              </w:rPr>
            </w:pPr>
          </w:p>
        </w:tc>
      </w:tr>
      <w:tr>
        <w:trPr>
          <w:trHeight w:val="189"/>
        </w:trPr>
        <w:tc>
          <w:tcPr>
            <w:tcW w:w="900" w:type="dxa"/>
            <w:vAlign w:val="bottom"/>
          </w:tcPr>
          <w:p>
            <w:pPr>
              <w:spacing w:after="0"/>
              <w:rPr>
                <w:sz w:val="20"/>
                <w:szCs w:val="20"/>
                <w:color w:val="auto"/>
              </w:rPr>
            </w:pPr>
            <w:r>
              <w:rPr>
                <w:rFonts w:ascii="Arial" w:cs="Arial" w:eastAsia="Arial" w:hAnsi="Arial"/>
                <w:sz w:val="12"/>
                <w:szCs w:val="12"/>
                <w:color w:val="auto"/>
              </w:rPr>
              <w:t>104</w:t>
            </w:r>
          </w:p>
        </w:tc>
        <w:tc>
          <w:tcPr>
            <w:tcW w:w="2180" w:type="dxa"/>
            <w:vAlign w:val="bottom"/>
          </w:tcPr>
          <w:p>
            <w:pPr>
              <w:spacing w:after="0"/>
              <w:rPr>
                <w:sz w:val="16"/>
                <w:szCs w:val="16"/>
                <w:color w:val="auto"/>
              </w:rPr>
            </w:pPr>
          </w:p>
        </w:tc>
        <w:tc>
          <w:tcPr>
            <w:tcW w:w="8220" w:type="dxa"/>
            <w:vAlign w:val="bottom"/>
            <w:gridSpan w:val="4"/>
          </w:tcPr>
          <w:p>
            <w:pPr>
              <w:spacing w:after="0"/>
              <w:rPr>
                <w:sz w:val="20"/>
                <w:szCs w:val="20"/>
                <w:color w:val="auto"/>
              </w:rPr>
            </w:pPr>
            <w:r>
              <w:rPr>
                <w:rFonts w:ascii="Arial" w:cs="Arial" w:eastAsia="Arial" w:hAnsi="Arial"/>
                <w:sz w:val="12"/>
                <w:szCs w:val="12"/>
                <w:color w:val="auto"/>
              </w:rPr>
              <w:t>Cover Page Interactive Data File (the cover page XBRL tags are embedded within the Inline XBRL document)</w:t>
            </w:r>
          </w:p>
        </w:tc>
      </w:tr>
      <w:tr>
        <w:trPr>
          <w:trHeight w:val="1375"/>
        </w:trPr>
        <w:tc>
          <w:tcPr>
            <w:tcW w:w="9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65" w:right="299" w:bottom="1440" w:gutter="0" w:footer="0" w:header="0"/>
        </w:sectPr>
      </w:pPr>
    </w:p>
    <w:bookmarkStart w:id="2" w:name="page3"/>
    <w:bookmarkEnd w:id="2"/>
    <w:p>
      <w:pPr>
        <w:ind w:left="5300"/>
        <w:spacing w:after="0"/>
        <w:rPr>
          <w:sz w:val="20"/>
          <w:szCs w:val="20"/>
          <w:color w:val="auto"/>
        </w:rPr>
      </w:pPr>
      <w:r>
        <w:rPr>
          <w:rFonts w:ascii="Arial" w:cs="Arial" w:eastAsia="Arial" w:hAnsi="Arial"/>
          <w:sz w:val="12"/>
          <w:szCs w:val="12"/>
          <w:b w:val="1"/>
          <w:bCs w:val="1"/>
          <w:color w:val="auto"/>
        </w:rPr>
        <w:t>SIGNATURE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300" w:type="dxa"/>
            <w:vAlign w:val="bottom"/>
            <w:gridSpan w:val="2"/>
          </w:tcPr>
          <w:p>
            <w:pPr>
              <w:ind w:left="1280"/>
              <w:spacing w:after="0"/>
              <w:rPr>
                <w:sz w:val="20"/>
                <w:szCs w:val="20"/>
                <w:color w:val="auto"/>
              </w:rPr>
            </w:pPr>
            <w:r>
              <w:rPr>
                <w:rFonts w:ascii="Arial" w:cs="Arial" w:eastAsia="Arial" w:hAnsi="Arial"/>
                <w:sz w:val="12"/>
                <w:szCs w:val="12"/>
                <w:b w:val="1"/>
                <w:bCs w:val="1"/>
                <w:color w:val="auto"/>
              </w:rPr>
              <w:t>Robinhood Markets, Inc.</w:t>
            </w:r>
          </w:p>
        </w:tc>
      </w:tr>
      <w:tr>
        <w:trPr>
          <w:trHeight w:val="362"/>
        </w:trPr>
        <w:tc>
          <w:tcPr>
            <w:tcW w:w="660" w:type="dxa"/>
            <w:vAlign w:val="bottom"/>
          </w:tcPr>
          <w:p>
            <w:pPr>
              <w:spacing w:after="0"/>
              <w:rPr>
                <w:sz w:val="20"/>
                <w:szCs w:val="20"/>
                <w:color w:val="auto"/>
              </w:rPr>
            </w:pPr>
            <w:r>
              <w:rPr>
                <w:rFonts w:ascii="Arial" w:cs="Arial" w:eastAsia="Arial" w:hAnsi="Arial"/>
                <w:sz w:val="12"/>
                <w:szCs w:val="12"/>
                <w:color w:val="auto"/>
              </w:rPr>
              <w:t>Date:</w:t>
            </w:r>
          </w:p>
        </w:tc>
        <w:tc>
          <w:tcPr>
            <w:tcW w:w="2340" w:type="dxa"/>
            <w:vAlign w:val="bottom"/>
          </w:tcPr>
          <w:p>
            <w:pPr>
              <w:ind w:left="360"/>
              <w:spacing w:after="0"/>
              <w:rPr>
                <w:sz w:val="20"/>
                <w:szCs w:val="20"/>
                <w:color w:val="auto"/>
              </w:rPr>
            </w:pPr>
            <w:r>
              <w:rPr>
                <w:rFonts w:ascii="Arial" w:cs="Arial" w:eastAsia="Arial" w:hAnsi="Arial"/>
                <w:sz w:val="12"/>
                <w:szCs w:val="12"/>
                <w:color w:val="auto"/>
              </w:rPr>
              <w:t>July 31, 2024</w:t>
            </w:r>
          </w:p>
        </w:tc>
        <w:tc>
          <w:tcPr>
            <w:tcW w:w="2200" w:type="dxa"/>
            <w:vAlign w:val="bottom"/>
          </w:tcPr>
          <w:p>
            <w:pPr>
              <w:ind w:left="1280"/>
              <w:spacing w:after="0"/>
              <w:rPr>
                <w:sz w:val="20"/>
                <w:szCs w:val="20"/>
                <w:color w:val="auto"/>
              </w:rPr>
            </w:pPr>
            <w:r>
              <w:rPr>
                <w:rFonts w:ascii="Arial" w:cs="Arial" w:eastAsia="Arial" w:hAnsi="Arial"/>
                <w:sz w:val="12"/>
                <w:szCs w:val="12"/>
                <w:color w:val="auto"/>
              </w:rPr>
              <w:t>By:</w:t>
            </w:r>
          </w:p>
        </w:tc>
        <w:tc>
          <w:tcPr>
            <w:tcW w:w="6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Jason Warnick</w:t>
            </w:r>
          </w:p>
        </w:tc>
      </w:tr>
      <w:tr>
        <w:trPr>
          <w:trHeight w:val="161"/>
        </w:trPr>
        <w:tc>
          <w:tcPr>
            <w:tcW w:w="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Name: Jason Warnick</w:t>
            </w:r>
          </w:p>
        </w:tc>
      </w:tr>
      <w:tr>
        <w:trPr>
          <w:trHeight w:val="180"/>
        </w:trPr>
        <w:tc>
          <w:tcPr>
            <w:tcW w:w="6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Title: Chief Financial Officer</w:t>
            </w:r>
          </w:p>
        </w:tc>
      </w:tr>
    </w:tbl>
    <w:p>
      <w:pPr>
        <w:sectPr>
          <w:pgSz w:w="11900" w:h="16838" w:orient="portrait"/>
          <w:cols w:equalWidth="0" w:num="1">
            <w:col w:w="11300"/>
          </w:cols>
          <w:pgMar w:left="300" w:top="964"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633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563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50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5650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50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5650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3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563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8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5638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502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650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44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64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8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638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8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638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55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65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8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638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8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638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30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63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633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63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44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64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44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64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44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564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8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5638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8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5638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44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564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502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5650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8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5638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38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5638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44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564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502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5650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2024-07-31T15:24:56Z</dcterms:created>
  <dcterms:modified xsi:type="dcterms:W3CDTF">2024-07-31T15:24:56Z</dcterms:modified>
</cp:coreProperties>
</file>