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8-K</w:t>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CURRENT REPORT</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Exchange Act of 1934</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Date of Report (Date of earliest event reported): June 22, 2026</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Robinhood Markets, Inc.</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Delaware</w:t>
            </w:r>
          </w:p>
        </w:tc>
        <w:tc>
          <w:tcPr>
            <w:tcW w:w="440" w:type="dxa"/>
            <w:vAlign w:val="bottom"/>
          </w:tcPr>
          <w:p>
            <w:pPr>
              <w:spacing w:after="0"/>
              <w:rPr>
                <w:sz w:val="17"/>
                <w:szCs w:val="17"/>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001-40691</w:t>
            </w:r>
          </w:p>
        </w:tc>
        <w:tc>
          <w:tcPr>
            <w:tcW w:w="440" w:type="dxa"/>
            <w:vAlign w:val="bottom"/>
          </w:tcPr>
          <w:p>
            <w:pPr>
              <w:spacing w:after="0"/>
              <w:rPr>
                <w:sz w:val="17"/>
                <w:szCs w:val="17"/>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46-4364776</w:t>
            </w:r>
          </w:p>
        </w:tc>
      </w:tr>
      <w:tr>
        <w:trPr>
          <w:trHeight w:val="410"/>
        </w:trPr>
        <w:tc>
          <w:tcPr>
            <w:tcW w:w="3520" w:type="dxa"/>
            <w:vAlign w:val="bottom"/>
          </w:tcPr>
          <w:p>
            <w:pPr>
              <w:jc w:val="center"/>
              <w:spacing w:after="0"/>
              <w:rPr>
                <w:sz w:val="20"/>
                <w:szCs w:val="20"/>
                <w:color w:val="auto"/>
              </w:rPr>
            </w:pPr>
            <w:r>
              <w:rPr>
                <w:rFonts w:ascii="Arial" w:cs="Arial" w:eastAsia="Arial" w:hAnsi="Arial"/>
                <w:sz w:val="13"/>
                <w:szCs w:val="13"/>
                <w:color w:val="auto"/>
                <w:w w:val="98"/>
              </w:rPr>
              <w:t>(State or other jurisdiction</w:t>
            </w:r>
          </w:p>
        </w:tc>
        <w:tc>
          <w:tcPr>
            <w:tcW w:w="440" w:type="dxa"/>
            <w:vAlign w:val="bottom"/>
          </w:tcPr>
          <w:p>
            <w:pPr>
              <w:spacing w:after="0"/>
              <w:rPr>
                <w:sz w:val="24"/>
                <w:szCs w:val="2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7"/>
              </w:rPr>
              <w:t>(Commission</w:t>
            </w:r>
          </w:p>
        </w:tc>
        <w:tc>
          <w:tcPr>
            <w:tcW w:w="3500" w:type="dxa"/>
            <w:vAlign w:val="bottom"/>
          </w:tcPr>
          <w:p>
            <w:pPr>
              <w:jc w:val="center"/>
              <w:spacing w:after="0"/>
              <w:rPr>
                <w:sz w:val="20"/>
                <w:szCs w:val="20"/>
                <w:color w:val="auto"/>
              </w:rPr>
            </w:pPr>
            <w:r>
              <w:rPr>
                <w:rFonts w:ascii="Arial" w:cs="Arial" w:eastAsia="Arial" w:hAnsi="Arial"/>
                <w:sz w:val="13"/>
                <w:szCs w:val="13"/>
                <w:color w:val="auto"/>
                <w:w w:val="96"/>
              </w:rPr>
              <w:t>(IRS Employer</w:t>
            </w:r>
          </w:p>
        </w:tc>
      </w:tr>
      <w:tr>
        <w:trPr>
          <w:trHeight w:val="167"/>
        </w:trPr>
        <w:tc>
          <w:tcPr>
            <w:tcW w:w="3520" w:type="dxa"/>
            <w:vAlign w:val="bottom"/>
          </w:tcPr>
          <w:p>
            <w:pPr>
              <w:jc w:val="center"/>
              <w:spacing w:after="0"/>
              <w:rPr>
                <w:sz w:val="20"/>
                <w:szCs w:val="20"/>
                <w:color w:val="auto"/>
              </w:rPr>
            </w:pPr>
            <w:r>
              <w:rPr>
                <w:rFonts w:ascii="Arial" w:cs="Arial" w:eastAsia="Arial" w:hAnsi="Arial"/>
                <w:sz w:val="13"/>
                <w:szCs w:val="13"/>
                <w:color w:val="auto"/>
                <w:w w:val="97"/>
              </w:rPr>
              <w:t>of incorporation)</w:t>
            </w:r>
          </w:p>
        </w:tc>
        <w:tc>
          <w:tcPr>
            <w:tcW w:w="4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File Number)</w:t>
            </w:r>
          </w:p>
        </w:tc>
        <w:tc>
          <w:tcPr>
            <w:tcW w:w="3500" w:type="dxa"/>
            <w:vAlign w:val="bottom"/>
          </w:tcPr>
          <w:p>
            <w:pPr>
              <w:jc w:val="center"/>
              <w:spacing w:after="0"/>
              <w:rPr>
                <w:sz w:val="20"/>
                <w:szCs w:val="20"/>
                <w:color w:val="auto"/>
              </w:rPr>
            </w:pPr>
            <w:r>
              <w:rPr>
                <w:rFonts w:ascii="Arial" w:cs="Arial" w:eastAsia="Arial" w:hAnsi="Arial"/>
                <w:sz w:val="13"/>
                <w:szCs w:val="13"/>
                <w:color w:val="auto"/>
                <w:w w:val="96"/>
              </w:rPr>
              <w:t>Identification No.)</w:t>
            </w:r>
          </w:p>
        </w:tc>
      </w:tr>
      <w:tr>
        <w:trPr>
          <w:trHeight w:val="561"/>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85 Willow Road</w:t>
            </w:r>
          </w:p>
        </w:tc>
        <w:tc>
          <w:tcPr>
            <w:tcW w:w="3500" w:type="dxa"/>
            <w:vAlign w:val="bottom"/>
          </w:tcPr>
          <w:p>
            <w:pPr>
              <w:spacing w:after="0"/>
              <w:rPr>
                <w:sz w:val="24"/>
                <w:szCs w:val="24"/>
                <w:color w:val="auto"/>
              </w:rPr>
            </w:pPr>
          </w:p>
        </w:tc>
      </w:tr>
      <w:tr>
        <w:trPr>
          <w:trHeight w:val="174"/>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Menlo Park, CA 94025</w:t>
            </w:r>
          </w:p>
        </w:tc>
        <w:tc>
          <w:tcPr>
            <w:tcW w:w="3500" w:type="dxa"/>
            <w:vAlign w:val="bottom"/>
          </w:tcPr>
          <w:p>
            <w:pPr>
              <w:spacing w:after="0"/>
              <w:rPr>
                <w:sz w:val="15"/>
                <w:szCs w:val="15"/>
                <w:color w:val="auto"/>
              </w:rPr>
            </w:pPr>
          </w:p>
        </w:tc>
      </w:tr>
      <w:tr>
        <w:trPr>
          <w:trHeight w:val="167"/>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(Address of principal executive offices) (Zip Code)</w:t>
            </w:r>
          </w:p>
        </w:tc>
        <w:tc>
          <w:tcPr>
            <w:tcW w:w="3500" w:type="dxa"/>
            <w:vAlign w:val="bottom"/>
          </w:tcPr>
          <w:p>
            <w:pPr>
              <w:spacing w:after="0"/>
              <w:rPr>
                <w:sz w:val="14"/>
                <w:szCs w:val="14"/>
                <w:color w:val="auto"/>
              </w:rPr>
            </w:pPr>
          </w:p>
        </w:tc>
      </w:tr>
      <w:tr>
        <w:trPr>
          <w:trHeight w:val="342"/>
        </w:trPr>
        <w:tc>
          <w:tcPr>
            <w:tcW w:w="3520" w:type="dxa"/>
            <w:vAlign w:val="bottom"/>
          </w:tcPr>
          <w:p>
            <w:pPr>
              <w:spacing w:after="0"/>
              <w:rPr>
                <w:sz w:val="24"/>
                <w:szCs w:val="24"/>
                <w:color w:val="auto"/>
              </w:rPr>
            </w:pPr>
          </w:p>
        </w:tc>
        <w:tc>
          <w:tcPr>
            <w:tcW w:w="382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rPr>
              <w:t>(844) 428-5411</w:t>
            </w: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67"/>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7"/>
              </w:rPr>
              <w:t>(Registrant’s telephone number, including area code)</w:t>
            </w:r>
          </w:p>
        </w:tc>
        <w:tc>
          <w:tcPr>
            <w:tcW w:w="3500" w:type="dxa"/>
            <w:vAlign w:val="bottom"/>
          </w:tcPr>
          <w:p>
            <w:pPr>
              <w:spacing w:after="0"/>
              <w:rPr>
                <w:sz w:val="14"/>
                <w:szCs w:val="14"/>
                <w:color w:val="auto"/>
              </w:rPr>
            </w:pPr>
          </w:p>
        </w:tc>
      </w:tr>
      <w:tr>
        <w:trPr>
          <w:trHeight w:val="342"/>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Not Applicable</w:t>
            </w:r>
          </w:p>
        </w:tc>
        <w:tc>
          <w:tcPr>
            <w:tcW w:w="3500" w:type="dxa"/>
            <w:vAlign w:val="bottom"/>
          </w:tcPr>
          <w:p>
            <w:pPr>
              <w:spacing w:after="0"/>
              <w:rPr>
                <w:sz w:val="24"/>
                <w:szCs w:val="24"/>
                <w:color w:val="auto"/>
              </w:rPr>
            </w:pPr>
          </w:p>
        </w:tc>
      </w:tr>
      <w:tr>
        <w:trPr>
          <w:trHeight w:val="167"/>
        </w:trPr>
        <w:tc>
          <w:tcPr>
            <w:tcW w:w="3520" w:type="dxa"/>
            <w:vAlign w:val="bottom"/>
          </w:tcPr>
          <w:p>
            <w:pPr>
              <w:spacing w:after="0"/>
              <w:rPr>
                <w:sz w:val="14"/>
                <w:szCs w:val="14"/>
                <w:color w:val="auto"/>
              </w:rPr>
            </w:pPr>
          </w:p>
        </w:tc>
        <w:tc>
          <w:tcPr>
            <w:tcW w:w="4260" w:type="dxa"/>
            <w:vAlign w:val="bottom"/>
            <w:gridSpan w:val="3"/>
          </w:tcPr>
          <w:p>
            <w:pPr>
              <w:jc w:val="center"/>
              <w:ind w:right="20"/>
              <w:spacing w:after="0"/>
              <w:rPr>
                <w:sz w:val="20"/>
                <w:szCs w:val="20"/>
                <w:color w:val="auto"/>
              </w:rPr>
            </w:pPr>
            <w:r>
              <w:rPr>
                <w:rFonts w:ascii="Arial" w:cs="Arial" w:eastAsia="Arial" w:hAnsi="Arial"/>
                <w:sz w:val="13"/>
                <w:szCs w:val="13"/>
                <w:color w:val="auto"/>
                <w:w w:val="97"/>
              </w:rPr>
              <w:t>(Former name or former address, if changed since last report)</w:t>
            </w:r>
          </w:p>
        </w:tc>
        <w:tc>
          <w:tcPr>
            <w:tcW w:w="3500" w:type="dxa"/>
            <w:vAlign w:val="bottom"/>
          </w:tcPr>
          <w:p>
            <w:pPr>
              <w:spacing w:after="0"/>
              <w:rPr>
                <w:sz w:val="14"/>
                <w:szCs w:val="14"/>
                <w:color w:val="auto"/>
              </w:rPr>
            </w:pPr>
          </w:p>
        </w:tc>
      </w:tr>
    </w:tbl>
    <w:p>
      <w:pPr>
        <w:spacing w:after="0" w:line="27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74" w:lineRule="exact"/>
        <w:rPr>
          <w:rFonts w:ascii="MS PGothic" w:cs="MS PGothic" w:eastAsia="MS PGothic" w:hAnsi="MS PGothic"/>
          <w:sz w:val="14"/>
          <w:szCs w:val="1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74" w:lineRule="exact"/>
        <w:rPr>
          <w:rFonts w:ascii="MS PGothic" w:cs="MS PGothic" w:eastAsia="MS PGothic" w:hAnsi="MS PGothic"/>
          <w:sz w:val="14"/>
          <w:szCs w:val="1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74" w:lineRule="exact"/>
        <w:rPr>
          <w:rFonts w:ascii="MS PGothic" w:cs="MS PGothic" w:eastAsia="MS PGothic" w:hAnsi="MS PGothic"/>
          <w:sz w:val="14"/>
          <w:szCs w:val="1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238" w:lineRule="exact"/>
        <w:rPr>
          <w:rFonts w:ascii="MS PGothic" w:cs="MS PGothic" w:eastAsia="MS PGothic" w:hAnsi="MS PGothic"/>
          <w:sz w:val="14"/>
          <w:szCs w:val="14"/>
          <w:color w:val="auto"/>
        </w:rPr>
      </w:pPr>
    </w:p>
    <w:p>
      <w:pPr>
        <w:ind w:left="3840"/>
        <w:spacing w:after="0"/>
        <w:rPr>
          <w:rFonts w:ascii="MS PGothic" w:cs="MS PGothic" w:eastAsia="MS PGothic" w:hAnsi="MS PGothic"/>
          <w:sz w:val="14"/>
          <w:szCs w:val="14"/>
          <w:color w:val="auto"/>
        </w:rPr>
      </w:pPr>
      <w:r>
        <w:rPr>
          <w:rFonts w:ascii="Arial" w:cs="Arial" w:eastAsia="Arial" w:hAnsi="Arial"/>
          <w:sz w:val="14"/>
          <w:szCs w:val="14"/>
          <w:color w:val="auto"/>
        </w:rPr>
        <w:t>Securities registered pursuant to Section 12(b) of the Act:</w:t>
      </w:r>
    </w:p>
    <w:p>
      <w:pPr>
        <w:spacing w:after="0" w:line="25"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Name of each exchange on which registered</w:t>
            </w:r>
          </w:p>
        </w:tc>
      </w:tr>
      <w:tr>
        <w:trPr>
          <w:trHeight w:val="174"/>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Class A Common Stock, $0.0001 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HOOD</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The Nasdaq Stock Market LLC</w:t>
            </w:r>
          </w:p>
        </w:tc>
      </w:tr>
    </w:tbl>
    <w:p>
      <w:pPr>
        <w:spacing w:after="0" w:line="297" w:lineRule="exact"/>
        <w:rPr>
          <w:sz w:val="24"/>
          <w:szCs w:val="24"/>
          <w:color w:val="auto"/>
        </w:rPr>
      </w:pPr>
    </w:p>
    <w:p>
      <w:pPr>
        <w:ind w:left="20" w:right="1020"/>
        <w:spacing w:after="0" w:line="283"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10460" w:type="dxa"/>
            <w:vAlign w:val="bottom"/>
          </w:tcPr>
          <w:p>
            <w:pPr>
              <w:ind w:left="876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r>
      <w:tr>
        <w:trPr>
          <w:trHeight w:val="356"/>
        </w:trPr>
        <w:tc>
          <w:tcPr>
            <w:tcW w:w="10460" w:type="dxa"/>
            <w:vAlign w:val="bottom"/>
          </w:tcPr>
          <w:p>
            <w:pPr>
              <w:ind w:left="2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w:t>
            </w:r>
          </w:p>
        </w:tc>
        <w:tc>
          <w:tcPr>
            <w:tcW w:w="8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r>
      <w:tr>
        <w:trPr>
          <w:trHeight w:val="167"/>
        </w:trPr>
        <w:tc>
          <w:tcPr>
            <w:tcW w:w="10460" w:type="dxa"/>
            <w:vAlign w:val="bottom"/>
          </w:tcPr>
          <w:p>
            <w:pPr>
              <w:ind w:left="20"/>
              <w:spacing w:after="0"/>
              <w:rPr>
                <w:sz w:val="20"/>
                <w:szCs w:val="20"/>
                <w:color w:val="auto"/>
              </w:rPr>
            </w:pPr>
            <w:r>
              <w:rPr>
                <w:rFonts w:ascii="Arial" w:cs="Arial" w:eastAsia="Arial" w:hAnsi="Arial"/>
                <w:sz w:val="13"/>
                <w:szCs w:val="13"/>
                <w:color w:val="auto"/>
              </w:rPr>
              <w:t>accounting standards provided pursuant to Section 13(a) of the Exchange Act.</w:t>
            </w:r>
          </w:p>
        </w:tc>
        <w:tc>
          <w:tcPr>
            <w:tcW w:w="820" w:type="dxa"/>
            <w:vAlign w:val="bottom"/>
          </w:tcPr>
          <w:p>
            <w:pPr>
              <w:spacing w:after="0"/>
              <w:rPr>
                <w:sz w:val="14"/>
                <w:szCs w:val="14"/>
                <w:color w:val="auto"/>
              </w:rPr>
            </w:pPr>
          </w:p>
        </w:tc>
      </w:tr>
      <w:tr>
        <w:trPr>
          <w:trHeight w:val="863"/>
        </w:trPr>
        <w:tc>
          <w:tcPr>
            <w:tcW w:w="10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810" w:right="2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8.01 Other Events.</w:t>
      </w:r>
    </w:p>
    <w:p>
      <w:pPr>
        <w:spacing w:after="0" w:line="18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On June 22, 2026, Robinhood Markets, Inc. (the “Company”) issued press releases announcing the commencement and pricing of a private offering of $2.0 billion aggregate principal amount of 0.00% convertible senior notes due 2029 (the “Notes”) in a transaction exempt from registration under the Securities Act of 1933, as amended (the “Securities Act”). Copies of these press releases are attached hereto as Exhibit 99.1 and 99.2.</w:t>
      </w:r>
    </w:p>
    <w:p>
      <w:pPr>
        <w:spacing w:after="0" w:line="155"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4"/>
          <w:szCs w:val="14"/>
          <w:color w:val="auto"/>
        </w:rPr>
        <w:t>The Notes have not been registered under the Securities Act or the securities laws of any other jurisdiction and may not be offered or sold in the United States absent registration or an applicable exemption from the registration requirements of the Securities Act and applicable state laws.</w:t>
      </w:r>
    </w:p>
    <w:p>
      <w:pPr>
        <w:spacing w:after="0" w:line="14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4"/>
          <w:szCs w:val="14"/>
          <w:color w:val="auto"/>
        </w:rPr>
        <w:t>This Current Report on Form 8-K does not constitute an offer to sell or a solicitation of an offer to buy the Notes or the shares of Class A common stock issuable upon conversion of the Notes, nor shall there be any sale of the Notes in any state or jurisdiction in which such offer, solicitation or sale would be unlawful prior to registration 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qualification under the securities laws of any such state or jurisdiction.</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 w:type="dxa"/>
            <w:vAlign w:val="bottom"/>
            <w:gridSpan w:val="2"/>
          </w:tcPr>
          <w:p>
            <w:pPr>
              <w:spacing w:after="0"/>
              <w:rPr>
                <w:sz w:val="20"/>
                <w:szCs w:val="20"/>
                <w:color w:val="auto"/>
              </w:rPr>
            </w:pPr>
            <w:r>
              <w:rPr>
                <w:rFonts w:ascii="Arial" w:cs="Arial" w:eastAsia="Arial" w:hAnsi="Arial"/>
                <w:sz w:val="14"/>
                <w:szCs w:val="14"/>
                <w:color w:val="auto"/>
              </w:rPr>
              <w:t>(d) Exhibits</w:t>
            </w:r>
          </w:p>
        </w:tc>
        <w:tc>
          <w:tcPr>
            <w:tcW w:w="2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r>
      <w:tr>
        <w:trPr>
          <w:trHeight w:val="391"/>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b w:val="1"/>
                <w:bCs w:val="1"/>
                <w:color w:val="auto"/>
                <w:w w:val="98"/>
              </w:rPr>
              <w:t>Exhibit Number</w:t>
            </w:r>
          </w:p>
        </w:tc>
        <w:tc>
          <w:tcPr>
            <w:tcW w:w="202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192"/>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2020" w:type="dxa"/>
            <w:vAlign w:val="bottom"/>
          </w:tcPr>
          <w:p>
            <w:pPr>
              <w:spacing w:after="0"/>
              <w:rPr>
                <w:sz w:val="16"/>
                <w:szCs w:val="16"/>
                <w:color w:val="auto"/>
              </w:rPr>
            </w:pPr>
          </w:p>
        </w:tc>
        <w:tc>
          <w:tcPr>
            <w:tcW w:w="222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Press release dated June 22, 2026</w:t>
            </w:r>
          </w:p>
        </w:tc>
        <w:tc>
          <w:tcPr>
            <w:tcW w:w="4640" w:type="dxa"/>
            <w:vAlign w:val="bottom"/>
          </w:tcPr>
          <w:p>
            <w:pPr>
              <w:spacing w:after="0"/>
              <w:rPr>
                <w:sz w:val="16"/>
                <w:szCs w:val="16"/>
                <w:color w:val="auto"/>
              </w:rPr>
            </w:pPr>
          </w:p>
        </w:tc>
      </w:tr>
      <w:tr>
        <w:trPr>
          <w:trHeight w:val="192"/>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99.2</w:t>
            </w:r>
          </w:p>
        </w:tc>
        <w:tc>
          <w:tcPr>
            <w:tcW w:w="2020" w:type="dxa"/>
            <w:vAlign w:val="bottom"/>
          </w:tcPr>
          <w:p>
            <w:pPr>
              <w:spacing w:after="0"/>
              <w:rPr>
                <w:sz w:val="16"/>
                <w:szCs w:val="16"/>
                <w:color w:val="auto"/>
              </w:rPr>
            </w:pPr>
          </w:p>
        </w:tc>
        <w:tc>
          <w:tcPr>
            <w:tcW w:w="22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Press release dated June 22, 2026</w:t>
            </w:r>
          </w:p>
        </w:tc>
        <w:tc>
          <w:tcPr>
            <w:tcW w:w="4660" w:type="dxa"/>
            <w:vAlign w:val="bottom"/>
            <w:gridSpan w:val="2"/>
          </w:tcPr>
          <w:p>
            <w:pPr>
              <w:spacing w:after="0"/>
              <w:rPr>
                <w:sz w:val="16"/>
                <w:szCs w:val="16"/>
                <w:color w:val="auto"/>
              </w:rPr>
            </w:pPr>
          </w:p>
        </w:tc>
      </w:tr>
      <w:tr>
        <w:trPr>
          <w:trHeight w:val="226"/>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2020" w:type="dxa"/>
            <w:vAlign w:val="bottom"/>
          </w:tcPr>
          <w:p>
            <w:pPr>
              <w:spacing w:after="0"/>
              <w:rPr>
                <w:sz w:val="19"/>
                <w:szCs w:val="19"/>
                <w:color w:val="auto"/>
              </w:rPr>
            </w:pPr>
          </w:p>
        </w:tc>
        <w:tc>
          <w:tcPr>
            <w:tcW w:w="6860" w:type="dxa"/>
            <w:vAlign w:val="bottom"/>
            <w:gridSpan w:val="4"/>
          </w:tcPr>
          <w:p>
            <w:pPr>
              <w:spacing w:after="0"/>
              <w:rPr>
                <w:sz w:val="20"/>
                <w:szCs w:val="20"/>
                <w:color w:val="auto"/>
              </w:rPr>
            </w:pPr>
            <w:r>
              <w:rPr>
                <w:rFonts w:ascii="Arial" w:cs="Arial" w:eastAsia="Arial" w:hAnsi="Arial"/>
                <w:sz w:val="14"/>
                <w:szCs w:val="14"/>
                <w:color w:val="auto"/>
              </w:rPr>
              <w:t>Cover Page Interactive Data File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w:t>
      </w:r>
    </w:p>
    <w:p>
      <w:pPr>
        <w:spacing w:after="0" w:line="33" w:lineRule="exact"/>
        <w:rPr>
          <w:sz w:val="20"/>
          <w:szCs w:val="20"/>
          <w:color w:val="auto"/>
        </w:rPr>
      </w:pPr>
    </w:p>
    <w:p>
      <w:pPr>
        <w:ind w:right="540"/>
        <w:spacing w:after="0" w:line="301"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Robinhood Markets, Inc.</w:t>
      </w:r>
    </w:p>
    <w:p>
      <w:pPr>
        <w:spacing w:after="0" w:line="263" w:lineRule="exact"/>
        <w:rPr>
          <w:sz w:val="20"/>
          <w:szCs w:val="20"/>
          <w:color w:val="auto"/>
        </w:rPr>
      </w:pPr>
    </w:p>
    <w:p>
      <w:pPr>
        <w:ind w:left="20"/>
        <w:spacing w:after="0"/>
        <w:tabs>
          <w:tab w:leader="none" w:pos="1020" w:val="left"/>
          <w:tab w:leader="none" w:pos="4260" w:val="left"/>
          <w:tab w:leader="none" w:pos="52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June 23,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Shiv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28575</wp:posOffset>
            </wp:positionV>
            <wp:extent cx="38601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0165" cy="6985"/>
                    </a:xfrm>
                    <a:prstGeom prst="rect">
                      <a:avLst/>
                    </a:prstGeom>
                    <a:noFill/>
                  </pic:spPr>
                </pic:pic>
              </a:graphicData>
            </a:graphic>
          </wp:anchor>
        </w:drawing>
      </w:r>
    </w:p>
    <w:p>
      <w:pPr>
        <w:spacing w:after="0" w:line="4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Name: Shiv Verma</w:t>
      </w:r>
    </w:p>
    <w:p>
      <w:pPr>
        <w:spacing w:after="0" w:line="51"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80"/>
          </w:cols>
          <w:pgMar w:left="300" w:top="719"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2026-06-23T05:14:13Z</dcterms:created>
  <dcterms:modified xsi:type="dcterms:W3CDTF">2026-06-23T05:14:13Z</dcterms:modified>
</cp:coreProperties>
</file>