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8"/>
          <w:szCs w:val="28"/>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0"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9"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(Mark One)</w:t>
      </w:r>
    </w:p>
    <w:p>
      <w:pPr>
        <w:spacing w:after="0" w:line="171" w:lineRule="exact"/>
        <w:rPr>
          <w:sz w:val="24"/>
          <w:szCs w:val="24"/>
          <w:color w:val="auto"/>
        </w:rPr>
      </w:pPr>
    </w:p>
    <w:p>
      <w:pPr>
        <w:ind w:left="920" w:hanging="579"/>
        <w:spacing w:after="0"/>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55" w:lineRule="exact"/>
        <w:rPr>
          <w:sz w:val="24"/>
          <w:szCs w:val="24"/>
          <w:color w:val="auto"/>
        </w:rPr>
      </w:pPr>
    </w:p>
    <w:p>
      <w:pPr>
        <w:ind w:left="800" w:hanging="459"/>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transition period from ________ to ________</w:t>
      </w:r>
    </w:p>
    <w:p>
      <w:pPr>
        <w:spacing w:after="0" w:line="97"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color w:val="auto"/>
                <w:w w:val="97"/>
              </w:rPr>
              <w:t>Commission File Number</w:t>
            </w:r>
            <w:r>
              <w:rPr>
                <w:rFonts w:ascii="Arial" w:cs="Arial" w:eastAsia="Arial" w:hAnsi="Arial"/>
                <w:sz w:val="18"/>
                <w:szCs w:val="18"/>
                <w:b w:val="1"/>
                <w:bCs w:val="1"/>
                <w:color w:val="auto"/>
                <w:w w:val="97"/>
              </w:rPr>
              <w:t>: 001-40691</w:t>
            </w:r>
          </w:p>
        </w:tc>
      </w:tr>
      <w:tr>
        <w:trPr>
          <w:trHeight w:val="236"/>
        </w:trPr>
        <w:tc>
          <w:tcPr>
            <w:tcW w:w="1860" w:type="dxa"/>
            <w:vAlign w:val="bottom"/>
          </w:tcPr>
          <w:p>
            <w:pPr>
              <w:spacing w:after="0"/>
              <w:rPr>
                <w:sz w:val="20"/>
                <w:szCs w:val="20"/>
                <w:color w:val="auto"/>
              </w:rPr>
            </w:pPr>
          </w:p>
        </w:tc>
        <w:tc>
          <w:tcPr>
            <w:tcW w:w="6280" w:type="dxa"/>
            <w:vAlign w:val="bottom"/>
          </w:tcPr>
          <w:p>
            <w:pPr>
              <w:jc w:val="center"/>
              <w:ind w:right="1226"/>
              <w:spacing w:after="0" w:line="236" w:lineRule="exact"/>
              <w:rPr>
                <w:sz w:val="20"/>
                <w:szCs w:val="20"/>
                <w:color w:val="auto"/>
              </w:rPr>
            </w:pPr>
            <w:r>
              <w:rPr>
                <w:rFonts w:ascii="Arial" w:cs="Arial" w:eastAsia="Arial" w:hAnsi="Arial"/>
                <w:sz w:val="21"/>
                <w:szCs w:val="21"/>
                <w:b w:val="1"/>
                <w:bCs w:val="1"/>
                <w:color w:val="auto"/>
              </w:rPr>
              <w:t>______________________</w:t>
            </w:r>
          </w:p>
        </w:tc>
      </w:tr>
      <w:tr>
        <w:trPr>
          <w:trHeight w:val="524"/>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42"/>
                <w:szCs w:val="42"/>
                <w:b w:val="1"/>
                <w:bCs w:val="1"/>
                <w:color w:val="auto"/>
              </w:rPr>
              <w:t>Robinhood Markets, Inc.</w:t>
            </w:r>
          </w:p>
        </w:tc>
      </w:tr>
      <w:tr>
        <w:trPr>
          <w:trHeight w:val="166"/>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(Exact name of registrant as specified in its charter)</w:t>
            </w:r>
          </w:p>
        </w:tc>
      </w:tr>
      <w:tr>
        <w:trPr>
          <w:trHeight w:val="292"/>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21"/>
                <w:szCs w:val="21"/>
                <w:b w:val="1"/>
                <w:bCs w:val="1"/>
                <w:color w:val="auto"/>
              </w:rPr>
              <w:t>______________________</w:t>
            </w:r>
          </w:p>
        </w:tc>
      </w:tr>
      <w:tr>
        <w:trPr>
          <w:trHeight w:val="376"/>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Delaware</w:t>
            </w:r>
          </w:p>
        </w:tc>
        <w:tc>
          <w:tcPr>
            <w:tcW w:w="6280" w:type="dxa"/>
            <w:vAlign w:val="bottom"/>
          </w:tcPr>
          <w:p>
            <w:pPr>
              <w:jc w:val="center"/>
              <w:ind w:left="5086"/>
              <w:spacing w:after="0"/>
              <w:rPr>
                <w:sz w:val="20"/>
                <w:szCs w:val="20"/>
                <w:color w:val="auto"/>
              </w:rPr>
            </w:pPr>
            <w:r>
              <w:rPr>
                <w:rFonts w:ascii="Arial" w:cs="Arial" w:eastAsia="Arial" w:hAnsi="Arial"/>
                <w:sz w:val="18"/>
                <w:szCs w:val="18"/>
                <w:b w:val="1"/>
                <w:bCs w:val="1"/>
                <w:color w:val="auto"/>
                <w:w w:val="97"/>
              </w:rPr>
              <w:t>46-4364776</w:t>
            </w:r>
          </w:p>
        </w:tc>
      </w:tr>
      <w:tr>
        <w:trPr>
          <w:trHeight w:val="146"/>
        </w:trPr>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rPr>
              <w:t>(State or other jurisdiction of</w:t>
            </w:r>
          </w:p>
        </w:tc>
        <w:tc>
          <w:tcPr>
            <w:tcW w:w="6280" w:type="dxa"/>
            <w:vAlign w:val="bottom"/>
          </w:tcPr>
          <w:p>
            <w:pPr>
              <w:jc w:val="center"/>
              <w:ind w:left="5106"/>
              <w:spacing w:after="0" w:line="146" w:lineRule="exact"/>
              <w:rPr>
                <w:sz w:val="20"/>
                <w:szCs w:val="20"/>
                <w:color w:val="auto"/>
              </w:rPr>
            </w:pPr>
            <w:r>
              <w:rPr>
                <w:rFonts w:ascii="Arial" w:cs="Arial" w:eastAsia="Arial" w:hAnsi="Arial"/>
                <w:sz w:val="14"/>
                <w:szCs w:val="14"/>
                <w:color w:val="auto"/>
              </w:rPr>
              <w:t>(IRS Employer</w:t>
            </w:r>
          </w:p>
        </w:tc>
      </w:tr>
      <w:tr>
        <w:trPr>
          <w:trHeight w:val="186"/>
        </w:trPr>
        <w:tc>
          <w:tcPr>
            <w:tcW w:w="186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6280" w:type="dxa"/>
            <w:vAlign w:val="bottom"/>
          </w:tcPr>
          <w:p>
            <w:pPr>
              <w:jc w:val="center"/>
              <w:ind w:left="5086"/>
              <w:spacing w:after="0"/>
              <w:rPr>
                <w:sz w:val="20"/>
                <w:szCs w:val="20"/>
                <w:color w:val="auto"/>
              </w:rPr>
            </w:pPr>
            <w:r>
              <w:rPr>
                <w:rFonts w:ascii="Arial" w:cs="Arial" w:eastAsia="Arial" w:hAnsi="Arial"/>
                <w:sz w:val="14"/>
                <w:szCs w:val="14"/>
                <w:color w:val="auto"/>
              </w:rPr>
              <w:t>Identification No.)</w:t>
            </w:r>
          </w:p>
        </w:tc>
      </w:tr>
      <w:tr>
        <w:trPr>
          <w:trHeight w:val="308"/>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85 Willow Rd</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8"/>
              </w:rPr>
              <w:t>Menlo Park, CA 94025</w:t>
            </w:r>
          </w:p>
        </w:tc>
      </w:tr>
      <w:tr>
        <w:trPr>
          <w:trHeight w:val="163"/>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(Address of principal executive offices, including zip code)</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(844) 428-5411</w:t>
            </w:r>
          </w:p>
        </w:tc>
      </w:tr>
      <w:tr>
        <w:trPr>
          <w:trHeight w:val="186"/>
        </w:trPr>
        <w:tc>
          <w:tcPr>
            <w:tcW w:w="1860" w:type="dxa"/>
            <w:vAlign w:val="bottom"/>
          </w:tcPr>
          <w:p>
            <w:pPr>
              <w:spacing w:after="0"/>
              <w:rPr>
                <w:sz w:val="16"/>
                <w:szCs w:val="16"/>
                <w:color w:val="auto"/>
              </w:rPr>
            </w:pPr>
          </w:p>
        </w:tc>
        <w:tc>
          <w:tcPr>
            <w:tcW w:w="6280" w:type="dxa"/>
            <w:vAlign w:val="bottom"/>
          </w:tcPr>
          <w:p>
            <w:pPr>
              <w:jc w:val="center"/>
              <w:ind w:right="1206"/>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4" w:lineRule="exact"/>
        <w:rPr>
          <w:sz w:val="24"/>
          <w:szCs w:val="24"/>
          <w:color w:val="auto"/>
        </w:rPr>
      </w:pPr>
    </w:p>
    <w:tbl>
      <w:tblPr>
        <w:tblLayout w:type="fixed"/>
        <w:tblInd w:w="330" w:type="dxa"/>
        <w:tblCellMar>
          <w:top w:w="0" w:type="dxa"/>
          <w:left w:w="0" w:type="dxa"/>
          <w:bottom w:w="0" w:type="dxa"/>
          <w:right w:w="0" w:type="dxa"/>
        </w:tblCellMar>
      </w:tblPr>
      <w:tr>
        <w:trPr>
          <w:trHeight w:val="151"/>
        </w:trPr>
        <w:tc>
          <w:tcPr>
            <w:tcW w:w="5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Trading Symbol</w:t>
            </w:r>
          </w:p>
        </w:tc>
        <w:tc>
          <w:tcPr>
            <w:tcW w:w="2600" w:type="dxa"/>
            <w:vAlign w:val="bottom"/>
            <w:tcBorders>
              <w:top w:val="single" w:sz="8" w:color="auto"/>
            </w:tcBorders>
          </w:tcPr>
          <w:p>
            <w:pPr>
              <w:jc w:val="center"/>
              <w:ind w:left="149"/>
              <w:spacing w:after="0" w:line="151" w:lineRule="exact"/>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81"/>
        </w:trPr>
        <w:tc>
          <w:tcPr>
            <w:tcW w:w="55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vMerge w:val="continue"/>
          </w:tcPr>
          <w:p>
            <w:pPr>
              <w:spacing w:after="0"/>
              <w:rPr>
                <w:sz w:val="15"/>
                <w:szCs w:val="15"/>
                <w:color w:val="auto"/>
              </w:rPr>
            </w:pP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5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 $0.0001 par value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HOOD</w:t>
            </w: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The Nasdaq Stock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217" w:lineRule="exact"/>
        <w:rPr>
          <w:sz w:val="24"/>
          <w:szCs w:val="24"/>
          <w:color w:val="auto"/>
        </w:rPr>
      </w:pPr>
    </w:p>
    <w:p>
      <w:pPr>
        <w:ind w:right="2120"/>
        <w:spacing w:after="0" w:line="29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06" w:lineRule="exact"/>
        <w:rPr>
          <w:sz w:val="24"/>
          <w:szCs w:val="24"/>
          <w:color w:val="auto"/>
        </w:rPr>
      </w:pPr>
    </w:p>
    <w:p>
      <w:pPr>
        <w:jc w:val="both"/>
        <w:ind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p>
      <w:pPr>
        <w:spacing w:after="0" w:line="184" w:lineRule="exact"/>
        <w:tabs>
          <w:tab w:leader="none" w:pos="5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75" w:lineRule="exact"/>
        <w:rPr>
          <w:sz w:val="24"/>
          <w:szCs w:val="24"/>
          <w:color w:val="auto"/>
        </w:rPr>
      </w:pPr>
    </w:p>
    <w:p>
      <w:pPr>
        <w:jc w:val="both"/>
        <w:ind w:right="100"/>
        <w:spacing w:after="0" w:line="292"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74"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03" w:right="239" w:bottom="1440" w:gutter="0" w:footer="0" w:header="0"/>
        </w:sectPr>
      </w:pPr>
    </w:p>
    <w:bookmarkStart w:id="1" w:name="page2"/>
    <w:bookmarkEnd w:id="1"/>
    <w:p>
      <w:pPr>
        <w:jc w:val="both"/>
        <w:spacing w:after="0" w:line="29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6"/>
          <w:szCs w:val="16"/>
          <w:b w:val="1"/>
          <w:bCs w:val="1"/>
          <w:color w:val="auto"/>
        </w:rPr>
        <w:t>o</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6"/>
          <w:szCs w:val="16"/>
          <w:b w:val="1"/>
          <w:bCs w:val="1"/>
          <w:color w:val="auto"/>
        </w:rPr>
        <w:t>o</w:t>
      </w:r>
    </w:p>
    <w:p>
      <w:pPr>
        <w:spacing w:after="0" w:line="1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as of June 30, 2025, the last business day of the registrant’s most recently completed second fiscal quarter, was approximately $71.3 billion (based on the closing price of the registrant’s Class A common stock on the Nasdaq Global Select Market on that date). Shares of common stock owned by executive officers and directors have been excluded in that such persons may be deemed to be affiliates. This calculation does not reflect a determination that certain persons are affiliates of the registrant for any other purpose.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11, 2026, the numbers of shares of the issuer’s Class A and Class B common stock outstanding were 790,054,654 and 110,253,736.</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fiscal year to which this Report relates.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4"/>
              </w:rPr>
              <w:t>PART I</w:t>
            </w: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w:t>
            </w:r>
          </w:p>
        </w:tc>
        <w:tc>
          <w:tcPr>
            <w:tcW w:w="880" w:type="dxa"/>
            <w:vAlign w:val="bottom"/>
            <w:tcBorders>
              <w:bottom w:val="single" w:sz="8" w:color="0000FF"/>
            </w:tcBorders>
          </w:tcPr>
          <w:p>
            <w:pPr>
              <w:spacing w:after="0" w:line="185" w:lineRule="exact"/>
              <w:rPr>
                <w:sz w:val="20"/>
                <w:szCs w:val="20"/>
                <w:color w:val="auto"/>
              </w:rPr>
            </w:pPr>
            <w:r>
              <w:rPr>
                <w:rFonts w:ascii="Arial" w:cs="Arial" w:eastAsia="Arial" w:hAnsi="Arial"/>
                <w:sz w:val="18"/>
                <w:szCs w:val="18"/>
                <w:color w:val="0000FF"/>
                <w:w w:val="94"/>
              </w:rPr>
              <w:t>BUSINESS</w:t>
            </w:r>
          </w:p>
        </w:tc>
        <w:tc>
          <w:tcPr>
            <w:tcW w:w="7780" w:type="dxa"/>
            <w:vAlign w:val="bottom"/>
            <w:gridSpan w:val="20"/>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10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1A.</w:t>
            </w:r>
          </w:p>
        </w:tc>
        <w:tc>
          <w:tcPr>
            <w:tcW w:w="128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94"/>
              </w:rPr>
              <w:t>RISK FACTORS</w:t>
            </w:r>
          </w:p>
        </w:tc>
        <w:tc>
          <w:tcPr>
            <w:tcW w:w="7380" w:type="dxa"/>
            <w:vAlign w:val="bottom"/>
            <w:tcBorders>
              <w:bottom w:val="single" w:sz="8" w:color="CCEEFF"/>
            </w:tcBorders>
            <w:gridSpan w:val="18"/>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99"/>
              </w:rPr>
              <w:t>32</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1B.</w:t>
            </w:r>
          </w:p>
        </w:tc>
        <w:tc>
          <w:tcPr>
            <w:tcW w:w="2860" w:type="dxa"/>
            <w:vAlign w:val="bottom"/>
            <w:tcBorders>
              <w:bottom w:val="single" w:sz="8" w:color="0000FF"/>
            </w:tcBorders>
            <w:gridSpan w:val="9"/>
          </w:tcPr>
          <w:p>
            <w:pPr>
              <w:spacing w:after="0" w:line="185" w:lineRule="exact"/>
              <w:rPr>
                <w:sz w:val="20"/>
                <w:szCs w:val="20"/>
                <w:color w:val="auto"/>
              </w:rPr>
            </w:pPr>
            <w:r>
              <w:rPr>
                <w:rFonts w:ascii="Arial" w:cs="Arial" w:eastAsia="Arial" w:hAnsi="Arial"/>
                <w:sz w:val="18"/>
                <w:szCs w:val="18"/>
                <w:color w:val="0000FF"/>
                <w:w w:val="95"/>
              </w:rPr>
              <w:t>UNRESOLVED STAFF COMMENTS</w:t>
            </w:r>
          </w:p>
        </w:tc>
        <w:tc>
          <w:tcPr>
            <w:tcW w:w="5800" w:type="dxa"/>
            <w:vAlign w:val="bottom"/>
            <w:gridSpan w:val="12"/>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97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1C.</w:t>
            </w:r>
          </w:p>
        </w:tc>
        <w:tc>
          <w:tcPr>
            <w:tcW w:w="1480" w:type="dxa"/>
            <w:vAlign w:val="bottom"/>
            <w:tcBorders>
              <w:bottom w:val="single" w:sz="8" w:color="0000FF"/>
            </w:tcBorders>
            <w:gridSpan w:val="4"/>
            <w:shd w:val="clear" w:color="auto" w:fill="CCEEFF"/>
          </w:tcPr>
          <w:p>
            <w:pPr>
              <w:spacing w:after="0" w:line="195" w:lineRule="exact"/>
              <w:rPr>
                <w:sz w:val="20"/>
                <w:szCs w:val="20"/>
                <w:color w:val="auto"/>
              </w:rPr>
            </w:pPr>
            <w:r>
              <w:rPr>
                <w:rFonts w:ascii="Arial" w:cs="Arial" w:eastAsia="Arial" w:hAnsi="Arial"/>
                <w:sz w:val="18"/>
                <w:szCs w:val="18"/>
                <w:color w:val="0000FF"/>
                <w:w w:val="95"/>
              </w:rPr>
              <w:t>CYBERSECURITY</w:t>
            </w:r>
          </w:p>
        </w:tc>
        <w:tc>
          <w:tcPr>
            <w:tcW w:w="7180" w:type="dxa"/>
            <w:vAlign w:val="bottom"/>
            <w:tcBorders>
              <w:bottom w:val="single" w:sz="8" w:color="CCEEFF"/>
            </w:tcBorders>
            <w:gridSpan w:val="17"/>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99"/>
              </w:rPr>
              <w:t>97</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114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8"/>
                <w:szCs w:val="18"/>
                <w:color w:val="0000FF"/>
                <w:w w:val="94"/>
              </w:rPr>
              <w:t>PROPERTIES</w:t>
            </w:r>
          </w:p>
        </w:tc>
        <w:tc>
          <w:tcPr>
            <w:tcW w:w="7520" w:type="dxa"/>
            <w:vAlign w:val="bottom"/>
            <w:gridSpan w:val="19"/>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99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8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LEGAL PROCEEDINGS</w:t>
            </w:r>
          </w:p>
        </w:tc>
        <w:tc>
          <w:tcPr>
            <w:tcW w:w="880" w:type="dxa"/>
            <w:vAlign w:val="bottom"/>
            <w:tcBorders>
              <w:right w:val="single" w:sz="8" w:color="CCEEFF"/>
            </w:tcBorders>
            <w:gridSpan w:val="2"/>
            <w:shd w:val="clear" w:color="auto" w:fill="CCEEFF"/>
          </w:tcPr>
          <w:p>
            <w:pPr>
              <w:jc w:val="center"/>
              <w:ind w:left="512"/>
              <w:spacing w:after="0" w:line="195" w:lineRule="exact"/>
              <w:rPr>
                <w:sz w:val="20"/>
                <w:szCs w:val="20"/>
                <w:color w:val="auto"/>
              </w:rPr>
            </w:pPr>
            <w:r>
              <w:rPr>
                <w:rFonts w:ascii="Arial" w:cs="Arial" w:eastAsia="Arial" w:hAnsi="Arial"/>
                <w:sz w:val="18"/>
                <w:szCs w:val="18"/>
                <w:color w:val="0000FF"/>
                <w:w w:val="99"/>
              </w:rPr>
              <w:t>99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MINE SAFETY DISCLOSURES</w:t>
            </w:r>
          </w:p>
        </w:tc>
        <w:tc>
          <w:tcPr>
            <w:tcW w:w="880" w:type="dxa"/>
            <w:vAlign w:val="bottom"/>
            <w:gridSpan w:val="2"/>
          </w:tcPr>
          <w:p>
            <w:pPr>
              <w:jc w:val="center"/>
              <w:ind w:left="512"/>
              <w:spacing w:after="0" w:line="185" w:lineRule="exact"/>
              <w:rPr>
                <w:sz w:val="20"/>
                <w:szCs w:val="20"/>
                <w:color w:val="auto"/>
              </w:rPr>
            </w:pPr>
            <w:r>
              <w:rPr>
                <w:rFonts w:ascii="Arial" w:cs="Arial" w:eastAsia="Arial" w:hAnsi="Arial"/>
                <w:sz w:val="18"/>
                <w:szCs w:val="18"/>
                <w:color w:val="0000FF"/>
                <w:w w:val="99"/>
              </w:rPr>
              <w:t>99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3"/>
              </w:rPr>
              <w:t>PART II</w:t>
            </w: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MARKET FOR REGISTRANT’S COMMON EQUITY, RELATED STOCKHOLDER MATTERS, AND ISSUER</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8380" w:type="dxa"/>
            <w:vAlign w:val="bottom"/>
            <w:tcBorders>
              <w:top w:val="single" w:sz="8" w:color="0000FF"/>
            </w:tcBorders>
            <w:gridSpan w:val="20"/>
          </w:tcPr>
          <w:p>
            <w:pPr>
              <w:spacing w:after="0" w:line="165" w:lineRule="exact"/>
              <w:rPr>
                <w:sz w:val="20"/>
                <w:szCs w:val="20"/>
                <w:color w:val="auto"/>
              </w:rPr>
            </w:pPr>
            <w:r>
              <w:rPr>
                <w:rFonts w:ascii="Arial" w:cs="Arial" w:eastAsia="Arial" w:hAnsi="Arial"/>
                <w:sz w:val="18"/>
                <w:szCs w:val="18"/>
                <w:color w:val="0000FF"/>
              </w:rPr>
              <w:t>PURCHASES OF EQUITY SECURITIES</w:t>
            </w:r>
          </w:p>
        </w:tc>
        <w:tc>
          <w:tcPr>
            <w:tcW w:w="2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6.</w:t>
            </w:r>
          </w:p>
        </w:tc>
        <w:tc>
          <w:tcPr>
            <w:tcW w:w="3180" w:type="dxa"/>
            <w:vAlign w:val="bottom"/>
            <w:gridSpan w:val="10"/>
            <w:shd w:val="clear" w:color="auto" w:fill="CCEEFF"/>
          </w:tcPr>
          <w:p>
            <w:pPr>
              <w:spacing w:after="0" w:line="195" w:lineRule="exact"/>
              <w:rPr>
                <w:sz w:val="20"/>
                <w:szCs w:val="20"/>
                <w:color w:val="auto"/>
              </w:rPr>
            </w:pPr>
            <w:r>
              <w:rPr>
                <w:rFonts w:ascii="Arial" w:cs="Arial" w:eastAsia="Arial" w:hAnsi="Arial"/>
                <w:sz w:val="18"/>
                <w:szCs w:val="18"/>
                <w:color w:val="0000FF"/>
              </w:rPr>
              <w:t>[REMOVED AND RESERVED]</w:t>
            </w:r>
          </w:p>
        </w:tc>
        <w:tc>
          <w:tcPr>
            <w:tcW w:w="5480" w:type="dxa"/>
            <w:vAlign w:val="bottom"/>
            <w:gridSpan w:val="11"/>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7.</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103</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800" w:type="dxa"/>
            <w:vAlign w:val="bottom"/>
            <w:tcBorders>
              <w:top w:val="single" w:sz="8" w:color="0000FF"/>
            </w:tcBorders>
            <w:gridSpan w:val="17"/>
          </w:tcPr>
          <w:p>
            <w:pPr>
              <w:spacing w:after="0" w:line="165" w:lineRule="exact"/>
              <w:rPr>
                <w:sz w:val="20"/>
                <w:szCs w:val="20"/>
                <w:color w:val="auto"/>
              </w:rPr>
            </w:pPr>
            <w:r>
              <w:rPr>
                <w:rFonts w:ascii="Arial" w:cs="Arial" w:eastAsia="Arial" w:hAnsi="Arial"/>
                <w:sz w:val="18"/>
                <w:szCs w:val="18"/>
                <w:color w:val="0000FF"/>
              </w:rPr>
              <w:t>OPERATIONS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7A.</w:t>
            </w:r>
          </w:p>
        </w:tc>
        <w:tc>
          <w:tcPr>
            <w:tcW w:w="608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580" w:type="dxa"/>
            <w:vAlign w:val="bottom"/>
            <w:gridSpan w:val="6"/>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122</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4620" w:type="dxa"/>
            <w:vAlign w:val="bottom"/>
            <w:gridSpan w:val="13"/>
          </w:tcPr>
          <w:p>
            <w:pPr>
              <w:spacing w:after="0" w:line="185" w:lineRule="exact"/>
              <w:rPr>
                <w:sz w:val="20"/>
                <w:szCs w:val="20"/>
                <w:color w:val="auto"/>
              </w:rPr>
            </w:pPr>
            <w:r>
              <w:rPr>
                <w:rFonts w:ascii="Arial" w:cs="Arial" w:eastAsia="Arial" w:hAnsi="Arial"/>
                <w:sz w:val="18"/>
                <w:szCs w:val="18"/>
                <w:color w:val="0000FF"/>
                <w:w w:val="95"/>
              </w:rPr>
              <w:t>FINANCIAL STATEMENTS AND SUPPLEMENTARY DATA</w:t>
            </w:r>
          </w:p>
        </w:tc>
        <w:tc>
          <w:tcPr>
            <w:tcW w:w="4040" w:type="dxa"/>
            <w:vAlign w:val="bottom"/>
            <w:gridSpan w:val="8"/>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124</w:t>
            </w: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1200" w:type="dxa"/>
            <w:vAlign w:val="bottom"/>
            <w:gridSpan w:val="3"/>
            <w:vMerge w:val="restart"/>
            <w:shd w:val="clear" w:color="auto" w:fill="CCEEFF"/>
          </w:tcPr>
          <w:p>
            <w:pPr>
              <w:jc w:val="center"/>
              <w:ind w:left="192"/>
              <w:spacing w:after="0"/>
              <w:rPr>
                <w:sz w:val="20"/>
                <w:szCs w:val="20"/>
                <w:color w:val="auto"/>
              </w:rPr>
            </w:pPr>
            <w:r>
              <w:rPr>
                <w:rFonts w:ascii="Arial" w:cs="Arial" w:eastAsia="Arial" w:hAnsi="Arial"/>
                <w:sz w:val="18"/>
                <w:szCs w:val="18"/>
                <w:color w:val="0000FF"/>
                <w:w w:val="93"/>
              </w:rPr>
              <w:t>185</w:t>
            </w:r>
          </w:p>
        </w:tc>
        <w:tc>
          <w:tcPr>
            <w:tcW w:w="0" w:type="dxa"/>
            <w:vAlign w:val="bottom"/>
          </w:tcPr>
          <w:p>
            <w:pPr>
              <w:spacing w:after="0"/>
              <w:rPr>
                <w:sz w:val="1"/>
                <w:szCs w:val="1"/>
                <w:color w:val="auto"/>
              </w:rPr>
            </w:pPr>
          </w:p>
        </w:tc>
      </w:tr>
      <w:tr>
        <w:trPr>
          <w:trHeight w:val="165"/>
        </w:trPr>
        <w:tc>
          <w:tcPr>
            <w:tcW w:w="1380" w:type="dxa"/>
            <w:vAlign w:val="bottom"/>
            <w:tcBorders>
              <w:top w:val="single" w:sz="8" w:color="CCEEFF"/>
              <w:right w:val="single" w:sz="8" w:color="CCEEFF"/>
            </w:tcBorders>
            <w:shd w:val="clear" w:color="auto" w:fill="CCEEFF"/>
          </w:tcPr>
          <w:p>
            <w:pPr>
              <w:spacing w:after="0"/>
              <w:rPr>
                <w:sz w:val="14"/>
                <w:szCs w:val="14"/>
                <w:color w:val="auto"/>
              </w:rPr>
            </w:pPr>
          </w:p>
        </w:tc>
        <w:tc>
          <w:tcPr>
            <w:tcW w:w="1280" w:type="dxa"/>
            <w:vAlign w:val="bottom"/>
            <w:tcBorders>
              <w:top w:val="single" w:sz="8" w:color="0000FF"/>
            </w:tcBorders>
            <w:gridSpan w:val="3"/>
            <w:shd w:val="clear" w:color="auto" w:fill="CCEEFF"/>
          </w:tcPr>
          <w:p>
            <w:pPr>
              <w:spacing w:after="0" w:line="165" w:lineRule="exact"/>
              <w:rPr>
                <w:sz w:val="20"/>
                <w:szCs w:val="20"/>
                <w:color w:val="auto"/>
              </w:rPr>
            </w:pPr>
            <w:r>
              <w:rPr>
                <w:rFonts w:ascii="Arial" w:cs="Arial" w:eastAsia="Arial" w:hAnsi="Arial"/>
                <w:sz w:val="18"/>
                <w:szCs w:val="18"/>
                <w:color w:val="0000FF"/>
                <w:w w:val="97"/>
              </w:rPr>
              <w:t>DISCLOSURES</w:t>
            </w:r>
          </w:p>
        </w:tc>
        <w:tc>
          <w:tcPr>
            <w:tcW w:w="6640" w:type="dxa"/>
            <w:vAlign w:val="bottom"/>
            <w:tcBorders>
              <w:top w:val="single" w:sz="8" w:color="0000FF"/>
            </w:tcBorders>
            <w:gridSpan w:val="1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gridSpan w:val="2"/>
            <w:shd w:val="clear" w:color="auto" w:fill="CCEEFF"/>
          </w:tcPr>
          <w:p>
            <w:pPr>
              <w:spacing w:after="0"/>
              <w:rPr>
                <w:sz w:val="14"/>
                <w:szCs w:val="14"/>
                <w:color w:val="auto"/>
              </w:rPr>
            </w:pPr>
          </w:p>
        </w:tc>
        <w:tc>
          <w:tcPr>
            <w:tcW w:w="120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9A.</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CONTROLS AND PROCEDURES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185</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9B.</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6"/>
              </w:rPr>
              <w:t>OTHER INFORMATION</w:t>
            </w:r>
          </w:p>
        </w:tc>
        <w:tc>
          <w:tcPr>
            <w:tcW w:w="800" w:type="dxa"/>
            <w:vAlign w:val="bottom"/>
            <w:gridSpan w:val="3"/>
            <w:shd w:val="clear" w:color="auto" w:fill="CCEEFF"/>
          </w:tcPr>
          <w:p>
            <w:pPr>
              <w:spacing w:after="0"/>
              <w:rPr>
                <w:sz w:val="16"/>
                <w:szCs w:val="16"/>
                <w:color w:val="auto"/>
              </w:rPr>
            </w:pPr>
          </w:p>
        </w:tc>
        <w:tc>
          <w:tcPr>
            <w:tcW w:w="5960" w:type="dxa"/>
            <w:vAlign w:val="bottom"/>
            <w:gridSpan w:val="13"/>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186</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9C.</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187</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3120" w:type="dxa"/>
            <w:vAlign w:val="bottom"/>
            <w:tcBorders>
              <w:top w:val="single" w:sz="8" w:color="0000FF"/>
            </w:tcBorders>
            <w:gridSpan w:val="5"/>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5"/>
              </w:rPr>
              <w:t>PART III</w:t>
            </w:r>
          </w:p>
        </w:tc>
        <w:tc>
          <w:tcPr>
            <w:tcW w:w="1520" w:type="dxa"/>
            <w:vAlign w:val="bottom"/>
            <w:gridSpan w:val="5"/>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10.</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DIRECTORS, EXECUTIVE OFFICERS, AND CORPORATE GOVERNANCE</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11.</w:t>
            </w:r>
          </w:p>
        </w:tc>
        <w:tc>
          <w:tcPr>
            <w:tcW w:w="2480" w:type="dxa"/>
            <w:vAlign w:val="bottom"/>
            <w:tcBorders>
              <w:right w:val="single" w:sz="8" w:color="CCEEFF"/>
            </w:tcBorders>
            <w:gridSpan w:val="7"/>
            <w:shd w:val="clear" w:color="auto" w:fill="CCEEFF"/>
          </w:tcPr>
          <w:p>
            <w:pPr>
              <w:spacing w:after="0" w:line="195" w:lineRule="exact"/>
              <w:rPr>
                <w:sz w:val="20"/>
                <w:szCs w:val="20"/>
                <w:color w:val="auto"/>
              </w:rPr>
            </w:pPr>
            <w:r>
              <w:rPr>
                <w:rFonts w:ascii="Arial" w:cs="Arial" w:eastAsia="Arial" w:hAnsi="Arial"/>
                <w:sz w:val="18"/>
                <w:szCs w:val="18"/>
                <w:color w:val="0000FF"/>
                <w:w w:val="96"/>
              </w:rPr>
              <w:t>EXECUTIVE COMPENSATION</w:t>
            </w:r>
          </w:p>
        </w:tc>
        <w:tc>
          <w:tcPr>
            <w:tcW w:w="3520" w:type="dxa"/>
            <w:vAlign w:val="bottom"/>
            <w:gridSpan w:val="7"/>
            <w:shd w:val="clear" w:color="auto" w:fill="CCEEFF"/>
          </w:tcPr>
          <w:p>
            <w:pPr>
              <w:spacing w:after="0"/>
              <w:rPr>
                <w:sz w:val="16"/>
                <w:szCs w:val="16"/>
                <w:color w:val="auto"/>
              </w:rPr>
            </w:pPr>
          </w:p>
        </w:tc>
        <w:tc>
          <w:tcPr>
            <w:tcW w:w="2660" w:type="dxa"/>
            <w:vAlign w:val="bottom"/>
            <w:gridSpan w:val="7"/>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12.</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SECURITY OWNERSHIP OF CERTAIN BENEFICIAL OWNER AND MANAGEMENT AND RELATED</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940" w:type="dxa"/>
            <w:vAlign w:val="bottom"/>
            <w:tcBorders>
              <w:top w:val="single" w:sz="8" w:color="0000FF"/>
            </w:tcBorders>
            <w:gridSpan w:val="19"/>
          </w:tcPr>
          <w:p>
            <w:pPr>
              <w:spacing w:after="0" w:line="165" w:lineRule="exact"/>
              <w:rPr>
                <w:sz w:val="20"/>
                <w:szCs w:val="20"/>
                <w:color w:val="auto"/>
              </w:rPr>
            </w:pPr>
            <w:r>
              <w:rPr>
                <w:rFonts w:ascii="Arial" w:cs="Arial" w:eastAsia="Arial" w:hAnsi="Arial"/>
                <w:sz w:val="18"/>
                <w:szCs w:val="18"/>
                <w:color w:val="0000FF"/>
              </w:rPr>
              <w:t>STOCKHOLDER MATTERS</w:t>
            </w:r>
          </w:p>
        </w:tc>
        <w:tc>
          <w:tcPr>
            <w:tcW w:w="720" w:type="dxa"/>
            <w:vAlign w:val="bottom"/>
            <w:gridSpan w:val="2"/>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14.</w:t>
            </w:r>
          </w:p>
        </w:tc>
        <w:tc>
          <w:tcPr>
            <w:tcW w:w="7800" w:type="dxa"/>
            <w:vAlign w:val="bottom"/>
            <w:gridSpan w:val="17"/>
          </w:tcPr>
          <w:p>
            <w:pPr>
              <w:spacing w:after="0" w:line="185" w:lineRule="exact"/>
              <w:rPr>
                <w:sz w:val="20"/>
                <w:szCs w:val="20"/>
                <w:color w:val="auto"/>
              </w:rPr>
            </w:pPr>
            <w:r>
              <w:rPr>
                <w:rFonts w:ascii="Arial" w:cs="Arial" w:eastAsia="Arial" w:hAnsi="Arial"/>
                <w:sz w:val="18"/>
                <w:szCs w:val="18"/>
                <w:color w:val="0000FF"/>
              </w:rPr>
              <w:t>PRINCIPAL ACCOUNTING FEES AND SERVICES</w:t>
            </w:r>
          </w:p>
        </w:tc>
        <w:tc>
          <w:tcPr>
            <w:tcW w:w="860" w:type="dxa"/>
            <w:vAlign w:val="bottom"/>
            <w:gridSpan w:val="4"/>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5"/>
              </w:rPr>
              <w:t>PART IV</w:t>
            </w: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EXHIBITS AND FINANCIAL STATEMENT SCHEDULES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189</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16.</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FORM 10-K SUMMARY</w:t>
            </w:r>
          </w:p>
        </w:tc>
        <w:tc>
          <w:tcPr>
            <w:tcW w:w="2520" w:type="dxa"/>
            <w:vAlign w:val="bottom"/>
            <w:gridSpan w:val="7"/>
            <w:shd w:val="clear" w:color="auto" w:fill="CCEEFF"/>
          </w:tcPr>
          <w:p>
            <w:pPr>
              <w:spacing w:after="0"/>
              <w:rPr>
                <w:sz w:val="16"/>
                <w:szCs w:val="16"/>
                <w:color w:val="auto"/>
              </w:rPr>
            </w:pPr>
          </w:p>
        </w:tc>
        <w:tc>
          <w:tcPr>
            <w:tcW w:w="4240" w:type="dxa"/>
            <w:vAlign w:val="bottom"/>
            <w:gridSpan w:val="9"/>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189</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spacing w:after="0"/>
              <w:rPr>
                <w:sz w:val="16"/>
                <w:szCs w:val="16"/>
                <w:color w:val="auto"/>
              </w:rPr>
            </w:pPr>
          </w:p>
        </w:tc>
        <w:tc>
          <w:tcPr>
            <w:tcW w:w="1900" w:type="dxa"/>
            <w:vAlign w:val="bottom"/>
            <w:gridSpan w:val="5"/>
          </w:tcPr>
          <w:p>
            <w:pPr>
              <w:spacing w:after="0" w:line="185" w:lineRule="exact"/>
              <w:rPr>
                <w:sz w:val="20"/>
                <w:szCs w:val="20"/>
                <w:color w:val="auto"/>
              </w:rPr>
            </w:pPr>
            <w:r>
              <w:rPr>
                <w:rFonts w:ascii="Arial" w:cs="Arial" w:eastAsia="Arial" w:hAnsi="Arial"/>
                <w:sz w:val="18"/>
                <w:szCs w:val="18"/>
                <w:color w:val="0000FF"/>
              </w:rPr>
              <w:t>SIGNATURES</w:t>
            </w:r>
          </w:p>
        </w:tc>
        <w:tc>
          <w:tcPr>
            <w:tcW w:w="6760" w:type="dxa"/>
            <w:vAlign w:val="bottom"/>
            <w:gridSpan w:val="16"/>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194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Glossary of Terms</w:t>
      </w: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following terms, abbreviations and acronyms are used to identify frequently used terms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860" cy="100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00965"/>
                    </a:xfrm>
                    <a:prstGeom prst="rect">
                      <a:avLst/>
                    </a:prstGeom>
                    <a:noFill/>
                  </pic:spPr>
                </pic:pic>
              </a:graphicData>
            </a:graphic>
          </wp:anchor>
        </w:drawing>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Abbreviation and Meaning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1940 Act</w:t>
            </w:r>
          </w:p>
        </w:tc>
        <w:tc>
          <w:tcPr>
            <w:tcW w:w="3940" w:type="dxa"/>
            <w:vAlign w:val="bottom"/>
          </w:tcPr>
          <w:p>
            <w:pPr>
              <w:ind w:left="340"/>
              <w:spacing w:after="0"/>
              <w:rPr>
                <w:sz w:val="20"/>
                <w:szCs w:val="20"/>
                <w:color w:val="auto"/>
              </w:rPr>
            </w:pPr>
            <w:r>
              <w:rPr>
                <w:rFonts w:ascii="Arial" w:cs="Arial" w:eastAsia="Arial" w:hAnsi="Arial"/>
                <w:sz w:val="10"/>
                <w:szCs w:val="10"/>
                <w:color w:val="auto"/>
              </w:rPr>
              <w:t>Investment Company Act of 1940, as amended</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Coinbase</w:t>
            </w:r>
          </w:p>
        </w:tc>
        <w:tc>
          <w:tcPr>
            <w:tcW w:w="4160" w:type="dxa"/>
            <w:vAlign w:val="bottom"/>
          </w:tcPr>
          <w:p>
            <w:pPr>
              <w:ind w:left="60"/>
              <w:spacing w:after="0"/>
              <w:rPr>
                <w:sz w:val="20"/>
                <w:szCs w:val="20"/>
                <w:color w:val="auto"/>
              </w:rPr>
            </w:pPr>
            <w:r>
              <w:rPr>
                <w:rFonts w:ascii="Arial" w:cs="Arial" w:eastAsia="Arial" w:hAnsi="Arial"/>
                <w:sz w:val="10"/>
                <w:szCs w:val="10"/>
                <w:color w:val="auto"/>
              </w:rPr>
              <w:t>Coinbase Global, Inc., and Coinbase, Inc.</w:t>
            </w:r>
          </w:p>
        </w:tc>
      </w:tr>
      <w:tr>
        <w:trPr>
          <w:trHeight w:val="16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2013 Plan</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Amended and Restated 2013 Stock Plan, as amended</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Corp Fin</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SEC Division of Corporation Finance</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2020 Plan</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2020 Equity Incentive Plan, as amended</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rPr>
              <w:t>Crypto Listing Frameworks</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Our internal policies and procedures with respect to the listing of cryptocurrencies on our</w:t>
            </w:r>
          </w:p>
        </w:tc>
      </w:tr>
      <w:tr>
        <w:trPr>
          <w:trHeight w:val="136"/>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60" w:type="dxa"/>
            <w:vAlign w:val="bottom"/>
          </w:tcPr>
          <w:p>
            <w:pPr>
              <w:ind w:left="60"/>
              <w:spacing w:after="0"/>
              <w:rPr>
                <w:sz w:val="20"/>
                <w:szCs w:val="20"/>
                <w:color w:val="auto"/>
              </w:rPr>
            </w:pPr>
            <w:r>
              <w:rPr>
                <w:rFonts w:ascii="Arial" w:cs="Arial" w:eastAsia="Arial" w:hAnsi="Arial"/>
                <w:sz w:val="10"/>
                <w:szCs w:val="10"/>
                <w:color w:val="auto"/>
              </w:rPr>
              <w:t>platforms</w:t>
            </w:r>
          </w:p>
        </w:tc>
      </w:tr>
      <w:tr>
        <w:trPr>
          <w:trHeight w:val="155"/>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2021 Plan</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2021 Omnibus Incentive Plan</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Crypto Transfers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Cryptocurrency transfers</w:t>
            </w:r>
          </w:p>
        </w:tc>
      </w:tr>
      <w:tr>
        <w:trPr>
          <w:trHeight w:val="150"/>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Adjusted EBITDA</w:t>
            </w:r>
          </w:p>
        </w:tc>
        <w:tc>
          <w:tcPr>
            <w:tcW w:w="3940" w:type="dxa"/>
            <w:vAlign w:val="bottom"/>
          </w:tcPr>
          <w:p>
            <w:pPr>
              <w:ind w:left="340"/>
              <w:spacing w:after="0"/>
              <w:rPr>
                <w:sz w:val="20"/>
                <w:szCs w:val="20"/>
                <w:color w:val="auto"/>
              </w:rPr>
            </w:pPr>
            <w:r>
              <w:rPr>
                <w:rFonts w:ascii="Arial" w:cs="Arial" w:eastAsia="Arial" w:hAnsi="Arial"/>
                <w:sz w:val="10"/>
                <w:szCs w:val="10"/>
                <w:color w:val="auto"/>
              </w:rPr>
              <w:t>Adjusted earnings before interest, taxes, depreciation, and amortization</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DFAL</w:t>
            </w:r>
          </w:p>
        </w:tc>
        <w:tc>
          <w:tcPr>
            <w:tcW w:w="4160" w:type="dxa"/>
            <w:vAlign w:val="bottom"/>
          </w:tcPr>
          <w:p>
            <w:pPr>
              <w:ind w:left="60"/>
              <w:spacing w:after="0"/>
              <w:rPr>
                <w:sz w:val="20"/>
                <w:szCs w:val="20"/>
                <w:color w:val="auto"/>
              </w:rPr>
            </w:pPr>
            <w:r>
              <w:rPr>
                <w:rFonts w:ascii="Arial" w:cs="Arial" w:eastAsia="Arial" w:hAnsi="Arial"/>
                <w:sz w:val="10"/>
                <w:szCs w:val="10"/>
                <w:color w:val="auto"/>
              </w:rPr>
              <w:t>Digital Financial Assets Law</w:t>
            </w:r>
          </w:p>
        </w:tc>
      </w:tr>
      <w:tr>
        <w:trPr>
          <w:trHeight w:val="154"/>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ADRs</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American Depository Receipts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DOJ</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U.S. Department of Justice</w:t>
            </w:r>
          </w:p>
        </w:tc>
      </w:tr>
      <w:tr>
        <w:trPr>
          <w:trHeight w:val="150"/>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Advisers Act</w:t>
            </w:r>
          </w:p>
        </w:tc>
        <w:tc>
          <w:tcPr>
            <w:tcW w:w="3940" w:type="dxa"/>
            <w:vAlign w:val="bottom"/>
          </w:tcPr>
          <w:p>
            <w:pPr>
              <w:ind w:left="340"/>
              <w:spacing w:after="0"/>
              <w:rPr>
                <w:sz w:val="20"/>
                <w:szCs w:val="20"/>
                <w:color w:val="auto"/>
              </w:rPr>
            </w:pPr>
            <w:r>
              <w:rPr>
                <w:rFonts w:ascii="Arial" w:cs="Arial" w:eastAsia="Arial" w:hAnsi="Arial"/>
                <w:sz w:val="10"/>
                <w:szCs w:val="10"/>
                <w:color w:val="auto"/>
              </w:rPr>
              <w:t>Investment Advisers Act of 1940</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EBS</w:t>
            </w:r>
          </w:p>
        </w:tc>
        <w:tc>
          <w:tcPr>
            <w:tcW w:w="4160" w:type="dxa"/>
            <w:vAlign w:val="bottom"/>
          </w:tcPr>
          <w:p>
            <w:pPr>
              <w:ind w:left="60"/>
              <w:spacing w:after="0"/>
              <w:rPr>
                <w:sz w:val="20"/>
                <w:szCs w:val="20"/>
                <w:color w:val="auto"/>
              </w:rPr>
            </w:pPr>
            <w:r>
              <w:rPr>
                <w:rFonts w:ascii="Arial" w:cs="Arial" w:eastAsia="Arial" w:hAnsi="Arial"/>
                <w:sz w:val="10"/>
                <w:szCs w:val="10"/>
                <w:color w:val="auto"/>
              </w:rPr>
              <w:t>Electronic Blue Sheets</w:t>
            </w:r>
          </w:p>
        </w:tc>
      </w:tr>
      <w:tr>
        <w:trPr>
          <w:trHeight w:val="154"/>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AI</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Artificial Intelligence</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ECOA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Equal Credit Opportunity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AML</w:t>
            </w:r>
          </w:p>
        </w:tc>
        <w:tc>
          <w:tcPr>
            <w:tcW w:w="3940" w:type="dxa"/>
            <w:vAlign w:val="bottom"/>
          </w:tcPr>
          <w:p>
            <w:pPr>
              <w:ind w:left="340"/>
              <w:spacing w:after="0"/>
              <w:rPr>
                <w:sz w:val="20"/>
                <w:szCs w:val="20"/>
                <w:color w:val="auto"/>
              </w:rPr>
            </w:pPr>
            <w:r>
              <w:rPr>
                <w:rFonts w:ascii="Arial" w:cs="Arial" w:eastAsia="Arial" w:hAnsi="Arial"/>
                <w:sz w:val="10"/>
                <w:szCs w:val="10"/>
                <w:color w:val="auto"/>
              </w:rPr>
              <w:t>Anti-money Laundering</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EEA</w:t>
            </w:r>
          </w:p>
        </w:tc>
        <w:tc>
          <w:tcPr>
            <w:tcW w:w="4160" w:type="dxa"/>
            <w:vAlign w:val="bottom"/>
          </w:tcPr>
          <w:p>
            <w:pPr>
              <w:ind w:left="60"/>
              <w:spacing w:after="0"/>
              <w:rPr>
                <w:sz w:val="20"/>
                <w:szCs w:val="20"/>
                <w:color w:val="auto"/>
              </w:rPr>
            </w:pPr>
            <w:r>
              <w:rPr>
                <w:rFonts w:ascii="Arial" w:cs="Arial" w:eastAsia="Arial" w:hAnsi="Arial"/>
                <w:sz w:val="10"/>
                <w:szCs w:val="10"/>
                <w:color w:val="auto"/>
              </w:rPr>
              <w:t>European Economic Area</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APAC</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Asia-Pacific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EFTA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Electronic Funds Transfer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ASC</w:t>
            </w:r>
          </w:p>
        </w:tc>
        <w:tc>
          <w:tcPr>
            <w:tcW w:w="3940" w:type="dxa"/>
            <w:vAlign w:val="bottom"/>
          </w:tcPr>
          <w:p>
            <w:pPr>
              <w:ind w:left="340"/>
              <w:spacing w:after="0"/>
              <w:rPr>
                <w:sz w:val="20"/>
                <w:szCs w:val="20"/>
                <w:color w:val="auto"/>
              </w:rPr>
            </w:pPr>
            <w:r>
              <w:rPr>
                <w:rFonts w:ascii="Arial" w:cs="Arial" w:eastAsia="Arial" w:hAnsi="Arial"/>
                <w:sz w:val="10"/>
                <w:szCs w:val="10"/>
                <w:color w:val="auto"/>
              </w:rPr>
              <w:t>Accounting Standards Codification</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EPS</w:t>
            </w:r>
          </w:p>
        </w:tc>
        <w:tc>
          <w:tcPr>
            <w:tcW w:w="4160" w:type="dxa"/>
            <w:vAlign w:val="bottom"/>
          </w:tcPr>
          <w:p>
            <w:pPr>
              <w:ind w:left="60"/>
              <w:spacing w:after="0"/>
              <w:rPr>
                <w:sz w:val="20"/>
                <w:szCs w:val="20"/>
                <w:color w:val="auto"/>
              </w:rPr>
            </w:pPr>
            <w:r>
              <w:rPr>
                <w:rFonts w:ascii="Arial" w:cs="Arial" w:eastAsia="Arial" w:hAnsi="Arial"/>
                <w:sz w:val="10"/>
                <w:szCs w:val="10"/>
                <w:color w:val="auto"/>
              </w:rPr>
              <w:t>Earnings (loss) per share</w:t>
            </w: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b w:val="1"/>
                <w:bCs w:val="1"/>
                <w:color w:val="auto"/>
              </w:rPr>
              <w:t>BaaS</w:t>
            </w:r>
          </w:p>
        </w:tc>
        <w:tc>
          <w:tcPr>
            <w:tcW w:w="394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Banking as a service</w:t>
            </w:r>
          </w:p>
        </w:tc>
        <w:tc>
          <w:tcPr>
            <w:tcW w:w="1980" w:type="dxa"/>
            <w:vAlign w:val="bottom"/>
            <w:shd w:val="clear" w:color="auto" w:fill="CCEEFF"/>
          </w:tcPr>
          <w:p>
            <w:pPr>
              <w:ind w:left="540"/>
              <w:spacing w:after="0" w:line="108" w:lineRule="exact"/>
              <w:rPr>
                <w:sz w:val="20"/>
                <w:szCs w:val="20"/>
                <w:color w:val="auto"/>
              </w:rPr>
            </w:pPr>
            <w:r>
              <w:rPr>
                <w:rFonts w:ascii="Arial" w:cs="Arial" w:eastAsia="Arial" w:hAnsi="Arial"/>
                <w:sz w:val="10"/>
                <w:szCs w:val="10"/>
                <w:b w:val="1"/>
                <w:bCs w:val="1"/>
                <w:color w:val="auto"/>
              </w:rPr>
              <w:t>Equity Exchange Rights</w:t>
            </w:r>
          </w:p>
        </w:tc>
        <w:tc>
          <w:tcPr>
            <w:tcW w:w="4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w w:val="97"/>
              </w:rPr>
              <w:t>A right (but not an obligation) each of our founders has to require us to exchange, for shares of</w:t>
            </w:r>
          </w:p>
        </w:tc>
      </w:tr>
      <w:tr>
        <w:trPr>
          <w:trHeight w:val="103"/>
        </w:trPr>
        <w:tc>
          <w:tcPr>
            <w:tcW w:w="116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160" w:type="dxa"/>
            <w:vAlign w:val="bottom"/>
            <w:shd w:val="clear" w:color="auto" w:fill="CCEEFF"/>
          </w:tcPr>
          <w:p>
            <w:pPr>
              <w:ind w:left="60"/>
              <w:spacing w:after="0" w:line="103" w:lineRule="exact"/>
              <w:rPr>
                <w:sz w:val="20"/>
                <w:szCs w:val="20"/>
                <w:color w:val="auto"/>
              </w:rPr>
            </w:pPr>
            <w:r>
              <w:rPr>
                <w:rFonts w:ascii="Arial" w:cs="Arial" w:eastAsia="Arial" w:hAnsi="Arial"/>
                <w:sz w:val="10"/>
                <w:szCs w:val="10"/>
                <w:color w:val="auto"/>
              </w:rPr>
              <w:t>Class B common stock, any shares of Class A common stock received by them upon the</w:t>
            </w:r>
          </w:p>
        </w:tc>
      </w:tr>
      <w:tr>
        <w:trPr>
          <w:trHeight w:val="96"/>
        </w:trPr>
        <w:tc>
          <w:tcPr>
            <w:tcW w:w="116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160" w:type="dxa"/>
            <w:vAlign w:val="bottom"/>
            <w:shd w:val="clear" w:color="auto" w:fill="CCEEFF"/>
          </w:tcPr>
          <w:p>
            <w:pPr>
              <w:ind w:left="60"/>
              <w:spacing w:after="0" w:line="96" w:lineRule="exact"/>
              <w:rPr>
                <w:sz w:val="20"/>
                <w:szCs w:val="20"/>
                <w:color w:val="auto"/>
              </w:rPr>
            </w:pPr>
            <w:r>
              <w:rPr>
                <w:rFonts w:ascii="Arial" w:cs="Arial" w:eastAsia="Arial" w:hAnsi="Arial"/>
                <w:sz w:val="10"/>
                <w:szCs w:val="10"/>
                <w:color w:val="auto"/>
              </w:rPr>
              <w:t>vesting and settlement of pre-IPO RSUs, pursuant to the equity exchange right agreements</w:t>
            </w:r>
          </w:p>
        </w:tc>
      </w:tr>
      <w:tr>
        <w:trPr>
          <w:trHeight w:val="132"/>
        </w:trPr>
        <w:tc>
          <w:tcPr>
            <w:tcW w:w="116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entered into between us and each of our founders in connection with our IPO</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Barclays</w:t>
            </w:r>
          </w:p>
        </w:tc>
        <w:tc>
          <w:tcPr>
            <w:tcW w:w="3940" w:type="dxa"/>
            <w:vAlign w:val="bottom"/>
          </w:tcPr>
          <w:p>
            <w:pPr>
              <w:ind w:left="340"/>
              <w:spacing w:after="0"/>
              <w:rPr>
                <w:sz w:val="20"/>
                <w:szCs w:val="20"/>
                <w:color w:val="auto"/>
              </w:rPr>
            </w:pPr>
            <w:r>
              <w:rPr>
                <w:rFonts w:ascii="Arial" w:cs="Arial" w:eastAsia="Arial" w:hAnsi="Arial"/>
                <w:sz w:val="10"/>
                <w:szCs w:val="10"/>
                <w:color w:val="auto"/>
              </w:rPr>
              <w:t>Barclays Bank</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ERGs</w:t>
            </w:r>
          </w:p>
        </w:tc>
        <w:tc>
          <w:tcPr>
            <w:tcW w:w="4160" w:type="dxa"/>
            <w:vAlign w:val="bottom"/>
          </w:tcPr>
          <w:p>
            <w:pPr>
              <w:ind w:left="60"/>
              <w:spacing w:after="0"/>
              <w:rPr>
                <w:sz w:val="20"/>
                <w:szCs w:val="20"/>
                <w:color w:val="auto"/>
              </w:rPr>
            </w:pPr>
            <w:r>
              <w:rPr>
                <w:rFonts w:ascii="Arial" w:cs="Arial" w:eastAsia="Arial" w:hAnsi="Arial"/>
                <w:sz w:val="10"/>
                <w:szCs w:val="10"/>
                <w:color w:val="auto"/>
              </w:rPr>
              <w:t>Employee Resource Groups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Binance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Binance Holdings Ltd., and its affiliated U.S. entity, among others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ERM</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Enterprise Risk Management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Bitstamp</w:t>
            </w:r>
          </w:p>
        </w:tc>
        <w:tc>
          <w:tcPr>
            <w:tcW w:w="3940" w:type="dxa"/>
            <w:vAlign w:val="bottom"/>
          </w:tcPr>
          <w:p>
            <w:pPr>
              <w:ind w:left="340"/>
              <w:spacing w:after="0"/>
              <w:rPr>
                <w:sz w:val="20"/>
                <w:szCs w:val="20"/>
                <w:color w:val="auto"/>
              </w:rPr>
            </w:pPr>
            <w:r>
              <w:rPr>
                <w:rFonts w:ascii="Arial" w:cs="Arial" w:eastAsia="Arial" w:hAnsi="Arial"/>
                <w:sz w:val="10"/>
                <w:szCs w:val="10"/>
                <w:color w:val="auto"/>
              </w:rPr>
              <w:t>Bitstamp Ltd.</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ESPP</w:t>
            </w:r>
          </w:p>
        </w:tc>
        <w:tc>
          <w:tcPr>
            <w:tcW w:w="4160" w:type="dxa"/>
            <w:vAlign w:val="bottom"/>
          </w:tcPr>
          <w:p>
            <w:pPr>
              <w:ind w:left="60"/>
              <w:spacing w:after="0"/>
              <w:rPr>
                <w:sz w:val="20"/>
                <w:szCs w:val="20"/>
                <w:color w:val="auto"/>
              </w:rPr>
            </w:pPr>
            <w:r>
              <w:rPr>
                <w:rFonts w:ascii="Arial" w:cs="Arial" w:eastAsia="Arial" w:hAnsi="Arial"/>
                <w:sz w:val="10"/>
                <w:szCs w:val="10"/>
                <w:color w:val="auto"/>
              </w:rPr>
              <w:t>Employee Share Purchase Plan</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BOATS</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Blue Oceans ATS, LLC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ETFs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Exchange Traded Funds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Bribery Act</w:t>
            </w:r>
          </w:p>
        </w:tc>
        <w:tc>
          <w:tcPr>
            <w:tcW w:w="3940" w:type="dxa"/>
            <w:vAlign w:val="bottom"/>
          </w:tcPr>
          <w:p>
            <w:pPr>
              <w:ind w:left="340"/>
              <w:spacing w:after="0"/>
              <w:rPr>
                <w:sz w:val="20"/>
                <w:szCs w:val="20"/>
                <w:color w:val="auto"/>
              </w:rPr>
            </w:pPr>
            <w:r>
              <w:rPr>
                <w:rFonts w:ascii="Arial" w:cs="Arial" w:eastAsia="Arial" w:hAnsi="Arial"/>
                <w:sz w:val="10"/>
                <w:szCs w:val="10"/>
                <w:color w:val="auto"/>
              </w:rPr>
              <w:t>U.K. Bribery Act 2010</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ETPs</w:t>
            </w:r>
          </w:p>
        </w:tc>
        <w:tc>
          <w:tcPr>
            <w:tcW w:w="4160" w:type="dxa"/>
            <w:vAlign w:val="bottom"/>
          </w:tcPr>
          <w:p>
            <w:pPr>
              <w:ind w:left="60"/>
              <w:spacing w:after="0"/>
              <w:rPr>
                <w:sz w:val="20"/>
                <w:szCs w:val="20"/>
                <w:color w:val="auto"/>
              </w:rPr>
            </w:pPr>
            <w:r>
              <w:rPr>
                <w:rFonts w:ascii="Arial" w:cs="Arial" w:eastAsia="Arial" w:hAnsi="Arial"/>
                <w:sz w:val="10"/>
                <w:szCs w:val="10"/>
                <w:color w:val="auto"/>
              </w:rPr>
              <w:t>Exchange Traded Products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BSV</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Bitcoin SV</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EU</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The European Union</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Bylaws</w:t>
            </w:r>
          </w:p>
        </w:tc>
        <w:tc>
          <w:tcPr>
            <w:tcW w:w="3940" w:type="dxa"/>
            <w:vAlign w:val="bottom"/>
          </w:tcPr>
          <w:p>
            <w:pPr>
              <w:ind w:left="340"/>
              <w:spacing w:after="0"/>
              <w:rPr>
                <w:sz w:val="20"/>
                <w:szCs w:val="20"/>
                <w:color w:val="auto"/>
              </w:rPr>
            </w:pPr>
            <w:r>
              <w:rPr>
                <w:rFonts w:ascii="Arial" w:cs="Arial" w:eastAsia="Arial" w:hAnsi="Arial"/>
                <w:sz w:val="10"/>
                <w:szCs w:val="10"/>
                <w:color w:val="auto"/>
              </w:rPr>
              <w:t>Amended and Restated Bylaws</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Exchange Act</w:t>
            </w:r>
          </w:p>
        </w:tc>
        <w:tc>
          <w:tcPr>
            <w:tcW w:w="4160" w:type="dxa"/>
            <w:vAlign w:val="bottom"/>
          </w:tcPr>
          <w:p>
            <w:pPr>
              <w:ind w:left="60"/>
              <w:spacing w:after="0"/>
              <w:rPr>
                <w:sz w:val="20"/>
                <w:szCs w:val="20"/>
                <w:color w:val="auto"/>
              </w:rPr>
            </w:pPr>
            <w:r>
              <w:rPr>
                <w:rFonts w:ascii="Arial" w:cs="Arial" w:eastAsia="Arial" w:hAnsi="Arial"/>
                <w:sz w:val="10"/>
                <w:szCs w:val="10"/>
                <w:color w:val="auto"/>
              </w:rPr>
              <w:t>Securities Exchange Act of 1934, as amended</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Canadian dollars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FASB</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Accounting Standards Board</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CAGO</w:t>
            </w:r>
          </w:p>
        </w:tc>
        <w:tc>
          <w:tcPr>
            <w:tcW w:w="3940" w:type="dxa"/>
            <w:vAlign w:val="bottom"/>
          </w:tcPr>
          <w:p>
            <w:pPr>
              <w:ind w:left="340"/>
              <w:spacing w:after="0"/>
              <w:rPr>
                <w:sz w:val="20"/>
                <w:szCs w:val="20"/>
                <w:color w:val="auto"/>
              </w:rPr>
            </w:pPr>
            <w:r>
              <w:rPr>
                <w:rFonts w:ascii="Arial" w:cs="Arial" w:eastAsia="Arial" w:hAnsi="Arial"/>
                <w:sz w:val="10"/>
                <w:szCs w:val="10"/>
                <w:color w:val="auto"/>
              </w:rPr>
              <w:t>California Attorney General’s Office</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FCA</w:t>
            </w:r>
          </w:p>
        </w:tc>
        <w:tc>
          <w:tcPr>
            <w:tcW w:w="4160" w:type="dxa"/>
            <w:vAlign w:val="bottom"/>
          </w:tcPr>
          <w:p>
            <w:pPr>
              <w:ind w:left="60"/>
              <w:spacing w:after="0"/>
              <w:rPr>
                <w:sz w:val="20"/>
                <w:szCs w:val="20"/>
                <w:color w:val="auto"/>
              </w:rPr>
            </w:pPr>
            <w:r>
              <w:rPr>
                <w:rFonts w:ascii="Arial" w:cs="Arial" w:eastAsia="Arial" w:hAnsi="Arial"/>
                <w:sz w:val="10"/>
                <w:szCs w:val="10"/>
                <w:color w:val="auto"/>
              </w:rPr>
              <w:t>Financial Conduct Authority</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CASP</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Crypto asset service providers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FCM</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Futures Commission Merchant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CAT</w:t>
            </w:r>
          </w:p>
        </w:tc>
        <w:tc>
          <w:tcPr>
            <w:tcW w:w="3940" w:type="dxa"/>
            <w:vAlign w:val="bottom"/>
          </w:tcPr>
          <w:p>
            <w:pPr>
              <w:ind w:left="340"/>
              <w:spacing w:after="0"/>
              <w:rPr>
                <w:sz w:val="20"/>
                <w:szCs w:val="20"/>
                <w:color w:val="auto"/>
              </w:rPr>
            </w:pPr>
            <w:r>
              <w:rPr>
                <w:rFonts w:ascii="Arial" w:cs="Arial" w:eastAsia="Arial" w:hAnsi="Arial"/>
                <w:sz w:val="10"/>
                <w:szCs w:val="10"/>
                <w:color w:val="auto"/>
              </w:rPr>
              <w:t>Consolidated Audit Trail</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FCPA</w:t>
            </w:r>
          </w:p>
        </w:tc>
        <w:tc>
          <w:tcPr>
            <w:tcW w:w="4160" w:type="dxa"/>
            <w:vAlign w:val="bottom"/>
          </w:tcPr>
          <w:p>
            <w:pPr>
              <w:ind w:left="60"/>
              <w:spacing w:after="0"/>
              <w:rPr>
                <w:sz w:val="20"/>
                <w:szCs w:val="20"/>
                <w:color w:val="auto"/>
              </w:rPr>
            </w:pPr>
            <w:r>
              <w:rPr>
                <w:rFonts w:ascii="Arial" w:cs="Arial" w:eastAsia="Arial" w:hAnsi="Arial"/>
                <w:sz w:val="10"/>
                <w:szCs w:val="10"/>
                <w:color w:val="auto"/>
              </w:rPr>
              <w:t>Foreign Corrupt Practices Act</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CEA</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U.S. Commodity Exchange Act</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FDCPA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Fair Debt Collections Practices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Celsius</w:t>
            </w:r>
          </w:p>
        </w:tc>
        <w:tc>
          <w:tcPr>
            <w:tcW w:w="3940" w:type="dxa"/>
            <w:vAlign w:val="bottom"/>
          </w:tcPr>
          <w:p>
            <w:pPr>
              <w:ind w:left="340"/>
              <w:spacing w:after="0"/>
              <w:rPr>
                <w:sz w:val="20"/>
                <w:szCs w:val="20"/>
                <w:color w:val="auto"/>
              </w:rPr>
            </w:pPr>
            <w:r>
              <w:rPr>
                <w:rFonts w:ascii="Arial" w:cs="Arial" w:eastAsia="Arial" w:hAnsi="Arial"/>
                <w:sz w:val="10"/>
                <w:szCs w:val="10"/>
                <w:color w:val="auto"/>
              </w:rPr>
              <w:t>Celsius Network LLC</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FDIC</w:t>
            </w:r>
          </w:p>
        </w:tc>
        <w:tc>
          <w:tcPr>
            <w:tcW w:w="4160" w:type="dxa"/>
            <w:vAlign w:val="bottom"/>
          </w:tcPr>
          <w:p>
            <w:pPr>
              <w:ind w:left="60"/>
              <w:spacing w:after="0"/>
              <w:rPr>
                <w:sz w:val="20"/>
                <w:szCs w:val="20"/>
                <w:color w:val="auto"/>
              </w:rPr>
            </w:pPr>
            <w:r>
              <w:rPr>
                <w:rFonts w:ascii="Arial" w:cs="Arial" w:eastAsia="Arial" w:hAnsi="Arial"/>
                <w:sz w:val="10"/>
                <w:szCs w:val="10"/>
                <w:color w:val="auto"/>
              </w:rPr>
              <w:t>Federal Deposit Insurance Corporation</w:t>
            </w: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b w:val="1"/>
                <w:bCs w:val="1"/>
                <w:color w:val="auto"/>
              </w:rPr>
              <w:t>CEO</w:t>
            </w:r>
          </w:p>
        </w:tc>
        <w:tc>
          <w:tcPr>
            <w:tcW w:w="394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Chief Executive Officer</w:t>
            </w:r>
          </w:p>
        </w:tc>
        <w:tc>
          <w:tcPr>
            <w:tcW w:w="1980" w:type="dxa"/>
            <w:vAlign w:val="bottom"/>
            <w:shd w:val="clear" w:color="auto" w:fill="CCEEFF"/>
          </w:tcPr>
          <w:p>
            <w:pPr>
              <w:ind w:left="540"/>
              <w:spacing w:after="0" w:line="108" w:lineRule="exact"/>
              <w:rPr>
                <w:sz w:val="20"/>
                <w:szCs w:val="20"/>
                <w:color w:val="auto"/>
              </w:rPr>
            </w:pPr>
            <w:r>
              <w:rPr>
                <w:rFonts w:ascii="Arial" w:cs="Arial" w:eastAsia="Arial" w:hAnsi="Arial"/>
                <w:sz w:val="10"/>
                <w:szCs w:val="10"/>
                <w:b w:val="1"/>
                <w:bCs w:val="1"/>
                <w:color w:val="auto"/>
              </w:rPr>
              <w:t>Final Rules</w:t>
            </w:r>
          </w:p>
        </w:tc>
        <w:tc>
          <w:tcPr>
            <w:tcW w:w="4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Final rules under SEC Release No. 34-99678 and No. 33-11275, “The Enhancement and</w:t>
            </w:r>
          </w:p>
        </w:tc>
      </w:tr>
      <w:tr>
        <w:trPr>
          <w:trHeight w:val="146"/>
        </w:trPr>
        <w:tc>
          <w:tcPr>
            <w:tcW w:w="116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Standardization of Climate-Related Disclosures for Investors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CFPB</w:t>
            </w:r>
          </w:p>
        </w:tc>
        <w:tc>
          <w:tcPr>
            <w:tcW w:w="3940" w:type="dxa"/>
            <w:vAlign w:val="bottom"/>
          </w:tcPr>
          <w:p>
            <w:pPr>
              <w:ind w:left="340"/>
              <w:spacing w:after="0"/>
              <w:rPr>
                <w:sz w:val="20"/>
                <w:szCs w:val="20"/>
                <w:color w:val="auto"/>
              </w:rPr>
            </w:pPr>
            <w:r>
              <w:rPr>
                <w:rFonts w:ascii="Arial" w:cs="Arial" w:eastAsia="Arial" w:hAnsi="Arial"/>
                <w:sz w:val="10"/>
                <w:szCs w:val="10"/>
                <w:color w:val="auto"/>
              </w:rPr>
              <w:t>Consumer Financial Protection Bureau</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FinCEN</w:t>
            </w:r>
          </w:p>
        </w:tc>
        <w:tc>
          <w:tcPr>
            <w:tcW w:w="4160" w:type="dxa"/>
            <w:vAlign w:val="bottom"/>
          </w:tcPr>
          <w:p>
            <w:pPr>
              <w:ind w:left="60"/>
              <w:spacing w:after="0"/>
              <w:rPr>
                <w:sz w:val="20"/>
                <w:szCs w:val="20"/>
                <w:color w:val="auto"/>
              </w:rPr>
            </w:pPr>
            <w:r>
              <w:rPr>
                <w:rFonts w:ascii="Arial" w:cs="Arial" w:eastAsia="Arial" w:hAnsi="Arial"/>
                <w:sz w:val="10"/>
                <w:szCs w:val="10"/>
                <w:color w:val="auto"/>
              </w:rPr>
              <w:t>Financial Crimes Enforcement Network</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CFT</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Countering the Financing of Terrorism</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FINRA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Industry Regulatory Authority</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CFTC</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Commodity Futures Trading Commission</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w w:val="97"/>
              </w:rPr>
              <w:t>Fixed-Term Securities Lending</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Fixed-term securities lending agreements with two financial institution counterparties, as</w:t>
            </w:r>
          </w:p>
        </w:tc>
      </w:tr>
      <w:tr>
        <w:trPr>
          <w:trHeight w:val="140"/>
        </w:trPr>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Agreements</w:t>
            </w:r>
          </w:p>
        </w:tc>
        <w:tc>
          <w:tcPr>
            <w:tcW w:w="4160" w:type="dxa"/>
            <w:vAlign w:val="bottom"/>
          </w:tcPr>
          <w:p>
            <w:pPr>
              <w:ind w:left="60"/>
              <w:spacing w:after="0"/>
              <w:rPr>
                <w:sz w:val="20"/>
                <w:szCs w:val="20"/>
                <w:color w:val="auto"/>
              </w:rPr>
            </w:pPr>
            <w:r>
              <w:rPr>
                <w:rFonts w:ascii="Arial" w:cs="Arial" w:eastAsia="Arial" w:hAnsi="Arial"/>
                <w:sz w:val="10"/>
                <w:szCs w:val="10"/>
                <w:color w:val="auto"/>
              </w:rPr>
              <w:t>described below</w:t>
            </w:r>
          </w:p>
        </w:tc>
      </w:tr>
      <w:tr>
        <w:trPr>
          <w:trHeight w:val="151"/>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Charter</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Amended and Restated Certificate of Incorporation</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Founder Affiliates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Founders related entities</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CIP</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Customer identification program</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rPr>
              <w:t>Founders’ Voting Agreement</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w w:val="98"/>
              </w:rPr>
              <w:t>Voting Agreement, dated July 26, 2021, among RHM, Baiju Bhatt, Vladimir Tenev, and certain</w:t>
            </w:r>
          </w:p>
        </w:tc>
      </w:tr>
      <w:tr>
        <w:trPr>
          <w:trHeight w:val="136"/>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60" w:type="dxa"/>
            <w:vAlign w:val="bottom"/>
          </w:tcPr>
          <w:p>
            <w:pPr>
              <w:ind w:left="60"/>
              <w:spacing w:after="0"/>
              <w:rPr>
                <w:sz w:val="20"/>
                <w:szCs w:val="20"/>
                <w:color w:val="auto"/>
              </w:rPr>
            </w:pPr>
            <w:r>
              <w:rPr>
                <w:rFonts w:ascii="Arial" w:cs="Arial" w:eastAsia="Arial" w:hAnsi="Arial"/>
                <w:sz w:val="10"/>
                <w:szCs w:val="10"/>
                <w:color w:val="auto"/>
              </w:rPr>
              <w:t>related entities</w:t>
            </w:r>
          </w:p>
        </w:tc>
      </w:tr>
      <w:tr>
        <w:trPr>
          <w:trHeight w:val="155"/>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Circle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Circle Internet Financial, LLC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Fourth parties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Third parties’ common suppliers or vendors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CISO</w:t>
            </w:r>
          </w:p>
        </w:tc>
        <w:tc>
          <w:tcPr>
            <w:tcW w:w="3940" w:type="dxa"/>
            <w:vAlign w:val="bottom"/>
          </w:tcPr>
          <w:p>
            <w:pPr>
              <w:ind w:left="340"/>
              <w:spacing w:after="0"/>
              <w:rPr>
                <w:sz w:val="20"/>
                <w:szCs w:val="20"/>
                <w:color w:val="auto"/>
              </w:rPr>
            </w:pPr>
            <w:r>
              <w:rPr>
                <w:rFonts w:ascii="Arial" w:cs="Arial" w:eastAsia="Arial" w:hAnsi="Arial"/>
                <w:sz w:val="10"/>
                <w:szCs w:val="10"/>
                <w:color w:val="auto"/>
              </w:rPr>
              <w:t>Chief Information Security Officer</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FTX</w:t>
            </w:r>
          </w:p>
        </w:tc>
        <w:tc>
          <w:tcPr>
            <w:tcW w:w="4160" w:type="dxa"/>
            <w:vAlign w:val="bottom"/>
          </w:tcPr>
          <w:p>
            <w:pPr>
              <w:ind w:left="60"/>
              <w:spacing w:after="0"/>
              <w:rPr>
                <w:sz w:val="20"/>
                <w:szCs w:val="20"/>
                <w:color w:val="auto"/>
              </w:rPr>
            </w:pPr>
            <w:r>
              <w:rPr>
                <w:rFonts w:ascii="Arial" w:cs="Arial" w:eastAsia="Arial" w:hAnsi="Arial"/>
                <w:sz w:val="10"/>
                <w:szCs w:val="10"/>
                <w:color w:val="auto"/>
              </w:rPr>
              <w:t>FTX Trading Ltd.</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CLARITY Act</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Digital Asset Market Clarity Act of 2025</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Futures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Futures contracts, which includes options on futures and swaps, including event contracts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Coastal Bank</w:t>
            </w:r>
          </w:p>
        </w:tc>
        <w:tc>
          <w:tcPr>
            <w:tcW w:w="3940" w:type="dxa"/>
            <w:vAlign w:val="bottom"/>
          </w:tcPr>
          <w:p>
            <w:pPr>
              <w:ind w:left="340"/>
              <w:spacing w:after="0"/>
              <w:rPr>
                <w:sz w:val="20"/>
                <w:szCs w:val="20"/>
                <w:color w:val="auto"/>
              </w:rPr>
            </w:pPr>
            <w:r>
              <w:rPr>
                <w:rFonts w:ascii="Arial" w:cs="Arial" w:eastAsia="Arial" w:hAnsi="Arial"/>
                <w:sz w:val="10"/>
                <w:szCs w:val="10"/>
                <w:color w:val="auto"/>
              </w:rPr>
              <w:t>Coastal Community Bank</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GAAP</w:t>
            </w:r>
          </w:p>
        </w:tc>
        <w:tc>
          <w:tcPr>
            <w:tcW w:w="4160" w:type="dxa"/>
            <w:vAlign w:val="bottom"/>
          </w:tcPr>
          <w:p>
            <w:pPr>
              <w:ind w:left="60"/>
              <w:spacing w:after="0"/>
              <w:rPr>
                <w:sz w:val="20"/>
                <w:szCs w:val="20"/>
                <w:color w:val="auto"/>
              </w:rPr>
            </w:pPr>
            <w:r>
              <w:rPr>
                <w:rFonts w:ascii="Arial" w:cs="Arial" w:eastAsia="Arial" w:hAnsi="Arial"/>
                <w:sz w:val="10"/>
                <w:szCs w:val="10"/>
                <w:color w:val="auto"/>
              </w:rPr>
              <w:t>Generally accepted accounting principles in the United States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Code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Internal Revenue Code of 1986, as amended</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GBP</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British pounds sterling</w:t>
            </w:r>
          </w:p>
        </w:tc>
      </w:tr>
      <w:tr>
        <w:trPr>
          <w:trHeight w:val="142"/>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CODM</w:t>
            </w:r>
          </w:p>
        </w:tc>
        <w:tc>
          <w:tcPr>
            <w:tcW w:w="3940" w:type="dxa"/>
            <w:vAlign w:val="bottom"/>
          </w:tcPr>
          <w:p>
            <w:pPr>
              <w:ind w:left="340"/>
              <w:spacing w:after="0"/>
              <w:rPr>
                <w:sz w:val="20"/>
                <w:szCs w:val="20"/>
                <w:color w:val="auto"/>
              </w:rPr>
            </w:pPr>
            <w:r>
              <w:rPr>
                <w:rFonts w:ascii="Arial" w:cs="Arial" w:eastAsia="Arial" w:hAnsi="Arial"/>
                <w:sz w:val="10"/>
                <w:szCs w:val="10"/>
                <w:color w:val="auto"/>
              </w:rPr>
              <w:t>Chief Operating Decision Maker</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GENIUS Act</w:t>
            </w:r>
          </w:p>
        </w:tc>
        <w:tc>
          <w:tcPr>
            <w:tcW w:w="4160" w:type="dxa"/>
            <w:vAlign w:val="bottom"/>
          </w:tcPr>
          <w:p>
            <w:pPr>
              <w:ind w:left="60"/>
              <w:spacing w:after="0"/>
              <w:rPr>
                <w:sz w:val="20"/>
                <w:szCs w:val="20"/>
                <w:color w:val="auto"/>
              </w:rPr>
            </w:pPr>
            <w:r>
              <w:rPr>
                <w:rFonts w:ascii="Arial" w:cs="Arial" w:eastAsia="Arial" w:hAnsi="Arial"/>
                <w:sz w:val="10"/>
                <w:szCs w:val="10"/>
                <w:color w:val="auto"/>
              </w:rPr>
              <w:t>Guiding and Establishing National Innovation for U.S. Stablecoins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GHG</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Greenhouse gas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 March 2025 Credit</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7"/>
              </w:rPr>
              <w:t>Fourth Amended and Restated Credit Agreement, dated as of March 21, 2025, among RH</w:t>
            </w:r>
          </w:p>
        </w:tc>
      </w:tr>
      <w:tr>
        <w:trPr>
          <w:trHeight w:val="146"/>
        </w:trPr>
        <w:tc>
          <w:tcPr>
            <w:tcW w:w="130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Agreement</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6"/>
              </w:rPr>
              <w:t>borrower, the lenders party thereto, and JPMorgan Chase Bank, N.A., as administrative ag</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GM</w:t>
            </w:r>
          </w:p>
        </w:tc>
        <w:tc>
          <w:tcPr>
            <w:tcW w:w="4320" w:type="dxa"/>
            <w:vAlign w:val="bottom"/>
          </w:tcPr>
          <w:p>
            <w:pPr>
              <w:ind w:left="200"/>
              <w:spacing w:after="0"/>
              <w:rPr>
                <w:sz w:val="20"/>
                <w:szCs w:val="20"/>
                <w:color w:val="auto"/>
              </w:rPr>
            </w:pPr>
            <w:r>
              <w:rPr>
                <w:rFonts w:ascii="Arial" w:cs="Arial" w:eastAsia="Arial" w:hAnsi="Arial"/>
                <w:sz w:val="10"/>
                <w:szCs w:val="10"/>
                <w:color w:val="auto"/>
              </w:rPr>
              <w:t>General manager</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RHUK</w:t>
            </w:r>
          </w:p>
        </w:tc>
        <w:tc>
          <w:tcPr>
            <w:tcW w:w="3940" w:type="dxa"/>
            <w:vAlign w:val="bottom"/>
          </w:tcPr>
          <w:p>
            <w:pPr>
              <w:ind w:left="40"/>
              <w:spacing w:after="0"/>
              <w:rPr>
                <w:sz w:val="20"/>
                <w:szCs w:val="20"/>
                <w:color w:val="auto"/>
              </w:rPr>
            </w:pPr>
            <w:r>
              <w:rPr>
                <w:rFonts w:ascii="Arial" w:cs="Arial" w:eastAsia="Arial" w:hAnsi="Arial"/>
                <w:sz w:val="10"/>
                <w:szCs w:val="10"/>
                <w:color w:val="auto"/>
              </w:rPr>
              <w:t>Robinhood U.K. Ltd</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IPO</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Initial public offering</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RHV</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Robinhood Ventures DE, LLC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IRA</w:t>
            </w:r>
          </w:p>
        </w:tc>
        <w:tc>
          <w:tcPr>
            <w:tcW w:w="4320" w:type="dxa"/>
            <w:vAlign w:val="bottom"/>
          </w:tcPr>
          <w:p>
            <w:pPr>
              <w:ind w:left="200"/>
              <w:spacing w:after="0"/>
              <w:rPr>
                <w:sz w:val="20"/>
                <w:szCs w:val="20"/>
                <w:color w:val="auto"/>
              </w:rPr>
            </w:pPr>
            <w:r>
              <w:rPr>
                <w:rFonts w:ascii="Arial" w:cs="Arial" w:eastAsia="Arial" w:hAnsi="Arial"/>
                <w:sz w:val="10"/>
                <w:szCs w:val="10"/>
                <w:color w:val="auto"/>
              </w:rPr>
              <w:t>Individual Retirement Account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RHY</w:t>
            </w:r>
          </w:p>
        </w:tc>
        <w:tc>
          <w:tcPr>
            <w:tcW w:w="3940" w:type="dxa"/>
            <w:vAlign w:val="bottom"/>
          </w:tcPr>
          <w:p>
            <w:pPr>
              <w:ind w:left="40"/>
              <w:spacing w:after="0"/>
              <w:rPr>
                <w:sz w:val="20"/>
                <w:szCs w:val="20"/>
                <w:color w:val="auto"/>
              </w:rPr>
            </w:pPr>
            <w:r>
              <w:rPr>
                <w:rFonts w:ascii="Arial" w:cs="Arial" w:eastAsia="Arial" w:hAnsi="Arial"/>
                <w:sz w:val="10"/>
                <w:szCs w:val="10"/>
                <w:color w:val="auto"/>
              </w:rPr>
              <w:t>Robinhood Money, LLC</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ISA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Individual Saving Account</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RIAs</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Registered Investment Advisors</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ISOs</w:t>
            </w:r>
          </w:p>
        </w:tc>
        <w:tc>
          <w:tcPr>
            <w:tcW w:w="4320" w:type="dxa"/>
            <w:vAlign w:val="bottom"/>
          </w:tcPr>
          <w:p>
            <w:pPr>
              <w:ind w:left="200"/>
              <w:spacing w:after="0"/>
              <w:rPr>
                <w:sz w:val="20"/>
                <w:szCs w:val="20"/>
                <w:color w:val="auto"/>
              </w:rPr>
            </w:pPr>
            <w:r>
              <w:rPr>
                <w:rFonts w:ascii="Arial" w:cs="Arial" w:eastAsia="Arial" w:hAnsi="Arial"/>
                <w:sz w:val="10"/>
                <w:szCs w:val="10"/>
                <w:color w:val="auto"/>
              </w:rPr>
              <w:t>Incentive stock options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RITA</w:t>
            </w:r>
          </w:p>
        </w:tc>
        <w:tc>
          <w:tcPr>
            <w:tcW w:w="3940" w:type="dxa"/>
            <w:vAlign w:val="bottom"/>
          </w:tcPr>
          <w:p>
            <w:pPr>
              <w:ind w:left="40"/>
              <w:spacing w:after="0"/>
              <w:rPr>
                <w:sz w:val="20"/>
                <w:szCs w:val="20"/>
                <w:color w:val="auto"/>
              </w:rPr>
            </w:pPr>
            <w:r>
              <w:rPr>
                <w:rFonts w:ascii="Arial" w:cs="Arial" w:eastAsia="Arial" w:hAnsi="Arial"/>
                <w:sz w:val="10"/>
                <w:szCs w:val="10"/>
                <w:color w:val="auto"/>
              </w:rPr>
              <w:t>Residual Interest Targeted Amount</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Kraken</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Payward, Inc. and Payward Ventures Inc.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Robinhood Credit</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Robinhood Credit, Inc.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MAC</w:t>
            </w:r>
          </w:p>
        </w:tc>
        <w:tc>
          <w:tcPr>
            <w:tcW w:w="4320" w:type="dxa"/>
            <w:vAlign w:val="bottom"/>
          </w:tcPr>
          <w:p>
            <w:pPr>
              <w:ind w:left="200"/>
              <w:spacing w:after="0"/>
              <w:rPr>
                <w:sz w:val="20"/>
                <w:szCs w:val="20"/>
                <w:color w:val="auto"/>
              </w:rPr>
            </w:pPr>
            <w:r>
              <w:rPr>
                <w:rFonts w:ascii="Arial" w:cs="Arial" w:eastAsia="Arial" w:hAnsi="Arial"/>
                <w:sz w:val="10"/>
                <w:szCs w:val="10"/>
                <w:color w:val="auto"/>
              </w:rPr>
              <w:t>Materiality Assessment Committee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ROC</w:t>
            </w:r>
          </w:p>
        </w:tc>
        <w:tc>
          <w:tcPr>
            <w:tcW w:w="3940" w:type="dxa"/>
            <w:vAlign w:val="bottom"/>
          </w:tcPr>
          <w:p>
            <w:pPr>
              <w:ind w:left="40"/>
              <w:spacing w:after="0"/>
              <w:rPr>
                <w:sz w:val="20"/>
                <w:szCs w:val="20"/>
                <w:color w:val="auto"/>
              </w:rPr>
            </w:pPr>
            <w:r>
              <w:rPr>
                <w:rFonts w:ascii="Arial" w:cs="Arial" w:eastAsia="Arial" w:hAnsi="Arial"/>
                <w:sz w:val="10"/>
                <w:szCs w:val="10"/>
                <w:color w:val="auto"/>
              </w:rPr>
              <w:t>Risk Operating Committee</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Marex</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Marex North America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Rothera</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Rothera LLC</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Market-Based RSUs</w:t>
            </w:r>
          </w:p>
        </w:tc>
        <w:tc>
          <w:tcPr>
            <w:tcW w:w="578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 xml:space="preserve">RSUs that vest upon the satisfaction of all the following conditions: time-based service </w:t>
            </w:r>
            <w:r>
              <w:rPr>
                <w:rFonts w:ascii="Arial" w:cs="Arial" w:eastAsia="Arial" w:hAnsi="Arial"/>
                <w:sz w:val="10"/>
                <w:szCs w:val="10"/>
                <w:b w:val="1"/>
                <w:bCs w:val="1"/>
                <w:color w:val="auto"/>
              </w:rPr>
              <w:t>Rothera E&amp;C</w:t>
            </w:r>
          </w:p>
        </w:tc>
        <w:tc>
          <w:tcPr>
            <w:tcW w:w="3940" w:type="dxa"/>
            <w:vAlign w:val="bottom"/>
          </w:tcPr>
          <w:p>
            <w:pPr>
              <w:ind w:left="40"/>
              <w:spacing w:after="0" w:line="106" w:lineRule="exact"/>
              <w:rPr>
                <w:sz w:val="20"/>
                <w:szCs w:val="20"/>
                <w:color w:val="auto"/>
              </w:rPr>
            </w:pPr>
            <w:r>
              <w:rPr>
                <w:rFonts w:ascii="Arial" w:cs="Arial" w:eastAsia="Arial" w:hAnsi="Arial"/>
                <w:sz w:val="10"/>
                <w:szCs w:val="10"/>
                <w:color w:val="auto"/>
                <w:w w:val="98"/>
              </w:rPr>
              <w:t>Rothera Exchange and Clearing LLC (formerly LedgerX LLC, doing business as MIAXdx)</w:t>
            </w:r>
          </w:p>
        </w:tc>
      </w:tr>
      <w:tr>
        <w:trPr>
          <w:trHeight w:val="136"/>
        </w:trPr>
        <w:tc>
          <w:tcPr>
            <w:tcW w:w="1300" w:type="dxa"/>
            <w:vAlign w:val="bottom"/>
          </w:tcPr>
          <w:p>
            <w:pPr>
              <w:spacing w:after="0"/>
              <w:rPr>
                <w:sz w:val="11"/>
                <w:szCs w:val="11"/>
                <w:color w:val="auto"/>
              </w:rPr>
            </w:pPr>
          </w:p>
        </w:tc>
        <w:tc>
          <w:tcPr>
            <w:tcW w:w="4320" w:type="dxa"/>
            <w:vAlign w:val="bottom"/>
          </w:tcPr>
          <w:p>
            <w:pPr>
              <w:ind w:left="200"/>
              <w:spacing w:after="0"/>
              <w:rPr>
                <w:sz w:val="20"/>
                <w:szCs w:val="20"/>
                <w:color w:val="auto"/>
              </w:rPr>
            </w:pPr>
            <w:r>
              <w:rPr>
                <w:rFonts w:ascii="Arial" w:cs="Arial" w:eastAsia="Arial" w:hAnsi="Arial"/>
                <w:sz w:val="10"/>
                <w:szCs w:val="10"/>
                <w:color w:val="auto"/>
              </w:rPr>
              <w:t>conditions, performance-based conditions, and market-based conditions</w:t>
            </w:r>
          </w:p>
        </w:tc>
        <w:tc>
          <w:tcPr>
            <w:tcW w:w="1460" w:type="dxa"/>
            <w:vAlign w:val="bottom"/>
          </w:tcPr>
          <w:p>
            <w:pPr>
              <w:spacing w:after="0"/>
              <w:rPr>
                <w:sz w:val="11"/>
                <w:szCs w:val="11"/>
                <w:color w:val="auto"/>
              </w:rPr>
            </w:pPr>
          </w:p>
        </w:tc>
        <w:tc>
          <w:tcPr>
            <w:tcW w:w="3940" w:type="dxa"/>
            <w:vAlign w:val="bottom"/>
          </w:tcPr>
          <w:p>
            <w:pPr>
              <w:spacing w:after="0"/>
              <w:rPr>
                <w:sz w:val="11"/>
                <w:szCs w:val="11"/>
                <w:color w:val="auto"/>
              </w:rPr>
            </w:pPr>
          </w:p>
        </w:tc>
      </w:tr>
      <w:tr>
        <w:trPr>
          <w:trHeight w:val="15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Market Makers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Non-exchange liquidity providers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RSAs</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Restricted stock awards</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MAS</w:t>
            </w:r>
          </w:p>
        </w:tc>
        <w:tc>
          <w:tcPr>
            <w:tcW w:w="4320" w:type="dxa"/>
            <w:vAlign w:val="bottom"/>
          </w:tcPr>
          <w:p>
            <w:pPr>
              <w:ind w:left="200"/>
              <w:spacing w:after="0"/>
              <w:rPr>
                <w:sz w:val="20"/>
                <w:szCs w:val="20"/>
                <w:color w:val="auto"/>
              </w:rPr>
            </w:pPr>
            <w:r>
              <w:rPr>
                <w:rFonts w:ascii="Arial" w:cs="Arial" w:eastAsia="Arial" w:hAnsi="Arial"/>
                <w:sz w:val="10"/>
                <w:szCs w:val="10"/>
                <w:color w:val="auto"/>
              </w:rPr>
              <w:t>Monetary Authority of Singapore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RSUs</w:t>
            </w:r>
          </w:p>
        </w:tc>
        <w:tc>
          <w:tcPr>
            <w:tcW w:w="3940" w:type="dxa"/>
            <w:vAlign w:val="bottom"/>
          </w:tcPr>
          <w:p>
            <w:pPr>
              <w:ind w:left="40"/>
              <w:spacing w:after="0"/>
              <w:rPr>
                <w:sz w:val="20"/>
                <w:szCs w:val="20"/>
                <w:color w:val="auto"/>
              </w:rPr>
            </w:pPr>
            <w:r>
              <w:rPr>
                <w:rFonts w:ascii="Arial" w:cs="Arial" w:eastAsia="Arial" w:hAnsi="Arial"/>
                <w:sz w:val="10"/>
                <w:szCs w:val="10"/>
                <w:color w:val="auto"/>
              </w:rPr>
              <w:t>Restricted stock units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MENA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Middle-East and North Africa</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RVI</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Robinhood Ventures Fund I</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MIAXdx</w:t>
            </w:r>
          </w:p>
        </w:tc>
        <w:tc>
          <w:tcPr>
            <w:tcW w:w="4320" w:type="dxa"/>
            <w:vAlign w:val="bottom"/>
          </w:tcPr>
          <w:p>
            <w:pPr>
              <w:ind w:left="200"/>
              <w:spacing w:after="0"/>
              <w:rPr>
                <w:sz w:val="20"/>
                <w:szCs w:val="20"/>
                <w:color w:val="auto"/>
              </w:rPr>
            </w:pPr>
            <w:r>
              <w:rPr>
                <w:rFonts w:ascii="Arial" w:cs="Arial" w:eastAsia="Arial" w:hAnsi="Arial"/>
                <w:sz w:val="10"/>
                <w:szCs w:val="10"/>
                <w:color w:val="auto"/>
              </w:rPr>
              <w:t>MIAX Derivatives Exchange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Safety Committee</w:t>
            </w:r>
          </w:p>
        </w:tc>
        <w:tc>
          <w:tcPr>
            <w:tcW w:w="3940" w:type="dxa"/>
            <w:vAlign w:val="bottom"/>
          </w:tcPr>
          <w:p>
            <w:pPr>
              <w:ind w:left="40"/>
              <w:spacing w:after="0"/>
              <w:rPr>
                <w:sz w:val="20"/>
                <w:szCs w:val="20"/>
                <w:color w:val="auto"/>
              </w:rPr>
            </w:pPr>
            <w:r>
              <w:rPr>
                <w:rFonts w:ascii="Arial" w:cs="Arial" w:eastAsia="Arial" w:hAnsi="Arial"/>
                <w:sz w:val="10"/>
                <w:szCs w:val="10"/>
                <w:color w:val="auto"/>
              </w:rPr>
              <w:t>Safety, Risk and Regulatory Committee of the board of directors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MiCA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Markets in Crypto-Assets Regulation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SAR</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Suspicious activity reporting</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MiFID</w:t>
            </w:r>
          </w:p>
        </w:tc>
        <w:tc>
          <w:tcPr>
            <w:tcW w:w="4320" w:type="dxa"/>
            <w:vAlign w:val="bottom"/>
          </w:tcPr>
          <w:p>
            <w:pPr>
              <w:ind w:left="200"/>
              <w:spacing w:after="0"/>
              <w:rPr>
                <w:sz w:val="20"/>
                <w:szCs w:val="20"/>
                <w:color w:val="auto"/>
              </w:rPr>
            </w:pPr>
            <w:r>
              <w:rPr>
                <w:rFonts w:ascii="Arial" w:cs="Arial" w:eastAsia="Arial" w:hAnsi="Arial"/>
                <w:sz w:val="10"/>
                <w:szCs w:val="10"/>
                <w:color w:val="auto"/>
              </w:rPr>
              <w:t>Markets in Financial Instruments Directive II</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SARs</w:t>
            </w:r>
          </w:p>
        </w:tc>
        <w:tc>
          <w:tcPr>
            <w:tcW w:w="3940" w:type="dxa"/>
            <w:vAlign w:val="bottom"/>
          </w:tcPr>
          <w:p>
            <w:pPr>
              <w:ind w:left="40"/>
              <w:spacing w:after="0"/>
              <w:rPr>
                <w:sz w:val="20"/>
                <w:szCs w:val="20"/>
                <w:color w:val="auto"/>
              </w:rPr>
            </w:pPr>
            <w:r>
              <w:rPr>
                <w:rFonts w:ascii="Arial" w:cs="Arial" w:eastAsia="Arial" w:hAnsi="Arial"/>
                <w:sz w:val="10"/>
                <w:szCs w:val="10"/>
                <w:color w:val="auto"/>
              </w:rPr>
              <w:t>Stock appreciation rights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MSD</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Massachusetts Securities Division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SBC</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Share-based compensation</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MSLA</w:t>
            </w:r>
          </w:p>
        </w:tc>
        <w:tc>
          <w:tcPr>
            <w:tcW w:w="4320" w:type="dxa"/>
            <w:vAlign w:val="bottom"/>
          </w:tcPr>
          <w:p>
            <w:pPr>
              <w:ind w:left="200"/>
              <w:spacing w:after="0"/>
              <w:rPr>
                <w:sz w:val="20"/>
                <w:szCs w:val="20"/>
                <w:color w:val="auto"/>
              </w:rPr>
            </w:pPr>
            <w:r>
              <w:rPr>
                <w:rFonts w:ascii="Arial" w:cs="Arial" w:eastAsia="Arial" w:hAnsi="Arial"/>
                <w:sz w:val="10"/>
                <w:szCs w:val="10"/>
                <w:color w:val="auto"/>
              </w:rPr>
              <w:t>Master securities loan agreement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SEC</w:t>
            </w:r>
          </w:p>
        </w:tc>
        <w:tc>
          <w:tcPr>
            <w:tcW w:w="3940" w:type="dxa"/>
            <w:vAlign w:val="bottom"/>
          </w:tcPr>
          <w:p>
            <w:pPr>
              <w:ind w:left="40"/>
              <w:spacing w:after="0"/>
              <w:rPr>
                <w:sz w:val="20"/>
                <w:szCs w:val="20"/>
                <w:color w:val="auto"/>
              </w:rPr>
            </w:pPr>
            <w:r>
              <w:rPr>
                <w:rFonts w:ascii="Arial" w:cs="Arial" w:eastAsia="Arial" w:hAnsi="Arial"/>
                <w:sz w:val="10"/>
                <w:szCs w:val="10"/>
                <w:color w:val="auto"/>
              </w:rPr>
              <w:t>U.S. Securities and Exchange Commission</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NASAA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North American Securities Association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 Staff</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The Staff of the SEC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Net Capital Rule</w:t>
            </w:r>
          </w:p>
        </w:tc>
        <w:tc>
          <w:tcPr>
            <w:tcW w:w="4320" w:type="dxa"/>
            <w:vAlign w:val="bottom"/>
          </w:tcPr>
          <w:p>
            <w:pPr>
              <w:ind w:left="200"/>
              <w:spacing w:after="0"/>
              <w:rPr>
                <w:sz w:val="20"/>
                <w:szCs w:val="20"/>
                <w:color w:val="auto"/>
              </w:rPr>
            </w:pPr>
            <w:r>
              <w:rPr>
                <w:rFonts w:ascii="Arial" w:cs="Arial" w:eastAsia="Arial" w:hAnsi="Arial"/>
                <w:sz w:val="10"/>
                <w:szCs w:val="10"/>
                <w:color w:val="auto"/>
              </w:rPr>
              <w:t>Rule 15c3-1 under the Securities Exchange Act of 1934, as amended</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Securities Act</w:t>
            </w:r>
          </w:p>
        </w:tc>
        <w:tc>
          <w:tcPr>
            <w:tcW w:w="3940" w:type="dxa"/>
            <w:vAlign w:val="bottom"/>
          </w:tcPr>
          <w:p>
            <w:pPr>
              <w:ind w:left="40"/>
              <w:spacing w:after="0"/>
              <w:rPr>
                <w:sz w:val="20"/>
                <w:szCs w:val="20"/>
                <w:color w:val="auto"/>
              </w:rPr>
            </w:pPr>
            <w:r>
              <w:rPr>
                <w:rFonts w:ascii="Arial" w:cs="Arial" w:eastAsia="Arial" w:hAnsi="Arial"/>
                <w:sz w:val="10"/>
                <w:szCs w:val="10"/>
                <w:color w:val="auto"/>
              </w:rPr>
              <w:t>Securities Act of 1933, as amended</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NFA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Futures Association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Sherwood Media</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Sherwood Media, LLC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NJDGE</w:t>
            </w:r>
          </w:p>
        </w:tc>
        <w:tc>
          <w:tcPr>
            <w:tcW w:w="4320" w:type="dxa"/>
            <w:vAlign w:val="bottom"/>
          </w:tcPr>
          <w:p>
            <w:pPr>
              <w:ind w:left="200"/>
              <w:spacing w:after="0"/>
              <w:rPr>
                <w:sz w:val="20"/>
                <w:szCs w:val="20"/>
                <w:color w:val="auto"/>
              </w:rPr>
            </w:pPr>
            <w:r>
              <w:rPr>
                <w:rFonts w:ascii="Arial" w:cs="Arial" w:eastAsia="Arial" w:hAnsi="Arial"/>
                <w:sz w:val="10"/>
                <w:szCs w:val="10"/>
                <w:color w:val="auto"/>
              </w:rPr>
              <w:t>The New Jersey Division of Gaming Enforcement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SIG</w:t>
            </w:r>
          </w:p>
        </w:tc>
        <w:tc>
          <w:tcPr>
            <w:tcW w:w="3940" w:type="dxa"/>
            <w:vAlign w:val="bottom"/>
          </w:tcPr>
          <w:p>
            <w:pPr>
              <w:ind w:left="40"/>
              <w:spacing w:after="0"/>
              <w:rPr>
                <w:sz w:val="20"/>
                <w:szCs w:val="20"/>
                <w:color w:val="auto"/>
              </w:rPr>
            </w:pPr>
            <w:r>
              <w:rPr>
                <w:rFonts w:ascii="Arial" w:cs="Arial" w:eastAsia="Arial" w:hAnsi="Arial"/>
                <w:sz w:val="10"/>
                <w:szCs w:val="10"/>
                <w:color w:val="auto"/>
              </w:rPr>
              <w:t>Susquehanna International Group</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NMS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market system</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SIPC</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Securities Investor Protection Corporation</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NOLs</w:t>
            </w:r>
          </w:p>
        </w:tc>
        <w:tc>
          <w:tcPr>
            <w:tcW w:w="4320" w:type="dxa"/>
            <w:vAlign w:val="bottom"/>
          </w:tcPr>
          <w:p>
            <w:pPr>
              <w:ind w:left="200"/>
              <w:spacing w:after="0"/>
              <w:rPr>
                <w:sz w:val="20"/>
                <w:szCs w:val="20"/>
                <w:color w:val="auto"/>
              </w:rPr>
            </w:pPr>
            <w:r>
              <w:rPr>
                <w:rFonts w:ascii="Arial" w:cs="Arial" w:eastAsia="Arial" w:hAnsi="Arial"/>
                <w:sz w:val="10"/>
                <w:szCs w:val="10"/>
                <w:color w:val="auto"/>
              </w:rPr>
              <w:t>Net operating loss carryforwards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SOFR</w:t>
            </w:r>
          </w:p>
        </w:tc>
        <w:tc>
          <w:tcPr>
            <w:tcW w:w="3940" w:type="dxa"/>
            <w:vAlign w:val="bottom"/>
          </w:tcPr>
          <w:p>
            <w:pPr>
              <w:ind w:left="40"/>
              <w:spacing w:after="0"/>
              <w:rPr>
                <w:sz w:val="20"/>
                <w:szCs w:val="20"/>
                <w:color w:val="auto"/>
              </w:rPr>
            </w:pPr>
            <w:r>
              <w:rPr>
                <w:rFonts w:ascii="Arial" w:cs="Arial" w:eastAsia="Arial" w:hAnsi="Arial"/>
                <w:sz w:val="10"/>
                <w:szCs w:val="10"/>
                <w:color w:val="auto"/>
              </w:rPr>
              <w:t>Secured Overnight Financing Rate</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NSCC</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Securities Clearing Corporation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SPV</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Special purpose vehicle</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NSOs</w:t>
            </w:r>
          </w:p>
        </w:tc>
        <w:tc>
          <w:tcPr>
            <w:tcW w:w="4320" w:type="dxa"/>
            <w:vAlign w:val="bottom"/>
          </w:tcPr>
          <w:p>
            <w:pPr>
              <w:ind w:left="200"/>
              <w:spacing w:after="0"/>
              <w:rPr>
                <w:sz w:val="20"/>
                <w:szCs w:val="20"/>
                <w:color w:val="auto"/>
              </w:rPr>
            </w:pPr>
            <w:r>
              <w:rPr>
                <w:rFonts w:ascii="Arial" w:cs="Arial" w:eastAsia="Arial" w:hAnsi="Arial"/>
                <w:sz w:val="10"/>
                <w:szCs w:val="10"/>
                <w:color w:val="auto"/>
              </w:rPr>
              <w:t>Non-statutory stock options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SROs</w:t>
            </w:r>
          </w:p>
        </w:tc>
        <w:tc>
          <w:tcPr>
            <w:tcW w:w="3940" w:type="dxa"/>
            <w:vAlign w:val="bottom"/>
          </w:tcPr>
          <w:p>
            <w:pPr>
              <w:ind w:left="40"/>
              <w:spacing w:after="0"/>
              <w:rPr>
                <w:sz w:val="20"/>
                <w:szCs w:val="20"/>
                <w:color w:val="auto"/>
              </w:rPr>
            </w:pPr>
            <w:r>
              <w:rPr>
                <w:rFonts w:ascii="Arial" w:cs="Arial" w:eastAsia="Arial" w:hAnsi="Arial"/>
                <w:sz w:val="10"/>
                <w:szCs w:val="10"/>
                <w:color w:val="auto"/>
              </w:rPr>
              <w:t>Self-Regulatory Organizations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NYDFS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New York State Department of Financial Services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Sutton</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Sutton Bank</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OECD</w:t>
            </w:r>
          </w:p>
        </w:tc>
        <w:tc>
          <w:tcPr>
            <w:tcW w:w="4320" w:type="dxa"/>
            <w:vAlign w:val="bottom"/>
          </w:tcPr>
          <w:p>
            <w:pPr>
              <w:ind w:left="200"/>
              <w:spacing w:after="0"/>
              <w:rPr>
                <w:sz w:val="20"/>
                <w:szCs w:val="20"/>
                <w:color w:val="auto"/>
              </w:rPr>
            </w:pPr>
            <w:r>
              <w:rPr>
                <w:rFonts w:ascii="Arial" w:cs="Arial" w:eastAsia="Arial" w:hAnsi="Arial"/>
                <w:sz w:val="10"/>
                <w:szCs w:val="10"/>
                <w:color w:val="auto"/>
              </w:rPr>
              <w:t>Organization for Economic Cooperation and Development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SVB</w:t>
            </w:r>
          </w:p>
        </w:tc>
        <w:tc>
          <w:tcPr>
            <w:tcW w:w="3940" w:type="dxa"/>
            <w:vAlign w:val="bottom"/>
          </w:tcPr>
          <w:p>
            <w:pPr>
              <w:ind w:left="40"/>
              <w:spacing w:after="0"/>
              <w:rPr>
                <w:sz w:val="20"/>
                <w:szCs w:val="20"/>
                <w:color w:val="auto"/>
              </w:rPr>
            </w:pPr>
            <w:r>
              <w:rPr>
                <w:rFonts w:ascii="Arial" w:cs="Arial" w:eastAsia="Arial" w:hAnsi="Arial"/>
                <w:sz w:val="10"/>
                <w:szCs w:val="10"/>
                <w:color w:val="auto"/>
              </w:rPr>
              <w:t>Silicon Valley Bank</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OFAC</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U.S. Department of the Treasury’s Office of Foreign Assets Controls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The Bribery Act</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U.K. Bribery Act 2010</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Partner Exchanges</w:t>
            </w:r>
          </w:p>
        </w:tc>
        <w:tc>
          <w:tcPr>
            <w:tcW w:w="4320" w:type="dxa"/>
            <w:vAlign w:val="bottom"/>
          </w:tcPr>
          <w:p>
            <w:pPr>
              <w:ind w:left="200"/>
              <w:spacing w:after="0" w:line="106" w:lineRule="exact"/>
              <w:rPr>
                <w:sz w:val="20"/>
                <w:szCs w:val="20"/>
                <w:color w:val="auto"/>
              </w:rPr>
            </w:pPr>
            <w:r>
              <w:rPr>
                <w:rFonts w:ascii="Arial" w:cs="Arial" w:eastAsia="Arial" w:hAnsi="Arial"/>
                <w:sz w:val="10"/>
                <w:szCs w:val="10"/>
                <w:color w:val="auto"/>
              </w:rPr>
              <w:t>Exchange liquidity providers</w:t>
            </w:r>
          </w:p>
        </w:tc>
        <w:tc>
          <w:tcPr>
            <w:tcW w:w="1460" w:type="dxa"/>
            <w:vAlign w:val="bottom"/>
          </w:tcPr>
          <w:p>
            <w:pPr>
              <w:ind w:left="20"/>
              <w:spacing w:after="0" w:line="106" w:lineRule="exact"/>
              <w:rPr>
                <w:sz w:val="20"/>
                <w:szCs w:val="20"/>
                <w:color w:val="auto"/>
              </w:rPr>
            </w:pPr>
            <w:r>
              <w:rPr>
                <w:rFonts w:ascii="Arial" w:cs="Arial" w:eastAsia="Arial" w:hAnsi="Arial"/>
                <w:sz w:val="10"/>
                <w:szCs w:val="10"/>
                <w:b w:val="1"/>
                <w:bCs w:val="1"/>
                <w:color w:val="auto"/>
                <w:w w:val="99"/>
              </w:rPr>
              <w:t>Tick Size and Access Fee Cap</w:t>
            </w:r>
          </w:p>
        </w:tc>
        <w:tc>
          <w:tcPr>
            <w:tcW w:w="3940" w:type="dxa"/>
            <w:vAlign w:val="bottom"/>
          </w:tcPr>
          <w:p>
            <w:pPr>
              <w:ind w:left="40"/>
              <w:spacing w:after="0" w:line="106" w:lineRule="exact"/>
              <w:rPr>
                <w:sz w:val="20"/>
                <w:szCs w:val="20"/>
                <w:color w:val="auto"/>
              </w:rPr>
            </w:pPr>
            <w:r>
              <w:rPr>
                <w:rFonts w:ascii="Arial" w:cs="Arial" w:eastAsia="Arial" w:hAnsi="Arial"/>
                <w:sz w:val="10"/>
                <w:szCs w:val="10"/>
                <w:color w:val="auto"/>
                <w:w w:val="96"/>
              </w:rPr>
              <w:t>Rules related to order tick size and access fee caps adopted by the SEC in September 202</w:t>
            </w:r>
          </w:p>
        </w:tc>
      </w:tr>
      <w:tr>
        <w:trPr>
          <w:trHeight w:val="140"/>
        </w:trPr>
        <w:tc>
          <w:tcPr>
            <w:tcW w:w="1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Rules</w:t>
            </w:r>
          </w:p>
        </w:tc>
        <w:tc>
          <w:tcPr>
            <w:tcW w:w="3940" w:type="dxa"/>
            <w:vAlign w:val="bottom"/>
          </w:tcPr>
          <w:p>
            <w:pPr>
              <w:spacing w:after="0"/>
              <w:rPr>
                <w:sz w:val="12"/>
                <w:szCs w:val="12"/>
                <w:color w:val="auto"/>
              </w:rPr>
            </w:pPr>
          </w:p>
        </w:tc>
      </w:tr>
      <w:tr>
        <w:trPr>
          <w:trHeight w:val="151"/>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PFOF</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Payment for order flow</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TILA</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Truth in Lending Act</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Product-market fit</w:t>
            </w:r>
          </w:p>
        </w:tc>
        <w:tc>
          <w:tcPr>
            <w:tcW w:w="4320" w:type="dxa"/>
            <w:vAlign w:val="bottom"/>
          </w:tcPr>
          <w:p>
            <w:pPr>
              <w:ind w:left="200"/>
              <w:spacing w:after="0"/>
              <w:rPr>
                <w:sz w:val="20"/>
                <w:szCs w:val="20"/>
                <w:color w:val="auto"/>
              </w:rPr>
            </w:pPr>
            <w:r>
              <w:rPr>
                <w:rFonts w:ascii="Arial" w:cs="Arial" w:eastAsia="Arial" w:hAnsi="Arial"/>
                <w:sz w:val="10"/>
                <w:szCs w:val="10"/>
                <w:color w:val="auto"/>
              </w:rPr>
              <w:t>The need to adapt, localize, and position our products for specific countries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Time-Based RSUs</w:t>
            </w:r>
          </w:p>
        </w:tc>
        <w:tc>
          <w:tcPr>
            <w:tcW w:w="3940" w:type="dxa"/>
            <w:vAlign w:val="bottom"/>
          </w:tcPr>
          <w:p>
            <w:pPr>
              <w:ind w:left="40"/>
              <w:spacing w:after="0"/>
              <w:rPr>
                <w:sz w:val="20"/>
                <w:szCs w:val="20"/>
                <w:color w:val="auto"/>
              </w:rPr>
            </w:pPr>
            <w:r>
              <w:rPr>
                <w:rFonts w:ascii="Arial" w:cs="Arial" w:eastAsia="Arial" w:hAnsi="Arial"/>
                <w:sz w:val="10"/>
                <w:szCs w:val="10"/>
                <w:color w:val="auto"/>
              </w:rPr>
              <w:t>Time-based RSUs that vest upon the satisfaction of a time-based service condition</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RAM</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Asset Management,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TradePMR</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Trade-PMR, Inc.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Repurchase Program</w:t>
            </w:r>
          </w:p>
        </w:tc>
        <w:tc>
          <w:tcPr>
            <w:tcW w:w="4320" w:type="dxa"/>
            <w:vAlign w:val="bottom"/>
          </w:tcPr>
          <w:p>
            <w:pPr>
              <w:ind w:left="200"/>
              <w:spacing w:after="0"/>
              <w:rPr>
                <w:sz w:val="20"/>
                <w:szCs w:val="20"/>
                <w:color w:val="auto"/>
              </w:rPr>
            </w:pPr>
            <w:r>
              <w:rPr>
                <w:rFonts w:ascii="Arial" w:cs="Arial" w:eastAsia="Arial" w:hAnsi="Arial"/>
                <w:sz w:val="10"/>
                <w:szCs w:val="10"/>
                <w:color w:val="auto"/>
              </w:rPr>
              <w:t>Share repurchase program</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TRF</w:t>
            </w:r>
          </w:p>
        </w:tc>
        <w:tc>
          <w:tcPr>
            <w:tcW w:w="3940" w:type="dxa"/>
            <w:vAlign w:val="bottom"/>
          </w:tcPr>
          <w:p>
            <w:pPr>
              <w:ind w:left="40"/>
              <w:spacing w:after="0"/>
              <w:rPr>
                <w:sz w:val="20"/>
                <w:szCs w:val="20"/>
                <w:color w:val="auto"/>
              </w:rPr>
            </w:pPr>
            <w:r>
              <w:rPr>
                <w:rFonts w:ascii="Arial" w:cs="Arial" w:eastAsia="Arial" w:hAnsi="Arial"/>
                <w:sz w:val="10"/>
                <w:szCs w:val="10"/>
                <w:color w:val="auto"/>
              </w:rPr>
              <w:t>Trade Reporting Facilities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RFIA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Responsible Financial Innovation Act of 2025</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Trust</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Credit Card Funding Trust</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RHC</w:t>
            </w:r>
          </w:p>
        </w:tc>
        <w:tc>
          <w:tcPr>
            <w:tcW w:w="4320" w:type="dxa"/>
            <w:vAlign w:val="bottom"/>
          </w:tcPr>
          <w:p>
            <w:pPr>
              <w:ind w:left="200"/>
              <w:spacing w:after="0"/>
              <w:rPr>
                <w:sz w:val="20"/>
                <w:szCs w:val="20"/>
                <w:color w:val="auto"/>
              </w:rPr>
            </w:pPr>
            <w:r>
              <w:rPr>
                <w:rFonts w:ascii="Arial" w:cs="Arial" w:eastAsia="Arial" w:hAnsi="Arial"/>
                <w:sz w:val="10"/>
                <w:szCs w:val="10"/>
                <w:color w:val="auto"/>
              </w:rPr>
              <w:t>Robinhood Crypto, LLC</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U.K.</w:t>
            </w:r>
          </w:p>
        </w:tc>
        <w:tc>
          <w:tcPr>
            <w:tcW w:w="3940" w:type="dxa"/>
            <w:vAlign w:val="bottom"/>
          </w:tcPr>
          <w:p>
            <w:pPr>
              <w:ind w:left="40"/>
              <w:spacing w:after="0"/>
              <w:rPr>
                <w:sz w:val="20"/>
                <w:szCs w:val="20"/>
                <w:color w:val="auto"/>
              </w:rPr>
            </w:pPr>
            <w:r>
              <w:rPr>
                <w:rFonts w:ascii="Arial" w:cs="Arial" w:eastAsia="Arial" w:hAnsi="Arial"/>
                <w:sz w:val="10"/>
                <w:szCs w:val="10"/>
                <w:color w:val="auto"/>
              </w:rPr>
              <w:t>United Kingdom</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RHD</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Derivatives,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USAO</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The United States Attorney’s Office for the Northern District of California</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RHEU</w:t>
            </w:r>
          </w:p>
        </w:tc>
        <w:tc>
          <w:tcPr>
            <w:tcW w:w="4320" w:type="dxa"/>
            <w:vAlign w:val="bottom"/>
          </w:tcPr>
          <w:p>
            <w:pPr>
              <w:ind w:left="200"/>
              <w:spacing w:after="0" w:line="106" w:lineRule="exact"/>
              <w:rPr>
                <w:sz w:val="20"/>
                <w:szCs w:val="20"/>
                <w:color w:val="auto"/>
              </w:rPr>
            </w:pPr>
            <w:r>
              <w:rPr>
                <w:rFonts w:ascii="Arial" w:cs="Arial" w:eastAsia="Arial" w:hAnsi="Arial"/>
                <w:sz w:val="10"/>
                <w:szCs w:val="10"/>
                <w:color w:val="auto"/>
              </w:rPr>
              <w:t>Robinhood Europe, UAB</w:t>
            </w:r>
          </w:p>
        </w:tc>
        <w:tc>
          <w:tcPr>
            <w:tcW w:w="14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USA Patriot Act</w:t>
            </w:r>
          </w:p>
        </w:tc>
        <w:tc>
          <w:tcPr>
            <w:tcW w:w="3940" w:type="dxa"/>
            <w:vAlign w:val="bottom"/>
          </w:tcPr>
          <w:p>
            <w:pPr>
              <w:ind w:left="40"/>
              <w:spacing w:after="0" w:line="106" w:lineRule="exact"/>
              <w:rPr>
                <w:sz w:val="20"/>
                <w:szCs w:val="20"/>
                <w:color w:val="auto"/>
              </w:rPr>
            </w:pPr>
            <w:r>
              <w:rPr>
                <w:rFonts w:ascii="Arial" w:cs="Arial" w:eastAsia="Arial" w:hAnsi="Arial"/>
                <w:sz w:val="10"/>
                <w:szCs w:val="10"/>
                <w:color w:val="auto"/>
                <w:w w:val="99"/>
              </w:rPr>
              <w:t>Uniting and Strengthening America by Providing Appropriate Tools Required to Intercept</w:t>
            </w:r>
          </w:p>
        </w:tc>
      </w:tr>
      <w:tr>
        <w:trPr>
          <w:trHeight w:val="136"/>
        </w:trPr>
        <w:tc>
          <w:tcPr>
            <w:tcW w:w="13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940" w:type="dxa"/>
            <w:vAlign w:val="bottom"/>
          </w:tcPr>
          <w:p>
            <w:pPr>
              <w:ind w:left="40"/>
              <w:spacing w:after="0"/>
              <w:rPr>
                <w:sz w:val="20"/>
                <w:szCs w:val="20"/>
                <w:color w:val="auto"/>
              </w:rPr>
            </w:pPr>
            <w:r>
              <w:rPr>
                <w:rFonts w:ascii="Arial" w:cs="Arial" w:eastAsia="Arial" w:hAnsi="Arial"/>
                <w:sz w:val="10"/>
                <w:szCs w:val="10"/>
                <w:color w:val="auto"/>
              </w:rPr>
              <w:t>Obstruct Terrorism Act of 2001</w:t>
            </w:r>
          </w:p>
        </w:tc>
      </w:tr>
      <w:tr>
        <w:trPr>
          <w:trHeight w:val="15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RHF</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Financial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USDC</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US Dollar Coin, issued by Circle Internet Group, Inc</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RHM March 2025 Credit</w:t>
            </w:r>
          </w:p>
        </w:tc>
        <w:tc>
          <w:tcPr>
            <w:tcW w:w="578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 xml:space="preserve">Third Amended and Restated Credit Agreement, dated as of March 21, 2025, among RHM, as </w:t>
            </w:r>
            <w:r>
              <w:rPr>
                <w:rFonts w:ascii="Arial" w:cs="Arial" w:eastAsia="Arial" w:hAnsi="Arial"/>
                <w:sz w:val="10"/>
                <w:szCs w:val="10"/>
                <w:b w:val="1"/>
                <w:bCs w:val="1"/>
                <w:color w:val="auto"/>
              </w:rPr>
              <w:t>USDG</w:t>
            </w:r>
          </w:p>
        </w:tc>
        <w:tc>
          <w:tcPr>
            <w:tcW w:w="3940" w:type="dxa"/>
            <w:vAlign w:val="bottom"/>
          </w:tcPr>
          <w:p>
            <w:pPr>
              <w:ind w:left="40"/>
              <w:spacing w:after="0" w:line="106" w:lineRule="exact"/>
              <w:rPr>
                <w:sz w:val="20"/>
                <w:szCs w:val="20"/>
                <w:color w:val="auto"/>
              </w:rPr>
            </w:pPr>
            <w:r>
              <w:rPr>
                <w:rFonts w:ascii="Arial" w:cs="Arial" w:eastAsia="Arial" w:hAnsi="Arial"/>
                <w:sz w:val="10"/>
                <w:szCs w:val="10"/>
                <w:color w:val="auto"/>
              </w:rPr>
              <w:t>US Global Dollar, issued by Paxos Digital Singapore Pte. Ltd</w:t>
            </w:r>
          </w:p>
        </w:tc>
      </w:tr>
      <w:tr>
        <w:trPr>
          <w:trHeight w:val="103"/>
        </w:trPr>
        <w:tc>
          <w:tcPr>
            <w:tcW w:w="130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Agreement</w:t>
            </w:r>
          </w:p>
        </w:tc>
        <w:tc>
          <w:tcPr>
            <w:tcW w:w="4320" w:type="dxa"/>
            <w:vAlign w:val="bottom"/>
          </w:tcPr>
          <w:p>
            <w:pPr>
              <w:ind w:left="200"/>
              <w:spacing w:after="0" w:line="103" w:lineRule="exact"/>
              <w:rPr>
                <w:sz w:val="20"/>
                <w:szCs w:val="20"/>
                <w:color w:val="auto"/>
              </w:rPr>
            </w:pPr>
            <w:r>
              <w:rPr>
                <w:rFonts w:ascii="Arial" w:cs="Arial" w:eastAsia="Arial" w:hAnsi="Arial"/>
                <w:sz w:val="10"/>
                <w:szCs w:val="10"/>
                <w:color w:val="auto"/>
                <w:w w:val="97"/>
              </w:rPr>
              <w:t>borrower, and a syndicate of banks, as amended by the First Amendment, dated as of October</w:t>
            </w:r>
          </w:p>
        </w:tc>
        <w:tc>
          <w:tcPr>
            <w:tcW w:w="1460" w:type="dxa"/>
            <w:vAlign w:val="bottom"/>
          </w:tcPr>
          <w:p>
            <w:pPr>
              <w:spacing w:after="0"/>
              <w:rPr>
                <w:sz w:val="8"/>
                <w:szCs w:val="8"/>
                <w:color w:val="auto"/>
              </w:rPr>
            </w:pPr>
          </w:p>
        </w:tc>
        <w:tc>
          <w:tcPr>
            <w:tcW w:w="394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4320" w:type="dxa"/>
            <w:vAlign w:val="bottom"/>
          </w:tcPr>
          <w:p>
            <w:pPr>
              <w:ind w:left="200"/>
              <w:spacing w:after="0"/>
              <w:rPr>
                <w:sz w:val="20"/>
                <w:szCs w:val="20"/>
                <w:color w:val="auto"/>
              </w:rPr>
            </w:pPr>
            <w:r>
              <w:rPr>
                <w:rFonts w:ascii="Arial" w:cs="Arial" w:eastAsia="Arial" w:hAnsi="Arial"/>
                <w:sz w:val="10"/>
                <w:szCs w:val="10"/>
                <w:color w:val="auto"/>
              </w:rPr>
              <w:t>15, 2025</w:t>
            </w:r>
          </w:p>
        </w:tc>
        <w:tc>
          <w:tcPr>
            <w:tcW w:w="1460" w:type="dxa"/>
            <w:vAlign w:val="bottom"/>
          </w:tcPr>
          <w:p>
            <w:pPr>
              <w:spacing w:after="0"/>
              <w:rPr>
                <w:sz w:val="11"/>
                <w:szCs w:val="11"/>
                <w:color w:val="auto"/>
              </w:rPr>
            </w:pPr>
          </w:p>
        </w:tc>
        <w:tc>
          <w:tcPr>
            <w:tcW w:w="3940" w:type="dxa"/>
            <w:vAlign w:val="bottom"/>
          </w:tcPr>
          <w:p>
            <w:pPr>
              <w:spacing w:after="0"/>
              <w:rPr>
                <w:sz w:val="11"/>
                <w:szCs w:val="11"/>
                <w:color w:val="auto"/>
              </w:rPr>
            </w:pPr>
          </w:p>
        </w:tc>
      </w:tr>
      <w:tr>
        <w:trPr>
          <w:trHeight w:val="150"/>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 MENA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Management MENA Limited</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VIE</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Variable interest entity</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RHS</w:t>
            </w:r>
          </w:p>
        </w:tc>
        <w:tc>
          <w:tcPr>
            <w:tcW w:w="4320" w:type="dxa"/>
            <w:vAlign w:val="bottom"/>
          </w:tcPr>
          <w:p>
            <w:pPr>
              <w:ind w:left="200"/>
              <w:spacing w:after="0"/>
              <w:rPr>
                <w:sz w:val="20"/>
                <w:szCs w:val="20"/>
                <w:color w:val="auto"/>
              </w:rPr>
            </w:pPr>
            <w:r>
              <w:rPr>
                <w:rFonts w:ascii="Arial" w:cs="Arial" w:eastAsia="Arial" w:hAnsi="Arial"/>
                <w:sz w:val="10"/>
                <w:szCs w:val="10"/>
                <w:color w:val="auto"/>
              </w:rPr>
              <w:t>Robinhood Securities, LLC</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Virtu</w:t>
            </w:r>
          </w:p>
        </w:tc>
        <w:tc>
          <w:tcPr>
            <w:tcW w:w="3940" w:type="dxa"/>
            <w:vAlign w:val="bottom"/>
          </w:tcPr>
          <w:p>
            <w:pPr>
              <w:ind w:left="40"/>
              <w:spacing w:after="0"/>
              <w:rPr>
                <w:sz w:val="20"/>
                <w:szCs w:val="20"/>
                <w:color w:val="auto"/>
              </w:rPr>
            </w:pPr>
            <w:r>
              <w:rPr>
                <w:rFonts w:ascii="Arial" w:cs="Arial" w:eastAsia="Arial" w:hAnsi="Arial"/>
                <w:sz w:val="10"/>
                <w:szCs w:val="10"/>
                <w:color w:val="auto"/>
              </w:rPr>
              <w:t>Virtu Financial, Inc.</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RHSG</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Singapore Pte. Ltd.</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WF</w:t>
            </w:r>
          </w:p>
        </w:tc>
        <w:tc>
          <w:tcPr>
            <w:tcW w:w="3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Wells Fargo Bank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7143115" cy="1941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941195"/>
                    </a:xfrm>
                    <a:prstGeom prst="rect">
                      <a:avLst/>
                    </a:prstGeom>
                    <a:noFill/>
                  </pic:spPr>
                </pic:pic>
              </a:graphicData>
            </a:graphic>
          </wp:anchor>
        </w:drawing>
      </w:r>
    </w:p>
    <w:p>
      <w:pPr>
        <w:spacing w:after="0" w:line="108"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Key Performance Metrics Terms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We use the following key performance metrics to help us evaluate our business, identify trends affecting our business, formulate business plans, and make strategic decisions.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620" w:type="dxa"/>
            <w:vAlign w:val="bottom"/>
            <w:tcBorders>
              <w:top w:val="single" w:sz="8" w:color="auto"/>
              <w:left w:val="single" w:sz="8" w:color="CCEEFF"/>
              <w:right w:val="single" w:sz="8" w:color="auto"/>
            </w:tcBorders>
            <w:shd w:val="clear" w:color="auto" w:fill="CCEEFF"/>
          </w:tcPr>
          <w:p>
            <w:pPr>
              <w:ind w:left="40"/>
              <w:spacing w:after="0" w:line="125" w:lineRule="exact"/>
              <w:rPr>
                <w:sz w:val="20"/>
                <w:szCs w:val="20"/>
                <w:color w:val="auto"/>
              </w:rPr>
            </w:pPr>
            <w:r>
              <w:rPr>
                <w:rFonts w:ascii="Arial" w:cs="Arial" w:eastAsia="Arial" w:hAnsi="Arial"/>
                <w:sz w:val="12"/>
                <w:szCs w:val="12"/>
                <w:b w:val="1"/>
                <w:bCs w:val="1"/>
                <w:color w:val="auto"/>
              </w:rPr>
              <w:t>ARPU</w:t>
            </w:r>
          </w:p>
        </w:tc>
        <w:tc>
          <w:tcPr>
            <w:tcW w:w="962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2"/>
                <w:szCs w:val="12"/>
                <w:color w:val="auto"/>
              </w:rPr>
              <w:t>Average Revenue Per User</w:t>
            </w:r>
          </w:p>
        </w:tc>
        <w:tc>
          <w:tcPr>
            <w:tcW w:w="20" w:type="dxa"/>
            <w:vAlign w:val="bottom"/>
            <w:tcBorders>
              <w:top w:val="single" w:sz="8" w:color="auto"/>
            </w:tcBorders>
          </w:tcPr>
          <w:p>
            <w:pPr>
              <w:spacing w:after="0"/>
              <w:rPr>
                <w:sz w:val="10"/>
                <w:szCs w:val="10"/>
                <w:color w:val="auto"/>
              </w:rPr>
            </w:pPr>
          </w:p>
        </w:tc>
      </w:tr>
      <w:tr>
        <w:trPr>
          <w:trHeight w:val="119"/>
        </w:trPr>
        <w:tc>
          <w:tcPr>
            <w:tcW w:w="1620" w:type="dxa"/>
            <w:vAlign w:val="bottom"/>
            <w:tcBorders>
              <w:left w:val="single" w:sz="8" w:color="CCEEFF"/>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We define ARPU as total revenue for a given period divided by the average number of Funded Customers on the last day of that period and the last day of the immediately</w:t>
            </w:r>
          </w:p>
        </w:tc>
        <w:tc>
          <w:tcPr>
            <w:tcW w:w="20" w:type="dxa"/>
            <w:vAlign w:val="bottom"/>
          </w:tcPr>
          <w:p>
            <w:pPr>
              <w:spacing w:after="0"/>
              <w:rPr>
                <w:sz w:val="10"/>
                <w:szCs w:val="10"/>
                <w:color w:val="auto"/>
              </w:rPr>
            </w:pPr>
          </w:p>
        </w:tc>
      </w:tr>
      <w:tr>
        <w:trPr>
          <w:trHeight w:val="185"/>
        </w:trPr>
        <w:tc>
          <w:tcPr>
            <w:tcW w:w="1620" w:type="dxa"/>
            <w:vAlign w:val="bottom"/>
            <w:tcBorders>
              <w:left w:val="single" w:sz="8" w:color="CCEEFF"/>
              <w:bottom w:val="single" w:sz="8" w:color="CCEEFF"/>
              <w:right w:val="single" w:sz="8" w:color="auto"/>
            </w:tcBorders>
            <w:shd w:val="clear" w:color="auto" w:fill="CCEEFF"/>
          </w:tcPr>
          <w:p>
            <w:pPr>
              <w:spacing w:after="0"/>
              <w:rPr>
                <w:sz w:val="16"/>
                <w:szCs w:val="16"/>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preceding period.</w:t>
            </w:r>
          </w:p>
        </w:tc>
        <w:tc>
          <w:tcPr>
            <w:tcW w:w="20" w:type="dxa"/>
            <w:vAlign w:val="bottom"/>
          </w:tcPr>
          <w:p>
            <w:pPr>
              <w:spacing w:after="0"/>
              <w:rPr>
                <w:sz w:val="16"/>
                <w:szCs w:val="16"/>
                <w:color w:val="auto"/>
              </w:rPr>
            </w:pPr>
          </w:p>
        </w:tc>
      </w:tr>
      <w:tr>
        <w:trPr>
          <w:trHeight w:val="112"/>
        </w:trPr>
        <w:tc>
          <w:tcPr>
            <w:tcW w:w="1620" w:type="dxa"/>
            <w:vAlign w:val="bottom"/>
            <w:tcBorders>
              <w:top w:val="single" w:sz="8" w:color="auto"/>
              <w:right w:val="single" w:sz="8" w:color="auto"/>
            </w:tcBorders>
          </w:tcPr>
          <w:p>
            <w:pPr>
              <w:ind w:left="40"/>
              <w:spacing w:after="0" w:line="113" w:lineRule="exact"/>
              <w:rPr>
                <w:sz w:val="20"/>
                <w:szCs w:val="20"/>
                <w:color w:val="auto"/>
              </w:rPr>
            </w:pPr>
            <w:r>
              <w:rPr>
                <w:rFonts w:ascii="Arial" w:cs="Arial" w:eastAsia="Arial" w:hAnsi="Arial"/>
                <w:sz w:val="12"/>
                <w:szCs w:val="12"/>
                <w:b w:val="1"/>
                <w:bCs w:val="1"/>
                <w:color w:val="auto"/>
              </w:rPr>
              <w:t>Funded Customers</w:t>
            </w:r>
          </w:p>
        </w:tc>
        <w:tc>
          <w:tcPr>
            <w:tcW w:w="9620" w:type="dxa"/>
            <w:vAlign w:val="bottom"/>
            <w:tcBorders>
              <w:top w:val="single" w:sz="8" w:color="auto"/>
            </w:tcBorders>
          </w:tcPr>
          <w:p>
            <w:pPr>
              <w:ind w:left="20"/>
              <w:spacing w:after="0" w:line="113" w:lineRule="exact"/>
              <w:rPr>
                <w:sz w:val="20"/>
                <w:szCs w:val="20"/>
                <w:color w:val="auto"/>
              </w:rPr>
            </w:pPr>
            <w:r>
              <w:rPr>
                <w:rFonts w:ascii="Arial" w:cs="Arial" w:eastAsia="Arial" w:hAnsi="Arial"/>
                <w:sz w:val="12"/>
                <w:szCs w:val="12"/>
                <w:color w:val="auto"/>
              </w:rPr>
              <w:t>We define a Funded Customer as a unique person who has at least one account with a Robinhood entity and, within the past 45 calendar days (a) had an account balance that</w:t>
            </w:r>
          </w:p>
        </w:tc>
        <w:tc>
          <w:tcPr>
            <w:tcW w:w="20" w:type="dxa"/>
            <w:vAlign w:val="bottom"/>
            <w:tcBorders>
              <w:top w:val="single" w:sz="8" w:color="auto"/>
            </w:tcBorders>
          </w:tcPr>
          <w:p>
            <w:pPr>
              <w:spacing w:after="0"/>
              <w:rPr>
                <w:sz w:val="9"/>
                <w:szCs w:val="9"/>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was greater than zero (excluding amounts that are deposited into a Funded Customer account by the Company with no action taken by the unique person) or (b) completed a</w:t>
            </w:r>
          </w:p>
        </w:tc>
        <w:tc>
          <w:tcPr>
            <w:tcW w:w="20" w:type="dxa"/>
            <w:vAlign w:val="bottom"/>
          </w:tcPr>
          <w:p>
            <w:pPr>
              <w:spacing w:after="0"/>
              <w:rPr>
                <w:sz w:val="10"/>
                <w:szCs w:val="10"/>
                <w:color w:val="auto"/>
              </w:rPr>
            </w:pPr>
          </w:p>
        </w:tc>
      </w:tr>
      <w:tr>
        <w:trPr>
          <w:trHeight w:val="128"/>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transaction using any such account. Individuals who share a funded joint investing account (which launched in July 2024) are each considered to be a Funded Customer.</w:t>
            </w:r>
          </w:p>
        </w:tc>
        <w:tc>
          <w:tcPr>
            <w:tcW w:w="20" w:type="dxa"/>
            <w:vAlign w:val="bottom"/>
          </w:tcPr>
          <w:p>
            <w:pPr>
              <w:spacing w:after="0"/>
              <w:rPr>
                <w:sz w:val="11"/>
                <w:szCs w:val="11"/>
                <w:color w:val="auto"/>
              </w:rPr>
            </w:pPr>
          </w:p>
        </w:tc>
      </w:tr>
      <w:tr>
        <w:trPr>
          <w:trHeight w:val="124"/>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Starting in Q1 2025, individuals who are customers of RIAs that use the TradePMR platform, and, starting in June 2025, customers of Bitstamp, are also considered Funded</w:t>
            </w:r>
          </w:p>
        </w:tc>
        <w:tc>
          <w:tcPr>
            <w:tcW w:w="20" w:type="dxa"/>
            <w:vAlign w:val="bottom"/>
          </w:tcPr>
          <w:p>
            <w:pPr>
              <w:spacing w:after="0"/>
              <w:rPr>
                <w:sz w:val="10"/>
                <w:szCs w:val="10"/>
                <w:color w:val="auto"/>
              </w:rPr>
            </w:pPr>
          </w:p>
        </w:tc>
      </w:tr>
      <w:tr>
        <w:trPr>
          <w:trHeight w:val="164"/>
        </w:trPr>
        <w:tc>
          <w:tcPr>
            <w:tcW w:w="1620" w:type="dxa"/>
            <w:vAlign w:val="bottom"/>
            <w:tcBorders>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Customers.</w:t>
            </w:r>
          </w:p>
        </w:tc>
        <w:tc>
          <w:tcPr>
            <w:tcW w:w="20" w:type="dxa"/>
            <w:vAlign w:val="bottom"/>
          </w:tcPr>
          <w:p>
            <w:pPr>
              <w:spacing w:after="0"/>
              <w:rPr>
                <w:sz w:val="14"/>
                <w:szCs w:val="14"/>
                <w:color w:val="auto"/>
              </w:rPr>
            </w:pPr>
          </w:p>
        </w:tc>
      </w:tr>
      <w:tr>
        <w:trPr>
          <w:trHeight w:val="22"/>
        </w:trPr>
        <w:tc>
          <w:tcPr>
            <w:tcW w:w="1620" w:type="dxa"/>
            <w:vAlign w:val="bottom"/>
            <w:tcBorders>
              <w:right w:val="single" w:sz="8" w:color="auto"/>
            </w:tcBorders>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9"/>
        </w:trPr>
        <w:tc>
          <w:tcPr>
            <w:tcW w:w="1620" w:type="dxa"/>
            <w:vAlign w:val="bottom"/>
            <w:tcBorders>
              <w:left w:val="single" w:sz="8" w:color="CCEEFF"/>
              <w:right w:val="single" w:sz="8" w:color="auto"/>
            </w:tcBorders>
            <w:shd w:val="clear" w:color="auto" w:fill="CCEEFF"/>
          </w:tcPr>
          <w:p>
            <w:pPr>
              <w:ind w:left="40"/>
              <w:spacing w:after="0" w:line="120" w:lineRule="exact"/>
              <w:rPr>
                <w:sz w:val="20"/>
                <w:szCs w:val="20"/>
                <w:color w:val="auto"/>
              </w:rPr>
            </w:pPr>
            <w:r>
              <w:rPr>
                <w:rFonts w:ascii="Arial" w:cs="Arial" w:eastAsia="Arial" w:hAnsi="Arial"/>
                <w:sz w:val="12"/>
                <w:szCs w:val="12"/>
                <w:b w:val="1"/>
                <w:bCs w:val="1"/>
                <w:color w:val="auto"/>
              </w:rPr>
              <w:t>Net Deposits</w:t>
            </w: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We define Net Deposits as all cash deposits and asset transfers from customers, as well as dividends, interest, staking rewards, and cash or assets earned in connection with</w:t>
            </w:r>
          </w:p>
        </w:tc>
        <w:tc>
          <w:tcPr>
            <w:tcW w:w="20" w:type="dxa"/>
            <w:vAlign w:val="bottom"/>
          </w:tcPr>
          <w:p>
            <w:pPr>
              <w:spacing w:after="0"/>
              <w:rPr>
                <w:sz w:val="10"/>
                <w:szCs w:val="10"/>
                <w:color w:val="auto"/>
              </w:rPr>
            </w:pPr>
          </w:p>
        </w:tc>
      </w:tr>
      <w:tr>
        <w:trPr>
          <w:trHeight w:val="119"/>
        </w:trPr>
        <w:tc>
          <w:tcPr>
            <w:tcW w:w="1620" w:type="dxa"/>
            <w:vAlign w:val="bottom"/>
            <w:tcBorders>
              <w:left w:val="single" w:sz="8" w:color="CCEEFF"/>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Company promotions (such as account transfer and retirement match incentives, free stock bonuses) received by customers, net of reversals, customer cash withdrawals,</w:t>
            </w:r>
          </w:p>
        </w:tc>
        <w:tc>
          <w:tcPr>
            <w:tcW w:w="20" w:type="dxa"/>
            <w:vAlign w:val="bottom"/>
          </w:tcPr>
          <w:p>
            <w:pPr>
              <w:spacing w:after="0"/>
              <w:rPr>
                <w:sz w:val="10"/>
                <w:szCs w:val="10"/>
                <w:color w:val="auto"/>
              </w:rPr>
            </w:pPr>
          </w:p>
        </w:tc>
      </w:tr>
      <w:tr>
        <w:trPr>
          <w:trHeight w:val="128"/>
        </w:trPr>
        <w:tc>
          <w:tcPr>
            <w:tcW w:w="1620" w:type="dxa"/>
            <w:vAlign w:val="bottom"/>
            <w:tcBorders>
              <w:left w:val="single" w:sz="8" w:color="CCEEFF"/>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margin and lending interest, Robinhood Gold subscription fees, and assets transferred off of our platforms for a stated period. Starting in June 2025, Net Deposits include</w:t>
            </w:r>
          </w:p>
        </w:tc>
        <w:tc>
          <w:tcPr>
            <w:tcW w:w="20" w:type="dxa"/>
            <w:vAlign w:val="bottom"/>
          </w:tcPr>
          <w:p>
            <w:pPr>
              <w:spacing w:after="0"/>
              <w:rPr>
                <w:sz w:val="11"/>
                <w:szCs w:val="11"/>
                <w:color w:val="auto"/>
              </w:rPr>
            </w:pPr>
          </w:p>
        </w:tc>
      </w:tr>
      <w:tr>
        <w:trPr>
          <w:trHeight w:val="170"/>
        </w:trPr>
        <w:tc>
          <w:tcPr>
            <w:tcW w:w="1620" w:type="dxa"/>
            <w:vAlign w:val="bottom"/>
            <w:tcBorders>
              <w:left w:val="single" w:sz="8" w:color="CCEEFF"/>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results from Bitstamp. Due to data limitations, we have not included TradePMR client figures in our Net Deposits key performance metric.</w:t>
            </w:r>
          </w:p>
        </w:tc>
        <w:tc>
          <w:tcPr>
            <w:tcW w:w="20" w:type="dxa"/>
            <w:vAlign w:val="bottom"/>
            <w:tcBorders>
              <w:bottom w:val="single" w:sz="8" w:color="auto"/>
            </w:tcBorders>
          </w:tcPr>
          <w:p>
            <w:pPr>
              <w:spacing w:after="0"/>
              <w:rPr>
                <w:sz w:val="14"/>
                <w:szCs w:val="14"/>
                <w:color w:val="auto"/>
              </w:rPr>
            </w:pPr>
          </w:p>
        </w:tc>
      </w:tr>
      <w:tr>
        <w:trPr>
          <w:trHeight w:val="119"/>
        </w:trPr>
        <w:tc>
          <w:tcPr>
            <w:tcW w:w="1620" w:type="dxa"/>
            <w:vAlign w:val="bottom"/>
            <w:tcBorders>
              <w:right w:val="single" w:sz="8" w:color="auto"/>
            </w:tcBorders>
          </w:tcPr>
          <w:p>
            <w:pPr>
              <w:ind w:left="40"/>
              <w:spacing w:after="0" w:line="119" w:lineRule="exact"/>
              <w:rPr>
                <w:sz w:val="20"/>
                <w:szCs w:val="20"/>
                <w:color w:val="auto"/>
              </w:rPr>
            </w:pPr>
            <w:r>
              <w:rPr>
                <w:rFonts w:ascii="Arial" w:cs="Arial" w:eastAsia="Arial" w:hAnsi="Arial"/>
                <w:sz w:val="12"/>
                <w:szCs w:val="12"/>
                <w:b w:val="1"/>
                <w:bCs w:val="1"/>
                <w:color w:val="auto"/>
              </w:rPr>
              <w:t>Total Platform Assets</w:t>
            </w:r>
          </w:p>
        </w:tc>
        <w:tc>
          <w:tcPr>
            <w:tcW w:w="9620" w:type="dxa"/>
            <w:vAlign w:val="bottom"/>
          </w:tcPr>
          <w:p>
            <w:pPr>
              <w:ind w:left="20"/>
              <w:spacing w:after="0" w:line="119" w:lineRule="exact"/>
              <w:rPr>
                <w:sz w:val="20"/>
                <w:szCs w:val="20"/>
                <w:color w:val="auto"/>
              </w:rPr>
            </w:pPr>
            <w:r>
              <w:rPr>
                <w:rFonts w:ascii="Arial" w:cs="Arial" w:eastAsia="Arial" w:hAnsi="Arial"/>
                <w:sz w:val="12"/>
                <w:szCs w:val="12"/>
                <w:color w:val="auto"/>
              </w:rPr>
              <w:t>We define Total Platform Assets as the sum of the fair value of all equities, options, cryptocurrency, futures (including options on futures and swaps, including event contracts),</w:t>
            </w:r>
          </w:p>
        </w:tc>
        <w:tc>
          <w:tcPr>
            <w:tcW w:w="20" w:type="dxa"/>
            <w:vAlign w:val="bottom"/>
          </w:tcPr>
          <w:p>
            <w:pPr>
              <w:spacing w:after="0"/>
              <w:rPr>
                <w:sz w:val="10"/>
                <w:szCs w:val="10"/>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cash held by users in their accounts, net of receivables from users (previously reported as Assets Under Custody), and any such assets managed by RIAs using TradePMR’s</w:t>
            </w:r>
          </w:p>
        </w:tc>
        <w:tc>
          <w:tcPr>
            <w:tcW w:w="20" w:type="dxa"/>
            <w:vAlign w:val="bottom"/>
          </w:tcPr>
          <w:p>
            <w:pPr>
              <w:spacing w:after="0"/>
              <w:rPr>
                <w:sz w:val="10"/>
                <w:szCs w:val="10"/>
                <w:color w:val="auto"/>
              </w:rPr>
            </w:pPr>
          </w:p>
        </w:tc>
      </w:tr>
      <w:tr>
        <w:trPr>
          <w:trHeight w:val="128"/>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platform that are not custodied by Robinhood, as of a stated date or period end on a trade date basis. Net Deposits and net market gains (losses) drive the change in Total</w:t>
            </w:r>
          </w:p>
        </w:tc>
        <w:tc>
          <w:tcPr>
            <w:tcW w:w="20" w:type="dxa"/>
            <w:vAlign w:val="bottom"/>
          </w:tcPr>
          <w:p>
            <w:pPr>
              <w:spacing w:after="0"/>
              <w:rPr>
                <w:sz w:val="11"/>
                <w:szCs w:val="11"/>
                <w:color w:val="auto"/>
              </w:rPr>
            </w:pPr>
          </w:p>
        </w:tc>
      </w:tr>
      <w:tr>
        <w:trPr>
          <w:trHeight w:val="124"/>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Platform Assets in any given period. Starting in June 2025, the fair value of all cryptocurrency includes cryptocurrency on Bitstamp. Total Platform Assets also include</w:t>
            </w:r>
          </w:p>
        </w:tc>
        <w:tc>
          <w:tcPr>
            <w:tcW w:w="20" w:type="dxa"/>
            <w:vAlign w:val="bottom"/>
          </w:tcPr>
          <w:p>
            <w:pPr>
              <w:spacing w:after="0"/>
              <w:rPr>
                <w:sz w:val="10"/>
                <w:szCs w:val="10"/>
                <w:color w:val="auto"/>
              </w:rPr>
            </w:pPr>
          </w:p>
        </w:tc>
      </w:tr>
      <w:tr>
        <w:trPr>
          <w:trHeight w:val="164"/>
        </w:trPr>
        <w:tc>
          <w:tcPr>
            <w:tcW w:w="1620" w:type="dxa"/>
            <w:vAlign w:val="bottom"/>
            <w:tcBorders>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cryptocurrency lent through platform-enabled lending programs, where customers may recall such assets at any time through the platform.</w:t>
            </w:r>
          </w:p>
        </w:tc>
        <w:tc>
          <w:tcPr>
            <w:tcW w:w="20" w:type="dxa"/>
            <w:vAlign w:val="bottom"/>
          </w:tcPr>
          <w:p>
            <w:pPr>
              <w:spacing w:after="0"/>
              <w:rPr>
                <w:sz w:val="14"/>
                <w:szCs w:val="14"/>
                <w:color w:val="auto"/>
              </w:rPr>
            </w:pPr>
          </w:p>
        </w:tc>
      </w:tr>
      <w:tr>
        <w:trPr>
          <w:trHeight w:val="22"/>
        </w:trPr>
        <w:tc>
          <w:tcPr>
            <w:tcW w:w="1620" w:type="dxa"/>
            <w:vAlign w:val="bottom"/>
            <w:tcBorders>
              <w:bottom w:val="single" w:sz="8" w:color="auto"/>
              <w:right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2"/>
        </w:trPr>
        <w:tc>
          <w:tcPr>
            <w:tcW w:w="1620" w:type="dxa"/>
            <w:vAlign w:val="bottom"/>
            <w:tcBorders>
              <w:left w:val="single" w:sz="8" w:color="CCEEFF"/>
              <w:right w:val="single" w:sz="8" w:color="auto"/>
            </w:tcBorders>
            <w:shd w:val="clear" w:color="auto" w:fill="CCEEFF"/>
          </w:tcPr>
          <w:p>
            <w:pPr>
              <w:ind w:left="40"/>
              <w:spacing w:after="0" w:line="113" w:lineRule="exact"/>
              <w:rPr>
                <w:sz w:val="20"/>
                <w:szCs w:val="20"/>
                <w:color w:val="auto"/>
              </w:rPr>
            </w:pPr>
            <w:r>
              <w:rPr>
                <w:rFonts w:ascii="Arial" w:cs="Arial" w:eastAsia="Arial" w:hAnsi="Arial"/>
                <w:sz w:val="12"/>
                <w:szCs w:val="12"/>
                <w:b w:val="1"/>
                <w:bCs w:val="1"/>
                <w:color w:val="auto"/>
              </w:rPr>
              <w:t>Robinhood Gold</w:t>
            </w:r>
          </w:p>
        </w:tc>
        <w:tc>
          <w:tcPr>
            <w:tcW w:w="9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We define a Robinhood Gold Subscriber as a unique person who has at least one account with a Robinhood entity and who, as of the end of the relevant period (a) is</w:t>
            </w:r>
          </w:p>
        </w:tc>
        <w:tc>
          <w:tcPr>
            <w:tcW w:w="20" w:type="dxa"/>
            <w:vAlign w:val="bottom"/>
          </w:tcPr>
          <w:p>
            <w:pPr>
              <w:spacing w:after="0"/>
              <w:rPr>
                <w:sz w:val="9"/>
                <w:szCs w:val="9"/>
                <w:color w:val="auto"/>
              </w:rPr>
            </w:pPr>
          </w:p>
        </w:tc>
      </w:tr>
      <w:tr>
        <w:trPr>
          <w:trHeight w:val="179"/>
        </w:trPr>
        <w:tc>
          <w:tcPr>
            <w:tcW w:w="1620" w:type="dxa"/>
            <w:vAlign w:val="bottom"/>
            <w:tcBorders>
              <w:left w:val="single" w:sz="8" w:color="CCEEFF"/>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Subscribers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subscribed to Robinhood Gold and (b) has made at least one Robinhood Gold subscription fee payment.</w:t>
            </w:r>
          </w:p>
        </w:tc>
        <w:tc>
          <w:tcPr>
            <w:tcW w:w="20" w:type="dxa"/>
            <w:vAlign w:val="bottom"/>
            <w:tcBorders>
              <w:bottom w:val="single" w:sz="8" w:color="auto"/>
            </w:tcBorders>
          </w:tcPr>
          <w:p>
            <w:pPr>
              <w:spacing w:after="0"/>
              <w:rPr>
                <w:sz w:val="15"/>
                <w:szCs w:val="15"/>
                <w:color w:val="auto"/>
              </w:rPr>
            </w:pPr>
          </w:p>
        </w:tc>
      </w:tr>
      <w:tr>
        <w:trPr>
          <w:trHeight w:val="106"/>
        </w:trPr>
        <w:tc>
          <w:tcPr>
            <w:tcW w:w="1620" w:type="dxa"/>
            <w:vAlign w:val="bottom"/>
            <w:tcBorders>
              <w:bottom w:val="single" w:sz="8" w:color="auto"/>
            </w:tcBorders>
          </w:tcPr>
          <w:p>
            <w:pPr>
              <w:spacing w:after="0"/>
              <w:rPr>
                <w:sz w:val="9"/>
                <w:szCs w:val="9"/>
                <w:color w:val="auto"/>
              </w:rPr>
            </w:pPr>
          </w:p>
        </w:tc>
        <w:tc>
          <w:tcPr>
            <w:tcW w:w="9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64"/>
        </w:trPr>
        <w:tc>
          <w:tcPr>
            <w:tcW w:w="1620" w:type="dxa"/>
            <w:vAlign w:val="bottom"/>
            <w:tcBorders>
              <w:left w:val="single" w:sz="8" w:color="auto"/>
              <w:bottom w:val="single" w:sz="8" w:color="auto"/>
              <w:right w:val="single" w:sz="8" w:color="CCEEFF"/>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3360"/>
              <w:spacing w:after="0"/>
              <w:rPr>
                <w:sz w:val="20"/>
                <w:szCs w:val="20"/>
                <w:color w:val="auto"/>
              </w:rPr>
            </w:pPr>
            <w:r>
              <w:rPr>
                <w:rFonts w:ascii="Arial" w:cs="Arial" w:eastAsia="Arial" w:hAnsi="Arial"/>
                <w:sz w:val="12"/>
                <w:szCs w:val="12"/>
                <w:b w:val="1"/>
                <w:bCs w:val="1"/>
                <w:color w:val="auto"/>
              </w:rPr>
              <w:t>Other Glossary Terms</w:t>
            </w:r>
          </w:p>
        </w:tc>
        <w:tc>
          <w:tcPr>
            <w:tcW w:w="20" w:type="dxa"/>
            <w:vAlign w:val="bottom"/>
            <w:tcBorders>
              <w:bottom w:val="single" w:sz="8" w:color="auto"/>
            </w:tcBorders>
            <w:shd w:val="clear" w:color="auto" w:fill="000000"/>
          </w:tcPr>
          <w:p>
            <w:pPr>
              <w:spacing w:after="0"/>
              <w:rPr>
                <w:sz w:val="14"/>
                <w:szCs w:val="14"/>
                <w:color w:val="auto"/>
              </w:rPr>
            </w:pPr>
          </w:p>
        </w:tc>
      </w:tr>
      <w:tr>
        <w:trPr>
          <w:trHeight w:val="122"/>
        </w:trPr>
        <w:tc>
          <w:tcPr>
            <w:tcW w:w="162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2"/>
                <w:szCs w:val="12"/>
                <w:b w:val="1"/>
                <w:bCs w:val="1"/>
                <w:color w:val="auto"/>
              </w:rPr>
              <w:t>ACATS</w:t>
            </w:r>
          </w:p>
        </w:tc>
        <w:tc>
          <w:tcPr>
            <w:tcW w:w="9620" w:type="dxa"/>
            <w:vAlign w:val="bottom"/>
          </w:tcPr>
          <w:p>
            <w:pPr>
              <w:ind w:left="20"/>
              <w:spacing w:after="0" w:line="122" w:lineRule="exact"/>
              <w:rPr>
                <w:sz w:val="20"/>
                <w:szCs w:val="20"/>
                <w:color w:val="auto"/>
              </w:rPr>
            </w:pPr>
            <w:r>
              <w:rPr>
                <w:rFonts w:ascii="Arial" w:cs="Arial" w:eastAsia="Arial" w:hAnsi="Arial"/>
                <w:sz w:val="12"/>
                <w:szCs w:val="12"/>
                <w:color w:val="auto"/>
              </w:rPr>
              <w:t>Automated Customer Account Transfer Service</w:t>
            </w:r>
          </w:p>
        </w:tc>
        <w:tc>
          <w:tcPr>
            <w:tcW w:w="20" w:type="dxa"/>
            <w:vAlign w:val="bottom"/>
            <w:shd w:val="clear" w:color="auto" w:fill="000000"/>
          </w:tcPr>
          <w:p>
            <w:pPr>
              <w:spacing w:after="0"/>
              <w:rPr>
                <w:sz w:val="10"/>
                <w:szCs w:val="10"/>
                <w:color w:val="auto"/>
              </w:rPr>
            </w:pPr>
          </w:p>
        </w:tc>
      </w:tr>
      <w:tr>
        <w:trPr>
          <w:trHeight w:val="170"/>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 system that automates and standardizes procedures for the transfer of assets in a customer account from one brokerage firm and/or bank to another.</w:t>
            </w:r>
          </w:p>
        </w:tc>
        <w:tc>
          <w:tcPr>
            <w:tcW w:w="20" w:type="dxa"/>
            <w:vAlign w:val="bottom"/>
            <w:tcBorders>
              <w:bottom w:val="single" w:sz="8" w:color="auto"/>
            </w:tcBorders>
            <w:shd w:val="clear" w:color="auto" w:fill="000000"/>
          </w:tcPr>
          <w:p>
            <w:pPr>
              <w:spacing w:after="0"/>
              <w:rPr>
                <w:sz w:val="14"/>
                <w:szCs w:val="14"/>
                <w:color w:val="auto"/>
              </w:rPr>
            </w:pPr>
          </w:p>
        </w:tc>
      </w:tr>
      <w:tr>
        <w:trPr>
          <w:trHeight w:val="127"/>
        </w:trPr>
        <w:tc>
          <w:tcPr>
            <w:tcW w:w="1620" w:type="dxa"/>
            <w:vAlign w:val="bottom"/>
            <w:tcBorders>
              <w:left w:val="single" w:sz="8" w:color="auto"/>
              <w:right w:val="single" w:sz="8" w:color="auto"/>
            </w:tcBorders>
            <w:shd w:val="clear" w:color="auto" w:fill="CCEEFF"/>
          </w:tcPr>
          <w:p>
            <w:pPr>
              <w:ind w:left="40"/>
              <w:spacing w:after="0" w:line="128" w:lineRule="exact"/>
              <w:rPr>
                <w:sz w:val="20"/>
                <w:szCs w:val="20"/>
                <w:color w:val="auto"/>
              </w:rPr>
            </w:pPr>
            <w:r>
              <w:rPr>
                <w:rFonts w:ascii="Arial" w:cs="Arial" w:eastAsia="Arial" w:hAnsi="Arial"/>
                <w:sz w:val="12"/>
                <w:szCs w:val="12"/>
                <w:b w:val="1"/>
                <w:bCs w:val="1"/>
                <w:color w:val="auto"/>
              </w:rPr>
              <w:t>Cash Sweep</w:t>
            </w: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We define Cash Sweep as the period-end total amount of participating users’ uninvested brokerage and banking cash that has been automatically “swept” or moved from their</w:t>
            </w:r>
          </w:p>
        </w:tc>
        <w:tc>
          <w:tcPr>
            <w:tcW w:w="20" w:type="dxa"/>
            <w:vAlign w:val="bottom"/>
            <w:shd w:val="clear" w:color="auto" w:fill="000000"/>
          </w:tcPr>
          <w:p>
            <w:pPr>
              <w:spacing w:after="0"/>
              <w:rPr>
                <w:sz w:val="11"/>
                <w:szCs w:val="11"/>
                <w:color w:val="auto"/>
              </w:rPr>
            </w:pPr>
          </w:p>
        </w:tc>
      </w:tr>
      <w:tr>
        <w:trPr>
          <w:trHeight w:val="124"/>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accounts into deposits for their benefit at a network of program banks. This is an off-balance-sheet amount. Robinhood earns a net interest spread on Cash Sweep balances</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based on the interest rate offered by the banks less the interest rate given to users as stated in our program terms. This includes balances from customers of RIAs using</w:t>
            </w:r>
          </w:p>
        </w:tc>
        <w:tc>
          <w:tcPr>
            <w:tcW w:w="20" w:type="dxa"/>
            <w:vAlign w:val="bottom"/>
            <w:shd w:val="clear" w:color="auto" w:fill="000000"/>
          </w:tcPr>
          <w:p>
            <w:pPr>
              <w:spacing w:after="0"/>
              <w:rPr>
                <w:sz w:val="10"/>
                <w:szCs w:val="10"/>
                <w:color w:val="auto"/>
              </w:rPr>
            </w:pPr>
          </w:p>
        </w:tc>
      </w:tr>
      <w:tr>
        <w:trPr>
          <w:trHeight w:val="168"/>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TradePMR’s platform.</w:t>
            </w:r>
          </w:p>
        </w:tc>
        <w:tc>
          <w:tcPr>
            <w:tcW w:w="20" w:type="dxa"/>
            <w:vAlign w:val="bottom"/>
            <w:tcBorders>
              <w:bottom w:val="single" w:sz="8" w:color="auto"/>
            </w:tcBorders>
            <w:shd w:val="clear" w:color="auto" w:fill="000000"/>
          </w:tcPr>
          <w:p>
            <w:pPr>
              <w:spacing w:after="0"/>
              <w:rPr>
                <w:sz w:val="14"/>
                <w:szCs w:val="14"/>
                <w:color w:val="auto"/>
              </w:rPr>
            </w:pPr>
          </w:p>
        </w:tc>
      </w:tr>
      <w:tr>
        <w:trPr>
          <w:trHeight w:val="125"/>
        </w:trPr>
        <w:tc>
          <w:tcPr>
            <w:tcW w:w="1620" w:type="dxa"/>
            <w:vAlign w:val="bottom"/>
            <w:tcBorders>
              <w:left w:val="single" w:sz="8" w:color="auto"/>
              <w:right w:val="single" w:sz="8" w:color="auto"/>
            </w:tcBorders>
          </w:tcPr>
          <w:p>
            <w:pPr>
              <w:ind w:left="40"/>
              <w:spacing w:after="0" w:line="125" w:lineRule="exact"/>
              <w:rPr>
                <w:sz w:val="20"/>
                <w:szCs w:val="20"/>
                <w:color w:val="auto"/>
              </w:rPr>
            </w:pPr>
            <w:r>
              <w:rPr>
                <w:rFonts w:ascii="Arial" w:cs="Arial" w:eastAsia="Arial" w:hAnsi="Arial"/>
                <w:sz w:val="12"/>
                <w:szCs w:val="12"/>
                <w:b w:val="1"/>
                <w:bCs w:val="1"/>
                <w:color w:val="auto"/>
              </w:rPr>
              <w:t>Churned Customers</w:t>
            </w:r>
          </w:p>
        </w:tc>
        <w:tc>
          <w:tcPr>
            <w:tcW w:w="9620" w:type="dxa"/>
            <w:vAlign w:val="bottom"/>
          </w:tcPr>
          <w:p>
            <w:pPr>
              <w:ind w:left="20"/>
              <w:spacing w:after="0" w:line="125" w:lineRule="exact"/>
              <w:rPr>
                <w:sz w:val="20"/>
                <w:szCs w:val="20"/>
                <w:color w:val="auto"/>
              </w:rPr>
            </w:pPr>
            <w:r>
              <w:rPr>
                <w:rFonts w:ascii="Arial" w:cs="Arial" w:eastAsia="Arial" w:hAnsi="Arial"/>
                <w:sz w:val="12"/>
                <w:szCs w:val="12"/>
                <w:color w:val="auto"/>
              </w:rPr>
              <w:t>A Funded Customer is considered “Churned” if it was ever a New Funded Customer whose account balance (measured as the fair value of assets in the account less any</w:t>
            </w:r>
          </w:p>
        </w:tc>
        <w:tc>
          <w:tcPr>
            <w:tcW w:w="20" w:type="dxa"/>
            <w:vAlign w:val="bottom"/>
            <w:shd w:val="clear" w:color="auto" w:fill="000000"/>
          </w:tcPr>
          <w:p>
            <w:pPr>
              <w:spacing w:after="0"/>
              <w:rPr>
                <w:sz w:val="10"/>
                <w:szCs w:val="10"/>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amount due from the user and excluding amounts that are deposited into a Funded Customer account by the Company with no action taken by the unique person) drops to or</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below zero and has not completed a transaction using any account with a Robinhood entity for at least 45 consecutive calendar days. Negative balances typically result from</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Fraudulent Deposit Transactions (which occur when users initiate deposits into their accounts, make trades on our platforms using a short-term extension of credit from us, and</w:t>
            </w:r>
          </w:p>
        </w:tc>
        <w:tc>
          <w:tcPr>
            <w:tcW w:w="20" w:type="dxa"/>
            <w:vAlign w:val="bottom"/>
            <w:shd w:val="clear" w:color="auto" w:fill="000000"/>
          </w:tcPr>
          <w:p>
            <w:pPr>
              <w:spacing w:after="0"/>
              <w:rPr>
                <w:sz w:val="11"/>
                <w:szCs w:val="11"/>
                <w:color w:val="auto"/>
              </w:rPr>
            </w:pPr>
          </w:p>
        </w:tc>
      </w:tr>
      <w:tr>
        <w:trPr>
          <w:trHeight w:val="170"/>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then repatriate or reverse the deposits, resulting in a loss to us of the credited amount) and unauthorized debit card use, and less often, from margin loans.</w:t>
            </w:r>
          </w:p>
        </w:tc>
        <w:tc>
          <w:tcPr>
            <w:tcW w:w="20" w:type="dxa"/>
            <w:vAlign w:val="bottom"/>
            <w:tcBorders>
              <w:bottom w:val="single" w:sz="8" w:color="auto"/>
            </w:tcBorders>
            <w:shd w:val="clear" w:color="auto" w:fill="000000"/>
          </w:tcPr>
          <w:p>
            <w:pPr>
              <w:spacing w:after="0"/>
              <w:rPr>
                <w:sz w:val="14"/>
                <w:szCs w:val="14"/>
                <w:color w:val="auto"/>
              </w:rPr>
            </w:pPr>
          </w:p>
        </w:tc>
      </w:tr>
      <w:tr>
        <w:trPr>
          <w:trHeight w:val="127"/>
        </w:trPr>
        <w:tc>
          <w:tcPr>
            <w:tcW w:w="1620" w:type="dxa"/>
            <w:vAlign w:val="bottom"/>
            <w:tcBorders>
              <w:left w:val="single" w:sz="8" w:color="auto"/>
              <w:right w:val="single" w:sz="8" w:color="auto"/>
            </w:tcBorders>
            <w:shd w:val="clear" w:color="auto" w:fill="CCEEFF"/>
          </w:tcPr>
          <w:p>
            <w:pPr>
              <w:ind w:left="40"/>
              <w:spacing w:after="0" w:line="128" w:lineRule="exact"/>
              <w:rPr>
                <w:sz w:val="20"/>
                <w:szCs w:val="20"/>
                <w:color w:val="auto"/>
              </w:rPr>
            </w:pPr>
            <w:r>
              <w:rPr>
                <w:rFonts w:ascii="Arial" w:cs="Arial" w:eastAsia="Arial" w:hAnsi="Arial"/>
                <w:sz w:val="12"/>
                <w:szCs w:val="12"/>
                <w:b w:val="1"/>
                <w:bCs w:val="1"/>
                <w:color w:val="auto"/>
              </w:rPr>
              <w:t>Growth Rate with respect</w:t>
            </w: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Growth rate is calculated as aggregate Net Deposits over a specified 12 month period, divided by Total Platform Assets for the fiscal quarter that immediately precedes such 12</w:t>
            </w:r>
          </w:p>
        </w:tc>
        <w:tc>
          <w:tcPr>
            <w:tcW w:w="20" w:type="dxa"/>
            <w:vAlign w:val="bottom"/>
            <w:shd w:val="clear" w:color="auto" w:fill="000000"/>
          </w:tcPr>
          <w:p>
            <w:pPr>
              <w:spacing w:after="0"/>
              <w:rPr>
                <w:sz w:val="11"/>
                <w:szCs w:val="11"/>
                <w:color w:val="auto"/>
              </w:rPr>
            </w:pPr>
          </w:p>
        </w:tc>
      </w:tr>
      <w:tr>
        <w:trPr>
          <w:trHeight w:val="173"/>
        </w:trPr>
        <w:tc>
          <w:tcPr>
            <w:tcW w:w="1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 Net Deposits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month period.</w:t>
            </w:r>
          </w:p>
        </w:tc>
        <w:tc>
          <w:tcPr>
            <w:tcW w:w="20" w:type="dxa"/>
            <w:vAlign w:val="bottom"/>
            <w:tcBorders>
              <w:bottom w:val="single" w:sz="8" w:color="auto"/>
            </w:tcBorders>
            <w:shd w:val="clear" w:color="auto" w:fill="000000"/>
          </w:tcPr>
          <w:p>
            <w:pPr>
              <w:spacing w:after="0"/>
              <w:rPr>
                <w:sz w:val="15"/>
                <w:szCs w:val="15"/>
                <w:color w:val="auto"/>
              </w:rPr>
            </w:pPr>
          </w:p>
        </w:tc>
      </w:tr>
      <w:tr>
        <w:trPr>
          <w:trHeight w:val="124"/>
        </w:trPr>
        <w:tc>
          <w:tcPr>
            <w:tcW w:w="1620" w:type="dxa"/>
            <w:vAlign w:val="bottom"/>
            <w:tcBorders>
              <w:left w:val="single" w:sz="8" w:color="auto"/>
              <w:right w:val="single" w:sz="8" w:color="auto"/>
            </w:tcBorders>
          </w:tcPr>
          <w:p>
            <w:pPr>
              <w:ind w:left="40"/>
              <w:spacing w:after="0" w:line="125" w:lineRule="exact"/>
              <w:rPr>
                <w:sz w:val="20"/>
                <w:szCs w:val="20"/>
                <w:color w:val="auto"/>
              </w:rPr>
            </w:pPr>
            <w:r>
              <w:rPr>
                <w:rFonts w:ascii="Arial" w:cs="Arial" w:eastAsia="Arial" w:hAnsi="Arial"/>
                <w:sz w:val="12"/>
                <w:szCs w:val="12"/>
                <w:b w:val="1"/>
                <w:bCs w:val="1"/>
                <w:color w:val="auto"/>
              </w:rPr>
              <w:t>Investment Accounts</w:t>
            </w:r>
          </w:p>
        </w:tc>
        <w:tc>
          <w:tcPr>
            <w:tcW w:w="9620" w:type="dxa"/>
            <w:vAlign w:val="bottom"/>
          </w:tcPr>
          <w:p>
            <w:pPr>
              <w:ind w:left="20"/>
              <w:spacing w:after="0" w:line="125" w:lineRule="exact"/>
              <w:rPr>
                <w:sz w:val="20"/>
                <w:szCs w:val="20"/>
                <w:color w:val="auto"/>
              </w:rPr>
            </w:pPr>
            <w:r>
              <w:rPr>
                <w:rFonts w:ascii="Arial" w:cs="Arial" w:eastAsia="Arial" w:hAnsi="Arial"/>
                <w:sz w:val="12"/>
                <w:szCs w:val="12"/>
                <w:color w:val="auto"/>
              </w:rPr>
              <w:t>We define an Investment Account as a funded individual brokerage account, a funded joint investing account, a funded IRA, or an account with an RIA using TradePMR’s</w:t>
            </w:r>
          </w:p>
        </w:tc>
        <w:tc>
          <w:tcPr>
            <w:tcW w:w="20" w:type="dxa"/>
            <w:vAlign w:val="bottom"/>
            <w:shd w:val="clear" w:color="auto" w:fill="000000"/>
          </w:tcPr>
          <w:p>
            <w:pPr>
              <w:spacing w:after="0"/>
              <w:rPr>
                <w:sz w:val="10"/>
                <w:szCs w:val="10"/>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platform. Starting in September 2025, a Funded Customer can have multiple Investment Accounts - one or more individual brokerage accounts, a joint investing account, a</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traditional IRA, a Roth IRA, and/or an RIA custody account using TradePMR’s platform. Investment Accounts do not include Bitstamp as such accounts are not brokerage or</w:t>
            </w:r>
          </w:p>
        </w:tc>
        <w:tc>
          <w:tcPr>
            <w:tcW w:w="20" w:type="dxa"/>
            <w:vAlign w:val="bottom"/>
            <w:shd w:val="clear" w:color="auto" w:fill="000000"/>
          </w:tcPr>
          <w:p>
            <w:pPr>
              <w:spacing w:after="0"/>
              <w:rPr>
                <w:sz w:val="10"/>
                <w:szCs w:val="10"/>
                <w:color w:val="auto"/>
              </w:rPr>
            </w:pPr>
          </w:p>
        </w:tc>
      </w:tr>
      <w:tr>
        <w:trPr>
          <w:trHeight w:val="168"/>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Investment Accounts.</w:t>
            </w:r>
          </w:p>
        </w:tc>
        <w:tc>
          <w:tcPr>
            <w:tcW w:w="20" w:type="dxa"/>
            <w:vAlign w:val="bottom"/>
            <w:tcBorders>
              <w:bottom w:val="single" w:sz="8" w:color="auto"/>
            </w:tcBorders>
            <w:shd w:val="clear" w:color="auto" w:fill="000000"/>
          </w:tcPr>
          <w:p>
            <w:pPr>
              <w:spacing w:after="0"/>
              <w:rPr>
                <w:sz w:val="14"/>
                <w:szCs w:val="14"/>
                <w:color w:val="auto"/>
              </w:rPr>
            </w:pPr>
          </w:p>
        </w:tc>
      </w:tr>
      <w:tr>
        <w:trPr>
          <w:trHeight w:val="125"/>
        </w:trPr>
        <w:tc>
          <w:tcPr>
            <w:tcW w:w="1620" w:type="dxa"/>
            <w:vAlign w:val="bottom"/>
            <w:tcBorders>
              <w:left w:val="single" w:sz="8" w:color="auto"/>
              <w:right w:val="single" w:sz="8" w:color="auto"/>
            </w:tcBorders>
            <w:shd w:val="clear" w:color="auto" w:fill="CCEEFF"/>
          </w:tcPr>
          <w:p>
            <w:pPr>
              <w:ind w:left="40"/>
              <w:spacing w:after="0" w:line="125" w:lineRule="exact"/>
              <w:rPr>
                <w:sz w:val="20"/>
                <w:szCs w:val="20"/>
                <w:color w:val="auto"/>
              </w:rPr>
            </w:pPr>
            <w:r>
              <w:rPr>
                <w:rFonts w:ascii="Arial" w:cs="Arial" w:eastAsia="Arial" w:hAnsi="Arial"/>
                <w:sz w:val="12"/>
                <w:szCs w:val="12"/>
                <w:b w:val="1"/>
                <w:bCs w:val="1"/>
                <w:color w:val="auto"/>
              </w:rPr>
              <w:t>Margin Book</w:t>
            </w:r>
          </w:p>
        </w:tc>
        <w:tc>
          <w:tcPr>
            <w:tcW w:w="96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We define Margin Book as our period-end aggregate outstanding margin loan balances receivable (i.e., the period-end total amount we are owed by customers on loans made</w:t>
            </w:r>
          </w:p>
        </w:tc>
        <w:tc>
          <w:tcPr>
            <w:tcW w:w="20" w:type="dxa"/>
            <w:vAlign w:val="bottom"/>
            <w:shd w:val="clear" w:color="auto" w:fill="000000"/>
          </w:tcPr>
          <w:p>
            <w:pPr>
              <w:spacing w:after="0"/>
              <w:rPr>
                <w:sz w:val="10"/>
                <w:szCs w:val="10"/>
                <w:color w:val="auto"/>
              </w:rPr>
            </w:pPr>
          </w:p>
        </w:tc>
      </w:tr>
      <w:tr>
        <w:trPr>
          <w:trHeight w:val="124"/>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for the purchase of securities, supported by a pledge of assets in their margin-enabled brokerage accounts). This includes margin loan balances from customers of RIAs using</w:t>
            </w:r>
          </w:p>
        </w:tc>
        <w:tc>
          <w:tcPr>
            <w:tcW w:w="20" w:type="dxa"/>
            <w:vAlign w:val="bottom"/>
            <w:shd w:val="clear" w:color="auto" w:fill="000000"/>
          </w:tcPr>
          <w:p>
            <w:pPr>
              <w:spacing w:after="0"/>
              <w:rPr>
                <w:sz w:val="10"/>
                <w:szCs w:val="10"/>
                <w:color w:val="auto"/>
              </w:rPr>
            </w:pPr>
          </w:p>
        </w:tc>
      </w:tr>
      <w:tr>
        <w:trPr>
          <w:trHeight w:val="168"/>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TradePMR’s platform.</w:t>
            </w:r>
          </w:p>
        </w:tc>
        <w:tc>
          <w:tcPr>
            <w:tcW w:w="20" w:type="dxa"/>
            <w:vAlign w:val="bottom"/>
            <w:tcBorders>
              <w:bottom w:val="single" w:sz="8" w:color="auto"/>
            </w:tcBorders>
            <w:shd w:val="clear" w:color="auto" w:fill="000000"/>
          </w:tcPr>
          <w:p>
            <w:pPr>
              <w:spacing w:after="0"/>
              <w:rPr>
                <w:sz w:val="14"/>
                <w:szCs w:val="14"/>
                <w:color w:val="auto"/>
              </w:rPr>
            </w:pPr>
          </w:p>
        </w:tc>
      </w:tr>
      <w:tr>
        <w:trPr>
          <w:trHeight w:val="168"/>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New Funded Customers</w:t>
            </w: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We define a New Funded Customer as a unique person who became a Funded Customer for the first time during the relevant period.</w:t>
            </w:r>
          </w:p>
        </w:tc>
        <w:tc>
          <w:tcPr>
            <w:tcW w:w="20" w:type="dxa"/>
            <w:vAlign w:val="bottom"/>
            <w:tcBorders>
              <w:bottom w:val="single" w:sz="8" w:color="auto"/>
            </w:tcBorders>
            <w:shd w:val="clear" w:color="auto" w:fill="000000"/>
          </w:tcPr>
          <w:p>
            <w:pPr>
              <w:spacing w:after="0"/>
              <w:rPr>
                <w:sz w:val="14"/>
                <w:szCs w:val="14"/>
                <w:color w:val="auto"/>
              </w:rPr>
            </w:pPr>
          </w:p>
        </w:tc>
      </w:tr>
      <w:tr>
        <w:trPr>
          <w:trHeight w:val="122"/>
        </w:trPr>
        <w:tc>
          <w:tcPr>
            <w:tcW w:w="1620" w:type="dxa"/>
            <w:vAlign w:val="bottom"/>
            <w:tcBorders>
              <w:left w:val="single" w:sz="8" w:color="auto"/>
              <w:right w:val="single" w:sz="8" w:color="auto"/>
            </w:tcBorders>
            <w:shd w:val="clear" w:color="auto" w:fill="CCEEFF"/>
          </w:tcPr>
          <w:p>
            <w:pPr>
              <w:ind w:left="40"/>
              <w:spacing w:after="0" w:line="122" w:lineRule="exact"/>
              <w:rPr>
                <w:sz w:val="20"/>
                <w:szCs w:val="20"/>
                <w:color w:val="auto"/>
              </w:rPr>
            </w:pPr>
            <w:r>
              <w:rPr>
                <w:rFonts w:ascii="Arial" w:cs="Arial" w:eastAsia="Arial" w:hAnsi="Arial"/>
                <w:sz w:val="12"/>
                <w:szCs w:val="12"/>
                <w:b w:val="1"/>
                <w:bCs w:val="1"/>
                <w:color w:val="auto"/>
              </w:rPr>
              <w:t>Notional Trading Volume</w:t>
            </w:r>
          </w:p>
        </w:tc>
        <w:tc>
          <w:tcPr>
            <w:tcW w:w="962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We define Notional Trading Volume, or Notional Volume, for any specified asset class as the aggregate dollar value (purchase price or sale price as applicable) of trades</w:t>
            </w:r>
          </w:p>
        </w:tc>
        <w:tc>
          <w:tcPr>
            <w:tcW w:w="20" w:type="dxa"/>
            <w:vAlign w:val="bottom"/>
            <w:shd w:val="clear" w:color="auto" w:fill="000000"/>
          </w:tcPr>
          <w:p>
            <w:pPr>
              <w:spacing w:after="0"/>
              <w:rPr>
                <w:sz w:val="10"/>
                <w:szCs w:val="10"/>
                <w:color w:val="auto"/>
              </w:rPr>
            </w:pPr>
          </w:p>
        </w:tc>
      </w:tr>
      <w:tr>
        <w:trPr>
          <w:trHeight w:val="124"/>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executed in that asset class on our platforms over a specified period of time. Crypto Notional Volume includes both Robinhood App Notional Volume and, starting in June 2025,</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Bitstamp Notional Volume. Robinhood App Notional Volume represents the dollar value of executed crypto trades on the Robinhood platform over a specified period of time.</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Bitstamp Notional Volume represents the dollar value of executed crypto trades on the Bitstamp platform over a specified period of time. For example, each $1 of transaction</w:t>
            </w:r>
          </w:p>
        </w:tc>
        <w:tc>
          <w:tcPr>
            <w:tcW w:w="20" w:type="dxa"/>
            <w:vAlign w:val="bottom"/>
            <w:shd w:val="clear" w:color="auto" w:fill="000000"/>
          </w:tcPr>
          <w:p>
            <w:pPr>
              <w:spacing w:after="0"/>
              <w:rPr>
                <w:sz w:val="11"/>
                <w:szCs w:val="11"/>
                <w:color w:val="auto"/>
              </w:rPr>
            </w:pPr>
          </w:p>
        </w:tc>
      </w:tr>
      <w:tr>
        <w:trPr>
          <w:trHeight w:val="170"/>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value executed between a buyer and seller is counted as $1 of transaction value in the relevant period, rather than $2 if counted for each of the buyer and seller.</w:t>
            </w:r>
          </w:p>
        </w:tc>
        <w:tc>
          <w:tcPr>
            <w:tcW w:w="20" w:type="dxa"/>
            <w:vAlign w:val="bottom"/>
            <w:tcBorders>
              <w:bottom w:val="single" w:sz="8" w:color="auto"/>
            </w:tcBorders>
            <w:shd w:val="clear" w:color="auto" w:fill="000000"/>
          </w:tcPr>
          <w:p>
            <w:pPr>
              <w:spacing w:after="0"/>
              <w:rPr>
                <w:sz w:val="14"/>
                <w:szCs w:val="14"/>
                <w:color w:val="auto"/>
              </w:rPr>
            </w:pPr>
          </w:p>
        </w:tc>
      </w:tr>
      <w:tr>
        <w:trPr>
          <w:trHeight w:val="127"/>
        </w:trPr>
        <w:tc>
          <w:tcPr>
            <w:tcW w:w="1620" w:type="dxa"/>
            <w:vAlign w:val="bottom"/>
            <w:tcBorders>
              <w:left w:val="single" w:sz="8" w:color="auto"/>
              <w:right w:val="single" w:sz="8" w:color="auto"/>
            </w:tcBorders>
          </w:tcPr>
          <w:p>
            <w:pPr>
              <w:ind w:left="40"/>
              <w:spacing w:after="0" w:line="128" w:lineRule="exact"/>
              <w:rPr>
                <w:sz w:val="20"/>
                <w:szCs w:val="20"/>
                <w:color w:val="auto"/>
              </w:rPr>
            </w:pPr>
            <w:r>
              <w:rPr>
                <w:rFonts w:ascii="Arial" w:cs="Arial" w:eastAsia="Arial" w:hAnsi="Arial"/>
                <w:sz w:val="12"/>
                <w:szCs w:val="12"/>
                <w:b w:val="1"/>
                <w:bCs w:val="1"/>
                <w:color w:val="auto"/>
              </w:rPr>
              <w:t>Options Contracts Traded</w:t>
            </w: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We define Options Contracts Traded as the total number of options contracts bought or sold over a specified period of time. Each contract generally entitles the holder to trade</w:t>
            </w:r>
          </w:p>
        </w:tc>
        <w:tc>
          <w:tcPr>
            <w:tcW w:w="20" w:type="dxa"/>
            <w:vAlign w:val="bottom"/>
            <w:shd w:val="clear" w:color="auto" w:fill="000000"/>
          </w:tcPr>
          <w:p>
            <w:pPr>
              <w:spacing w:after="0"/>
              <w:rPr>
                <w:sz w:val="11"/>
                <w:szCs w:val="11"/>
                <w:color w:val="auto"/>
              </w:rPr>
            </w:pPr>
          </w:p>
        </w:tc>
      </w:tr>
      <w:tr>
        <w:trPr>
          <w:trHeight w:val="170"/>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100 shares of the underlying stock.</w:t>
            </w:r>
          </w:p>
        </w:tc>
        <w:tc>
          <w:tcPr>
            <w:tcW w:w="20" w:type="dxa"/>
            <w:vAlign w:val="bottom"/>
            <w:tcBorders>
              <w:bottom w:val="single" w:sz="8" w:color="auto"/>
            </w:tcBorders>
            <w:shd w:val="clear" w:color="auto" w:fill="000000"/>
          </w:tcPr>
          <w:p>
            <w:pPr>
              <w:spacing w:after="0"/>
              <w:rPr>
                <w:sz w:val="14"/>
                <w:szCs w:val="14"/>
                <w:color w:val="auto"/>
              </w:rPr>
            </w:pPr>
          </w:p>
        </w:tc>
      </w:tr>
      <w:tr>
        <w:trPr>
          <w:trHeight w:val="127"/>
        </w:trPr>
        <w:tc>
          <w:tcPr>
            <w:tcW w:w="1620" w:type="dxa"/>
            <w:vAlign w:val="bottom"/>
            <w:tcBorders>
              <w:left w:val="single" w:sz="8" w:color="auto"/>
              <w:right w:val="single" w:sz="8" w:color="auto"/>
            </w:tcBorders>
            <w:shd w:val="clear" w:color="auto" w:fill="CCEEFF"/>
          </w:tcPr>
          <w:p>
            <w:pPr>
              <w:ind w:left="40"/>
              <w:spacing w:after="0" w:line="128" w:lineRule="exact"/>
              <w:rPr>
                <w:sz w:val="20"/>
                <w:szCs w:val="20"/>
                <w:color w:val="auto"/>
              </w:rPr>
            </w:pPr>
            <w:r>
              <w:rPr>
                <w:rFonts w:ascii="Arial" w:cs="Arial" w:eastAsia="Arial" w:hAnsi="Arial"/>
                <w:sz w:val="12"/>
                <w:szCs w:val="12"/>
                <w:b w:val="1"/>
                <w:bCs w:val="1"/>
                <w:color w:val="auto"/>
              </w:rPr>
              <w:t>Resurrected Customers</w:t>
            </w: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A Funded Customer is considered “Resurrected” in a stated period if it was a Churned Customer as of the end of the immediately preceding period and its balance (excluding</w:t>
            </w:r>
          </w:p>
        </w:tc>
        <w:tc>
          <w:tcPr>
            <w:tcW w:w="20" w:type="dxa"/>
            <w:vAlign w:val="bottom"/>
            <w:shd w:val="clear" w:color="auto" w:fill="000000"/>
          </w:tcPr>
          <w:p>
            <w:pPr>
              <w:spacing w:after="0"/>
              <w:rPr>
                <w:sz w:val="11"/>
                <w:szCs w:val="11"/>
                <w:color w:val="auto"/>
              </w:rPr>
            </w:pPr>
          </w:p>
        </w:tc>
      </w:tr>
      <w:tr>
        <w:trPr>
          <w:trHeight w:val="124"/>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amounts that are deposited into a Funded Customer account by the Company with no action taken by the unique person) rises above zero or it completes a transaction using</w:t>
            </w:r>
          </w:p>
        </w:tc>
        <w:tc>
          <w:tcPr>
            <w:tcW w:w="20" w:type="dxa"/>
            <w:vAlign w:val="bottom"/>
            <w:shd w:val="clear" w:color="auto" w:fill="000000"/>
          </w:tcPr>
          <w:p>
            <w:pPr>
              <w:spacing w:after="0"/>
              <w:rPr>
                <w:sz w:val="10"/>
                <w:szCs w:val="10"/>
                <w:color w:val="auto"/>
              </w:rPr>
            </w:pPr>
          </w:p>
        </w:tc>
      </w:tr>
      <w:tr>
        <w:trPr>
          <w:trHeight w:val="168"/>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its account.</w:t>
            </w:r>
          </w:p>
        </w:tc>
        <w:tc>
          <w:tcPr>
            <w:tcW w:w="20" w:type="dxa"/>
            <w:vAlign w:val="bottom"/>
            <w:tcBorders>
              <w:bottom w:val="single" w:sz="8" w:color="auto"/>
            </w:tcBorders>
            <w:shd w:val="clear" w:color="auto" w:fill="000000"/>
          </w:tcPr>
          <w:p>
            <w:pPr>
              <w:spacing w:after="0"/>
              <w:rPr>
                <w:sz w:val="14"/>
                <w:szCs w:val="14"/>
                <w:color w:val="auto"/>
              </w:rPr>
            </w:pPr>
          </w:p>
        </w:tc>
      </w:tr>
    </w:tbl>
    <w:p>
      <w:pPr>
        <w:sectPr>
          <w:pgSz w:w="11900" w:h="16838" w:orient="portrait"/>
          <w:cols w:equalWidth="0" w:num="1">
            <w:col w:w="11340"/>
          </w:cols>
          <w:pgMar w:left="320" w:top="122" w:right="239" w:bottom="0" w:gutter="0" w:footer="0" w:header="0"/>
        </w:sectPr>
      </w:pPr>
    </w:p>
    <w:bookmarkStart w:id="5" w:name="page6"/>
    <w:bookmarkEnd w:id="5"/>
    <w:p>
      <w:pPr>
        <w:ind w:left="4420"/>
        <w:spacing w:after="0"/>
        <w:rPr>
          <w:sz w:val="20"/>
          <w:szCs w:val="20"/>
          <w:color w:val="auto"/>
        </w:rPr>
      </w:pPr>
      <w:r>
        <w:rPr>
          <w:rFonts w:ascii="Arial" w:cs="Arial" w:eastAsia="Arial" w:hAnsi="Arial"/>
          <w:sz w:val="18"/>
          <w:szCs w:val="18"/>
          <w:b w:val="1"/>
          <w:bCs w:val="1"/>
          <w:color w:val="auto"/>
        </w:rPr>
        <w:t>Supported Cryptocurrencies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currently support trading in the following cryptocurrencies, where available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440" w:type="dxa"/>
            <w:vAlign w:val="bottom"/>
            <w:tcBorders>
              <w:top w:val="single" w:sz="8" w:color="auto"/>
              <w:left w:val="single" w:sz="8" w:color="auto"/>
              <w:right w:val="single" w:sz="8" w:color="auto"/>
            </w:tcBorders>
            <w:shd w:val="clear" w:color="auto" w:fill="CCEEFF"/>
          </w:tcPr>
          <w:p>
            <w:pPr>
              <w:ind w:left="40"/>
              <w:spacing w:after="0" w:line="172" w:lineRule="exact"/>
              <w:rPr>
                <w:sz w:val="20"/>
                <w:szCs w:val="20"/>
                <w:color w:val="auto"/>
              </w:rPr>
            </w:pPr>
            <w:r>
              <w:rPr>
                <w:rFonts w:ascii="Arial" w:cs="Arial" w:eastAsia="Arial" w:hAnsi="Arial"/>
                <w:sz w:val="16"/>
                <w:szCs w:val="16"/>
                <w:color w:val="auto"/>
              </w:rPr>
              <w:t>Aave (AAVE)</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Aerodrome</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Arbitrum (ARB)</w:t>
            </w:r>
          </w:p>
        </w:tc>
        <w:tc>
          <w:tcPr>
            <w:tcW w:w="142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Aster (ASTER)*</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Avalanche (AVAX)</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Avantis (AVNT)*</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Bitcoin (BTC)</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Bitcoin Cash</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Finance (AERO)</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(BCH)</w:t>
            </w: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BNB (BNB)*</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BONK (BONK)</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Cardano (ADA)</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cat in a dogs</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Chainlink (LINK)</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Compound</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Curve DAO (CRV)</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Dogecoin (DOGE)</w:t>
            </w:r>
          </w:p>
        </w:tc>
      </w:tr>
      <w:tr>
        <w:trPr>
          <w:trHeight w:val="211"/>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world (MEW)*</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Dogwifhat (WIF)</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Ethena (ENA)</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Ethereum (ETH)</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Ethereum Classic</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Floki (FLOKI)</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Hedera (HBAR)</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Hyperliquid</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LayerZero (ZRO)*</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(ETC)</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(HYPE)*</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Lido DAO (LDO)</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Lighter (LIT)*</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Litecoin (LTC)</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Mantle (MNT)</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Maple Finance</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Moo Deng</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OFFICIAL TRUMP</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Ondo (ONDO)*</w:t>
            </w:r>
          </w:p>
        </w:tc>
      </w:tr>
      <w:tr>
        <w:trPr>
          <w:trHeight w:val="211"/>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(SYRUP)</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(MOODENG)*</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(TRUMP)*</w:t>
            </w: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Onyxcoin (XCN)</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Optimism (OP)</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Pax Gold (PAXG)</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Peanut the</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Pepecoin (PEPE)</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Plasma (XPL)*</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Polkadot (DOT)</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Popcat</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Squirrel (PNUT)*</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(POPCAT)*</w:t>
            </w: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Pudgy Penguins</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Pyth Network</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Render</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Seeker (SKR)</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SEI (SEI)</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Shiba Inu (SHIB)</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Sky (SKY)*</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Solana (SOL)</w:t>
            </w:r>
          </w:p>
        </w:tc>
      </w:tr>
      <w:tr>
        <w:trPr>
          <w:trHeight w:val="211"/>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(PENGU)*</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(PYTH)</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(RENDER)</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Stellar Lumens</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SUI (SUI)</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Tezos (XTZ)</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Toncoin (TON)*</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Uniswap (UNI)</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USD Stablecoin</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Virtuals Protocol</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World Liberty</w:t>
            </w:r>
          </w:p>
        </w:tc>
      </w:tr>
      <w:tr>
        <w:trPr>
          <w:trHeight w:val="211"/>
        </w:trPr>
        <w:tc>
          <w:tcPr>
            <w:tcW w:w="1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(XLM)</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(USDC)**</w:t>
            </w: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(VIRTUAL)</w:t>
            </w: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Financial (WLFI)*</w:t>
            </w:r>
          </w:p>
        </w:tc>
      </w:tr>
      <w:tr>
        <w:trPr>
          <w:trHeight w:val="205"/>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XRP (XRP)</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Zora (ZORA)*</w:t>
            </w:r>
          </w:p>
        </w:tc>
        <w:tc>
          <w:tcPr>
            <w:tcW w:w="1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bl>
    <w:p>
      <w:pPr>
        <w:spacing w:after="0" w:line="295" w:lineRule="exact"/>
        <w:rPr>
          <w:sz w:val="20"/>
          <w:szCs w:val="20"/>
          <w:color w:val="auto"/>
        </w:rPr>
      </w:pPr>
    </w:p>
    <w:p>
      <w:pPr>
        <w:ind w:right="600" w:firstLine="6"/>
        <w:spacing w:after="0" w:line="278" w:lineRule="auto"/>
        <w:tabs>
          <w:tab w:leader="none" w:pos="144"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Not all cryptocurrencies are available in every state. An asterisk indicates a cryptocurrency is not currently available for trading in New York; a double asterisk indicates a cryptocurrency is not currently available for trading in New York or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right="980"/>
        <w:spacing w:after="0" w:line="485" w:lineRule="exact"/>
        <w:rPr>
          <w:sz w:val="20"/>
          <w:szCs w:val="20"/>
          <w:color w:val="auto"/>
        </w:rPr>
      </w:pPr>
      <w:r>
        <w:rPr>
          <w:rFonts w:ascii="Arial" w:cs="Arial" w:eastAsia="Arial" w:hAnsi="Arial"/>
          <w:sz w:val="35"/>
          <w:szCs w:val="35"/>
          <w:color w:val="auto"/>
        </w:rPr>
        <w:t>CAUTIONARY NOTE REGARDING FORWARD</w:t>
      </w:r>
      <w:r>
        <w:rPr>
          <w:rFonts w:ascii="MS PGothic" w:cs="MS PGothic" w:eastAsia="MS PGothic" w:hAnsi="MS PGothic"/>
          <w:sz w:val="35"/>
          <w:szCs w:val="35"/>
          <w:color w:val="auto"/>
        </w:rPr>
        <w:t>‑</w:t>
      </w:r>
      <w:r>
        <w:rPr>
          <w:rFonts w:ascii="Arial" w:cs="Arial" w:eastAsia="Arial" w:hAnsi="Arial"/>
          <w:sz w:val="35"/>
          <w:szCs w:val="35"/>
          <w:color w:val="auto"/>
        </w:rPr>
        <w:t>LOOKING STATEMENTS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Annual Report on Form 10-K (this “Annual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Annual Report includes, among others, forward-looking statements regarding:</w:t>
      </w:r>
    </w:p>
    <w:p>
      <w:pPr>
        <w:spacing w:after="0" w:line="145" w:lineRule="exact"/>
        <w:rPr>
          <w:sz w:val="20"/>
          <w:szCs w:val="20"/>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continue to create an ecosystem of financial products and services that will enable people across the world to become investors;</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our products can transform the relationship people have with the financial system and that the products on our roadmap will go a long way toward making that a reality;</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commitment to continue expanding Robinhood Legend’s capabilities;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remain focused on building the best products and ultimately aim to serve all of our customers’ financial needs;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prediction markets investments, including our plans to introduce and advance the build out of an independent, CFTC-licensed exchange and clearinghouse, Rothera E&amp;C;</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expanding our U.K. brokerage offering with the introduction of tax-advantaged investment accounts;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are continuing to roll out Robinhood Banking to Gold Subscribers;</w:t>
      </w:r>
    </w:p>
    <w:p>
      <w:pPr>
        <w:spacing w:after="0" w:line="176"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RVI, including that RVI’s investment program will focus on a concentrated portfolio of private companies at the frontiers of their respective industries and that RVI plans to hold investments for the long term through IPO and beyond, and will seek to invest across a number of sectors;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legal and regulatory proceedings and investigations;</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 to continue to invest in technology;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are continuously introducing new products and diversifying our services that further expand access to the financial system;</w:t>
      </w:r>
    </w:p>
    <w:p>
      <w:pPr>
        <w:spacing w:after="0" w:line="229"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legislative developments and their impact on us, including with respect to the CLARITY Act and the GENIUS Act;</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our ability to rapidly adopt and introduce new tools relating to AI, including building complex AI agents and AI-native advisory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our ability to lead in cryptocurrency and blockchain technology;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launch new products and features that drive tokenization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keep investing in our existing products and features while also launching new products and services like Robinhood Legend, index options, futures, and event contracts;</w:t>
      </w:r>
    </w:p>
    <w:p>
      <w:pPr>
        <w:spacing w:after="0" w:line="20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products related to wealth management and advisory, including our plan to focus on multigenerational advisory in our future product roadmap and our expectation that multigenerational advisory will be strengthened by the expanded investment advisory and custodial capabilities gained through our acquisition of TradePMR;</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continue expanding the coverage of Robinhood Gold;</w:t>
      </w:r>
    </w:p>
    <w:p>
      <w:pPr>
        <w:spacing w:after="0" w:line="22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there is a significant opportunity for Robinhood to grow internationally and our intent to continue expanding our operations outside of the United States, including our plan to continue the expansion of our U.K. brokerage product offering and our plan to open an office in Singapore as our APAC headquarters;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consider factors such as population size and demographics, legal and regulatory environments, and general investing attitudes and the competitive landscape in potential new markets prior to pursuing such expansion;</w:t>
      </w:r>
    </w:p>
    <w:p>
      <w:pPr>
        <w:spacing w:after="0" w:line="17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about adapting our product and service offerings to reflect local regulatory requirements, customer preferences, and other location-specific factors when pursuing such expansion;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with respect to our pending acquisitions of WonderFi, PT Buana Capital Sekuritas, and PT Pedagang Aset Kripto;</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Repurchase Program and our current expectations with respect to timing;</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based on our current level of operations, our primary sources of liquidity will be adequate to meet our current liquidity needs for the next 12 months; and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applying for a license under the DFAL in connection with our cryptocurrency trading operations in California.</w:t>
      </w:r>
    </w:p>
    <w:p>
      <w:pPr>
        <w:spacing w:after="0" w:line="20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Annual Report. Reported results should not be considered an indication of future performance. Factors that contribute to the uncertain nature of our forward-looking statements include, among others:</w:t>
      </w:r>
    </w:p>
    <w:p>
      <w:pPr>
        <w:spacing w:after="0" w:line="126" w:lineRule="exact"/>
        <w:rPr>
          <w:sz w:val="20"/>
          <w:szCs w:val="20"/>
          <w:color w:val="auto"/>
        </w:rPr>
      </w:pPr>
    </w:p>
    <w:p>
      <w:pPr>
        <w:ind w:left="640" w:hanging="316"/>
        <w:spacing w:after="0" w:line="25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rapid and continuing expansion, including continuing to introduce new products and services on our platforms as well as geographic expansion;</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fluctuations in our financial results and key metrics from quarter to quarter;</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transaction-based revenue, including PFOF, the risk of new regulation or bans on PFOF and similar practices, and the addition of our new fee-based model for cryptocurrency;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fluctuations in interest rates and rapidly changing interest rate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maintain capital levels required by regulators and SROs;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76"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key employees and a skilled workforce;</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 that we do not wholly own or operationally control Rothera, our joint venture with SIG, and its subsidiaries;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and regulatory risks and expenditures prior to and following closing of our acquisitions and investments;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complying with an extensive, complex, and changing regulatory environment, the risk of monetary and other penalties for noncompliance and the need to adjust our business model in response to new or modified laws and regulations;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adverse developments in pending litigation and regulatory investigations;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outcome of currently ongoing and potential future regulatory enforcement actions and litigation, as well as potential changes in federal or state law, could immediately or subsequently prevent us from offering, or continuing to offer, event contracts;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innovate and acquire or invest in new products, services, technologies and geographies in order to attract and retain customers and deepen their engagement with us in order to maintain growth;</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cybersecurity incidents, theft, data breaches, and other online attacks;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processing customer data in compliance with privacy laws;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as a regulated financial services company to develop and maintain effective compliance and risk management infrastructures;</w:t>
      </w:r>
    </w:p>
    <w:p>
      <w:pPr>
        <w:spacing w:after="0" w:line="201"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incorporating AI technologies into some of our products and processes;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regulation, litigation, contractual, operational, and reputational risks associated with our introduction of products such as Robinhood Stock Tokens in the EEA and our staking services offered in the U.S.; and</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Annual Report titled “Risk Factors” and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Annual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Annual Report whether as a result of any new information, future events, changed circumstances, or otherwise. You should read this Annual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Company Overview</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Robinhood was founded in 2013 on the belief that everyone should be welcome to participate in our financial system. We are creating modern financial services platforms for everyone, regardless of their wealth, income, or background.</w:t>
      </w:r>
    </w:p>
    <w:p>
      <w:pPr>
        <w:spacing w:after="0" w:line="1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the financial system should be built to work for everyone. That’s why we create products that let our customers start investing at their own pace, on their own terms.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enable our customers to become long-term investors and take greater control of their finances.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Robinhood, our values are in service of our customers. Our customers are why we exist. That is why we put what’s best for our customers at the center of our decision-making in order to bring them the best technology coupled with real value. That is why at Robinhood, we push for progress without compromising quality. We also take our responsibility for our customers’ finances seriously. We know that trust is hard earned and easily lost and that is why we prioritize compliance, approach risk thoughtfully, and never compromise trust for speed.</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we consider ourselves to be One Robinhood where we are all invested in the same mission. We invite contrary perspectives, support each other, and debate with energy and kindness. Once decisions are made, we move in unison with ownership and accountability, powered by the thrill of building something great together. We are also innovators and problem solvers. Our bold bets often make us a first mover, and we do what's right for customers - even if it hasn’t been done before. We also strive to do more with less. To that end, constraint drives us to innovate through scalable technology - not excess resources.</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Finally, we started a movement, breaking barriers so everyone - not just the wealthy - can access the financial system. Our job to “democratize finance for all” may never be complete as we seek to level the playing field - which is what makes what Robinhood does so fun.</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Products And Features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understand that millions of our customers have used Robinhood to enter the financial markets for the first time, and we take our responsibility to them seriously. We are passionate about operating Robinhood in a way that aligns with customer interests, applicable regulations, and with our own mission to democratize finance for all. We continue to create an ecosystem of financial products and services that will enable people across the world to become investors. We believe our products can transform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relationship people have with the financial system and that the products on our roadmap will go a long way toward making that a reality.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began by offering our customers the ability to buy and sell equities on a mobile-first platform and have since continued to expand our offerings to add new asset classes, products and features, while also growing internationally to better serve our customers. We designed our mobile platform to be an elegant, intuitive investing interface that provides our customers with trading functionality and market information such as historical prices, valuation multiples, recent news, analyst ratings, advanced charts, and more, at no additional cost. Robinhood Legend, built specifically for active traders, is a powerful, sleek browser-based desktop trading platform that is fully customizable and available at no additional cost to all U.S. and U.K. customers with a Robinhood account. Robinhood Legend now supports all major asset classes and we have committed to continue expanding its capabilities.</w:t>
      </w:r>
    </w:p>
    <w:p>
      <w:pPr>
        <w:spacing w:after="0" w:line="15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serve all of our customers’ financial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05"/>
        </w:trPr>
        <w:tc>
          <w:tcPr>
            <w:tcW w:w="1560" w:type="dxa"/>
            <w:vAlign w:val="bottom"/>
            <w:tcBorders>
              <w:top w:val="single" w:sz="8" w:color="B6B6B6"/>
            </w:tcBorders>
            <w:shd w:val="clear" w:color="auto" w:fill="F4F3F1"/>
          </w:tcPr>
          <w:p>
            <w:pPr>
              <w:spacing w:after="0"/>
              <w:rPr>
                <w:sz w:val="24"/>
                <w:szCs w:val="24"/>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8"/>
              </w:rPr>
              <w:t xml:space="preserve">Investing. </w:t>
            </w:r>
            <w:r>
              <w:rPr>
                <w:rFonts w:ascii="Arial" w:cs="Arial" w:eastAsia="Arial" w:hAnsi="Arial"/>
                <w:sz w:val="18"/>
                <w:szCs w:val="18"/>
                <w:color w:val="auto"/>
                <w:w w:val="98"/>
              </w:rPr>
              <w:t>Our platforms allow our customers to invest commission-free in U.S.-listed stocks and ETFs, as well as related</w:t>
            </w:r>
          </w:p>
        </w:tc>
      </w:tr>
      <w:tr>
        <w:trPr>
          <w:trHeight w:val="281"/>
        </w:trPr>
        <w:tc>
          <w:tcPr>
            <w:tcW w:w="1560" w:type="dxa"/>
            <w:vAlign w:val="bottom"/>
            <w:shd w:val="clear" w:color="auto" w:fill="F4F3F1"/>
          </w:tcPr>
          <w:p>
            <w:pPr>
              <w:ind w:left="340"/>
              <w:spacing w:after="0"/>
              <w:rPr>
                <w:sz w:val="20"/>
                <w:szCs w:val="20"/>
                <w:color w:val="auto"/>
              </w:rPr>
            </w:pPr>
            <w:r>
              <w:rPr>
                <w:rFonts w:ascii="Arial" w:cs="Arial" w:eastAsia="Arial" w:hAnsi="Arial"/>
                <w:sz w:val="18"/>
                <w:szCs w:val="18"/>
                <w:b w:val="1"/>
                <w:bCs w:val="1"/>
                <w:color w:val="auto"/>
              </w:rPr>
              <w:t>Brokerage</w:t>
            </w:r>
          </w:p>
        </w:tc>
        <w:tc>
          <w:tcPr>
            <w:tcW w:w="9680" w:type="dxa"/>
            <w:vAlign w:val="bottom"/>
          </w:tcPr>
          <w:p>
            <w:pPr>
              <w:ind w:left="140"/>
              <w:spacing w:after="0"/>
              <w:rPr>
                <w:sz w:val="20"/>
                <w:szCs w:val="20"/>
                <w:color w:val="auto"/>
              </w:rPr>
            </w:pPr>
            <w:r>
              <w:rPr>
                <w:rFonts w:ascii="Arial" w:cs="Arial" w:eastAsia="Arial" w:hAnsi="Arial"/>
                <w:sz w:val="18"/>
                <w:szCs w:val="18"/>
                <w:color w:val="auto"/>
              </w:rPr>
              <w:t>options and ADRs.</w:t>
            </w:r>
          </w:p>
        </w:tc>
      </w:tr>
      <w:tr>
        <w:trPr>
          <w:trHeight w:val="35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Options Trading. </w:t>
            </w:r>
            <w:r>
              <w:rPr>
                <w:rFonts w:ascii="Arial" w:cs="Arial" w:eastAsia="Arial" w:hAnsi="Arial"/>
                <w:sz w:val="18"/>
                <w:szCs w:val="18"/>
                <w:color w:val="auto"/>
              </w:rPr>
              <w:t>We review eligibility for our customers who wish to trade options, including disclosure of investment</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experience and knowledge, investment objectives and financial information. Subject to approval from Robinhood,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customers can access basic options strategies (Level 2), which permits buying calls and puts and selling covered calls</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and puts, or more advanced options strategies (Level 3), which permits fixed-risk spreads (such as credit spreads and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iron condors) and other advanced trading strategies, depending on their individually disclosed preparedness. We conduct</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regular reviews of our customers’ eligibility and take action to revoke access to trading options as appropriate, to ensure</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our customers are accessing the level of options strategies that are appropriate for them based on information such as</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their trading experience, investment objectives and financial situation.</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In 2025, index option trading became available to all customers, allowing them to trade options on diversified indices like</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 S&amp;P 500 and VIX, while gaining access to potential tax benefits and one of the lowest contract fees among leading</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brokerages.</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Fractional Trading. </w:t>
            </w:r>
            <w:r>
              <w:rPr>
                <w:rFonts w:ascii="Arial" w:cs="Arial" w:eastAsia="Arial" w:hAnsi="Arial"/>
                <w:sz w:val="18"/>
                <w:szCs w:val="18"/>
                <w:color w:val="auto"/>
              </w:rPr>
              <w:t>Fractional trading allows customers to invest in fractions of a share of stock, rather than requiring</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them to buy and sell whole shares. This service enables customers to build a diversified portfolio regardless of their</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budget and removes a barrier to investing in higher-priced stocks, thereby providing access to a much greater selection of</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equities with as little as $1.</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Recurring Investments. </w:t>
            </w:r>
            <w:r>
              <w:rPr>
                <w:rFonts w:ascii="Arial" w:cs="Arial" w:eastAsia="Arial" w:hAnsi="Arial"/>
                <w:sz w:val="18"/>
                <w:szCs w:val="18"/>
                <w:color w:val="auto"/>
                <w:w w:val="99"/>
              </w:rPr>
              <w:t>Our recurring investment feature enables our customers to automatically buy shares of equities</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7"/>
              </w:rPr>
              <w:t>and certain ETFs on a set schedule, allowing them to build positions over time and establish regular investing habits, even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with small contributions. Our customers can also elect to automatically reinvest dividend income back into the underlying</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respective shares.</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Access to Investing on Margin</w:t>
            </w:r>
            <w:r>
              <w:rPr>
                <w:rFonts w:ascii="Arial" w:cs="Arial" w:eastAsia="Arial" w:hAnsi="Arial"/>
                <w:sz w:val="18"/>
                <w:szCs w:val="18"/>
                <w:color w:val="auto"/>
              </w:rPr>
              <w:t>. Subject to approval upon meeting eligibility criteria set by Robinhood, customers can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invest on margin. This allows eligible customers to borrow a limited amount of funds from Robinhood to use as additional</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investing capital. Robinhood decides whether to extend margin to each customer who applies for access based on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information regarding customer activity, portfolio equity or net worth criteria, investment objectives, and investing</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experience reported by the customer. We offer an industry-leading tiered margin structure where customers receive a</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single low interest rate based on their total margin balance.</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Fully-Paid Securities Lending. </w:t>
            </w:r>
            <w:r>
              <w:rPr>
                <w:rFonts w:ascii="Arial" w:cs="Arial" w:eastAsia="Arial" w:hAnsi="Arial"/>
                <w:sz w:val="18"/>
                <w:szCs w:val="18"/>
                <w:color w:val="auto"/>
              </w:rPr>
              <w:t>Under our Fully-Paid Securities Lending program (“Fully-Paid Securities Lending”), a</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customer can earn passive income on their stock portfolio once they give Robinhood permission to lend out any fully paid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stocks in their portfolio. Robinhood does the work of finding interested borrowers and customers get paid a share of the</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interest revenue earned when their shares have been loaned to borrowers.</w:t>
            </w:r>
          </w:p>
        </w:tc>
      </w:tr>
      <w:tr>
        <w:trPr>
          <w:trHeight w:val="685"/>
        </w:trPr>
        <w:tc>
          <w:tcPr>
            <w:tcW w:w="1560" w:type="dxa"/>
            <w:vAlign w:val="bottom"/>
            <w:tcBorders>
              <w:bottom w:val="single" w:sz="8" w:color="B6B6B6"/>
            </w:tcBorders>
            <w:shd w:val="clear" w:color="auto" w:fill="F4F3F1"/>
          </w:tcPr>
          <w:p>
            <w:pPr>
              <w:spacing w:after="0"/>
              <w:rPr>
                <w:sz w:val="24"/>
                <w:szCs w:val="24"/>
                <w:color w:val="auto"/>
              </w:rPr>
            </w:pPr>
          </w:p>
        </w:tc>
        <w:tc>
          <w:tcPr>
            <w:tcW w:w="9680" w:type="dxa"/>
            <w:vAlign w:val="bottom"/>
            <w:tcBorders>
              <w:bottom w:val="single" w:sz="8" w:color="B6B6B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-5647055</wp:posOffset>
            </wp:positionV>
            <wp:extent cx="319405" cy="335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405" cy="33591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-5655310</wp:posOffset>
            </wp:positionV>
            <wp:extent cx="807085" cy="176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7085" cy="17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711200</wp:posOffset>
            </wp:positionV>
            <wp:extent cx="7134860" cy="6176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61766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300" w:firstLine="44"/>
        <w:spacing w:after="0" w:line="270" w:lineRule="auto"/>
        <w:rPr>
          <w:sz w:val="20"/>
          <w:szCs w:val="20"/>
          <w:color w:val="auto"/>
        </w:rPr>
      </w:pPr>
      <w:r>
        <w:rPr>
          <w:rFonts w:ascii="Arial" w:cs="Arial" w:eastAsia="Arial" w:hAnsi="Arial"/>
          <w:sz w:val="17"/>
          <w:szCs w:val="17"/>
          <w:b w:val="1"/>
          <w:bCs w:val="1"/>
          <w:color w:val="auto"/>
        </w:rPr>
        <w:t>Brokerage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Our cash sweep program allows brokerage customers to earn interest on uninvested brokerage cash swept</w:t>
      </w:r>
      <w:r>
        <w:rPr>
          <w:rFonts w:ascii="Arial" w:cs="Arial" w:eastAsia="Arial" w:hAnsi="Arial"/>
          <w:sz w:val="18"/>
          <w:szCs w:val="18"/>
          <w:b w:val="1"/>
          <w:bCs w:val="1"/>
          <w:color w:val="auto"/>
        </w:rPr>
        <w:t xml:space="preserve"> </w:t>
      </w:r>
      <w:r>
        <w:rPr>
          <w:rFonts w:ascii="Arial" w:cs="Arial" w:eastAsia="Arial" w:hAnsi="Arial"/>
          <w:sz w:val="18"/>
          <w:szCs w:val="18"/>
          <w:color w:val="auto"/>
        </w:rPr>
        <w:t>to our partner banks. The interest compounds daily and is then paid out by the partner banks monthly. Cash deposited at these banks is eligible for FDIC insurance.</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Instant Withdrawals. </w:t>
      </w:r>
      <w:r>
        <w:rPr>
          <w:rFonts w:ascii="Arial" w:cs="Arial" w:eastAsia="Arial" w:hAnsi="Arial"/>
          <w:sz w:val="18"/>
          <w:szCs w:val="18"/>
          <w:color w:val="auto"/>
        </w:rPr>
        <w:t>Our instant withdrawals feature enables eligible customers to withdraw money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Robinhood accounts and instantly deposit it to their bank accounts or debit cards with a fee.</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Robinhood Retirement. </w:t>
      </w:r>
      <w:r>
        <w:rPr>
          <w:rFonts w:ascii="Arial" w:cs="Arial" w:eastAsia="Arial" w:hAnsi="Arial"/>
          <w:sz w:val="18"/>
          <w:szCs w:val="18"/>
          <w:color w:val="auto"/>
        </w:rPr>
        <w:t>We are making it easy and accessible to start saving for retirement through a traditional IRA or</w:t>
      </w:r>
      <w:r>
        <w:rPr>
          <w:rFonts w:ascii="Arial" w:cs="Arial" w:eastAsia="Arial" w:hAnsi="Arial"/>
          <w:sz w:val="18"/>
          <w:szCs w:val="18"/>
          <w:b w:val="1"/>
          <w:bCs w:val="1"/>
          <w:color w:val="auto"/>
        </w:rPr>
        <w:t xml:space="preserve"> </w:t>
      </w:r>
      <w:r>
        <w:rPr>
          <w:rFonts w:ascii="Arial" w:cs="Arial" w:eastAsia="Arial" w:hAnsi="Arial"/>
          <w:sz w:val="18"/>
          <w:szCs w:val="18"/>
          <w:color w:val="auto"/>
        </w:rPr>
        <w:t>Roth IRA and are expanding options for the growing population of freelance and gig workers without access to employer-based matching programs. Customers’ eligible contributions to their retirement account can earn a percentage match by Robinhood, subject to a five-year holding period. We offer customer IRA instant deposits up to $1,000, which allows customers to immediately start investing. Customers can also get a custom recommended portfolio, build their own, or do both, all commission-free.</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24 Hour Market. </w:t>
      </w:r>
      <w:r>
        <w:rPr>
          <w:rFonts w:ascii="Arial" w:cs="Arial" w:eastAsia="Arial" w:hAnsi="Arial"/>
          <w:sz w:val="18"/>
          <w:szCs w:val="18"/>
          <w:color w:val="auto"/>
        </w:rPr>
        <w:t>We were the first U.S. broker to offer around-the-clock trading of individual stocks, 24 hours a day, 5</w:t>
      </w:r>
      <w:r>
        <w:rPr>
          <w:rFonts w:ascii="Arial" w:cs="Arial" w:eastAsia="Arial" w:hAnsi="Arial"/>
          <w:sz w:val="18"/>
          <w:szCs w:val="18"/>
          <w:b w:val="1"/>
          <w:bCs w:val="1"/>
          <w:color w:val="auto"/>
        </w:rPr>
        <w:t xml:space="preserve"> </w:t>
      </w:r>
      <w:r>
        <w:rPr>
          <w:rFonts w:ascii="Arial" w:cs="Arial" w:eastAsia="Arial" w:hAnsi="Arial"/>
          <w:sz w:val="18"/>
          <w:szCs w:val="18"/>
          <w:color w:val="auto"/>
        </w:rPr>
        <w:t>days a week. We also offer around-the-clock trading of ETFs. It allows our customers to better manage their risk and take advantage of opportunities, no matter what time of day they arise.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Joint Investing Accounts. </w:t>
      </w:r>
      <w:r>
        <w:rPr>
          <w:rFonts w:ascii="Arial" w:cs="Arial" w:eastAsia="Arial" w:hAnsi="Arial"/>
          <w:sz w:val="18"/>
          <w:szCs w:val="18"/>
          <w:color w:val="auto"/>
        </w:rPr>
        <w:t>Our joint investing accounts allow customers to seamlessly manage investments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while keeping their shared assets in one place. The joint account provides shared access for account holders that allows them to combine funds and increase their investment power as they work towards their financial goals. Gold Subscribers can also extend certain Robinhood Gold benefits to a joint account at no additional cost.</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Prediction Markets. </w:t>
      </w:r>
      <w:r>
        <w:rPr>
          <w:rFonts w:ascii="Arial" w:cs="Arial" w:eastAsia="Arial" w:hAnsi="Arial"/>
          <w:sz w:val="18"/>
          <w:szCs w:val="18"/>
          <w:color w:val="auto"/>
        </w:rPr>
        <w:t>Our customers can trade event contracts on a regulated exchange using our Prediction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Hub, for which we charge a commission for each contract traded. An event contract is a type of financial derivative that allows traders to speculate on a specific event. These contracts are generally structured around “Yes” or “No” positions, and fluctuate in price based on the projected occurrence of the event. Event contracts then pay out if the position held matches the correct occurrence of the event; otherwise, they expire with no value. Event contracts are offered through our FCM license regulated by the CFTC. We believe event contracts give people a tool to engage in real-time decision-making, unlocking a new asset class. Our Prediction Markets Hub features sports, politics, economics, culture and more, giving customers the opportunity to react to the event as it happens. Deepening its investment in Prediction Markets, Robinhood established a joint venture, Rothera, in partnership with SIG, that acquired 90% of the issued and outstanding equity of MIAXdx in January 2026 to advance the build out of an independent, CFTC-licensed exchange and clearinghouse. Following closing, Rothera renamed MIAXdx to Rothera E&amp;C.</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Futures. </w:t>
      </w:r>
      <w:r>
        <w:rPr>
          <w:rFonts w:ascii="Arial" w:cs="Arial" w:eastAsia="Arial" w:hAnsi="Arial"/>
          <w:sz w:val="18"/>
          <w:szCs w:val="18"/>
          <w:color w:val="auto"/>
        </w:rPr>
        <w:t>A futures contract is a legal agreement between two parties to buy or sell a set amount of an asset at an agreed-upon future date with the price set today. Our futures trading allows customers to trade a variety of different asset classes, such as equity indices, energy, currencies, cryptocurrencies, metals, and other commodities at the speed of a tap with our sleek new trading ladder. In addition, our futures trading has no pattern day trading rules and provides access to potential tax benefits. Commissions and other fees apply for each futures contract traded.</w:t>
      </w:r>
    </w:p>
    <w:p>
      <w:pPr>
        <w:spacing w:after="0" w:line="200" w:lineRule="exact"/>
        <w:rPr>
          <w:sz w:val="20"/>
          <w:szCs w:val="20"/>
          <w:color w:val="auto"/>
        </w:rPr>
      </w:pPr>
    </w:p>
    <w:p>
      <w:pPr>
        <w:sectPr>
          <w:pgSz w:w="11900" w:h="16838" w:orient="portrait"/>
          <w:cols w:equalWidth="0" w:num="2">
            <w:col w:w="1260" w:space="440"/>
            <w:col w:w="95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199390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703580</wp:posOffset>
            </wp:positionV>
            <wp:extent cx="7134860" cy="3705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70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700"/>
        <w:spacing w:after="0" w:line="255" w:lineRule="auto"/>
        <w:rPr>
          <w:sz w:val="20"/>
          <w:szCs w:val="20"/>
          <w:color w:val="auto"/>
        </w:rPr>
      </w:pPr>
      <w:r>
        <w:rPr>
          <w:rFonts w:ascii="Arial" w:cs="Arial" w:eastAsia="Arial" w:hAnsi="Arial"/>
          <w:sz w:val="18"/>
          <w:szCs w:val="18"/>
          <w:b w:val="1"/>
          <w:bCs w:val="1"/>
          <w:color w:val="auto"/>
        </w:rPr>
        <w:t xml:space="preserve">Short Selling. </w:t>
      </w:r>
      <w:r>
        <w:rPr>
          <w:rFonts w:ascii="Arial" w:cs="Arial" w:eastAsia="Arial" w:hAnsi="Arial"/>
          <w:sz w:val="18"/>
          <w:szCs w:val="18"/>
          <w:color w:val="auto"/>
        </w:rPr>
        <w:t>Short selling is an advanced trading strategy where customers borrow shares of stock, sell them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price in anticipation of a decline in the price of those shares, then repurchase and return the borrowed shares at the lower price. Short selling involves potentially unlimited risk. During the fourth quarter of 2025, we launched short selling on our mobile, web, and Robinhood Legend platforms.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Since 2024, we have offered most of our brokerage services to customers in the U.K. through RHUK via a dedicated</w:t>
      </w:r>
    </w:p>
    <w:p>
      <w:pPr>
        <w:ind w:left="340"/>
        <w:spacing w:after="0" w:line="186" w:lineRule="auto"/>
        <w:tabs>
          <w:tab w:leader="none" w:pos="1680" w:val="left"/>
        </w:tabs>
        <w:rPr>
          <w:sz w:val="20"/>
          <w:szCs w:val="20"/>
          <w:color w:val="auto"/>
        </w:rPr>
      </w:pPr>
      <w:r>
        <w:rPr>
          <w:rFonts w:ascii="Arial" w:cs="Arial" w:eastAsia="Arial" w:hAnsi="Arial"/>
          <w:sz w:val="26"/>
          <w:szCs w:val="26"/>
          <w:b w:val="1"/>
          <w:bCs w:val="1"/>
          <w:color w:val="auto"/>
          <w:vertAlign w:val="subscript"/>
        </w:rPr>
        <w:t>Brokerage</w:t>
      </w:r>
      <w:r>
        <w:rPr>
          <w:sz w:val="20"/>
          <w:szCs w:val="20"/>
          <w:color w:val="auto"/>
        </w:rPr>
        <w:tab/>
      </w:r>
      <w:r>
        <w:rPr>
          <w:rFonts w:ascii="Arial" w:cs="Arial" w:eastAsia="Arial" w:hAnsi="Arial"/>
          <w:sz w:val="14"/>
          <w:szCs w:val="14"/>
          <w:color w:val="auto"/>
        </w:rPr>
        <w:t>mobile application available to eligible U.K. users. Brokerage services available to our U.K. customers include</w:t>
      </w:r>
    </w:p>
    <w:p>
      <w:pPr>
        <w:spacing w:after="0" w:line="1" w:lineRule="exact"/>
        <w:rPr>
          <w:sz w:val="20"/>
          <w:szCs w:val="20"/>
          <w:color w:val="auto"/>
        </w:rPr>
      </w:pPr>
    </w:p>
    <w:p>
      <w:pPr>
        <w:jc w:val="both"/>
        <w:ind w:left="1700" w:hanging="1399"/>
        <w:spacing w:after="0" w:line="248" w:lineRule="auto"/>
        <w:tabs>
          <w:tab w:leader="none" w:pos="1680" w:val="left"/>
        </w:tabs>
        <w:rPr>
          <w:sz w:val="20"/>
          <w:szCs w:val="20"/>
          <w:color w:val="auto"/>
        </w:rPr>
      </w:pPr>
      <w:r>
        <w:rPr>
          <w:rFonts w:ascii="Arial" w:cs="Arial" w:eastAsia="Arial" w:hAnsi="Arial"/>
          <w:sz w:val="18"/>
          <w:szCs w:val="18"/>
          <w:b w:val="1"/>
          <w:bCs w:val="1"/>
          <w:color w:val="auto"/>
        </w:rPr>
        <w:t>(continued)</w:t>
      </w:r>
      <w:r>
        <w:rPr>
          <w:sz w:val="20"/>
          <w:szCs w:val="20"/>
          <w:color w:val="auto"/>
        </w:rPr>
        <w:tab/>
      </w:r>
      <w:r>
        <w:rPr>
          <w:rFonts w:ascii="Arial" w:cs="Arial" w:eastAsia="Arial" w:hAnsi="Arial"/>
          <w:sz w:val="18"/>
          <w:szCs w:val="18"/>
          <w:color w:val="auto"/>
        </w:rPr>
        <w:t>commission-free trading on U.S.-listed stocks and ADRs, option trading, futures trading, fractional share trading, recurring investments, investing on margin, Fully-Paid Securities Lending, Cash Sweep, and 24 Hour Market. Further, we have introduced market-specific functionality, including multi-currency wallets that allow customers to hold and manage GBP in their brokerage account, improving the funding and trading experience for U.K. customers.</w:t>
      </w:r>
    </w:p>
    <w:p>
      <w:pPr>
        <w:spacing w:after="0" w:line="214" w:lineRule="exact"/>
        <w:rPr>
          <w:sz w:val="20"/>
          <w:szCs w:val="20"/>
          <w:color w:val="auto"/>
        </w:rPr>
      </w:pPr>
    </w:p>
    <w:p>
      <w:pPr>
        <w:jc w:val="both"/>
        <w:ind w:left="1700"/>
        <w:spacing w:after="0" w:line="252" w:lineRule="auto"/>
        <w:rPr>
          <w:sz w:val="20"/>
          <w:szCs w:val="20"/>
          <w:color w:val="auto"/>
        </w:rPr>
      </w:pPr>
      <w:r>
        <w:rPr>
          <w:rFonts w:ascii="Arial" w:cs="Arial" w:eastAsia="Arial" w:hAnsi="Arial"/>
          <w:sz w:val="18"/>
          <w:szCs w:val="18"/>
          <w:color w:val="auto"/>
        </w:rPr>
        <w:t>We expect to continue expanding our U.K brokerage offering with the introduction of tax-advantaged investment accounts, such as recently launched stocks and shares ISAs. A stocks and shares ISA is a U.K. specific, tax-efficient investment account that allows customers, within annual contribution limits, to invest without incurring tax on capital gains or investment income. The performance of a stocks and shares ISAs is driven by the returns of its underlying investments and is subject to the inherent risks and volatility of the equity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700"/>
        <w:spacing w:after="0" w:line="255" w:lineRule="auto"/>
        <w:rPr>
          <w:sz w:val="20"/>
          <w:szCs w:val="20"/>
          <w:color w:val="auto"/>
        </w:rPr>
      </w:pPr>
      <w:r>
        <w:rPr>
          <w:rFonts w:ascii="Arial" w:cs="Arial" w:eastAsia="Arial" w:hAnsi="Arial"/>
          <w:sz w:val="18"/>
          <w:szCs w:val="18"/>
          <w:b w:val="1"/>
          <w:bCs w:val="1"/>
          <w:color w:val="auto"/>
        </w:rPr>
        <w:t xml:space="preserve">Stock Tokens. </w:t>
      </w:r>
      <w:r>
        <w:rPr>
          <w:rFonts w:ascii="Arial" w:cs="Arial" w:eastAsia="Arial" w:hAnsi="Arial"/>
          <w:sz w:val="18"/>
          <w:szCs w:val="18"/>
          <w:color w:val="auto"/>
        </w:rPr>
        <w:t>A stock token is a derivative contract that tracks the price of a U.S. stock or ETP, giving eligible EU</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exposure to U.S. equities without owning the underlying shares. Customers can access U.S. stock and ETP tokens 24/5, with zero commissions or added spreads (other fees may apply), and receive dividend payouts that mirror the underlying stock or ETP.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85"/>
        </w:trPr>
        <w:tc>
          <w:tcPr>
            <w:tcW w:w="1560" w:type="dxa"/>
            <w:vAlign w:val="bottom"/>
            <w:tcBorders>
              <w:top w:val="single" w:sz="8" w:color="B6B6B6"/>
            </w:tcBorders>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7"/>
              </w:rPr>
              <w:t xml:space="preserve">Cryptocurrency Trading. </w:t>
            </w:r>
            <w:r>
              <w:rPr>
                <w:rFonts w:ascii="Arial" w:cs="Arial" w:eastAsia="Arial" w:hAnsi="Arial"/>
                <w:sz w:val="18"/>
                <w:szCs w:val="18"/>
                <w:color w:val="auto"/>
                <w:w w:val="97"/>
              </w:rPr>
              <w:t>We offer cryptocurrency trading in the United States through RHC. We offer cryptocurrencies in</w:t>
            </w:r>
          </w:p>
        </w:tc>
        <w:tc>
          <w:tcPr>
            <w:tcW w:w="0" w:type="dxa"/>
            <w:vAlign w:val="bottom"/>
          </w:tcPr>
          <w:p>
            <w:pPr>
              <w:spacing w:after="0"/>
              <w:rPr>
                <w:sz w:val="1"/>
                <w:szCs w:val="1"/>
                <w:color w:val="auto"/>
              </w:rPr>
            </w:pPr>
          </w:p>
        </w:tc>
      </w:tr>
      <w:tr>
        <w:trPr>
          <w:trHeight w:val="176"/>
        </w:trPr>
        <w:tc>
          <w:tcPr>
            <w:tcW w:w="1560" w:type="dxa"/>
            <w:vAlign w:val="bottom"/>
            <w:vMerge w:val="continue"/>
            <w:shd w:val="clear" w:color="auto" w:fill="F4F3F1"/>
          </w:tcPr>
          <w:p>
            <w:pPr>
              <w:spacing w:after="0"/>
              <w:rPr>
                <w:sz w:val="15"/>
                <w:szCs w:val="15"/>
                <w:color w:val="auto"/>
              </w:rPr>
            </w:pPr>
          </w:p>
        </w:tc>
        <w:tc>
          <w:tcPr>
            <w:tcW w:w="9680" w:type="dxa"/>
            <w:vAlign w:val="bottom"/>
          </w:tcPr>
          <w:p>
            <w:pPr>
              <w:ind w:left="140"/>
              <w:spacing w:after="0" w:line="176" w:lineRule="exact"/>
              <w:rPr>
                <w:sz w:val="20"/>
                <w:szCs w:val="20"/>
                <w:color w:val="auto"/>
              </w:rPr>
            </w:pPr>
            <w:r>
              <w:rPr>
                <w:rFonts w:ascii="Arial" w:cs="Arial" w:eastAsia="Arial" w:hAnsi="Arial"/>
                <w:sz w:val="18"/>
                <w:szCs w:val="18"/>
                <w:color w:val="auto"/>
              </w:rPr>
              <w:t>every U.S. state, the U.S. Virgin Islands, Puerto Rico, and the District of Columbia. Customers trading in the Robinhood</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app can choose to have orders routed to market makers commission-free or through partner exchanges via smart</w:t>
            </w:r>
          </w:p>
        </w:tc>
        <w:tc>
          <w:tcPr>
            <w:tcW w:w="0" w:type="dxa"/>
            <w:vAlign w:val="bottom"/>
          </w:tcPr>
          <w:p>
            <w:pPr>
              <w:spacing w:after="0"/>
              <w:rPr>
                <w:sz w:val="1"/>
                <w:szCs w:val="1"/>
                <w:color w:val="auto"/>
              </w:rPr>
            </w:pPr>
          </w:p>
        </w:tc>
      </w:tr>
      <w:tr>
        <w:trPr>
          <w:trHeight w:val="36"/>
        </w:trPr>
        <w:tc>
          <w:tcPr>
            <w:tcW w:w="1560" w:type="dxa"/>
            <w:vAlign w:val="bottom"/>
            <w:shd w:val="clear" w:color="auto" w:fill="F4F3F1"/>
          </w:tcPr>
          <w:p>
            <w:pPr>
              <w:spacing w:after="0"/>
              <w:rPr>
                <w:sz w:val="3"/>
                <w:szCs w:val="3"/>
                <w:color w:val="auto"/>
              </w:rPr>
            </w:pPr>
          </w:p>
        </w:tc>
        <w:tc>
          <w:tcPr>
            <w:tcW w:w="9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routing for a fee. Orders placed on Robinhood Legend are all routed to the partner exchanges via smart</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routing.  We  currently  support  trading  for  58  cryptocurrencies,  where  available.  (see  “Supported</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Recurring Crypto Investments. </w:t>
            </w:r>
            <w:r>
              <w:rPr>
                <w:rFonts w:ascii="Arial" w:cs="Arial" w:eastAsia="Arial" w:hAnsi="Arial"/>
                <w:sz w:val="18"/>
                <w:szCs w:val="18"/>
                <w:color w:val="auto"/>
                <w:w w:val="99"/>
              </w:rPr>
              <w:t>We offer the ability for customers to automatically buy cryptocurrency on a schedule of</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their choice. As an agent, we route all cryptocurrency transactions initiated by customers to third-party market makers or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liquidity providers. We never act as a counterparty to our users’ buy or sell transactions. We offer Crypto</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Transfers, allowing customers to transfer cryptocurrency into and out of their RHC accounts without commission, where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eligible.</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Robinhood Connect. </w:t>
            </w:r>
            <w:r>
              <w:rPr>
                <w:rFonts w:ascii="Arial" w:cs="Arial" w:eastAsia="Arial" w:hAnsi="Arial"/>
                <w:sz w:val="18"/>
                <w:szCs w:val="18"/>
                <w:color w:val="auto"/>
                <w:w w:val="98"/>
              </w:rPr>
              <w:t>Developers can embed this fiat-to-crypto on-ramp tool directly into their decentralized applications,</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and customers can fund Web3 wallets without the need to leave decentralized applications, or dApps, for a fee.</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Robinhood Crypto Trading API. </w:t>
            </w:r>
            <w:r>
              <w:rPr>
                <w:rFonts w:ascii="Arial" w:cs="Arial" w:eastAsia="Arial" w:hAnsi="Arial"/>
                <w:sz w:val="18"/>
                <w:szCs w:val="18"/>
                <w:color w:val="auto"/>
                <w:w w:val="98"/>
              </w:rPr>
              <w:t>Our most seasoned crypto traders can use this API to set up advanced and automated</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trading strategies that allow them to stay ahead of market trends, react to significant market movements, or simply trade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 all without needing to open the Robinhood app.</w:t>
            </w:r>
          </w:p>
        </w:tc>
        <w:tc>
          <w:tcPr>
            <w:tcW w:w="0" w:type="dxa"/>
            <w:vAlign w:val="bottom"/>
          </w:tcPr>
          <w:p>
            <w:pPr>
              <w:spacing w:after="0"/>
              <w:rPr>
                <w:sz w:val="1"/>
                <w:szCs w:val="1"/>
                <w:color w:val="auto"/>
              </w:rPr>
            </w:pPr>
          </w:p>
        </w:tc>
      </w:tr>
      <w:tr>
        <w:trPr>
          <w:trHeight w:val="245"/>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Staking. </w:t>
            </w:r>
            <w:r>
              <w:rPr>
                <w:rFonts w:ascii="Arial" w:cs="Arial" w:eastAsia="Arial" w:hAnsi="Arial"/>
                <w:sz w:val="18"/>
                <w:szCs w:val="18"/>
                <w:color w:val="auto"/>
              </w:rPr>
              <w:t>We offer staking on selected cryptocurrencies. Staking allows customers to earn rewards by locking up</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cryptocurrencies, subject to the network and cryptocurrency’s requirements and bonding periods.</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B6B6B6"/>
            </w:tcBorders>
            <w:shd w:val="clear" w:color="auto" w:fill="F4F3F1"/>
          </w:tcPr>
          <w:p>
            <w:pPr>
              <w:spacing w:after="0"/>
              <w:rPr>
                <w:sz w:val="14"/>
                <w:szCs w:val="14"/>
                <w:color w:val="auto"/>
              </w:rPr>
            </w:pPr>
          </w:p>
        </w:tc>
        <w:tc>
          <w:tcPr>
            <w:tcW w:w="968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1560" w:type="dxa"/>
            <w:vAlign w:val="bottom"/>
            <w:shd w:val="clear" w:color="auto" w:fill="F4F3F1"/>
          </w:tcPr>
          <w:p>
            <w:pPr>
              <w:ind w:left="560"/>
              <w:spacing w:after="0"/>
              <w:rPr>
                <w:sz w:val="20"/>
                <w:szCs w:val="20"/>
                <w:color w:val="auto"/>
              </w:rPr>
            </w:pPr>
            <w:r>
              <w:rPr>
                <w:rFonts w:ascii="Arial" w:cs="Arial" w:eastAsia="Arial" w:hAnsi="Arial"/>
                <w:sz w:val="18"/>
                <w:szCs w:val="18"/>
                <w:b w:val="1"/>
                <w:bCs w:val="1"/>
                <w:color w:val="auto"/>
              </w:rPr>
              <w:t>Robinhood</w:t>
            </w: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Cryptocurrency Trading. </w:t>
            </w:r>
            <w:r>
              <w:rPr>
                <w:rFonts w:ascii="Arial" w:cs="Arial" w:eastAsia="Arial" w:hAnsi="Arial"/>
                <w:sz w:val="18"/>
                <w:szCs w:val="18"/>
                <w:color w:val="auto"/>
              </w:rPr>
              <w:t>We offer cryptocurrency trading in select jurisdictions within the EU through RHEU via a</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dedicated mobile application available to eligible EU users. We charge users a commission each time a user decides to</w:t>
            </w:r>
          </w:p>
        </w:tc>
        <w:tc>
          <w:tcPr>
            <w:tcW w:w="0" w:type="dxa"/>
            <w:vAlign w:val="bottom"/>
          </w:tcPr>
          <w:p>
            <w:pPr>
              <w:spacing w:after="0"/>
              <w:rPr>
                <w:sz w:val="1"/>
                <w:szCs w:val="1"/>
                <w:color w:val="auto"/>
              </w:rPr>
            </w:pPr>
          </w:p>
        </w:tc>
      </w:tr>
      <w:tr>
        <w:trPr>
          <w:trHeight w:val="36"/>
        </w:trPr>
        <w:tc>
          <w:tcPr>
            <w:tcW w:w="1560" w:type="dxa"/>
            <w:vAlign w:val="bottom"/>
            <w:shd w:val="clear" w:color="auto" w:fill="F4F3F1"/>
          </w:tcPr>
          <w:p>
            <w:pPr>
              <w:spacing w:after="0"/>
              <w:rPr>
                <w:sz w:val="3"/>
                <w:szCs w:val="3"/>
                <w:color w:val="auto"/>
              </w:rPr>
            </w:pPr>
          </w:p>
        </w:tc>
        <w:tc>
          <w:tcPr>
            <w:tcW w:w="9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4"/>
                <w:szCs w:val="14"/>
                <w:b w:val="1"/>
                <w:bCs w:val="1"/>
                <w:color w:val="auto"/>
              </w:rPr>
              <w:t>(Continued)</w:t>
            </w: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buy or sell certain cryptocurrencies in the EU. RHEU currently supports trading for 74 cryptocurrencies, where available.</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F4F3F1"/>
          </w:tcPr>
          <w:p>
            <w:pPr>
              <w:spacing w:after="0"/>
              <w:rPr>
                <w:sz w:val="9"/>
                <w:szCs w:val="9"/>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See the list on our website at https://robinhood.com/eu/en/support/articles/about-robinhood-crypto/.</w:t>
            </w:r>
          </w:p>
        </w:tc>
        <w:tc>
          <w:tcPr>
            <w:tcW w:w="0" w:type="dxa"/>
            <w:vAlign w:val="bottom"/>
          </w:tcPr>
          <w:p>
            <w:pPr>
              <w:spacing w:after="0"/>
              <w:rPr>
                <w:sz w:val="1"/>
                <w:szCs w:val="1"/>
                <w:color w:val="auto"/>
              </w:rPr>
            </w:pPr>
          </w:p>
        </w:tc>
      </w:tr>
      <w:tr>
        <w:trPr>
          <w:trHeight w:val="123"/>
        </w:trPr>
        <w:tc>
          <w:tcPr>
            <w:tcW w:w="1560" w:type="dxa"/>
            <w:vAlign w:val="bottom"/>
            <w:shd w:val="clear" w:color="auto" w:fill="F4F3F1"/>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560" w:type="dxa"/>
            <w:vAlign w:val="bottom"/>
            <w:shd w:val="clear" w:color="auto" w:fill="F4F3F1"/>
          </w:tcPr>
          <w:p>
            <w:pPr>
              <w:spacing w:after="0"/>
              <w:rPr>
                <w:sz w:val="24"/>
                <w:szCs w:val="24"/>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Crypto Transfers is also available in the EU, giving EU customers greater flexibility and control over their digital assets.</w:t>
            </w:r>
          </w:p>
        </w:tc>
        <w:tc>
          <w:tcPr>
            <w:tcW w:w="0" w:type="dxa"/>
            <w:vAlign w:val="bottom"/>
          </w:tcPr>
          <w:p>
            <w:pPr>
              <w:spacing w:after="0"/>
              <w:rPr>
                <w:sz w:val="1"/>
                <w:szCs w:val="1"/>
                <w:color w:val="auto"/>
              </w:rPr>
            </w:pPr>
          </w:p>
        </w:tc>
      </w:tr>
      <w:tr>
        <w:trPr>
          <w:trHeight w:val="238"/>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During 2025, we acquired Bitstamp, a globally-scaled cryptocurrency exchange with retail and institutional customers.</w:t>
            </w:r>
          </w:p>
        </w:tc>
        <w:tc>
          <w:tcPr>
            <w:tcW w:w="0" w:type="dxa"/>
            <w:vAlign w:val="bottom"/>
          </w:tcPr>
          <w:p>
            <w:pPr>
              <w:spacing w:after="0"/>
              <w:rPr>
                <w:sz w:val="1"/>
                <w:szCs w:val="1"/>
                <w:color w:val="auto"/>
              </w:rPr>
            </w:pPr>
          </w:p>
        </w:tc>
      </w:tr>
      <w:tr>
        <w:trPr>
          <w:trHeight w:val="243"/>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This acquisition accelerates our expansion across Europe.</w:t>
            </w:r>
          </w:p>
        </w:tc>
        <w:tc>
          <w:tcPr>
            <w:tcW w:w="0" w:type="dxa"/>
            <w:vAlign w:val="bottom"/>
          </w:tcPr>
          <w:p>
            <w:pPr>
              <w:spacing w:after="0"/>
              <w:rPr>
                <w:sz w:val="1"/>
                <w:szCs w:val="1"/>
                <w:color w:val="auto"/>
              </w:rPr>
            </w:pPr>
          </w:p>
        </w:tc>
      </w:tr>
      <w:tr>
        <w:trPr>
          <w:trHeight w:val="244"/>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Staking. </w:t>
            </w:r>
            <w:r>
              <w:rPr>
                <w:rFonts w:ascii="Arial" w:cs="Arial" w:eastAsia="Arial" w:hAnsi="Arial"/>
                <w:sz w:val="18"/>
                <w:szCs w:val="18"/>
                <w:color w:val="auto"/>
              </w:rPr>
              <w:t>We offer staking for EU customers on selected cryptocurrencies.</w:t>
            </w:r>
          </w:p>
        </w:tc>
        <w:tc>
          <w:tcPr>
            <w:tcW w:w="0" w:type="dxa"/>
            <w:vAlign w:val="bottom"/>
          </w:tcPr>
          <w:p>
            <w:pPr>
              <w:spacing w:after="0"/>
              <w:rPr>
                <w:sz w:val="1"/>
                <w:szCs w:val="1"/>
                <w:color w:val="auto"/>
              </w:rPr>
            </w:pPr>
          </w:p>
        </w:tc>
      </w:tr>
      <w:tr>
        <w:trPr>
          <w:trHeight w:val="28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Perpetual Futures. </w:t>
            </w:r>
            <w:r>
              <w:rPr>
                <w:rFonts w:ascii="Arial" w:cs="Arial" w:eastAsia="Arial" w:hAnsi="Arial"/>
                <w:sz w:val="18"/>
                <w:szCs w:val="18"/>
                <w:color w:val="auto"/>
                <w:w w:val="99"/>
              </w:rPr>
              <w:t>Perpetual futures are futures contracts without a fixed expiry and can be held indefinitely as long as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margin requirements are met. Perpetual futures traders trade contracts that track crypto prices. This new asset class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gives advanced traders more ways to trade, allowing them to capitalize on a variety of market conditions by reacting</w:t>
            </w:r>
          </w:p>
        </w:tc>
        <w:tc>
          <w:tcPr>
            <w:tcW w:w="0" w:type="dxa"/>
            <w:vAlign w:val="bottom"/>
          </w:tcPr>
          <w:p>
            <w:pPr>
              <w:spacing w:after="0"/>
              <w:rPr>
                <w:sz w:val="1"/>
                <w:szCs w:val="1"/>
                <w:color w:val="auto"/>
              </w:rPr>
            </w:pPr>
          </w:p>
        </w:tc>
      </w:tr>
      <w:tr>
        <w:trPr>
          <w:trHeight w:val="235"/>
        </w:trPr>
        <w:tc>
          <w:tcPr>
            <w:tcW w:w="1560" w:type="dxa"/>
            <w:vAlign w:val="bottom"/>
            <w:tcBorders>
              <w:bottom w:val="single" w:sz="8" w:color="F4F3F1"/>
            </w:tcBorders>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quickly when prices move, with leverage available.</w:t>
            </w:r>
          </w:p>
        </w:tc>
        <w:tc>
          <w:tcPr>
            <w:tcW w:w="0" w:type="dxa"/>
            <w:vAlign w:val="bottom"/>
          </w:tcPr>
          <w:p>
            <w:pPr>
              <w:spacing w:after="0"/>
              <w:rPr>
                <w:sz w:val="1"/>
                <w:szCs w:val="1"/>
                <w:color w:val="auto"/>
              </w:rPr>
            </w:pPr>
          </w:p>
        </w:tc>
      </w:tr>
      <w:tr>
        <w:trPr>
          <w:trHeight w:val="20"/>
        </w:trPr>
        <w:tc>
          <w:tcPr>
            <w:tcW w:w="1560" w:type="dxa"/>
            <w:vAlign w:val="bottom"/>
            <w:shd w:val="clear" w:color="auto" w:fill="B6B6B6"/>
          </w:tcPr>
          <w:p>
            <w:pPr>
              <w:spacing w:after="0" w:line="20" w:lineRule="exact"/>
              <w:rPr>
                <w:sz w:val="1"/>
                <w:szCs w:val="1"/>
                <w:color w:val="auto"/>
              </w:rPr>
            </w:pPr>
          </w:p>
        </w:tc>
        <w:tc>
          <w:tcPr>
            <w:tcW w:w="9680" w:type="dxa"/>
            <w:vAlign w:val="bottom"/>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-5184775</wp:posOffset>
            </wp:positionV>
            <wp:extent cx="319405" cy="319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-5193030</wp:posOffset>
            </wp:positionV>
            <wp:extent cx="722630" cy="159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630" cy="15938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-2117090</wp:posOffset>
            </wp:positionV>
            <wp:extent cx="319405" cy="319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-2049780</wp:posOffset>
            </wp:positionV>
            <wp:extent cx="840105" cy="159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15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60" w:type="dxa"/>
            <w:vAlign w:val="bottom"/>
            <w:tcBorders>
              <w:top w:val="single" w:sz="8" w:color="B6B6B6"/>
            </w:tcBorders>
            <w:shd w:val="clear" w:color="auto" w:fill="F4F3F1"/>
          </w:tcPr>
          <w:p>
            <w:pPr>
              <w:spacing w:after="0"/>
              <w:rPr>
                <w:sz w:val="23"/>
                <w:szCs w:val="23"/>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rPr>
              <w:t>Custody</w:t>
            </w:r>
          </w:p>
        </w:tc>
        <w:tc>
          <w:tcPr>
            <w:tcW w:w="0" w:type="dxa"/>
            <w:vAlign w:val="bottom"/>
          </w:tcPr>
          <w:p>
            <w:pPr>
              <w:spacing w:after="0"/>
              <w:rPr>
                <w:sz w:val="1"/>
                <w:szCs w:val="1"/>
                <w:color w:val="auto"/>
              </w:rPr>
            </w:pPr>
          </w:p>
        </w:tc>
      </w:tr>
      <w:tr>
        <w:trPr>
          <w:trHeight w:val="407"/>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Pr>
          <w:p>
            <w:pPr>
              <w:ind w:left="140"/>
              <w:spacing w:after="0"/>
              <w:rPr>
                <w:sz w:val="20"/>
                <w:szCs w:val="20"/>
                <w:color w:val="auto"/>
              </w:rPr>
            </w:pPr>
            <w:r>
              <w:rPr>
                <w:rFonts w:ascii="Arial" w:cs="Arial" w:eastAsia="Arial" w:hAnsi="Arial"/>
                <w:sz w:val="18"/>
                <w:szCs w:val="18"/>
                <w:color w:val="auto"/>
              </w:rPr>
              <w:t>We hold all settled cryptocurrencies in custody on behalf of customers in two types of wallets: (i) hot wallets, which are</w:t>
            </w:r>
          </w:p>
        </w:tc>
        <w:tc>
          <w:tcPr>
            <w:tcW w:w="0" w:type="dxa"/>
            <w:vAlign w:val="bottom"/>
          </w:tcPr>
          <w:p>
            <w:pPr>
              <w:spacing w:after="0"/>
              <w:rPr>
                <w:sz w:val="1"/>
                <w:szCs w:val="1"/>
                <w:color w:val="auto"/>
              </w:rPr>
            </w:pPr>
          </w:p>
        </w:tc>
      </w:tr>
      <w:tr>
        <w:trPr>
          <w:trHeight w:val="176"/>
        </w:trPr>
        <w:tc>
          <w:tcPr>
            <w:tcW w:w="1560" w:type="dxa"/>
            <w:vAlign w:val="bottom"/>
            <w:vMerge w:val="continue"/>
            <w:shd w:val="clear" w:color="auto" w:fill="F4F3F1"/>
          </w:tcPr>
          <w:p>
            <w:pPr>
              <w:spacing w:after="0"/>
              <w:rPr>
                <w:sz w:val="15"/>
                <w:szCs w:val="15"/>
                <w:color w:val="auto"/>
              </w:rPr>
            </w:pPr>
          </w:p>
        </w:tc>
        <w:tc>
          <w:tcPr>
            <w:tcW w:w="9680" w:type="dxa"/>
            <w:vAlign w:val="bottom"/>
          </w:tcPr>
          <w:p>
            <w:pPr>
              <w:ind w:left="140"/>
              <w:spacing w:after="0" w:line="176" w:lineRule="exact"/>
              <w:rPr>
                <w:sz w:val="20"/>
                <w:szCs w:val="20"/>
                <w:color w:val="auto"/>
              </w:rPr>
            </w:pPr>
            <w:r>
              <w:rPr>
                <w:rFonts w:ascii="Arial" w:cs="Arial" w:eastAsia="Arial" w:hAnsi="Arial"/>
                <w:sz w:val="18"/>
                <w:szCs w:val="18"/>
                <w:color w:val="auto"/>
                <w:w w:val="99"/>
              </w:rPr>
              <w:t>managed online, and (ii) offline cold wallets, which require physical access controls. Our wallets store and transfer all the</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jc w:val="center"/>
              <w:spacing w:after="0" w:line="199" w:lineRule="exact"/>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settled digital assets listed in the Glossary of Terms above using an architecture combining multi-party computation and</w:t>
            </w:r>
          </w:p>
        </w:tc>
        <w:tc>
          <w:tcPr>
            <w:tcW w:w="0" w:type="dxa"/>
            <w:vAlign w:val="bottom"/>
          </w:tcPr>
          <w:p>
            <w:pPr>
              <w:spacing w:after="0"/>
              <w:rPr>
                <w:sz w:val="1"/>
                <w:szCs w:val="1"/>
                <w:color w:val="auto"/>
              </w:rPr>
            </w:pPr>
          </w:p>
        </w:tc>
      </w:tr>
      <w:tr>
        <w:trPr>
          <w:trHeight w:val="23"/>
        </w:trPr>
        <w:tc>
          <w:tcPr>
            <w:tcW w:w="1560" w:type="dxa"/>
            <w:vAlign w:val="bottom"/>
            <w:shd w:val="clear" w:color="auto" w:fill="F4F3F1"/>
          </w:tcPr>
          <w:p>
            <w:pPr>
              <w:spacing w:after="0" w:line="20" w:lineRule="exact"/>
              <w:rPr>
                <w:sz w:val="1"/>
                <w:szCs w:val="1"/>
                <w:color w:val="auto"/>
              </w:rPr>
            </w:pPr>
          </w:p>
        </w:tc>
        <w:tc>
          <w:tcPr>
            <w:tcW w:w="9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4"/>
                <w:szCs w:val="14"/>
                <w:b w:val="1"/>
                <w:bCs w:val="1"/>
                <w:color w:val="auto"/>
              </w:rPr>
              <w:t>(Continued)</w:t>
            </w: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hardware security to eliminate a single point of failure. With the exception of Bitstamp (discussed below), we do not utilize</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F4F3F1"/>
          </w:tcPr>
          <w:p>
            <w:pPr>
              <w:spacing w:after="0"/>
              <w:rPr>
                <w:sz w:val="9"/>
                <w:szCs w:val="9"/>
                <w:color w:val="auto"/>
              </w:rPr>
            </w:pPr>
          </w:p>
        </w:tc>
        <w:tc>
          <w:tcPr>
            <w:tcW w:w="9680" w:type="dxa"/>
            <w:vAlign w:val="bottom"/>
            <w:vMerge w:val="restart"/>
          </w:tcPr>
          <w:p>
            <w:pPr>
              <w:ind w:left="140"/>
              <w:spacing w:after="0" w:line="199" w:lineRule="exact"/>
              <w:rPr>
                <w:sz w:val="20"/>
                <w:szCs w:val="20"/>
                <w:color w:val="auto"/>
              </w:rPr>
            </w:pPr>
            <w:r>
              <w:rPr>
                <w:rFonts w:ascii="Arial" w:cs="Arial" w:eastAsia="Arial" w:hAnsi="Arial"/>
                <w:sz w:val="18"/>
                <w:szCs w:val="18"/>
                <w:color w:val="auto"/>
                <w:w w:val="99"/>
              </w:rPr>
              <w:t>third-party custodians for settled cryptocurrencies, but we do integrate proprietary technology from a third-party industry-</w:t>
            </w:r>
          </w:p>
        </w:tc>
        <w:tc>
          <w:tcPr>
            <w:tcW w:w="0" w:type="dxa"/>
            <w:vAlign w:val="bottom"/>
          </w:tcPr>
          <w:p>
            <w:pPr>
              <w:spacing w:after="0"/>
              <w:rPr>
                <w:sz w:val="1"/>
                <w:szCs w:val="1"/>
                <w:color w:val="auto"/>
              </w:rPr>
            </w:pPr>
          </w:p>
        </w:tc>
      </w:tr>
      <w:tr>
        <w:trPr>
          <w:trHeight w:val="90"/>
        </w:trPr>
        <w:tc>
          <w:tcPr>
            <w:tcW w:w="1560" w:type="dxa"/>
            <w:vAlign w:val="bottom"/>
            <w:shd w:val="clear" w:color="auto" w:fill="F4F3F1"/>
          </w:tcPr>
          <w:p>
            <w:pPr>
              <w:spacing w:after="0"/>
              <w:rPr>
                <w:sz w:val="7"/>
                <w:szCs w:val="7"/>
                <w:color w:val="auto"/>
              </w:rPr>
            </w:pPr>
          </w:p>
        </w:tc>
        <w:tc>
          <w:tcPr>
            <w:tcW w:w="9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standard vendor into the systems we use to support the custody, transfer and settlement operations to our wallets. As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noted, Bitstamp does use third party custodians. In general, the overwhelming majority of cryptocurrency coins on our</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platforms are held in cold storage, in facilities located in the United States and in the EU with physical security systems</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that we believe are state-of-the-art, though some coins are held in hot wallets to support day-to-day operations.</w:t>
            </w:r>
          </w:p>
        </w:tc>
        <w:tc>
          <w:tcPr>
            <w:tcW w:w="0" w:type="dxa"/>
            <w:vAlign w:val="bottom"/>
          </w:tcPr>
          <w:p>
            <w:pPr>
              <w:spacing w:after="0"/>
              <w:rPr>
                <w:sz w:val="1"/>
                <w:szCs w:val="1"/>
                <w:color w:val="auto"/>
              </w:rPr>
            </w:pPr>
          </w:p>
        </w:tc>
      </w:tr>
      <w:tr>
        <w:trPr>
          <w:trHeight w:val="417"/>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maintain custody of our customers’ cryptocurrencies in omnibus wallets on behalf and for the benefit of our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customers. Following the purchase of cryptocurrencies from liquidity providers, cryptocurrencies are delivered to the</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secure omnibus wallet, or in the case of a net sell, cryptocurrencies are moved from such wallet to the liquidity provider’s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account. We have implemented strict operational protocols and permissions for cryptocurrency movement with our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internal operational team to restrict access to customer wallets, and tightly control the movement of cryptocurrencies.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More than one person is required to initiate and approve each large transfer, and only a small group of higher-level</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employees have the necessary privileges to add and authorize new addresses or to release proceeds from wallets.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Access to cryptocurrency transfer interfaces is strictly controlled and requires hardware two-factor authentication to log in.</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To help ensure our security system functions as designed, our systems undergo security audits and are regularly subject</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to penetration testing.</w:t>
            </w:r>
          </w:p>
        </w:tc>
        <w:tc>
          <w:tcPr>
            <w:tcW w:w="0" w:type="dxa"/>
            <w:vAlign w:val="bottom"/>
          </w:tcPr>
          <w:p>
            <w:pPr>
              <w:spacing w:after="0"/>
              <w:rPr>
                <w:sz w:val="1"/>
                <w:szCs w:val="1"/>
                <w:color w:val="auto"/>
              </w:rPr>
            </w:pP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maintain a ledger of customers’ ownership and account balances of cryptocurrencies. Additionally, the Company’s</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accounting and crypto operations team has established internal control procedures and maintains records to verify the</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w w:val="98"/>
              </w:rPr>
              <w:t>total quantity of each cryptocurrency we custody for our customers that are held in the omnibus wallets. Such controls are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periodically tested by the Company’s internal financial compliance team.</w:t>
            </w:r>
          </w:p>
        </w:tc>
        <w:tc>
          <w:tcPr>
            <w:tcW w:w="0" w:type="dxa"/>
            <w:vAlign w:val="bottom"/>
          </w:tcPr>
          <w:p>
            <w:pPr>
              <w:spacing w:after="0"/>
              <w:rPr>
                <w:sz w:val="1"/>
                <w:szCs w:val="1"/>
                <w:color w:val="auto"/>
              </w:rPr>
            </w:pPr>
          </w:p>
        </w:tc>
      </w:tr>
      <w:tr>
        <w:trPr>
          <w:trHeight w:val="390"/>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currently do not hold significant amounts of cryptocurrency for our own account. We hold small amounts of</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w w:val="98"/>
              </w:rPr>
              <w:t>cryptocurrency assets to solely support our business operations, and we do not commingle cryptocurrencies with those of</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7"/>
              </w:rPr>
              <w:t>our users. We do not engage in lending transactions with cryptocurrencies held on behalf of customers. We do not seek to</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profit from proprietary trading and only facilitate customer transactions. In addition, we have anti-money laundering and</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insider trading programs intended in part to prevent self-dealing and other potential conflicts of interest, including with</w:t>
            </w:r>
          </w:p>
        </w:tc>
        <w:tc>
          <w:tcPr>
            <w:tcW w:w="0" w:type="dxa"/>
            <w:vAlign w:val="bottom"/>
          </w:tcPr>
          <w:p>
            <w:pPr>
              <w:spacing w:after="0"/>
              <w:rPr>
                <w:sz w:val="1"/>
                <w:szCs w:val="1"/>
                <w:color w:val="auto"/>
              </w:rPr>
            </w:pPr>
          </w:p>
        </w:tc>
      </w:tr>
      <w:tr>
        <w:trPr>
          <w:trHeight w:val="255"/>
        </w:trPr>
        <w:tc>
          <w:tcPr>
            <w:tcW w:w="1560" w:type="dxa"/>
            <w:vAlign w:val="bottom"/>
            <w:tcBorders>
              <w:bottom w:val="single" w:sz="8" w:color="F4F3F1"/>
            </w:tcBorders>
            <w:shd w:val="clear" w:color="auto" w:fill="F4F3F1"/>
          </w:tcPr>
          <w:p>
            <w:pPr>
              <w:spacing w:after="0"/>
              <w:rPr>
                <w:sz w:val="22"/>
                <w:szCs w:val="22"/>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respect to our cryptocurrency services.</w:t>
            </w:r>
          </w:p>
        </w:tc>
        <w:tc>
          <w:tcPr>
            <w:tcW w:w="0" w:type="dxa"/>
            <w:vAlign w:val="bottom"/>
          </w:tcPr>
          <w:p>
            <w:pPr>
              <w:spacing w:after="0"/>
              <w:rPr>
                <w:sz w:val="1"/>
                <w:szCs w:val="1"/>
                <w:color w:val="auto"/>
              </w:rPr>
            </w:pPr>
          </w:p>
        </w:tc>
      </w:tr>
      <w:tr>
        <w:trPr>
          <w:trHeight w:val="254"/>
        </w:trPr>
        <w:tc>
          <w:tcPr>
            <w:tcW w:w="1560" w:type="dxa"/>
            <w:vAlign w:val="bottom"/>
            <w:tcBorders>
              <w:top w:val="single" w:sz="8" w:color="B6B6B6"/>
            </w:tcBorders>
            <w:shd w:val="clear" w:color="auto" w:fill="F4F3F1"/>
          </w:tcPr>
          <w:p>
            <w:pPr>
              <w:spacing w:after="0"/>
              <w:rPr>
                <w:sz w:val="22"/>
                <w:szCs w:val="22"/>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9"/>
              </w:rPr>
              <w:t xml:space="preserve">Robinhood Wallet. </w:t>
            </w:r>
            <w:r>
              <w:rPr>
                <w:rFonts w:ascii="Arial" w:cs="Arial" w:eastAsia="Arial" w:hAnsi="Arial"/>
                <w:sz w:val="18"/>
                <w:szCs w:val="18"/>
                <w:color w:val="auto"/>
                <w:w w:val="99"/>
              </w:rPr>
              <w:t>Separately from RHC and RHEU, we offer a self-custody, web3 wallet in over 150 countries through</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our  Cayman  Islands  subsidiary,  Robinhood  Non-Custodial  Ltd.,  that  allows  customers  to  deposit  and  withdraw</w:t>
            </w:r>
          </w:p>
        </w:tc>
        <w:tc>
          <w:tcPr>
            <w:tcW w:w="0" w:type="dxa"/>
            <w:vAlign w:val="bottom"/>
          </w:tcPr>
          <w:p>
            <w:pPr>
              <w:spacing w:after="0"/>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cryptocurrencies to and from their wallets. Customers can store and manage cryptocurrencies on the Ethereum, Bitcoin,</w:t>
            </w:r>
          </w:p>
        </w:tc>
        <w:tc>
          <w:tcPr>
            <w:tcW w:w="0" w:type="dxa"/>
            <w:vAlign w:val="bottom"/>
          </w:tcPr>
          <w:p>
            <w:pPr>
              <w:spacing w:after="0"/>
              <w:rPr>
                <w:sz w:val="1"/>
                <w:szCs w:val="1"/>
                <w:color w:val="auto"/>
              </w:rPr>
            </w:pPr>
          </w:p>
        </w:tc>
      </w:tr>
      <w:tr>
        <w:trPr>
          <w:trHeight w:val="96"/>
        </w:trPr>
        <w:tc>
          <w:tcPr>
            <w:tcW w:w="1560" w:type="dxa"/>
            <w:vAlign w:val="bottom"/>
            <w:vMerge w:val="continue"/>
            <w:shd w:val="clear" w:color="auto" w:fill="F4F3F1"/>
          </w:tcPr>
          <w:p>
            <w:pPr>
              <w:spacing w:after="0"/>
              <w:rPr>
                <w:sz w:val="8"/>
                <w:szCs w:val="8"/>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w w:val="98"/>
              </w:rPr>
              <w:t>Solana, Dogecoin, Arbitrum, Polygon, Optimism and Base networks. Certain network fees or other third-party service fees</w:t>
            </w:r>
          </w:p>
        </w:tc>
        <w:tc>
          <w:tcPr>
            <w:tcW w:w="0" w:type="dxa"/>
            <w:vAlign w:val="bottom"/>
          </w:tcPr>
          <w:p>
            <w:pPr>
              <w:spacing w:after="0"/>
              <w:rPr>
                <w:sz w:val="1"/>
                <w:szCs w:val="1"/>
                <w:color w:val="auto"/>
              </w:rPr>
            </w:pPr>
          </w:p>
        </w:tc>
      </w:tr>
      <w:tr>
        <w:trPr>
          <w:trHeight w:val="116"/>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8"/>
              </w:rPr>
              <w:t>Wallet</w:t>
            </w: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560" w:type="dxa"/>
            <w:vAlign w:val="bottom"/>
            <w:vMerge w:val="continue"/>
            <w:shd w:val="clear" w:color="auto" w:fill="F4F3F1"/>
          </w:tcPr>
          <w:p>
            <w:pPr>
              <w:spacing w:after="0"/>
              <w:rPr>
                <w:sz w:val="11"/>
                <w:szCs w:val="11"/>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w w:val="99"/>
              </w:rPr>
              <w:t>for certain transactions may apply. The Robinhood Wallet gives customers full control over their cryptocurrencies, which</w:t>
            </w:r>
          </w:p>
        </w:tc>
        <w:tc>
          <w:tcPr>
            <w:tcW w:w="0" w:type="dxa"/>
            <w:vAlign w:val="bottom"/>
          </w:tcPr>
          <w:p>
            <w:pPr>
              <w:spacing w:after="0"/>
              <w:rPr>
                <w:sz w:val="1"/>
                <w:szCs w:val="1"/>
                <w:color w:val="auto"/>
              </w:rPr>
            </w:pPr>
          </w:p>
        </w:tc>
      </w:tr>
      <w:tr>
        <w:trPr>
          <w:trHeight w:val="84"/>
        </w:trPr>
        <w:tc>
          <w:tcPr>
            <w:tcW w:w="1560" w:type="dxa"/>
            <w:vAlign w:val="bottom"/>
            <w:shd w:val="clear" w:color="auto" w:fill="F4F3F1"/>
          </w:tcPr>
          <w:p>
            <w:pPr>
              <w:spacing w:after="0"/>
              <w:rPr>
                <w:sz w:val="7"/>
                <w:szCs w:val="7"/>
                <w:color w:val="auto"/>
              </w:rPr>
            </w:pPr>
          </w:p>
        </w:tc>
        <w:tc>
          <w:tcPr>
            <w:tcW w:w="9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means they hold and maintain the private key to their assets, and does not collect any portion of network or “gas” fees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imposed by the applicable network. The Robinhood Wallet is a software application that users must access via a separate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application. Neither RHC nor RHEU custody any Robinhood Wallet assets.</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B6B6B6"/>
            </w:tcBorders>
            <w:shd w:val="clear" w:color="auto" w:fill="F4F3F1"/>
          </w:tcPr>
          <w:p>
            <w:pPr>
              <w:spacing w:after="0"/>
              <w:rPr>
                <w:sz w:val="11"/>
                <w:szCs w:val="11"/>
                <w:color w:val="auto"/>
              </w:rPr>
            </w:pPr>
          </w:p>
        </w:tc>
        <w:tc>
          <w:tcPr>
            <w:tcW w:w="9680" w:type="dxa"/>
            <w:vAlign w:val="bottom"/>
            <w:tcBorders>
              <w:bottom w:val="single" w:sz="8" w:color="B6B6B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-5730875</wp:posOffset>
            </wp:positionV>
            <wp:extent cx="319405" cy="319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-1167765</wp:posOffset>
            </wp:positionV>
            <wp:extent cx="319405" cy="302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9405"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703580</wp:posOffset>
            </wp:positionV>
            <wp:extent cx="7134860" cy="6412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Gold. </w:t>
            </w:r>
            <w:r>
              <w:rPr>
                <w:rFonts w:ascii="Arial" w:cs="Arial" w:eastAsia="Arial" w:hAnsi="Arial"/>
                <w:sz w:val="18"/>
                <w:szCs w:val="18"/>
                <w:color w:val="auto"/>
              </w:rPr>
              <w:t>Our subscription service grants subscribers access to a number of premium features. After an initial</w:t>
            </w: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30-day free trial, subscribers pay a flat recurring rate. Our premium features offered to Gold subscribers include:</w:t>
            </w:r>
          </w:p>
        </w:tc>
        <w:tc>
          <w:tcPr>
            <w:tcW w:w="0" w:type="dxa"/>
            <w:vAlign w:val="bottom"/>
          </w:tcPr>
          <w:p>
            <w:pPr>
              <w:spacing w:after="0"/>
              <w:rPr>
                <w:sz w:val="1"/>
                <w:szCs w:val="1"/>
                <w:color w:val="auto"/>
              </w:rPr>
            </w:pPr>
          </w:p>
        </w:tc>
      </w:tr>
      <w:tr>
        <w:trPr>
          <w:trHeight w:val="245"/>
        </w:trPr>
        <w:tc>
          <w:tcPr>
            <w:tcW w:w="1160" w:type="dxa"/>
            <w:vAlign w:val="bottom"/>
            <w:vMerge w:val="restart"/>
          </w:tcPr>
          <w:p>
            <w:pPr>
              <w:jc w:val="center"/>
              <w:ind w:right="152"/>
              <w:spacing w:after="0"/>
              <w:rPr>
                <w:sz w:val="20"/>
                <w:szCs w:val="20"/>
                <w:color w:val="auto"/>
              </w:rPr>
            </w:pPr>
            <w:r>
              <w:rPr>
                <w:rFonts w:ascii="Arial" w:cs="Arial" w:eastAsia="Arial" w:hAnsi="Arial"/>
                <w:sz w:val="18"/>
                <w:szCs w:val="18"/>
                <w:b w:val="1"/>
                <w:bCs w:val="1"/>
                <w:color w:val="auto"/>
                <w:w w:val="96"/>
              </w:rPr>
              <w:t>Robinhood</w:t>
            </w:r>
          </w:p>
        </w:tc>
        <w:tc>
          <w:tcPr>
            <w:tcW w:w="9740" w:type="dxa"/>
            <w:vAlign w:val="bottom"/>
          </w:tcPr>
          <w:p>
            <w:pPr>
              <w:ind w:left="400"/>
              <w:spacing w:after="0"/>
              <w:rPr>
                <w:sz w:val="20"/>
                <w:szCs w:val="20"/>
                <w:color w:val="auto"/>
              </w:rPr>
            </w:pPr>
            <w:r>
              <w:rPr>
                <w:rFonts w:ascii="Arial" w:cs="Arial" w:eastAsia="Arial" w:hAnsi="Arial"/>
                <w:sz w:val="18"/>
                <w:szCs w:val="18"/>
                <w:color w:val="auto"/>
              </w:rPr>
              <w:t>•   Higher Interest on Cash Sweep. Subscribers can earn a higher interest rate on the cash swept to participating</w:t>
            </w:r>
          </w:p>
        </w:tc>
        <w:tc>
          <w:tcPr>
            <w:tcW w:w="0" w:type="dxa"/>
            <w:vAlign w:val="bottom"/>
          </w:tcPr>
          <w:p>
            <w:pPr>
              <w:spacing w:after="0"/>
              <w:rPr>
                <w:sz w:val="1"/>
                <w:szCs w:val="1"/>
                <w:color w:val="auto"/>
              </w:rPr>
            </w:pPr>
          </w:p>
        </w:tc>
      </w:tr>
      <w:tr>
        <w:trPr>
          <w:trHeight w:val="30"/>
        </w:trPr>
        <w:tc>
          <w:tcPr>
            <w:tcW w:w="1160" w:type="dxa"/>
            <w:vAlign w:val="bottom"/>
            <w:vMerge w:val="continue"/>
          </w:tcPr>
          <w:p>
            <w:pPr>
              <w:spacing w:after="0"/>
              <w:rPr>
                <w:sz w:val="2"/>
                <w:szCs w:val="2"/>
                <w:color w:val="auto"/>
              </w:rPr>
            </w:pPr>
          </w:p>
        </w:tc>
        <w:tc>
          <w:tcPr>
            <w:tcW w:w="9740" w:type="dxa"/>
            <w:vAlign w:val="bottom"/>
            <w:vMerge w:val="restart"/>
          </w:tcPr>
          <w:p>
            <w:pPr>
              <w:ind w:left="400"/>
              <w:spacing w:after="0"/>
              <w:rPr>
                <w:sz w:val="20"/>
                <w:szCs w:val="20"/>
                <w:color w:val="auto"/>
              </w:rPr>
            </w:pPr>
            <w:r>
              <w:rPr>
                <w:rFonts w:ascii="Arial" w:cs="Arial" w:eastAsia="Arial" w:hAnsi="Arial"/>
                <w:sz w:val="18"/>
                <w:szCs w:val="18"/>
                <w:color w:val="auto"/>
              </w:rPr>
              <w:t>banks compared to users who do not subscribe to Gold.</w:t>
            </w:r>
          </w:p>
        </w:tc>
        <w:tc>
          <w:tcPr>
            <w:tcW w:w="0" w:type="dxa"/>
            <w:vAlign w:val="bottom"/>
          </w:tcPr>
          <w:p>
            <w:pPr>
              <w:spacing w:after="0" w:line="20" w:lineRule="exact"/>
              <w:rPr>
                <w:sz w:val="1"/>
                <w:szCs w:val="1"/>
                <w:color w:val="auto"/>
              </w:rPr>
            </w:pPr>
          </w:p>
        </w:tc>
      </w:tr>
      <w:tr>
        <w:trPr>
          <w:trHeight w:val="244"/>
        </w:trPr>
        <w:tc>
          <w:tcPr>
            <w:tcW w:w="1160" w:type="dxa"/>
            <w:vAlign w:val="bottom"/>
          </w:tcPr>
          <w:p>
            <w:pPr>
              <w:jc w:val="center"/>
              <w:ind w:right="152"/>
              <w:spacing w:after="0"/>
              <w:rPr>
                <w:sz w:val="20"/>
                <w:szCs w:val="20"/>
                <w:color w:val="auto"/>
              </w:rPr>
            </w:pPr>
            <w:r>
              <w:rPr>
                <w:rFonts w:ascii="Arial" w:cs="Arial" w:eastAsia="Arial" w:hAnsi="Arial"/>
                <w:sz w:val="18"/>
                <w:szCs w:val="18"/>
                <w:b w:val="1"/>
                <w:bCs w:val="1"/>
                <w:color w:val="auto"/>
                <w:w w:val="97"/>
              </w:rPr>
              <w:t>Gold</w:t>
            </w:r>
          </w:p>
        </w:tc>
        <w:tc>
          <w:tcPr>
            <w:tcW w:w="9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Higher Match on IRA Contributions. Subscribers can earn a higher percentage match of 3% on eligible contributions compared to users who do not subscribe to Gold.</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Bigger Instant Deposits. Subscribers can immediately access instant deposit of $5,000 up to three times subscriber’s portfolio value, depending on their brokerage account balance and status.</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Access to Investing on Margin. No interest is charged on the first $1,000 in margin borrowed by each Robinhood Gold subscriber.</w:t>
      </w:r>
    </w:p>
    <w:p>
      <w:pPr>
        <w:spacing w:after="0" w:line="57" w:lineRule="exact"/>
        <w:rPr>
          <w:sz w:val="20"/>
          <w:szCs w:val="20"/>
          <w:color w:val="auto"/>
        </w:rPr>
      </w:pPr>
    </w:p>
    <w:p>
      <w:pPr>
        <w:jc w:val="both"/>
        <w:ind w:left="1880" w:right="20"/>
        <w:spacing w:after="0" w:line="259" w:lineRule="auto"/>
        <w:rPr>
          <w:sz w:val="20"/>
          <w:szCs w:val="20"/>
          <w:color w:val="auto"/>
        </w:rPr>
      </w:pPr>
      <w:r>
        <w:rPr>
          <w:rFonts w:ascii="Arial" w:cs="Arial" w:eastAsia="Arial" w:hAnsi="Arial"/>
          <w:sz w:val="18"/>
          <w:szCs w:val="18"/>
          <w:color w:val="auto"/>
        </w:rPr>
        <w:t>• Lower Fees. Subscribers can trade index options at a lower contract fee, futures with lower commissions charged, as well as have a cap on annual management fees for Robinhood Strategies accounts, compared to customers who do not subscribe to Gold.</w:t>
      </w:r>
    </w:p>
    <w:p>
      <w:pPr>
        <w:spacing w:after="0" w:line="71"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Exclusive Mortgage Rates. Exclusive mortgage loan offer and credit towards closing costs with Sage Home Loans Corporation.</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Professional Research. Subscribers have unlimited access to in-depth stock research reports provided by Morningstar.</w:t>
      </w:r>
    </w:p>
    <w:p>
      <w:pPr>
        <w:spacing w:after="0" w:line="57" w:lineRule="exact"/>
        <w:rPr>
          <w:sz w:val="20"/>
          <w:szCs w:val="20"/>
          <w:color w:val="auto"/>
        </w:rPr>
      </w:pPr>
    </w:p>
    <w:p>
      <w:pPr>
        <w:jc w:val="both"/>
        <w:ind w:left="1880" w:right="20"/>
        <w:spacing w:after="0" w:line="259" w:lineRule="auto"/>
        <w:rPr>
          <w:sz w:val="20"/>
          <w:szCs w:val="20"/>
          <w:color w:val="auto"/>
        </w:rPr>
      </w:pPr>
      <w:r>
        <w:rPr>
          <w:rFonts w:ascii="Arial" w:cs="Arial" w:eastAsia="Arial" w:hAnsi="Arial"/>
          <w:sz w:val="18"/>
          <w:szCs w:val="18"/>
          <w:color w:val="auto"/>
        </w:rPr>
        <w:t>• Advanced Market Data. Subscribers have the ability to see greater depth of orders for any given stock or option with Level II Market Data from Nasdaq. The ability to see multiple buy and sell requests helps subscribers understand the availability or desire for a stock at a certain price.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Gold Card. </w:t>
            </w:r>
            <w:r>
              <w:rPr>
                <w:rFonts w:ascii="Arial" w:cs="Arial" w:eastAsia="Arial" w:hAnsi="Arial"/>
                <w:sz w:val="18"/>
                <w:szCs w:val="18"/>
                <w:color w:val="auto"/>
              </w:rPr>
              <w:t>Robinhood Gold Card is offered under a program agreement (“Program Agreement”) between</w:t>
            </w: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Robinhood Credit and Coastal Bank, a member of the FDIC. There are no annual fees and no foreign transaction fees.</w:t>
            </w:r>
          </w:p>
        </w:tc>
        <w:tc>
          <w:tcPr>
            <w:tcW w:w="0" w:type="dxa"/>
            <w:vAlign w:val="bottom"/>
          </w:tcPr>
          <w:p>
            <w:pPr>
              <w:spacing w:after="0"/>
              <w:rPr>
                <w:sz w:val="1"/>
                <w:szCs w:val="1"/>
                <w:color w:val="auto"/>
              </w:rPr>
            </w:pPr>
          </w:p>
        </w:tc>
      </w:tr>
      <w:tr>
        <w:trPr>
          <w:trHeight w:val="21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760" w:type="dxa"/>
            <w:vAlign w:val="bottom"/>
          </w:tcPr>
          <w:p>
            <w:pPr>
              <w:ind w:left="220"/>
              <w:spacing w:after="0"/>
              <w:rPr>
                <w:sz w:val="20"/>
                <w:szCs w:val="20"/>
                <w:color w:val="auto"/>
              </w:rPr>
            </w:pPr>
            <w:r>
              <w:rPr>
                <w:rFonts w:ascii="Arial" w:cs="Arial" w:eastAsia="Arial" w:hAnsi="Arial"/>
                <w:sz w:val="18"/>
                <w:szCs w:val="18"/>
                <w:color w:val="auto"/>
              </w:rPr>
              <w:t>Robinhood Gold Card is exclusively for qualified Gold Subscribers and offers rewards on each eligible purchase, which</w:t>
            </w:r>
          </w:p>
        </w:tc>
        <w:tc>
          <w:tcPr>
            <w:tcW w:w="0" w:type="dxa"/>
            <w:vAlign w:val="bottom"/>
          </w:tcPr>
          <w:p>
            <w:pPr>
              <w:spacing w:after="0"/>
              <w:rPr>
                <w:sz w:val="1"/>
                <w:szCs w:val="1"/>
                <w:color w:val="auto"/>
              </w:rPr>
            </w:pPr>
          </w:p>
        </w:tc>
      </w:tr>
      <w:tr>
        <w:trPr>
          <w:trHeight w:val="70"/>
        </w:trPr>
        <w:tc>
          <w:tcPr>
            <w:tcW w:w="1480" w:type="dxa"/>
            <w:vAlign w:val="bottom"/>
            <w:vMerge w:val="continue"/>
          </w:tcPr>
          <w:p>
            <w:pPr>
              <w:spacing w:after="0"/>
              <w:rPr>
                <w:sz w:val="6"/>
                <w:szCs w:val="6"/>
                <w:color w:val="auto"/>
              </w:rPr>
            </w:pP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rPr>
              <w:t>are redeemable for travel, gift cards, and shopping, or can be instantly transferred to a Robinhood Gold Card user's</w:t>
            </w:r>
          </w:p>
        </w:tc>
        <w:tc>
          <w:tcPr>
            <w:tcW w:w="0" w:type="dxa"/>
            <w:vAlign w:val="bottom"/>
          </w:tcPr>
          <w:p>
            <w:pPr>
              <w:spacing w:after="0"/>
              <w:rPr>
                <w:sz w:val="1"/>
                <w:szCs w:val="1"/>
                <w:color w:val="auto"/>
              </w:rPr>
            </w:pPr>
          </w:p>
        </w:tc>
      </w:tr>
      <w:tr>
        <w:trPr>
          <w:trHeight w:val="14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Gold Card</w:t>
            </w: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480" w:type="dxa"/>
            <w:vAlign w:val="bottom"/>
            <w:vMerge w:val="continue"/>
          </w:tcPr>
          <w:p>
            <w:pPr>
              <w:spacing w:after="0"/>
              <w:rPr>
                <w:sz w:val="8"/>
                <w:szCs w:val="8"/>
                <w:color w:val="auto"/>
              </w:rPr>
            </w:pP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w w:val="98"/>
              </w:rPr>
              <w:t>brokerage account to invest, earn interest, or withdraw. Robinhood Gold Card users can manage their card activities via a</w:t>
            </w:r>
          </w:p>
        </w:tc>
        <w:tc>
          <w:tcPr>
            <w:tcW w:w="0" w:type="dxa"/>
            <w:vAlign w:val="bottom"/>
          </w:tcPr>
          <w:p>
            <w:pPr>
              <w:spacing w:after="0"/>
              <w:rPr>
                <w:sz w:val="1"/>
                <w:szCs w:val="1"/>
                <w:color w:val="auto"/>
              </w:rPr>
            </w:pPr>
          </w:p>
        </w:tc>
      </w:tr>
      <w:tr>
        <w:trPr>
          <w:trHeight w:val="110"/>
        </w:trPr>
        <w:tc>
          <w:tcPr>
            <w:tcW w:w="1480" w:type="dxa"/>
            <w:vAlign w:val="bottom"/>
          </w:tcPr>
          <w:p>
            <w:pPr>
              <w:spacing w:after="0"/>
              <w:rPr>
                <w:sz w:val="9"/>
                <w:szCs w:val="9"/>
                <w:color w:val="auto"/>
              </w:rPr>
            </w:pPr>
          </w:p>
        </w:tc>
        <w:tc>
          <w:tcPr>
            <w:tcW w:w="9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w w:val="99"/>
              </w:rPr>
              <w:t>separate mobile application, the Robinhood Credit Card app. We are continuing to roll out Robinhood Gold Card, now in</w:t>
            </w:r>
          </w:p>
        </w:tc>
        <w:tc>
          <w:tcPr>
            <w:tcW w:w="0" w:type="dxa"/>
            <w:vAlign w:val="bottom"/>
          </w:tcPr>
          <w:p>
            <w:pPr>
              <w:spacing w:after="0"/>
              <w:rPr>
                <w:sz w:val="1"/>
                <w:szCs w:val="1"/>
                <w:color w:val="auto"/>
              </w:rPr>
            </w:pPr>
          </w:p>
        </w:tc>
      </w:tr>
      <w:tr>
        <w:trPr>
          <w:trHeight w:val="232"/>
        </w:trPr>
        <w:tc>
          <w:tcPr>
            <w:tcW w:w="148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the hands of over 600 thousand customers.</w:t>
            </w:r>
          </w:p>
        </w:tc>
        <w:tc>
          <w:tcPr>
            <w:tcW w:w="0" w:type="dxa"/>
            <w:vAlign w:val="bottom"/>
          </w:tcPr>
          <w:p>
            <w:pPr>
              <w:spacing w:after="0"/>
              <w:rPr>
                <w:sz w:val="1"/>
                <w:szCs w:val="1"/>
                <w:color w:val="auto"/>
              </w:rPr>
            </w:pPr>
          </w:p>
        </w:tc>
      </w:tr>
      <w:tr>
        <w:trPr>
          <w:trHeight w:val="235"/>
        </w:trPr>
        <w:tc>
          <w:tcPr>
            <w:tcW w:w="1480" w:type="dxa"/>
            <w:vAlign w:val="bottom"/>
            <w:tcBorders>
              <w:bottom w:val="single" w:sz="8" w:color="B6B6B6"/>
            </w:tcBorders>
          </w:tcPr>
          <w:p>
            <w:pPr>
              <w:spacing w:after="0"/>
              <w:rPr>
                <w:sz w:val="20"/>
                <w:szCs w:val="20"/>
                <w:color w:val="auto"/>
              </w:rPr>
            </w:pPr>
          </w:p>
        </w:tc>
        <w:tc>
          <w:tcPr>
            <w:tcW w:w="976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Banking. </w:t>
            </w:r>
            <w:r>
              <w:rPr>
                <w:rFonts w:ascii="Arial" w:cs="Arial" w:eastAsia="Arial" w:hAnsi="Arial"/>
                <w:sz w:val="18"/>
                <w:szCs w:val="18"/>
                <w:color w:val="auto"/>
              </w:rPr>
              <w:t>Robinhood Banking is a financial services platform offered by RHY that brings a private banking</w:t>
            </w: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experience exclusively to Gold Subscribers. Banking services are provided by Coastal Bank. Funds held in Robinhood</w:t>
            </w:r>
          </w:p>
        </w:tc>
        <w:tc>
          <w:tcPr>
            <w:tcW w:w="0" w:type="dxa"/>
            <w:vAlign w:val="bottom"/>
          </w:tcPr>
          <w:p>
            <w:pPr>
              <w:spacing w:after="0"/>
              <w:rPr>
                <w:sz w:val="1"/>
                <w:szCs w:val="1"/>
                <w:color w:val="auto"/>
              </w:rPr>
            </w:pPr>
          </w:p>
        </w:tc>
      </w:tr>
      <w:tr>
        <w:trPr>
          <w:trHeight w:val="23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760" w:type="dxa"/>
            <w:vAlign w:val="bottom"/>
          </w:tcPr>
          <w:p>
            <w:pPr>
              <w:ind w:left="220"/>
              <w:spacing w:after="0"/>
              <w:rPr>
                <w:sz w:val="20"/>
                <w:szCs w:val="20"/>
                <w:color w:val="auto"/>
              </w:rPr>
            </w:pPr>
            <w:r>
              <w:rPr>
                <w:rFonts w:ascii="Arial" w:cs="Arial" w:eastAsia="Arial" w:hAnsi="Arial"/>
                <w:sz w:val="18"/>
                <w:szCs w:val="18"/>
                <w:color w:val="auto"/>
                <w:w w:val="99"/>
              </w:rPr>
              <w:t>Banking accounts are eligible for FDIC insurance. We are continuing to roll out Robinhood Banking to Gold Subscribers.</w:t>
            </w:r>
          </w:p>
        </w:tc>
        <w:tc>
          <w:tcPr>
            <w:tcW w:w="0" w:type="dxa"/>
            <w:vAlign w:val="bottom"/>
          </w:tcPr>
          <w:p>
            <w:pPr>
              <w:spacing w:after="0"/>
              <w:rPr>
                <w:sz w:val="1"/>
                <w:szCs w:val="1"/>
                <w:color w:val="auto"/>
              </w:rPr>
            </w:pPr>
          </w:p>
        </w:tc>
      </w:tr>
      <w:tr>
        <w:trPr>
          <w:trHeight w:val="23"/>
        </w:trPr>
        <w:tc>
          <w:tcPr>
            <w:tcW w:w="1480" w:type="dxa"/>
            <w:vAlign w:val="bottom"/>
            <w:vMerge w:val="continue"/>
          </w:tcPr>
          <w:p>
            <w:pPr>
              <w:spacing w:after="0"/>
              <w:rPr>
                <w:sz w:val="2"/>
                <w:szCs w:val="2"/>
                <w:color w:val="auto"/>
              </w:rPr>
            </w:pPr>
          </w:p>
        </w:tc>
        <w:tc>
          <w:tcPr>
            <w:tcW w:w="9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Banking</w:t>
            </w: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rPr>
              <w:t>Our premium features offered to Robinhood Banking customers include:</w:t>
            </w:r>
          </w:p>
        </w:tc>
        <w:tc>
          <w:tcPr>
            <w:tcW w:w="0" w:type="dxa"/>
            <w:vAlign w:val="bottom"/>
          </w:tcPr>
          <w:p>
            <w:pPr>
              <w:spacing w:after="0"/>
              <w:rPr>
                <w:sz w:val="1"/>
                <w:szCs w:val="1"/>
                <w:color w:val="auto"/>
              </w:rPr>
            </w:pPr>
          </w:p>
        </w:tc>
      </w:tr>
      <w:tr>
        <w:trPr>
          <w:trHeight w:val="64"/>
        </w:trPr>
        <w:tc>
          <w:tcPr>
            <w:tcW w:w="1480" w:type="dxa"/>
            <w:vAlign w:val="bottom"/>
          </w:tcPr>
          <w:p>
            <w:pPr>
              <w:spacing w:after="0"/>
              <w:rPr>
                <w:sz w:val="5"/>
                <w:szCs w:val="5"/>
                <w:color w:val="auto"/>
              </w:rPr>
            </w:pPr>
          </w:p>
        </w:tc>
        <w:tc>
          <w:tcPr>
            <w:tcW w:w="9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High-yield checking and savings.</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On-demand cash delivery.</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24/7 support.</w:t>
            </w:r>
          </w:p>
        </w:tc>
        <w:tc>
          <w:tcPr>
            <w:tcW w:w="0" w:type="dxa"/>
            <w:vAlign w:val="bottom"/>
          </w:tcPr>
          <w:p>
            <w:pPr>
              <w:spacing w:after="0"/>
              <w:rPr>
                <w:sz w:val="1"/>
                <w:szCs w:val="1"/>
                <w:color w:val="auto"/>
              </w:rPr>
            </w:pPr>
          </w:p>
        </w:tc>
      </w:tr>
      <w:tr>
        <w:trPr>
          <w:trHeight w:val="579"/>
        </w:trPr>
        <w:tc>
          <w:tcPr>
            <w:tcW w:w="1480" w:type="dxa"/>
            <w:vAlign w:val="bottom"/>
            <w:tcBorders>
              <w:bottom w:val="single" w:sz="8" w:color="B6B6B6"/>
            </w:tcBorders>
          </w:tcPr>
          <w:p>
            <w:pPr>
              <w:spacing w:after="0"/>
              <w:rPr>
                <w:sz w:val="24"/>
                <w:szCs w:val="24"/>
                <w:color w:val="auto"/>
              </w:rPr>
            </w:pPr>
          </w:p>
        </w:tc>
        <w:tc>
          <w:tcPr>
            <w:tcW w:w="9760" w:type="dxa"/>
            <w:vAlign w:val="bottom"/>
            <w:tcBorders>
              <w:bottom w:val="single" w:sz="8" w:color="B6B6B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Wealth</w:t>
      </w:r>
    </w:p>
    <w:p>
      <w:pPr>
        <w:jc w:val="center"/>
        <w:ind w:left="180"/>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Robinhood Strategies</w:t>
      </w:r>
      <w:r>
        <w:rPr>
          <w:rFonts w:ascii="Arial" w:cs="Arial" w:eastAsia="Arial" w:hAnsi="Arial"/>
          <w:sz w:val="18"/>
          <w:szCs w:val="18"/>
          <w:color w:val="auto"/>
        </w:rPr>
        <w:t>. We offer a tailored, expert-managed wealth management service that gives our customers expert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advice and the knowledge to effectively plan for their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-306705</wp:posOffset>
            </wp:positionV>
            <wp:extent cx="7134860" cy="3933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3933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Our premium features offered to Robinhood Strategies customers include:</w:t>
      </w:r>
    </w:p>
    <w:p>
      <w:pPr>
        <w:spacing w:after="0" w:line="84" w:lineRule="exact"/>
        <w:rPr>
          <w:sz w:val="20"/>
          <w:szCs w:val="20"/>
          <w:color w:val="auto"/>
        </w:rPr>
      </w:pPr>
    </w:p>
    <w:p>
      <w:pPr>
        <w:ind w:left="500" w:hanging="31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management fee: 0.25% annual management fee, capped at $250 per year for Gold Subscribers.</w:t>
      </w:r>
    </w:p>
    <w:p>
      <w:pPr>
        <w:spacing w:after="0" w:line="111" w:lineRule="exact"/>
        <w:rPr>
          <w:sz w:val="20"/>
          <w:szCs w:val="20"/>
          <w:color w:val="auto"/>
        </w:rPr>
      </w:pPr>
    </w:p>
    <w:p>
      <w:pPr>
        <w:sectPr>
          <w:pgSz w:w="11900" w:h="16838" w:orient="portrait"/>
          <w:cols w:equalWidth="0" w:num="2">
            <w:col w:w="1380" w:space="320"/>
            <w:col w:w="9520"/>
          </w:cols>
          <w:pgMar w:left="320" w:top="122" w:right="359" w:bottom="1440" w:gutter="0" w:footer="0" w:header="0"/>
        </w:sectPr>
      </w:pPr>
    </w:p>
    <w:p>
      <w:pPr>
        <w:ind w:left="2200" w:hanging="310"/>
        <w:spacing w:after="0" w:line="274" w:lineRule="auto"/>
        <w:tabs>
          <w:tab w:leader="none" w:pos="2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Diversified and interactive portfolio: Portfolios are actively managed based on customers’ risk tolerance, goals, and time horizon and adjusted to reflect market conditions.</w:t>
      </w:r>
    </w:p>
    <w:p>
      <w:pPr>
        <w:spacing w:after="0" w:line="56" w:lineRule="exact"/>
        <w:rPr>
          <w:rFonts w:ascii="Arial" w:cs="Arial" w:eastAsia="Arial" w:hAnsi="Arial"/>
          <w:sz w:val="18"/>
          <w:szCs w:val="18"/>
          <w:color w:val="auto"/>
        </w:rPr>
      </w:pPr>
    </w:p>
    <w:p>
      <w:pPr>
        <w:ind w:left="2200" w:hanging="310"/>
        <w:spacing w:after="0" w:line="274" w:lineRule="auto"/>
        <w:tabs>
          <w:tab w:leader="none" w:pos="2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Integrated tools: In-app performance tracking, future return simulations, and tax management features such as tax loss harvesting.</w:t>
      </w:r>
    </w:p>
    <w:p>
      <w:pPr>
        <w:spacing w:after="0" w:line="57" w:lineRule="exact"/>
        <w:rPr>
          <w:sz w:val="20"/>
          <w:szCs w:val="20"/>
          <w:color w:val="auto"/>
        </w:rPr>
      </w:pPr>
    </w:p>
    <w:p>
      <w:pPr>
        <w:jc w:val="both"/>
        <w:ind w:left="1660"/>
        <w:spacing w:after="0" w:line="259" w:lineRule="auto"/>
        <w:rPr>
          <w:sz w:val="20"/>
          <w:szCs w:val="20"/>
          <w:color w:val="auto"/>
        </w:rPr>
      </w:pPr>
      <w:r>
        <w:rPr>
          <w:rFonts w:ascii="Arial" w:cs="Arial" w:eastAsia="Arial" w:hAnsi="Arial"/>
          <w:sz w:val="18"/>
          <w:szCs w:val="18"/>
          <w:color w:val="auto"/>
        </w:rPr>
        <w:t>Our acquisition of TradePMR, a custodial and portfolio management platform for RIAs, expands our wealth management footprint, and allows us to deliver investment advisory capabilities to customers by bringing in a scaled RIA custodial and portfolio management platform that connects financial advisors to a new generation of investors.</w:t>
      </w:r>
    </w:p>
    <w:p>
      <w:pPr>
        <w:spacing w:after="0" w:line="334" w:lineRule="exact"/>
        <w:rPr>
          <w:sz w:val="20"/>
          <w:szCs w:val="20"/>
          <w:color w:val="auto"/>
        </w:rPr>
      </w:pPr>
    </w:p>
    <w:p>
      <w:pPr>
        <w:jc w:val="both"/>
        <w:ind w:left="1660"/>
        <w:spacing w:after="0" w:line="276" w:lineRule="auto"/>
        <w:rPr>
          <w:sz w:val="20"/>
          <w:szCs w:val="20"/>
          <w:color w:val="auto"/>
        </w:rPr>
      </w:pPr>
      <w:r>
        <w:rPr>
          <w:rFonts w:ascii="Arial" w:cs="Arial" w:eastAsia="Arial" w:hAnsi="Arial"/>
          <w:sz w:val="18"/>
          <w:szCs w:val="18"/>
          <w:b w:val="1"/>
          <w:bCs w:val="1"/>
          <w:color w:val="auto"/>
        </w:rPr>
        <w:t xml:space="preserve">Robinhood Cortex. </w:t>
      </w:r>
      <w:r>
        <w:rPr>
          <w:rFonts w:ascii="Arial" w:cs="Arial" w:eastAsia="Arial" w:hAnsi="Arial"/>
          <w:sz w:val="18"/>
          <w:szCs w:val="18"/>
          <w:color w:val="auto"/>
        </w:rPr>
        <w:t>We offer an AI investment tool designed to provide real-time analysis and insights that help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better navigate the markets, identify opportunities, and stay up to date on the latest market moving news.</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11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6"/>
              </w:rPr>
              <w:t>Robinhood</w:t>
            </w:r>
          </w:p>
        </w:tc>
        <w:tc>
          <w:tcPr>
            <w:tcW w:w="9780" w:type="dxa"/>
            <w:vAlign w:val="bottom"/>
          </w:tcPr>
          <w:p>
            <w:pPr>
              <w:ind w:left="220"/>
              <w:spacing w:after="0"/>
              <w:rPr>
                <w:sz w:val="20"/>
                <w:szCs w:val="20"/>
                <w:color w:val="auto"/>
              </w:rPr>
            </w:pPr>
            <w:r>
              <w:rPr>
                <w:rFonts w:ascii="Arial" w:cs="Arial" w:eastAsia="Arial" w:hAnsi="Arial"/>
                <w:sz w:val="18"/>
                <w:szCs w:val="18"/>
                <w:color w:val="auto"/>
              </w:rPr>
              <w:t>Our key features offered to customers include:</w:t>
            </w: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9780" w:type="dxa"/>
            <w:vAlign w:val="bottom"/>
            <w:vMerge w:val="restart"/>
          </w:tcPr>
          <w:p>
            <w:pPr>
              <w:ind w:left="440"/>
              <w:spacing w:after="0"/>
              <w:rPr>
                <w:sz w:val="20"/>
                <w:szCs w:val="20"/>
                <w:color w:val="auto"/>
              </w:rPr>
            </w:pPr>
            <w:r>
              <w:rPr>
                <w:rFonts w:ascii="Arial" w:cs="Arial" w:eastAsia="Arial" w:hAnsi="Arial"/>
                <w:sz w:val="18"/>
                <w:szCs w:val="18"/>
                <w:color w:val="auto"/>
              </w:rPr>
              <w:t>•   Stock and Portfolio Digests: Provides concise summaries explaining market movements for individual securities</w:t>
            </w:r>
          </w:p>
        </w:tc>
        <w:tc>
          <w:tcPr>
            <w:tcW w:w="0" w:type="dxa"/>
            <w:vAlign w:val="bottom"/>
          </w:tcPr>
          <w:p>
            <w:pPr>
              <w:spacing w:after="0"/>
              <w:rPr>
                <w:sz w:val="1"/>
                <w:szCs w:val="1"/>
                <w:color w:val="auto"/>
              </w:rPr>
            </w:pPr>
          </w:p>
        </w:tc>
      </w:tr>
      <w:tr>
        <w:trPr>
          <w:trHeight w:val="116"/>
        </w:trPr>
        <w:tc>
          <w:tcPr>
            <w:tcW w:w="11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8"/>
              </w:rPr>
              <w:t>Cortex</w:t>
            </w: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20" w:type="dxa"/>
            <w:vAlign w:val="bottom"/>
            <w:vMerge w:val="continue"/>
          </w:tcPr>
          <w:p>
            <w:pPr>
              <w:spacing w:after="0"/>
              <w:rPr>
                <w:sz w:val="11"/>
                <w:szCs w:val="11"/>
                <w:color w:val="auto"/>
              </w:rPr>
            </w:pPr>
          </w:p>
        </w:tc>
        <w:tc>
          <w:tcPr>
            <w:tcW w:w="9780" w:type="dxa"/>
            <w:vAlign w:val="bottom"/>
            <w:vMerge w:val="restart"/>
          </w:tcPr>
          <w:p>
            <w:pPr>
              <w:ind w:left="760"/>
              <w:spacing w:after="0"/>
              <w:rPr>
                <w:sz w:val="20"/>
                <w:szCs w:val="20"/>
                <w:color w:val="auto"/>
              </w:rPr>
            </w:pPr>
            <w:r>
              <w:rPr>
                <w:rFonts w:ascii="Arial" w:cs="Arial" w:eastAsia="Arial" w:hAnsi="Arial"/>
                <w:sz w:val="18"/>
                <w:szCs w:val="18"/>
                <w:color w:val="auto"/>
              </w:rPr>
              <w:t>and complete portfolios by analyzing relevant news and events impacting each ticker.</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9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Robinhood</w:t>
      </w:r>
    </w:p>
    <w:p>
      <w:pPr>
        <w:jc w:val="center"/>
        <w:ind w:left="120"/>
        <w:spacing w:after="0"/>
        <w:rPr>
          <w:sz w:val="20"/>
          <w:szCs w:val="20"/>
          <w:color w:val="auto"/>
        </w:rPr>
      </w:pPr>
      <w:r>
        <w:rPr>
          <w:rFonts w:ascii="Arial" w:cs="Arial" w:eastAsia="Arial" w:hAnsi="Arial"/>
          <w:sz w:val="17"/>
          <w:szCs w:val="17"/>
          <w:b w:val="1"/>
          <w:bCs w:val="1"/>
          <w:color w:val="auto"/>
        </w:rPr>
        <w:t>Ventures Fund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2025, we filed our initial prospectus to launch RVI, a listed closed-end fund that aims to offer retail investors exposure to private companies at the frontiers of their respective industries. A listed closed-end fund is an investment company that is registered under the 1940 Act. RVI’s investment program will focus on a concentrated portfolio of private companies at the frontiers of their respective industries. RVI plans to hold investments for the long term through IPO and beyond, and will seek to invest across a number of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9525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260"/>
            <w:col w:w="95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184785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Education</w:t>
      </w:r>
    </w:p>
    <w:p>
      <w:pPr>
        <w:spacing w:after="0" w:line="19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We believe that offering educational resources is critical to advancing our mission. The more financial education people receive, the better equipped, and thus more empowered they will be to make personal investment decisions that meet their long-term goals. We’ve been expanding financial educational resources on the Robinhood Learn website for anyone to access as well as in-app education for our customers.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a variety of ways for our customers to grow their financial knowledge: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Robinhood Learn</w:t>
      </w:r>
      <w:r>
        <w:rPr>
          <w:rFonts w:ascii="Arial" w:cs="Arial" w:eastAsia="Arial" w:hAnsi="Arial"/>
          <w:sz w:val="18"/>
          <w:szCs w:val="18"/>
          <w:color w:val="auto"/>
        </w:rPr>
        <w:t>. Robinhood Learn is an online collection of guides, feature tutorials, and an extensive financial dictionary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anyone. It is designed to provide people with a breadth of financial education and is regularly updated to ensure we provide timely and relevant information for anyone to learn and grow.</w:t>
      </w:r>
    </w:p>
    <w:p>
      <w:pPr>
        <w:spacing w:after="0" w:line="150" w:lineRule="exact"/>
        <w:rPr>
          <w:rFonts w:ascii="Arial" w:cs="Arial" w:eastAsia="Arial" w:hAnsi="Arial"/>
          <w:sz w:val="18"/>
          <w:szCs w:val="18"/>
          <w:color w:val="auto"/>
        </w:rPr>
      </w:pPr>
    </w:p>
    <w:p>
      <w:pPr>
        <w:jc w:val="both"/>
        <w:ind w:left="640" w:hanging="316"/>
        <w:spacing w:after="0" w:line="282"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In-App Education</w:t>
      </w:r>
      <w:r>
        <w:rPr>
          <w:rFonts w:ascii="Arial" w:cs="Arial" w:eastAsia="Arial" w:hAnsi="Arial"/>
          <w:sz w:val="17"/>
          <w:szCs w:val="17"/>
          <w:color w:val="auto"/>
        </w:rPr>
        <w:t>. Our in-app education resources cover investing fundamentals including why people invest, a stock market overview,</w:t>
      </w:r>
      <w:r>
        <w:rPr>
          <w:rFonts w:ascii="Arial" w:cs="Arial" w:eastAsia="Arial" w:hAnsi="Arial"/>
          <w:sz w:val="17"/>
          <w:szCs w:val="17"/>
          <w:i w:val="1"/>
          <w:iCs w:val="1"/>
          <w:color w:val="auto"/>
        </w:rPr>
        <w:t xml:space="preserve"> </w:t>
      </w:r>
      <w:r>
        <w:rPr>
          <w:rFonts w:ascii="Arial" w:cs="Arial" w:eastAsia="Arial" w:hAnsi="Arial"/>
          <w:sz w:val="17"/>
          <w:szCs w:val="17"/>
          <w:color w:val="auto"/>
        </w:rPr>
        <w:t>and tips on how to define investing goals. This allows customers to understand the basics of investing before their first trade. We plan to continue to release additional Learn modules to provide customers access to information that can help build financial confidence.</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Newsfeeds</w:t>
      </w:r>
      <w:r>
        <w:rPr>
          <w:rFonts w:ascii="Arial" w:cs="Arial" w:eastAsia="Arial" w:hAnsi="Arial"/>
          <w:sz w:val="18"/>
          <w:szCs w:val="18"/>
          <w:color w:val="auto"/>
        </w:rPr>
        <w:t>. Our newsfeeds give customers access to free, premium news from sites such as Barron’s, Reuters and Dow Jones.</w:t>
      </w:r>
    </w:p>
    <w:p>
      <w:pPr>
        <w:spacing w:after="0" w:line="176"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Sherwood Media and Robinhood Snacks</w:t>
      </w:r>
      <w:r>
        <w:rPr>
          <w:rFonts w:ascii="Arial" w:cs="Arial" w:eastAsia="Arial" w:hAnsi="Arial"/>
          <w:sz w:val="18"/>
          <w:szCs w:val="18"/>
          <w:color w:val="auto"/>
        </w:rPr>
        <w:t>. Robinhood Snacks is an accessible digest of business news stories written for a new</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of investors. Its bite-sized news stories bring new investors the latest market-moving news without all of the complicated financial jargon. Sherwood Media is a subsidiary that is the home for news and information about the markets, economics, business, technology, and the culture of money. We offer a suite of new editorial offerings, complementing Robinhood Snacks with more always-on news updates and analysis, original reporting and new newsletter offerings.</w:t>
      </w:r>
    </w:p>
    <w:p>
      <w:pPr>
        <w:spacing w:after="0" w:line="14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Crypto Learn and Earn</w:t>
      </w:r>
      <w:r>
        <w:rPr>
          <w:rFonts w:ascii="Arial" w:cs="Arial" w:eastAsia="Arial" w:hAnsi="Arial"/>
          <w:sz w:val="18"/>
          <w:szCs w:val="18"/>
          <w:color w:val="auto"/>
        </w:rPr>
        <w:t>. Our exclusive in-app educational module available to all eligible RHEU and Robinhood Wallet customers via</w:t>
      </w:r>
      <w:r>
        <w:rPr>
          <w:rFonts w:ascii="Arial" w:cs="Arial" w:eastAsia="Arial" w:hAnsi="Arial"/>
          <w:sz w:val="18"/>
          <w:szCs w:val="18"/>
          <w:i w:val="1"/>
          <w:iCs w:val="1"/>
          <w:color w:val="auto"/>
        </w:rPr>
        <w:t xml:space="preserve"> </w:t>
      </w:r>
      <w:r>
        <w:rPr>
          <w:rFonts w:ascii="Arial" w:cs="Arial" w:eastAsia="Arial" w:hAnsi="Arial"/>
          <w:sz w:val="18"/>
          <w:szCs w:val="18"/>
          <w:color w:val="auto"/>
        </w:rPr>
        <w:t>Robinhood Learn that educates customers on the basics about cryptocurrency. Customers who complete these courses will be eligible to receive rewards, which will be paid out in cryptocurrency.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Technology</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Robinhood apps and Robinhood Legend are the core front-end pathways through which our customers engage with us. Our self-clearing system, order routing system, data platform, and other back-end infrastructure deliver the capabilities that allow our customers to focus on investing, saving, and spending, while also enabling us to rapidly develop products that our customers love to use.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Some of our most critical technologies include: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Core Infrastructure and Data Platform. </w:t>
      </w:r>
      <w:r>
        <w:rPr>
          <w:rFonts w:ascii="Arial" w:cs="Arial" w:eastAsia="Arial" w:hAnsi="Arial"/>
          <w:sz w:val="18"/>
          <w:szCs w:val="18"/>
          <w:color w:val="auto"/>
        </w:rPr>
        <w:t>Our core infrastructure and data platform are built on Amazon Web Services, and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application developers to define their microservices in a simple, standardized manner while also providing built-in scalability and resiliency.</w:t>
      </w:r>
    </w:p>
    <w:p>
      <w:pPr>
        <w:spacing w:after="0" w:line="137"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Self-Clearing System. </w:t>
      </w:r>
      <w:r>
        <w:rPr>
          <w:rFonts w:ascii="Arial" w:cs="Arial" w:eastAsia="Arial" w:hAnsi="Arial"/>
          <w:sz w:val="18"/>
          <w:szCs w:val="18"/>
          <w:color w:val="auto"/>
        </w:rPr>
        <w:t>Our self-clearing services allow us to clear and settle trades across stocks, ETFs, and options without relying on</w:t>
      </w:r>
      <w:r>
        <w:rPr>
          <w:rFonts w:ascii="Arial" w:cs="Arial" w:eastAsia="Arial" w:hAnsi="Arial"/>
          <w:sz w:val="18"/>
          <w:szCs w:val="18"/>
          <w:i w:val="1"/>
          <w:iCs w:val="1"/>
          <w:color w:val="auto"/>
        </w:rPr>
        <w:t xml:space="preserve"> </w:t>
      </w:r>
      <w:r>
        <w:rPr>
          <w:rFonts w:ascii="Arial" w:cs="Arial" w:eastAsia="Arial" w:hAnsi="Arial"/>
          <w:sz w:val="18"/>
          <w:szCs w:val="18"/>
          <w:color w:val="auto"/>
        </w:rPr>
        <w:t>a third-party clearing firm, an approach that provides increased internal visibility and stronger oversight and control over clearing and settlement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w:t>
      </w:r>
    </w:p>
    <w:p>
      <w:pPr>
        <w:spacing w:after="0" w:line="14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w:t>
      </w:r>
      <w:r>
        <w:rPr>
          <w:rFonts w:ascii="Arial" w:cs="Arial" w:eastAsia="Arial" w:hAnsi="Arial"/>
          <w:sz w:val="18"/>
          <w:szCs w:val="18"/>
          <w:color w:val="auto"/>
        </w:rPr>
        <w:t>We currently use machine learning and AI to improve our products and processes in certain circumstances. Our</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learning models and AI contribute to multiple capabilities across our business. For example, we use machine learning and AI to increase the efficiency of our in-app chat support, customer support workflows, fraud detection systems,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57"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development cycle, we’ve built a proprietary experimentation infrastructure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us to test product changes through the build process and validate research hypotheses. The iterative, customer-centric product development approach that is so core to our success is enabled by this robust internal technology.</w:t>
      </w:r>
    </w:p>
    <w:p>
      <w:pPr>
        <w:spacing w:after="0" w:line="13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Looking ahead, we believe we are strategically positioned at the center of two major platform shifts—AI and cryptocurrency and blockchain technology—which have the potential to transform the industry.</w:t>
      </w:r>
    </w:p>
    <w:p>
      <w:pPr>
        <w:spacing w:after="0" w:line="123" w:lineRule="exact"/>
        <w:rPr>
          <w:sz w:val="20"/>
          <w:szCs w:val="20"/>
          <w:color w:val="auto"/>
        </w:rPr>
      </w:pPr>
    </w:p>
    <w:p>
      <w:pPr>
        <w:jc w:val="both"/>
        <w:ind w:left="640" w:hanging="316"/>
        <w:spacing w:after="0" w:line="251" w:lineRule="auto"/>
        <w:tabs>
          <w:tab w:leader="none" w:pos="609"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Artificial Intelligence</w:t>
      </w:r>
      <w:r>
        <w:rPr>
          <w:rFonts w:ascii="Arial" w:cs="Arial" w:eastAsia="Arial" w:hAnsi="Arial"/>
          <w:sz w:val="18"/>
          <w:szCs w:val="18"/>
          <w:color w:val="auto"/>
        </w:rPr>
        <w:t>. We currently expect our adoption of AI to occur in three phases: by augmenting internal operations, by enhancing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customer-facing products, and by developing sophisticated autonomous financial agents. We have successfully created operational efficiencies and brought in top-tier AI talent, including experts from leading frontier AI labs, to accelerate our advancements in AI. Additionally, we have begun to incorporate applications of generative AI into our product offerings, such as Robinhood Cortex. As a technology company, we believe we are able to rapidly adopt new tools on the way to building complex AI agents and expect to introduce significantly more in the coming year, including our first AI-native advisory products.</w:t>
      </w:r>
    </w:p>
    <w:p>
      <w:pPr>
        <w:spacing w:after="0" w:line="156" w:lineRule="exact"/>
        <w:rPr>
          <w:rFonts w:ascii="Arial" w:cs="Arial" w:eastAsia="Arial" w:hAnsi="Arial"/>
          <w:sz w:val="18"/>
          <w:szCs w:val="18"/>
          <w:i w:val="1"/>
          <w:iCs w:val="1"/>
          <w:color w:val="auto"/>
        </w:rPr>
      </w:pPr>
    </w:p>
    <w:p>
      <w:pPr>
        <w:jc w:val="both"/>
        <w:ind w:left="640" w:hanging="316"/>
        <w:spacing w:after="0" w:line="25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Cryptocurrency and Blockchain Technology</w:t>
      </w:r>
      <w:r>
        <w:rPr>
          <w:rFonts w:ascii="Arial" w:cs="Arial" w:eastAsia="Arial" w:hAnsi="Arial"/>
          <w:sz w:val="18"/>
          <w:szCs w:val="18"/>
          <w:color w:val="auto"/>
        </w:rPr>
        <w:t>. We believe cryptocurrency and blockchain technology will fundamentally transform</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infrastructure by offering significant efficiencies as the blockchain reduces the need for traditional financial intermediaries, such as clearing houses, transfer agents, and payment processors, leading to lower operational costs. We anticipate that blockchain technology will increasingly integrate with the traditional financial system, ultimately serving as the new infrastructure for financial services. We expect that this will be driven by tokenization, which enables efficiency gains by moving traditional financial assets onto blockchain. We believe our leadership in cryptocurrency trading will position us to lead in this space and expect to continue launching new products and features that drive tokenization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Customers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accessible and transparent for everyone. We have reached customers from a wide variety of social and economic backgrounds and many of our customers have told us that Robinhood was their first brokerage account. We take pride in the fact that we are expanding the market by welcoming new investors into the financial system and helping the next generation of investors build sound long-term investing, saving, and spending habits in their prime wealth building years. We are also laser focused on being the top platform for active traders who trade more actively and use more sophisticated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Customer feedback is at the heart of product development at Robinhood. We regularly communicate with our customers—not just to provide support, but also to learn more about their experiences and insights, and to respond to their feedback about our products. This keeps us connected with customers and enables us to understand their expectations, problems and opportunities they face financially. For example, in response to customer feedback, we introduced multiple accounts, allowing customers to open multiple investing accounts to organize their portfolio by asset class, time horizon, investing themes, or personal goals, all in one place. Further, in response to feedback from our active traders for advanced equity offering, we launched short selling, an important feature designed to give active traders a way to profit in down or volatile markets, and to smooth out equity trading volumes across different market conditions. These launches reflect our ongoing commitment to providing our customers with the insights and resources they need to make informed decisions and plan for the future.</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Growth Strategies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growth strategies are built around three key focus areas designed to meet increasing demand from our customers and further our mission of democratizing finance for all. We believe we are still in the early stages of this journey and remain committed to expanding access to financial services through innovative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Ourselves as the Number One Platform for Active Traders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focus has been on systematically resolving issues that would lead an active trader to consider using another platform, with a particular emphasis on innovation and speed. Our strategy for being number one in active traders is centered on three main priorities:</w:t>
      </w:r>
    </w:p>
    <w:p>
      <w:pPr>
        <w:spacing w:after="0" w:line="189"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innovations such as Robinhood Cortex;</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asset classes and capabilities such as event contracts and short selling;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our tools, latency, and charting to be best-in-class, particularly on Robinhood Legend.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Becoming the Number One in Wallet Share for the Next Generation</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Many of our customers are just beginning their financial journeys. As our next generation customers grow their wealth, we aim to grow with them, meeting their evolving financial needs from saving, spending, or facilitating payments. Our strategy for being number one in wallet share for the next generation is centered on three main priorities:</w:t>
      </w:r>
    </w:p>
    <w:p>
      <w:pPr>
        <w:spacing w:after="0" w:line="137" w:lineRule="exact"/>
        <w:rPr>
          <w:sz w:val="20"/>
          <w:szCs w:val="20"/>
          <w:color w:val="auto"/>
        </w:rPr>
      </w:pPr>
    </w:p>
    <w:p>
      <w:pPr>
        <w:jc w:val="both"/>
        <w:ind w:left="640" w:hanging="316"/>
        <w:spacing w:after="0" w:line="259"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new products that cover the next generation’s remaining core financial needs, such as Robinhood Banking and advisory. Multigenerational advisory is a key pillar of our future product roadmap and will be strengthened by the expanded investment advisory and custodial capabilities gained through our acquisition of TradePMR;</w:t>
      </w:r>
    </w:p>
    <w:p>
      <w:pPr>
        <w:spacing w:after="0" w:line="137"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innovate on incentives, particularly through Robinhood Gold, to provide our customers with greater value as their assets grow with us; and</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withdrawals and increase deposits by further streamlining the process for customers to onboard, deposit funds, and transfer assets into Robinhood.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the Number One Global Financial Ecosystem</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we continue expanding internationally, we see substantial opportunity ahead to deepen our global presence. We have leveraged our strengths as a technology and innovation leader in the U.S. and expanded our reach globally in the U.K. with brokerage services and in the EU with cryptocurrency trading. We are continuing our expansion internationally with our pending acquisitions of WonderFi in Canada, and PT Buana Capital Sekuritas and PT Pedagang Aset Kripto in Indonesia. We have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our first steps in the business-to-business and institutional markets through our acquisitions of Bitstamp and TradePMR (Refer to Note 3 - Business Combinations to our consolidated financial statements in this Annual Report for more information). Our strategy for building a global financial ecosystem is centered on three main priorities:</w:t>
      </w:r>
    </w:p>
    <w:p>
      <w:pPr>
        <w:spacing w:after="0" w:line="71" w:lineRule="exact"/>
        <w:rPr>
          <w:sz w:val="20"/>
          <w:szCs w:val="20"/>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new products and features that further our tokenization efforts, such as Robinhood Chain, a permissionless Layer 2 blockchain optimized for real-world assets, from public to private to global;</w:t>
      </w:r>
    </w:p>
    <w:p>
      <w:pPr>
        <w:spacing w:after="0" w:line="5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prioritize functionality that creates value for our customers across our platforms globally, and not just focusing on one individual market, such as multi-currency accounts, staking and stock tokens trading in the EU; and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introduce and expand market-specific functionality, such as recently launched stocks and shares ISAs in the U.K.</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consider factors such as population size and demographics, legal and regulatory environments, general investing attitudes and the competitive landscape in potential new markets prior to pursuing such expansion. This drove our decision to open an office in Singapore as our APAC headquarters. Our plans to pursue international expansion are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Competition</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77"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innovation, including features, quality, and functionality;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 and desktop platforms, and focus on accessibility, customer experience, and trust. We believe that our ability to innovate quickly further differentiates our platforms from our competition. We believe we compete favorably across all key competitive factors and that we have developed a business model that is difficult to replicate.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Competitive Advantages</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believe we have a number of competitive advantages that position us well to serve an increasing portion of the population and the broader global financial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Creative Product Design</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we seamlessly integrate information into our platform through Robinhood Learn and our newsfeed, which offers free news from trusted sources including Barron’s, Reuters, and Dow Jones. In addition, we continue to work to deliver an intuitive product experience including developing and implementing designs to celebrate investing milestones of our customers in a responsible way. While many of our products are designed mobile-first, allowing us to offer attractive investing, spending, and saving experiences as more people shift their daily financial services activities to the palm of their hands, we have also introduced Robinhood Legend, which we are in the process of scaling to all supported asset classes and capabilities.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Category-Defining Brand</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Robinhood today is a symbol of retail investing and finance in America, and we are committed to expanding our reach globally. By taking a fresh, people-centric approach and creating a delightful, engaging customer experience, we believe we have built a trusted, category-defining brand that has made investing socially relevant for the next generation.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We believe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Services at Internet Scale</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Vertically Integrated Platform</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design our own products and services and deliver them through app-based and desktop platforms supported by proprietary technology that has been cloud-based from the start. We are a licensed introducing broker-dealer, a licensed clearing broker-dealer, a licensed money-transmitter, and a registered futures commission merchant.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index options, futures, and event contracts, while also supporting our ability to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Efficiency</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operating efficiency and disciplined approach to managing fixed costs, along with our technology-first approach to product development and customer service, creates a cost advantage that allows us to competitively price our offerings while profitably serving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Seasonality</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can be subject to seasonal fluctuations due to such factors as retail interest in investing and cryptocurrency trading, overall number of market participants and trading volumes, varying numbers of trading days from quarter-to-quarter, declines in trading activity around holidays, and proxy and investor communications activity during proxy season. Seasonal trends may be superseded by market or macroeconomic events, which can have a significant impact on equity and cryptocurrency valuations and trading activity.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Human Capital</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To deliver on our ambitious product roadmap, we must foster a great culture, one centered on high performance, strong community, and investing in top talent.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Performance Culture</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design our talent programs to motivate, recognize, and reward high performance. Our lean organizational structure creates more opportunities for impact, clarity, and growth. We support job-specific capabilities and training to help develop behavioral and leadership capabilities for all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Talent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culture of innovation is central to how we attract and keep exceptional people. We’re focused on bringing in the top talent in our industry and doing so from a range of backgrounds and experiences to meet the current and future demands of our business. As of December 31, 2025, we had approximately 2,900 full-time 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Employee Engagement</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aims to build an inclusive workplace where everyone feels valued and empowered. We value the benefits of working in-person and create office environments that foster collaboration and connection. We also aim to support an inclusive community through nine ERGs: Asianhood, Black Excellence, Christianhood, Divergent, Latinhood, Parenthood, Rainbowhood, Veterans at Robinhood, and Women at Robinhood.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Incentives and Benefits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highly competitive compensation for employees and benefits for themselves and their families. All employees are eligible for variable incentive pay (bonus and/or equity) that is directly linked to individual and/or company performance. Our comprehensive benefits are designed to attract the best talent and to ensure Robinhood employees are supported. Some notable benefits that our employees value include employer-paid health benefits, fertility benefits, a flexible lifestyle wallet that can be used for wellness, education or other benefits, generous paid family leave, and retirement savings with employer match.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Intellectual Property</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success and ability to compete are significantly dependent on our core technology and intellectual property. We rely on trademarks, patents, copyrights, trade secrets, know-how and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registered domain names, intellectual property assignment agreements, confidentiality procedures, license agreements, and non-disclosure agreements to establish and protect our intellectual property and proprietary rights, although we do not consider any individual piece of our intellectual property to be material to our business, taken as a whole.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require employees, consultants, contractors and other third parties to enter into confidentiality, non-disclosure, and invention assignment agreements. We also enter into confidentiality and non-disclosure agreements with additional third parties as appropriate. These measures are designed to limit access to, and disclosure and use of, our confidential information, trade secrets, know-how, and proprietary technology. We do not believe that our proprietary technology is dependent on any single or group of patent(s), trademark(s), copyright(s), domain name(s), license(s), assignment agreement(s), or any other form of intellectual property.</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and the functionality and frequent enhancements to our solutions are larger contributors to our success in the marketplace. Any of our intellectual property rights might be successfully challenged, opposed, diluted, misappropriated, or circumvented by others or invalidated, narrowed in scope or held unenforceable through administrative process or litigation in the U.S. or in non-U.S. jurisdictions. Furthermore, legal standards relating to the validity, enforceability, and scope of protection of intellectual property rights are evolving and uncertain and any changes in, or unexpected interpretations of, intellectual property laws may compromise our ability to enforce our trade secrets and intellectual property rights. Our efforts to enforce our intellectual property rights might also be met with defenses, counterclaims, and counter-suits attacking the validity and enforceability of our intellectual property rights.</w:t>
      </w:r>
    </w:p>
    <w:p>
      <w:pPr>
        <w:spacing w:after="0" w:line="16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an ongoing trademark, service mark, and copyright registration program pursuant to which we register our brand names and solution names, taglines, designs, and logos in the United States and certain other jurisdictions to the extent we determine appropriate and cost-effective. We are the registered owners of U.S. and international trademarks, trademark applications, and registrations and domain names in the U.S. and foreign countries that include the primary brand “Robinhood,” including variations thereof, as well as brands, tag lines, and other branding elements for other Robinhood products and services, such as our Robinhood Snacks newsletter and media content. We also have common law rights in certain unregistered trademarks and copyrights that were established over years of use. Additionally, we have an ongoing patent registration program pursuant to which we register and acquire certain design and utility patents in the United States and certain other jurisdictions to the extent we determine appropriate and cost-effective. We are the authorized user of a variety of social media handles, pages, and profiles that reflect our primary brand. In addition, we have a suite of defensively registered domain names. We believe that the protection of our trademark rights is an important factor in product recognition, protecting our brand, combating fraud, and maintaining goodwill. We believe the duration of our patents, trademarks, copyrights, and licenses is adequate relative to the expected lives of our products.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w:t>
      </w:r>
    </w:p>
    <w:p>
      <w:pPr>
        <w:spacing w:after="0" w:line="14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Despite our efforts to obtain, maintain, protect, defend, and enforce our intellectual property rights, we cannot be certain that the steps we have taken will be sufficient or effective to prevent the unauthorized access, use, copying, or the reverse engineering of our technology and other proprietary information, including by third parties who might use our technology or other proprietary information to develop services that compete with ours, and our intellectual property rights might not be respected in the future or might be invalidated, circumvented, or challenged. Although we do not consider any individual piece of our intellectual property to be material to our business, taken as a whole, see “Risk Factors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Intellectual Property” for a more comprehensive description of risks related to our intellectual property and proprietary rights.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Regulation</w:t>
      </w:r>
    </w:p>
    <w:p>
      <w:pPr>
        <w:spacing w:after="0" w:line="1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growth or ability to continue to operate. For additional information relating to regulation and regulatory actions, see “Risk Factors—Risks Related to Regulation and Litigation,” “Risk Factors—Risks Related to Cybersecurity and Data Privacy,” and “Risk Factors—Risks Related to Cryptocurrency Products and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Regulation</w:t>
      </w:r>
    </w:p>
    <w:p>
      <w:pPr>
        <w:spacing w:after="0" w:line="1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broker-dealers, our subsidiaries RHS, RHF, and TradePMR are subject to extensive regulation by federal, state and SROs, and are subject to laws and regulations covering all aspects of the securities industry. Federal, state and SROs, including the SEC and FINRA, can, and in some cases have in the past, among other things, investigate, censure or fine us, issue cease-and-desist orders or otherwise restrict our operations, require changes to our business practices, products or services, limit our marketing or acquisition activities or suspend or expel a broker-dealer or any of its officers or employees. Similarly, state attorneys general and other state regulators, including state securities and financial services regulators, can bring and have in the past brought legal actions on behalf of the residents of their states to assure compliance with state laws. In addition, criminal authorities such as state attorneys general or the DOJ may institute civil or criminal proceedings against us for violating applicable laws, rules, or regulations.</w:t>
      </w:r>
    </w:p>
    <w:p>
      <w:pPr>
        <w:spacing w:after="0" w:line="14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SEC and FINRA have stringent rules and regulations with respect to the maintenance of specific levels of net capital by regulated entities. Generally, a broker-dealer’s capital is its net worth plus qualified subordinated debt less deductions for certain types of asset. The Net Capital Rule under the Exchange Act specifies that at least a minimum part of a broker-dealer’s assets be maintained in a relatively liquid form. Changes to or expansion of the Net Capital Rule, or an unusually large charge against our broker-dealer’s net capital, could limit our operations. See “—Risks Related to Our Business—We might need additional capital to provide liquidity and support business growth and objectives, and this capital might not be available to us on reasonable terms, if at all, might result in stockholder dilution, or might be delayed or prohibited by applicable regulations.” A large charge or operating loss against our net capital could adversely impact our ability to maintain or expand current business, which could have a material adverse impact on our business and financial condition. If one of our regulated entities fails to maintain its required net capital, it may be subject to suspension or revocation of its registration by regulatory authorities and suspension or expulsion by these regulators could lead to the entity’s liquidation.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money transmitters, our subsidiaries RHC and RHY are subject to regulation, primarily at the state level. We are also subject to regulation by the CFPB. We have obtained or are in the process of obtaining licenses to operate as a money transmitter (or as another type of regulated financial services institution, as applicable) in the United States and in the states and territories where this is required. As a licensed money transmitter, we are subject to obligations and restrictions with respect to the investment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BaaS Regulation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With the invite-only launch of our Robinhood Banking program, which utilizes BaaS in partnership with Coastal Bank, our subsidiary, RHY, is primarily responsible for the program’s risk management and compliance with applicable federal and state consumer banking laws and regulations. These include, among others, the Electronic Fund Transfer Act implemented by Regulation E, the Truth in Savings Act implemented by Regulation DD, the Expedited Funds Availability Act implemented by Regulation CC, the Bank Secrecy Act, and the USA PATRIOT Act. Federal bank regulators have increasingly focused on risks related to BaaS, including bank oversight, risk management, internal controls, information security, change management and information technology operational resilience. If RHY or Coastal Bank were to face regulatory actions that limit the growth of Robinhood Banking, or if we were forced to stop growing Robinhood Banking, or if Coastal Bank were to limit or cease their participation, this could negatively impact the operation of Robinhood Banking and our revenue. With respect to this portion of our business, we also could be subject to regulatory scrutiny, fines or other penalties, and business or reputational harm that could adversely affect our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Counter-Terrorist Financing</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subject to AML laws and counter-terrorist financing laws and regulations in the United States, the U.K., the EU and Singapore. Under the USA Patriot Act, broker-dealers and money transmitters are required to “know your customer” and to monitor their customers’ transactions for suspicious transactions. In the U.K., the Financial Services and Markets Act 2000 is the primary regulation for all financial services in the U.K. This law designates the Financial Conduct Authority as the main AML regulator and provides guidelines for its duties. In Singapore, the Securities and Futures Act 2001 regulates all financial institutions involved in the securities and derivatives industry, capital markets services, and related activities. The Financial Services and Markets Act 2022 is the omnibus Act for sector-wide regulation that centralizes provisions for AML/CFT, technology risk management, and the MAS’s harmonized enforcement powers across all financial institutions.</w:t>
      </w:r>
    </w:p>
    <w:p>
      <w:pPr>
        <w:spacing w:after="0" w:line="16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required by the USA Patriot Act and other rules, we have established comprehensive AML, customer identification and transaction surveillance designed to prevent our financial services from being used to facilitate money laundering, terrorist financing, and other illicit activity. Our program is also designed to prevent our products and services from being used to facilitate business in countries, or with persons or entities, included on designated government sanctions lists, including lists promulgated by OFAC, Specially Designated Nationals and Blocked Persons lists, and equivalent foreign lists. Additionally, we have designed and implemented restrictions to prevent certain types of high-risk activity, including account opening fraud, and systems to identify potentially manipulative patterns of trading or higher risk patterns of money movements, and report such activities and transactions, where appropriate. Our AML compliance program includes policies, procedures, reporting protocols, and internal controls, including the designation of AML compliance officers. This program is designed to address these legal and regulatory requirements, while managing risk associated with money laundering and terrorist financing. Anti-money laundering regulations are constantly evolving, thus we actively monitor our compliance with AML rules and regulations and industry standards, and continuously implement policies, procedures, and internal controls in light of current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noted above, in the U.S., states primarily regulate RHC as a money transmitter. RHC also is registered with the Financial Crimes Enforcement Network. The laws and regulations applicable to cryptocurrency are evolving and subject to interpretation and change. Therefore, our current and future cryptocurrency services may be or become subject to additional licensing and regulatory requirements by other state and federal authorities. Failure to comply with these requirements may result in, among other things, revocation of required licenses or registrations, loss of approved status, private litigation, administrative enforcement actions, sanctions, civil and criminal liability, and constraints on our ability to grow or to continue to operate.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also subject to a variety of federal, state, local, and non-U.S. laws and regulations regarding data privacy and security. In the U.S., federal law, such as the Gramm-Leach-Bliley Act of 1999 and its implementing regulations, restricts certain collection, processing, storage, use and disclosure of personal data, requires notice to individuals of privacy practices and provides individuals with some rights to prevent the use and disclosure of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also announced that it is reviewing the need for greater regulation for the collection, use, and other processing of information concerning consumer behavior on the internet, including regulation aimed at restricting some targeted advertising practices, and numerous states, including but not limited to California through the California Consumer Privacy Act, as modified by the California Privacy Rights Act, have enacted or are in the process of enacting state-level data privacy laws and regulations governing the collection, use, and other processing of state residents’ personal data. 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We are also subject to, or expect to be subject to, the General Data Protection Regulation, the Digital Operational Resilience Act, the ePrivacy Directive (including its national implementations), the Singapore Personal Data Protection Act, and other privacy, data security, and data protection laws and regulations in connection with our expansion into the U.K., the EU, Singapore, and other jurisdictions.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Regulation</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send texts, emails, and other communications in a variety of contexts, such as when providing digital transaction confirmations and marketing. Communications laws and regulations, including those promulgated by the Federal Communications Commission, apply to certain aspects of this activity in the United States and elsewhere.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Card Regulation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Robinhood Credit is a financial technology company that offers customers access to credit cards and rewards program. Robinhood Credit is not a bank, and its credit card is issued by Coastal Bank, member FDIC, pursuant to a license from Visa U.S.A. Inc. Because of its role in offering customers access to a credit card, Robinhood Credit is subject to the jurisdiction of the CFPB. The CFPB has broad authority over Robinhood Credit’s business, including authority to write regulations under federal consumer financial protection laws such as the TILA and the ECOA, and to enforce those laws against and examine large financial institutions, such as Coastal Bank, for compliance. The CFPB is authorized to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“unfair, deceptive or abusive acts or practices” through its regulatory, supervisory and enforcement authority. Robinhood Credit is subject to the regulatory and enforcement authority of the CFPB, as a facilitator, servicer or acquirer of consumer credit. As a vendor to Coastal Bank, Robinhood Credit is also subject to examination by federal banking regulators, such as the Federal Reserve Board, with respect to the marketing, customer screening and servicing activities undertaken by Robinhood Credit on Coastal Bank’s behalf. In addition, Robinhood Credit may be considered to qualify as a “debt collector” and federal, state and local statutes establish specific guidelines and procedures which debt collectors must follow when collecting consumer receivables. The FDCPA and comparable state and local laws establish specific guidelines and procedures which debt collectors must follow when communicating with consumers, including the time, place and manner of the communications. Robinhood Credit has policies and procedures in place to comply with the applicable provisions of the TILA, ECOA, FDCPA and other applicable federal law and comparable regulations in all of its activities. Failure to comply with these laws and regulatory requirements applicable to Robinhood Credit’s business may, among other things, subject Robinhood Credit to damages, revocation of required licenses, class action lawsuits, administrative enforcement actions, and civil and criminal liability, which may harm Robinhood Credit’s business and its ability to maintain its partnerships and product offerings.</w:t>
      </w:r>
    </w:p>
    <w:p>
      <w:pPr>
        <w:spacing w:after="0" w:line="14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Finally, Robinhood Credit’s activities are subject to certain state licensing requirements. Because of its partnership with Coastal Bank for the issuance of credit card accounts, Robinhood Credit believes in most states it operates it is exempt from or satisfies relevant licensing requirements with respect to the origination of credit card accounts that Robinhood Credit facilitates. However, Robinhood Credit may need one or more state licenses to broker, acquire, service and/or enforce loans. As needed, Robinhood Credit has and will continue to endeavor to apply and obtain the appropriate licenses. Although Robinhood Credit will periodically evaluate the need for licensing in various jurisdictions, there is a risk that, at any given time, Robinhood Credit will not have the necessary licenses to operate in all relevant jurisdictions or that Robinhood Credit will not be in full compliance with all applicable requirements. If Robinhood Credit is found to not have complied with applicable laws, regulations or requirements in any jurisdiction, Robinhood Credit could lose one or more of its licenses, become subject to a consent order or administrative enforcement action, need to modify or suspend certain of its business practices (including limiting the maximum Annual Percentage Rates offered to credit card applicants), or be required to obtain a license in such jurisdiction, any of which may harm Robinhood Credit’s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Activities in the U.K.</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RHUK is authorized and regulated by the FCA in the U.K. to carry on certain regulated activities related to the provision of investment services. The FCA regulates the financial services industry in the U.K. Its role is to ensure the financial markets work for individuals, businesses, and the overall economy by protecting consumers, maintaining market integrity and promoting effective competition. If RHUK and/or its personnel fail to meet FCA standards, including, but not limited to, RHUK’s compliance with its obligations under Consumer Duty rules and guidelines, the FCA can deploy a wide range of measures to enforce compliance, including among other things, withdrawing a firm’s authorization, prohibiting and suspending firms and individuals from undertaking regulated activities, issuing fines, and bringing criminal prosecutions.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Singapore</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RHSG is currently applying for its Capital Markets Services license with the MAS, to conduct certain regulated activities such as dealing in capital markets products, product financing and the provision of custodial services for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 in the European Union</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RHEU offers cryptocurrency services to eligible customers in select jurisdictions in the EU and is regulated by the Bank of Lithuania as a financial brokerage firm and a crypto-asset service provider. RHEU is supervised by the Lithuanian Financial Crime Investigation Service under the Ministry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Interior of the Republic of Lithuania. RHEU holds a MiCA license issued by the Bank of Lithuania. MiCA introduces a comprehensive authorization and compliance regime for crypto asset service providers and a disclosure regime for the issuers of certain crypto assets, which is expected to impact our operations in the EU. RHEU also intends to expand its offerings. Failure to comply with applicable Lithuanian rules and regulations, and similar laws, rules and regulations in other EU countries could result in fines or other legal consequences for RHEU. RHEU also provides investment and ancillary services pursuant to the Republic of Lithuania’s law on Markets in Financial Instruments.</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RHEU and Bitstamp Financial Services Ltd. are licensed under MiFID to provide brokerage, multilateral trading facilities and/or investment advisory services. Compliance with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and Commodity Industry Regulations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principal operations of our subsidiary RHD are to facilitate trading of futures contracts, event contracts, and options on futures contracts for our customers. RHD is registered with the CFTC as an FCM and is a member of the NFA. RHD is also a registered swap firm with the CFTC for trading cleared swaps. RHD is required to comply with a wide range of requirements imposed by the CFTC and the NFA. The commodity futures, commodity options, and cleared swaps industries in the U.S. are subject to regulation under the CEA. The CFTC is the U.S. federal agency charged with the administration of the CEA. RHD is subject to the margin rules issued by the CFTC. RHD is also subject to NFA regulation, including requirements pertaining to cybersecurity and supervision.</w:t>
      </w:r>
    </w:p>
    <w:p>
      <w:pPr>
        <w:spacing w:after="0" w:line="1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CFTC has stringent rules and regulations with respect to the maintenance of specific levels of net capital required by regulated entities. RHD is subject to the CFTC’s minimum financial requirements under the CEA. Generally, an FCM’s capital is its net worth plus qualified subordinated debt less deductions for certain types of assets. See “—Risks Related to Our Brokerage Products and Services— Our exposure to credit risk with customers, Liquidity Providers, and other counterparties could result in losses.” A large charge or operating loss against RHD’s net capital could adversely impact its ability to maintain or expand current business, which could have a material adverse impact on its business and financial condition. If RHD fails to maintain its required net capital, it may be subject to suspension or revocation of its registration by regulatory authorities and suspension or expulsion by these regulators could lead to the entity’s liquidation.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Anti-Bribery and Anti-Corruption Regulations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anti-bribery and anti-corruption regulations imposed by the FCPA in the U.S. and the Bribery Act in the U.K., which generally prohibit companies and those acting on their behalf from making improper payments to foreign government officials for the purpose of obtaining or retaining business. The Bribery Act also prohibits improper payments between private entities and persons. Additionally, the FCPA requires issuers to maintain accurate books and records and have a system of internal controls sufficient to, among other things, provide reasonable assurances that transactions are executed and assets are accessed and accounted for in accordance with management's authorization.</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sanctions for FCPA and Bribery Act violations can be significant. The SEC may bring civil enforcement actions against issuers and their officers, directors, employees, stockholders, and agents for violations of the anti-bribery or accounting provisions of the FCPA. Companies and individuals that have committed violations of the FCPA may have to disgorge their ill-gotten gains plus pay prejudgment interest and substantial civil penalties. Companies may also be subject to oversight by an independent consultant. In the U.K., the Serious Fraud Office has also published various policies and internal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documents for investigators and prosecutors considering bribery offenses. The consequences for individuals and organizations found guilty of an offense under the Bribery Act can be serious. The maximum sentence is 10 years for individuals who commit such offenses. Organizations are liable for an unlimited fine; removal of tainted proceeds; debarment from public sector contracts/tenders, as well as the disruption and cost of a law enforcement investigation; and directors may be disqualified from acting as a director for up to fifteen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Regulations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investment advisory subsidiaries RAM and RHV are SEC-registered investment advisers, and accordingly subject to regulation by the SEC. Among other things, registered investment advisers must comply with certain disclosure obligations, advertising and fee restrictions and requirements relating to client suitability, conflicts, recordkeeping, fiduciary obligations, and custody of funds and securities. Registered investment advisers are also subject to anti-fraud provisions under both federal and state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applicable federal, state, local and foreign laws and regulations relating to climate risk and environmental impact, including those required by the U.S. Environmental Protection Agency. In addition, we are, or may become, subject to various climate disclosure regimes regulating the disclosure of GHG emissions and related information, such as the EU’s Corporate Sustainability Reporting Directive, California’s Climate Corporate Data Accountability Act and Climate Related Financial Risk Act, and the SEC’s final rules under SEC Release No. 34-99678 and No. 33-11275 entitled “The Enhancement and Standardization of Climate-Related Disclosures for Investors.” The interpretation and enforcement of such climate disclosure regimes remains uncertain, and compliance may require the investment of significant resources, increase our costs, disrupt our business operations and pose reputational and other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 Regulation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we continue to expand into a global financial ecosystem, we are subject to laws, regulations, and industry standards that develop in response to the use of AI. The EU’s AI Act governs the development, marketing, and use of AI in the EU and could impose significant additional costs on us to comply or we may face significant fines for failing to comply. On a state level, California and Colorado enacted a range of laws regulating the use and development of AI, which generally relate to transparency, privacy and fairness, among other concerns, which may impact our development and/or deployment of AI and machine learning. The legal and regulatory landscape surrounding AI technologies is rapidly evolving and uncertain, including with respect to intellectual property ownership and licensing rights, cybersecurity, and data protection laws.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Available Information</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our investor relations website, investors.robinhood.com, we post the following filings after they are electronically filed with or furnished to the SEC: Annual Reports on Form 10-K, Quarterly Reports on Form 10-Q, Current Reports on Form 8-K, Beneficial Ownership Reports on Forms 3, 4, and 5, and amendments to those reports filed or furnished pursuant to Sections 13(a), 15(d), or 16 of the Exchange Act. All such filings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use the “Overview” tab of our Investor Relations website (accessible at investors.robinhood.com/overview) and its Newsroom (accessible at newsroom.aboutrobinhood.com), as means of disclosing information to the public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 non -exclusionary manner for purposes of the SEC’s Regulation Fair Disclosure.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Annual Report or in any other report or document we file with the SEC, and any references to our websites are intended to be inactive textual references only.</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Annual Report, including our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Annual Report, including statements in the following risk factors, constitute forward-looking statements. Please refer to “Cautionary Note Regarding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23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90"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might not grow in line with historical rates.</w:t>
      </w:r>
    </w:p>
    <w:p>
      <w:pPr>
        <w:spacing w:after="0" w:line="22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202"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results of operations and other operating metrics fluctuate from quarter to quarter, which makes these metrics difficult to predict.</w:t>
      </w:r>
    </w:p>
    <w:p>
      <w:pPr>
        <w:spacing w:after="0" w:line="229"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spacing w:after="0" w:line="194"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business has been and might continue to be harmed by changes in business, economic, or political conditions that impact global financial markets, or by a systemic market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future success depends on the continuing efforts of our key employees and our ability to attract and retain senior management and other highly skilled personnel.</w:t>
      </w:r>
    </w:p>
    <w:p>
      <w:pPr>
        <w:spacing w:after="0" w:line="203"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1"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are involved in numerous litigation matters that are expensive and time consuming, and, if resolved adversely, could expose us to significant liability and reputational harm.</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fail to retain existing customers or attract new customers, or if our customers decrease their use of our products and services, our revenue will decline.</w:t>
      </w:r>
    </w:p>
    <w:p>
      <w:pPr>
        <w:spacing w:after="0" w:line="190" w:lineRule="exact"/>
        <w:rPr>
          <w:rFonts w:ascii="Arial" w:cs="Arial" w:eastAsia="Arial" w:hAnsi="Arial"/>
          <w:sz w:val="18"/>
          <w:szCs w:val="18"/>
          <w:color w:val="auto"/>
        </w:rPr>
      </w:pPr>
    </w:p>
    <w:p>
      <w:pPr>
        <w:ind w:left="640" w:hanging="316"/>
        <w:spacing w:after="0" w:line="24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fail to provide and monetize new and innovative products and services that are adopted by customers, our business may become less competitive and our revenue might decline.</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rely on third parties to perform some key functions, and their failure to perform those functions could adversely affect our business, financial condition and results of operations.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continue to incorporate AI technologies into some of our products and processes. These technologies may present business, compliance, and reputational risks.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do not maintain the net capital levels required by regulators, our broker-dealer business may be restricted, and we may be fined or subject to other disciplinary or corrective actions.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90"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If the SEC, a state regulator or a private litigant alleges that staking services we offer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207"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20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introduction of Robinhood Stock Tokens in the EEA may expose us to significant regulatory, litigation, contractual, operational, and reputational risks.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3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195"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Our revenue growth rate has declined in the past and if our revenue growth rate were to decline in the future, investors’ perceptions of our business and the trading price of our Class A common stock could be adversely affected.</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7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undertaken multiple restructurings, and in the past, have implemented significant workforce reductions and have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208"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Such efforts to control costs have in the past resulted, and might in the future result in reduced productivity and deteriorating workforce morale, which can cause our business initiatives to suffer. However, as market conditions improve, we also face a risk that renewed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or face challenges with respect to new offerings or services we have not previously provided or have previously provided in a different capacity or smaller scale. For instance, as a result of our acquisition of Bitstamp in June 2025, we now provide additional cryptocurrency products and services to institutional customers both in parts of the U.S. and internationally, including products and services such as on-exchange lending, off-exchange settlement,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post-trade settlement, and perpetual futures. These offerings to certain institutional clients expose us to risks we have not historically faced at scale, including credit risk, regulations and laws. We might fail to adequately address these and other challenges we may face, and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 might be adversely affected if we do not manage these risks successfully.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other operating metrics fluctuate from quarter to quarter, which makes these metrics difficult to predict.</w:t>
      </w:r>
    </w:p>
    <w:p>
      <w:pPr>
        <w:spacing w:after="0" w:line="241"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spacing w:after="0" w:line="20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ability to retain and engage existing customers and attract new customers;</w:t>
      </w:r>
    </w:p>
    <w:p>
      <w:pPr>
        <w:spacing w:after="0" w:line="216"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timing and success of new product and service introductions by us or our competitors, or other changes in the competitive landscape of our market;</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volatility in the market, whether generally or as a result of certain or anticipated events (such as developments with respect to tariffs and trade policy shifts), or the occurrence of so-called “meme” trading in equities, options, cryptocurrencies, or futures (which includes options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futures and swaps, including cleared swaps and event contracts (“Futures”)) which can cause our trading volumes to fluctuate;</w:t>
      </w:r>
    </w:p>
    <w:p>
      <w:pPr>
        <w:spacing w:after="0" w:line="23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fluctuations in interest rates;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timing and amount of non-cash expenses, such as SBC and asset impairments;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success of our expansion into new markets or acquisitions;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trading volume and the prevailing trading prices for cryptocurrencies, which can be highly volatile;</w:t>
      </w:r>
    </w:p>
    <w:p>
      <w:pPr>
        <w:spacing w:after="0" w:line="216"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ceasing support for certain cryptocurrencies on our RHC platform that the SEC or a court has asserted or determined are securities or proactively removing certain cryptocurrencies because they share similarities with such cryptocurrencies;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the public’s perception, adoption, and use of cryptocurrencies and other asset classes;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inability of customers to place trades, due to system disruptions, outages, or trading restrictions;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events that damage customer confidence in Robinhood, such as breaches of security or privacy;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impacts of public health threats (including pandemics such as COVID-19), unemployment, and inflation;</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domestic or global business or macroeconomic conditions, including as a result of tariffs and trade policy shifts, geopolitical conflicts, banking instability, or responses to these events; and</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most full year periods since our inception, we have incurred operating losses and might not be profitable in the future.</w:t>
      </w:r>
    </w:p>
    <w:p>
      <w:pPr>
        <w:spacing w:after="0" w:line="21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 large portion of our revenue is transaction-based, in that we receive consideration in exchange for routing our users’ equity, option, and cryptocurrency trade orders to market makers, wholesalers and other liquidity providers (together, the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w:t>
      </w:r>
    </w:p>
    <w:p>
      <w:pPr>
        <w:jc w:val="both"/>
        <w:spacing w:after="0" w:line="222" w:lineRule="auto"/>
        <w:rPr>
          <w:sz w:val="20"/>
          <w:szCs w:val="20"/>
          <w:color w:val="auto"/>
        </w:rPr>
      </w:pPr>
      <w:r>
        <w:rPr>
          <w:rFonts w:ascii="Arial" w:cs="Arial" w:eastAsia="Arial" w:hAnsi="Arial"/>
          <w:sz w:val="18"/>
          <w:szCs w:val="18"/>
          <w:color w:val="auto"/>
        </w:rPr>
        <w:t>decrease in our PFOF earned from Liquidity Providers. For example, the SEC adopted final rules in 2024 (the “September 2024 Final Rules”) to, among other things, adopt an additional minimum pricing increment, or “tick size,” for the quoting of certain NMS stocks under Rule 612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Regulation NMS, reduce the access fee caps for protected quotations under Rule 610 of Regulation NMS and enhance the transparency of better priced orders. On September 30, 2025 and October 31, 2025, the SEC granted temporary exemptive relief from certain compliance dates adopted under the September 2024 Final Rules, including those relating to amended Rule 605 reporting, rules related to the requirement that exchange fees be determinable at the time of execution and the rules related to minimum pricing increments and access fee caps, which extended the effective dates to February, August, and November of 2026 respectively. The quote transparency rules will make the information about smaller-sized orders publicly available and result in the contraction of spreads across several securities, which we expect could lead to a decrease in the PFOF earned from such orders once the securities information processors (“SIPs”) begin dissemination of information incorporating the new round lot and odd-lot definitions (starting on May 1, 2026), followed by an August 1, 2026 compliance date for the Rule 605 execution quality report amendments. In addition, the regulatory and legislative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Business Relationships with Liquidity Providers</w:t>
      </w:r>
    </w:p>
    <w:p>
      <w:pPr>
        <w:spacing w:after="0" w:line="23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to continue to receive orders from us or to pay us for those orders (including, for example, as a result of unusually high volatility), we might have little to no recourse and, if there are no other Liquidity Providers that are willing to receive such orders from us or to pay us for such orders, or if we are unable to find replacement Liquidity Providers in a timely manner, our transaction-based revenue would be negatively impacted. With respect to cryptocurrencies, for instance, fewer Liquidity Providers are currently able to execute cryptocurrency trades. For instance, in May 2023, two prominent Liquidity Providers announced their respective decisions to limit their offerings in cryptocurrency trading within the U.S. Although we have established relationships with third-party cryptocurrency exchanges that may provide additional access to Liquidity Providers that are able to execute cryptocurrency trades, without additional Liquidity Providers supporting cryptocurrencies entering the industry in the U.S., there is a risk that we may be unable to find suitable Liquidity Providers to support cryptocurrencies. Additionally, this risk is heightened for brokerage orders executed outside of regular market hours through Robinhood 24 Hour</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Market, as currently brokerage trades executed overnight primarily are routed through one Liquidity Provider - Virtu. If Virtu becomes unwilling or unable to do business with us in the future, we may be unable to find additional Liquidity Providers to support Robinhood 24 Hour Market,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which could negatively impact our transaction-based revenue. Furthermore, if any of our Liquidity Providers decide to alter our given fee arrangement, our transaction-based revenue could significantly decrease.</w:t>
      </w:r>
    </w:p>
    <w:p>
      <w:pPr>
        <w:spacing w:after="0" w:line="20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disruptions in the services provided by Liquidity Providers, whether, for example, due to technical malfunctions, operational mishaps, financial instability of the Liquidity Providers, or external factors such as regulatory changes or market volatility, have in the past, and may in the future impair our ability to execute our client’s orders. Should a Liquidity Provider experience downtime or diminished performance, particularly during peak trading hours, our ability to execute customer orders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compromised and could have an adverse impact on our business, financial condition, and results of operations.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Regulation of PFOF</w:t>
      </w:r>
    </w:p>
    <w:p>
      <w:pPr>
        <w:spacing w:after="0" w:line="2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recent years, PFOF practices have drawn heightened scrutiny from the U.S. Congress, the SEC, state regulators, and other regulatory and legislative authorities. For example, in December 2020, we settled an SEC investigation into our best execution and PFOF practices and are defending a consolidated putative class action in federal district court relating to the same factual allegations. Additionally, since July 2023, we have been cooperating with an investigation being conducted by the New York Attorney General concerning brokerage execution quality. We</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also face the risk that the SEC, other regulatory authorities, or legislative bodies might adopt additional regulation or legislation relating to, or which may otherwise impact, PFOF practices as a result of such heightened scrutiny or otherwise. For instance, in March 2024, the SEC</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adopted amendments to enhance order execution disclosures under Rule 605 of Regulation NMS (the “Order Execution Disclosure Rules”), which will apply for the first time to RHF and RHS beginning in August 2026.</w:t>
      </w:r>
    </w:p>
    <w:p>
      <w:pPr>
        <w:spacing w:after="0" w:line="20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Beginning in August 2026,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spacing w:after="0" w:line="209"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Beginning in May 2026, as a result of the amended round lot and odd-lot definitions, the SIPs will begin making information about smaller-sized orders publicly available, which will result in the contraction of spreads across many securities, and we expect may lead to a decrease in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PFOF earned from such orders. Any new or heightened PFOF regulation, including the September 2024 Final Rules will result in increased compliance costs and otherwise could materially decrease our transaction-based revenue, might make it more difficult for us to expand our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platforms in certain jurisdictions, and could require us to make significant changes to our revenue model, which changes might not be successful. Because some of our competitors either do not engage in PFOF or derive a lower percentage of their revenues from PFOF than we do, any legal or regulatory change that impacts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Negative Publicity Associated with PFOF, Transaction Rebates or our Liquidity Providers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Additionally, any negative publicity surrounding PFOF or Transaction Rebate practices generally, or our implementation of these practices, could harm our brand and reputation. For example, as a result of the Early 2021 Trading Restrictions (as defined in Note 15 - Commitments &amp; Contingencies to our consolidated financial statements in this Annual Report),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information they obtain while executing orders (e.g., through the prohibition on “front running”). Market makers also have a duty to seek “best execution” of customers’ equity and option orders we send to them. If the market makers we use to execute our customers’ equity and option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trades were to violate such rules and regulations and use this data for their own benefit in violation of applicable rules and regulations, it could result in negative publicity for us by association. Developments in any proposals related to the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of PFOF or market structure design have generated and might continue to generate negative publicity associated with PFOF.</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Additionally, if our customers or potential customers believe that they might get better execution quality (including better price improvement) directly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differently than do we. Any such loss of customer engagement as a result of any negative publicity associated with PFOF or Transaction Rebate practices could adversely affect our business, financial condition, and results of operations.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RHC has started to allow customers to choose a fee-based model in lieu of a liquidity provider rebate-based model (under which RHC receives Transaction Rebates from Liquidity Providers) for cryptocurrency orders routed to cryptocurrency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Transaction Rebates with customer fees for cryptocurrency orders routed to cryptocurrency exchanges for execution. Any negative publicity associated with adopting this model may have an adverse impact on our business, financial condition and results of operations.</w:t>
      </w:r>
    </w:p>
    <w:p>
      <w:pPr>
        <w:spacing w:after="0" w:line="20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7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customer balances we hold on our balance sheets as customer accounts. Interest rates are the key driver of our net interest income and are subject to many factors beyond our control. Reductions in interest rates have negatively impacted, and a return to a low interest rate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21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delinquencies, charge-offs, and allowances for loan and interest receivables, which could have an adverse effect on our net income. Fluctuations in interest rates could adversely impact our customers’ general spending levels and ability and willingness to invest and spend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through our platforms.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may face additional investigations and/or a risk of penalties in the future related to our best execution practices.</w:t>
      </w:r>
    </w:p>
    <w:p>
      <w:pPr>
        <w:spacing w:after="0" w:line="1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Liquidity Providers, can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result in harm to customer execution quality. There is a risk that these bodies might adopt new laws or regulations relating to PFOF practices and best execution requirements as a result of such heightened scrutiny or otherwise. For instance, the SEC previously proposed rules relating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best execution requirements in December 2022 but formally withdrew them in June 2025. Any such new laws or regulations could have a material adverse impact on our business and one of our primary sources of revenue.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Maintaining adequate liquidity is crucial to our securities brokerage, cryptocurrency and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w:t>
      </w:r>
    </w:p>
    <w:p>
      <w:pPr>
        <w:jc w:val="both"/>
        <w:spacing w:after="0" w:line="222" w:lineRule="auto"/>
        <w:rPr>
          <w:sz w:val="20"/>
          <w:szCs w:val="20"/>
          <w:color w:val="auto"/>
        </w:rPr>
      </w:pPr>
      <w:r>
        <w:rPr>
          <w:rFonts w:ascii="Arial" w:cs="Arial" w:eastAsia="Arial" w:hAnsi="Arial"/>
          <w:sz w:val="18"/>
          <w:szCs w:val="18"/>
          <w:color w:val="auto"/>
        </w:rPr>
        <w:t>with regard to capital maintenance requirements. For example, in December 2024, the SEC adopted amendments to the broker-dealer customer protection rule (SEC Rule 15c3-3) to require certain broker-dealers to compute their customer and broker-dealer reserve deposit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requirements, and to make any required deposits, daily rather than weekly. These amendments, which require broker-dealer compliance by June 2026, will increase the operational complexity and burden related to such calculations and funding. Additionally, there is no definitive guidance on whether or how these rules may apply to most cryptocurrencies, and we might be adversely affected in the future if the SEC determines that they do.</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RHD.</w:t>
      </w:r>
    </w:p>
    <w:p>
      <w:pPr>
        <w:spacing w:after="0" w:line="20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Further, RHEU and Bitstamp Europe S.A., are licensed crypto asset service providers under the EU’s MiCA, the provisions of which went into effect as of December 30, 2024. Among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spacing w:after="0" w:line="202"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For example, in May 2025, the UK’s FCA published three papers which announced new proposals for certain aspects of the prudential requirements for crypto firms. These proposals are largely modelled on the requirements for investment firms and, if adopted, would, among other requirements, require authorized crypto 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spacing w:after="0" w:line="215"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08"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7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7"/>
          <w:szCs w:val="17"/>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have in the past and are likely in the future to receive extensive media attention. Furthermore, any negative experiences our customers have in connection with their use of our products and services, including as a result of any such performance problems, have in the past, and may in the future diminish customer confidence in us and our products and services, which have in the past, and may in the future result in unfavorable media coverage or publicity.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30" w:lineRule="exact"/>
        <w:rPr>
          <w:sz w:val="20"/>
          <w:szCs w:val="20"/>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cybersecurity attacks, privacy or data security breaches, or other security incidents, payment disruptions or other incidents that impact the reliability of our platforms;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202"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future restructurings or any similar such reductions or activities in the future;</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repeat imposition of temporary trading restrictions (similar to our Early 2021 Trading Restrictions), or any outright failure to meet our deposit requirements;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litigation, regulatory actions, settlements, or investigations involving our platforms or our business;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regulators requesting or requiring us to cease offering specific products or services;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failures to comply with legal, tax and regulatory requirements;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perceived or actual weakness in our financial strength or liquidity;</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regulatory action or settlement that results in changes to, or prohibits us from offering, certain features, products or services;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new policies, features, products, or services, or changes to our policies, features, products, or services, that customers or others perceive as overly restrictive, unclear, inconsistent with our values or mission, or not clearly articulated;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operate our business in a way that is consistent with our values and mission;</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inadequate or unsatisfactory customer support experiences;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negative responses by customers, regulators, or other third parties to our business model or to particular features, products or services;</w:t>
      </w:r>
    </w:p>
    <w:p>
      <w:pPr>
        <w:spacing w:after="0" w:line="241"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adapt to new or changing customer preferences;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decision to offer products viewed by some as controversial;</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inability to successfully expand into new markets or make successful acquisitions of, or investments in, other companies, products or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 prolonged weakness in popular equities or cryptocurrencies specifically or in U.S. or international equity and cryptocurrency markets generally, or a sustained downturn in the U.S. or international economies;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negative claims or publicity involving our culture or businesses, regardless of whether such claims are accurate; and</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any of the foregoing with respect to our competitors, to the extent the resulting negative perception affects the public’s perception of us or our industry as a whole.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and other events could negatively impact the willingness of our existing customers, and potential new customers, to do business with</w:t>
      </w:r>
    </w:p>
    <w:p>
      <w:pPr>
        <w:spacing w:after="0" w:line="1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us, which could adversely affect our trading volumes and number of Funded Customers, as well as our ability to recruit and retain personnel, any of which could have an adverse effect on our business, financial condition, and results of operations, as well as the trading price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7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the markets in which such transactions occur, and changes in how such transactions are processed. These elements can arise suddenly, and the full impact of such conditions could have an adverse effect on our business results or remain uncertain indefinitely. Because a large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conditions might cause individuals to be less proactive in seeking ways to improve the returns on their trading or investment decisions and, thus, decrease the demand for our products and services.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20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7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This competition is likely to increase further due to ongoing changes in U.S. immigration policies and enforcement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practices, particularly given the foreign national employee population from which we and other companies hire for these positions, and is likely to present increased challenges to attracting, integrating or retaining qualified personnel. Given our heavy emphasis on SBC, the performance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past restructurings, we experienced higher rates of voluntary employee attrition and declines in reported employee job satisfaction. We might continue to experience difficulty in hiring and retaining highly skilled employees with appropriate qualifications.</w:t>
      </w:r>
    </w:p>
    <w:p>
      <w:pPr>
        <w:spacing w:after="0" w:line="20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w:t>
      </w:r>
    </w:p>
    <w:p>
      <w:pPr>
        <w:spacing w:after="0" w:line="19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Acquisitions of, or investments in, other companies, products or technologies have in the past and could in the future require significant management attention, disrupt our business, dilute stockholder value,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spacing w:after="0" w:line="19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and Bitstamp,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spacing w:after="0" w:line="20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substantial liabilities, encounter difficulties integrating diverse business cultures, and become subject to adverse tax consequences, substantial depreciation, or deferred compensation charges.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On November 19, 2025, Robinhood invested in Rothera, a joint venture established to operate an independent and institutional-grade futures and derivatives exchange and clearinghouse. On January 20, 2026, Rothera acquired 90% of the issued and outstanding equity of Rothera E&amp;C, a CFTC-licensed DCM, DCO, and SEF to accelerate delivery of futures and derivative product offerings, including prediction markets.</w:t>
      </w:r>
    </w:p>
    <w:p>
      <w:pPr>
        <w:spacing w:after="0" w:line="217"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Rothera is an independent entity with its own management team and employees responsible for the day-to-day operations of the joint venture. While Robinhood is entitled to designate a majority of the members of the board of directors of Rothera and one representative to serve on the board of directors of Rothera E&amp;C, and expects to exercise governance control at Rothera’s board level and as otherwise set forth in Rothera’s governance documents, we will not have decision-making authority over all operational, strategic, or commercial decisions made by Rothera or any of its subsidiaries, and certain decisions may be subject to applicable regulatory requirements or require the consent of SIG and other holders of the equity of Rothera and its subsidiaries, any of whom may have economic or other business interests that are inconsistent with ours.</w:t>
      </w:r>
    </w:p>
    <w:p>
      <w:pPr>
        <w:spacing w:after="0" w:line="20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we do not own a majority of Rothera’s equity interests and Rothera’s day-to-day operations are conducted by its management team, we designate the majority of the members of its board of directors which exercises governance control over Rothera, and thus consolidate the financial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Rothera and its subsidiaries into our consolidated financial statements. As a result, any failure by Rothera or its subsidiaries to operate effectively, comply with applicable laws or regulations, maintain adequate internal controls, manage liquidity or capital requirements, or successfully execute their business strategy, could adversely affect our business, financial condition, results of operations, and reputation.</w:t>
      </w:r>
    </w:p>
    <w:p>
      <w:pPr>
        <w:spacing w:after="0" w:line="18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We currently only offer select services to the public outside the U.S. in certain jurisdictions, including brokerage and futures services in the U.K. through RHUK, crypto and brokerage services in the EU, through RHEU,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internationally in the U.K., EU, Singapore, and the British Virgin Islands, and also offers services in other countries globally.</w:t>
      </w:r>
    </w:p>
    <w:p>
      <w:pPr>
        <w:spacing w:after="0" w:line="19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intend to continue expanding our operations outside of the U.S. International expansion requires significant resources and management attention and subjects us to additional regulatory, economic, operational, and political risks on top of those we already face in the U.S. There are significant risks and costs inherent in establishing and doing business in international markets, including:</w:t>
      </w:r>
    </w:p>
    <w:p>
      <w:pPr>
        <w:spacing w:after="0" w:line="202" w:lineRule="exact"/>
        <w:rPr>
          <w:sz w:val="20"/>
          <w:szCs w:val="20"/>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90"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understand, interpret and comply with local laws, regulations and customs in multiple jurisdictions, including laws and regulations governing cryptocurrency-related, credit, payments services, derivatives,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spacing w:after="0" w:line="20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additional complexities of any merger or acquisition activity internationally, which could subject us to additional regulatory scrutiny, approvals, obligations, costs and penalties or risk;</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adapt, localize, and position our products for specific countries (also known as “product-market fit”);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exposure to foreign fraud vectors;</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 or locations;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anti-bribery and anti-corruption laws, such as the FCPA and equivalent AML and sanctions rules and requirements in local markets, by us, our employees, and our business partners;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recruit and manage staff in new countries and regions to support international operations, and comply with employment law, tax, payroll, and benefits requirements in multiple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or to meet regulatory obligations;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spacing w:after="0" w:line="18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requirements of or changes in the income and other tax laws of the U.S. or the international jurisdictions in which we operate;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or social change or unrest or economic instability in a specific country or region in which we operate.</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3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96"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3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challenges due to the need to operate with a dispersed and remote workforce, as well as increased costs related to business continuity initiatives.</w:t>
      </w:r>
    </w:p>
    <w:p>
      <w:pPr>
        <w:spacing w:after="0" w:line="19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including our ability to retain and recruit personnel, innovate and operate effectively, maintain product development velocity, and execute on our business strategy.</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are subject to a wide variety of local, state, federal, and international laws, regulations, licensing schemes, and industry standards in the U.S., the U.K., the EU, the United Arab Emirates, Singapore, the British Virgin Islands,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payments services and products (such as payment processing, settlement services, and credit cards), cryptocurrency (including crypto-asset perpetuals), derivatives, trading in shares and fractional shares, fraud detection, consumer protection, AML, escheatment, sanctions regimes and export controls, data privacy, data</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protection, data security, as well as climate risk and environmental impact, including with respect to disclosure of GHG emissions and other metrics related to climate change.</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operate in highly regulated industries and, despite our efforts to comply with applicable legal requirements, like all companies in our</w:t>
      </w:r>
    </w:p>
    <w:p>
      <w:pPr>
        <w:spacing w:after="0" w:line="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industries, we must adapt to frequent changes in laws and regulations, and face complexity in interpreting and applying evolving laws and regulations to our business, heightened scrutiny of the conduct of financial services firms and increasing penalties for violations of applicable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Furthermore, the U.S. Congress continues to consider potential legislation relating to digital assets and cryptocurrencies. For 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where the Senate Committee on Banking, Housing, and Urban Affairs released preliminary discussion drafts on July 22, 2025, September 5, 2025, and January 12, 2026, of its proposed “Digital Asset Market Clarity Act” that builds upon the CLARITY Act. On January 29, 2026, the Senate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Committee on Agriculture, Nutrition, and Forestry voted in favor of advancing its proposed “Digital Commodity Intermediaries Act,” which likewise builds upon the CLARITY Act. Additionally, on July 18, 2025, the President signed into law the GENIUS Act, which establishes a federal regulatory framework for “payment stablecoins” and their issuers, as well as contemplates scope for state-only regulation. If the CLARITY Act or any of the related bills discussed above are enacted, or as the GENIUS Act is implemented, we could be required to make significant operational changes and incur increased compliance costs. Our ability to offer certain products may also be impacted by actions taken by government regulators. Regulators have requested and, in the future, could request or require us to cease offering specific products or services.</w:t>
      </w:r>
    </w:p>
    <w:p>
      <w:pPr>
        <w:jc w:val="both"/>
        <w:spacing w:after="0" w:line="235" w:lineRule="auto"/>
        <w:rPr>
          <w:sz w:val="20"/>
          <w:szCs w:val="20"/>
          <w:color w:val="auto"/>
        </w:rPr>
      </w:pPr>
      <w:r>
        <w:rPr>
          <w:rFonts w:ascii="Arial" w:cs="Arial" w:eastAsia="Arial" w:hAnsi="Arial"/>
          <w:sz w:val="17"/>
          <w:szCs w:val="17"/>
          <w:color w:val="auto"/>
        </w:rPr>
        <w:t>Such regulatory actions have led, and in the future could lead, to the suspension or termination of product offerings, which have resulted, and may in the future result in increased compliance costs, financial losses and negative publicity. For example, after the U.S. District Court for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District of Nevada denied our motion for a preliminary injunction on November 25, 2025, we agreed to cease offering new sports-related event contracts in Nevada as of December 1, 2025, and to take action to explore unwinding longer-duration open sports-related event contracts in Nevada. For additional information, refer to Note 15 - Commitments &amp; Contingencies to our consolidated financial statements in this Annual Report.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Broker-Dealer, FCM, Investment Adviser, and Insurance Regulations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As broker-dealers, our U.S. based subsidiaries RHF, RHS, and TradePMR are subject to extensive regulation by federal and state regulators and SROs and are subject to laws and regulations covering all aspects of the securities industry. Similarly, our broker-dealer subsidiary in the U.K., RHUK, is subject to comprehensive regulation by the FCA, including the Consumer Duty which establishes standards requiring regulated firms to, among other things, deliver good outcomes for retail customers. This includes outcomes relating to products and services, price and value, consumer understanding, and consumer support. Our TradePMR insurance agency subsidiary is subject to regulation by state insurance regulators. Federal and state regulators (and, in the case of RHUK, the FCA), and SROs, including the SEC and FINRA, can,</w:t>
      </w:r>
    </w:p>
    <w:p>
      <w:pPr>
        <w:jc w:val="both"/>
        <w:spacing w:after="0" w:line="235" w:lineRule="auto"/>
        <w:rPr>
          <w:sz w:val="20"/>
          <w:szCs w:val="20"/>
          <w:color w:val="auto"/>
        </w:rPr>
      </w:pPr>
      <w:r>
        <w:rPr>
          <w:rFonts w:ascii="Arial" w:cs="Arial" w:eastAsia="Arial" w:hAnsi="Arial"/>
          <w:sz w:val="17"/>
          <w:szCs w:val="17"/>
          <w:color w:val="auto"/>
        </w:rPr>
        <w:t>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Our subsidiary RHD, which is registered with the CFTC as a FCM, is also subject to extensive regulation by federal and state regulators and SROs related to offering our customers Futures products. Rothera E&amp;C, a subsidiary of the Rothera joint venture, is also registered with the CFTC and operates as a regulated DCM, DCO and SEF and is similarly subject to extensive regulation.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Our subsidiaries, RAM and RHV are registered as investment advisers with the SEC under the Advisers Act. The Advisers Act mandates a variety of requirements for RIAs, including fiduciary duties, record-keeping, operational</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protocols, and disclosure obligations. The Advisers Act grants regulatory bodies such as the SEC significant administrative authority to govern investment advisory firms. If the SEC or other government agencies determine that RAM or RHV have not complied with relevant laws or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regulations, they can impose fines, suspend registrants and individual employees, or enact other sanctions, which may include revoking RAM’s and RHV’s registrations under the Advisers Act.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Money-Transmitter Regulation</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at the federal level and in the states where this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w:t>
      </w:r>
    </w:p>
    <w:p>
      <w:pPr>
        <w:jc w:val="both"/>
        <w:spacing w:after="0" w:line="235" w:lineRule="auto"/>
        <w:rPr>
          <w:sz w:val="20"/>
          <w:szCs w:val="20"/>
          <w:color w:val="auto"/>
        </w:rPr>
      </w:pPr>
      <w:r>
        <w:rPr>
          <w:rFonts w:ascii="Arial" w:cs="Arial" w:eastAsia="Arial" w:hAnsi="Arial"/>
          <w:sz w:val="17"/>
          <w:szCs w:val="17"/>
          <w:color w:val="auto"/>
        </w:rPr>
        <w:t>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Certain Non-U.S. Regulations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As investment firms and crypto-asset service providers, our subsidiaries RHEU, Bitstamp Europe S.A., Bitstamp Financial Services Ltd., Bitstamp Asia Pte. Ltd., and Bitstamp UK Limited are subject to extensive regulation by regulators in Lithuania, Luxembourg, Slovenia, Singapore, and the U.K.,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crypto-asset service providers, including requirements related to governance, reserves,</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capital, asset safeguarding, segregation and security. In addition, our subsidiaries, RHEU and Bitstamp Financial Services Ltd., are licensed under MiFID to provide brokerage, multilateral trading facilities and/or investment advisory services. Compliance with MiFID imposes extensive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Certain of our subsidiaries, including Bitstamp Asia Pte. Ltd. and Bitstamp UK Limited, are registered or regulated in a number of other foreign jurisdictions and subject to oversight by the applicable regulators, including the MAS and the FCA.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expansions of business activities, require significant and costly operational changes, impose restrictions, limitation or additional requirements on our business, products and services, or prevent us from providing our products or services in any given market. In addition, we could be subject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fines, enforcement actions and litigation if we are found to violate any of the requirements of such licenses, qualifications and approvals. There can be no assurance that we will be able to (or decide to) continue to apply for or obtain any such licenses, renewals, qualifications and approvals in any jurisdictions.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NFA or other SROs or federal agencies such as OFAC, FinCEN, the FDIC or CFPB, state regulatory agencies, such as the MSD, the CAGO, the NYDFS, and international regulatory agencies, such as the U.K.’s FCA, Luxembourg’s Commission de Surveillance du Secteur Financier, Slovenia’s Agencija za trg vrednostnih papirjev, the MAS, and the Bank of Lithuania, among other authorities. These examinations and investigations have in some instances in the past and might in the</w:t>
      </w:r>
    </w:p>
    <w:p>
      <w:pPr>
        <w:jc w:val="both"/>
        <w:spacing w:after="0" w:line="232" w:lineRule="auto"/>
        <w:rPr>
          <w:sz w:val="20"/>
          <w:szCs w:val="20"/>
          <w:color w:val="auto"/>
        </w:rPr>
      </w:pPr>
      <w:r>
        <w:rPr>
          <w:rFonts w:ascii="Arial" w:cs="Arial" w:eastAsia="Arial" w:hAnsi="Arial"/>
          <w:sz w:val="18"/>
          <w:szCs w:val="18"/>
          <w:color w:val="auto"/>
        </w:rPr>
        <w:t>future lead to lawsuits, arbitration claims, and enforcement proceedings, as well as other actions and claims, that result in injunctions, fines, penalties, and monetary settlements. For example:</w:t>
      </w:r>
    </w:p>
    <w:p>
      <w:pPr>
        <w:spacing w:after="0" w:line="206" w:lineRule="exact"/>
        <w:rPr>
          <w:sz w:val="20"/>
          <w:szCs w:val="20"/>
          <w:color w:val="auto"/>
        </w:rPr>
      </w:pPr>
    </w:p>
    <w:p>
      <w:pPr>
        <w:jc w:val="both"/>
        <w:ind w:left="640" w:hanging="316"/>
        <w:spacing w:after="0" w:line="23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spacing w:after="0" w:line="211"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 consultant’s recommendations, policies and procedures regarding certain application features, and cybersecurity measures.</w:t>
      </w:r>
    </w:p>
    <w:p>
      <w:pPr>
        <w:spacing w:after="0" w:line="208"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2024, we settled a matter with the CAGO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202"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2025, we settled multiple matters with the SEC (including investigations into Regulation SHO, the timeliness of our broker-dealers’ SAR filings, EBS submissions, various brokerage recordkeeping issues, the November 2021 Data Security Incident, and Regulation S-ID violations) in which RHF and RHS paid penalties totaling $45 million, and agreed to certain undertakings (together, the “January 2025 SEC Settlement”).</w:t>
      </w:r>
    </w:p>
    <w:p>
      <w:pPr>
        <w:spacing w:after="0" w:line="207" w:lineRule="exact"/>
        <w:rPr>
          <w:rFonts w:ascii="Arial" w:cs="Arial" w:eastAsia="Arial" w:hAnsi="Arial"/>
          <w:sz w:val="18"/>
          <w:szCs w:val="18"/>
          <w:color w:val="auto"/>
        </w:rPr>
      </w:pPr>
    </w:p>
    <w:p>
      <w:pPr>
        <w:jc w:val="both"/>
        <w:ind w:left="640" w:hanging="316"/>
        <w:spacing w:after="0" w:line="23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2025, we settled multiple matters with FINRA (including investigations into RHF’s historical practice of collaring market orders, CIP, use of certain social media influencers, delivery 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(together, the “March 2025 FINRA Settlement”). RHF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line="258" w:lineRule="auto"/>
        <w:rPr>
          <w:sz w:val="20"/>
          <w:szCs w:val="20"/>
          <w:color w:val="auto"/>
        </w:rPr>
      </w:pPr>
      <w:r>
        <w:rPr>
          <w:rFonts w:ascii="Arial" w:cs="Arial" w:eastAsia="Arial" w:hAnsi="Arial"/>
          <w:sz w:val="18"/>
          <w:szCs w:val="18"/>
          <w:color w:val="auto"/>
        </w:rPr>
        <w:t>and RHS paid a penalty totaling $26 million, and agreed to pay restitution of approximately $3.76 million to customers plus interest and certain undertakings.</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These and other proceedings, some of which are described in Note 15 - Commitments &amp; Contingencies to our consolidated financial statements in this Annual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AML and other financial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crimes regulations, cybersecurity matters, a particular cryptocurrency’s status as a “security,” and our licensing status, among other topics. These sorts of proceedings, inquiries, examinations, investigations, and other regulatory matters have in the past and might in the future subject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w:t>
      </w:r>
    </w:p>
    <w:p>
      <w:pPr>
        <w:spacing w:after="0" w:line="20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spacing w:after="0" w:line="19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170"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former SEC Chair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spacing w:after="0" w:line="20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07"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extent that the SEC, FINRA, or other regulatory authorities or legislative bodies adopt additional regulations or legislation in respect</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have an adverse effect on our business, financial condition and results of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For more information about the legal proceedings in which we are currently involved, see Note 15 - Commitments &amp; Contingencies to our consolidated financial statements in this Annual Report.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AML, and counter-terror financing that could impair our ability to compete in international markets or subject us to criminal or civil liability if we violate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We are required to comply with U.S. economic and trade sanctions administered by OFAC and we have processes in place to facilitate compliance with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subject to the FCPA, U.S. and foreign bribery laws, and other U.S. and foreign anti-corruption laws. Anti-corruption and anti-bribery</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are also subject to various AML and counter-terrorist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 primarily to AML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w:t>
      </w:r>
    </w:p>
    <w:p>
      <w:pPr>
        <w:spacing w:after="0" w:line="209"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Although our operations are currently concentrated in the U.S., we have expanded our operations outside of the U.S. As we have started to expand internationally, we have become subject to additional non-U.S. laws, rules, regulations, and other requirements regarding economic and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trade sanctions, AML, 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Our ability to offer event contracts is subject to the outcome of currently ongoing and potential future regulatory enforcement actions and litigation, as well as potential changes in federal or </w:t>
      </w:r>
      <w:r>
        <w:rPr>
          <w:rFonts w:ascii="Arial" w:cs="Arial" w:eastAsia="Arial" w:hAnsi="Arial"/>
          <w:sz w:val="18"/>
          <w:szCs w:val="18"/>
          <w:color w:val="auto"/>
        </w:rPr>
        <w:t>state</w:t>
      </w:r>
      <w:r>
        <w:rPr>
          <w:rFonts w:ascii="Arial" w:cs="Arial" w:eastAsia="Arial" w:hAnsi="Arial"/>
          <w:sz w:val="18"/>
          <w:szCs w:val="18"/>
          <w:b w:val="1"/>
          <w:bCs w:val="1"/>
          <w:i w:val="1"/>
          <w:iCs w:val="1"/>
          <w:color w:val="auto"/>
        </w:rPr>
        <w:t xml:space="preserve"> law, that could immediately or subsequently prevent us from offering, or continuing to offer, event contracts.</w:t>
      </w:r>
    </w:p>
    <w:p>
      <w:pPr>
        <w:spacing w:after="0" w:line="187" w:lineRule="exact"/>
        <w:rPr>
          <w:sz w:val="20"/>
          <w:szCs w:val="20"/>
          <w:color w:val="auto"/>
        </w:rPr>
      </w:pPr>
    </w:p>
    <w:p>
      <w:pPr>
        <w:jc w:val="both"/>
        <w:ind w:firstLine="18"/>
        <w:spacing w:after="0" w:line="258" w:lineRule="auto"/>
        <w:rPr>
          <w:sz w:val="20"/>
          <w:szCs w:val="20"/>
          <w:color w:val="auto"/>
        </w:rPr>
      </w:pPr>
      <w:r>
        <w:rPr>
          <w:rFonts w:ascii="Arial" w:cs="Arial" w:eastAsia="Arial" w:hAnsi="Arial"/>
          <w:sz w:val="18"/>
          <w:szCs w:val="18"/>
          <w:color w:val="auto"/>
        </w:rPr>
        <w:t>Event contracts, whether offered by us or others, have drawn scrutiny from federal and state regulators and resulted in litigation that we are party to as well as litigation against other companies that offer event contracts. In particular:</w:t>
      </w:r>
    </w:p>
    <w:p>
      <w:pPr>
        <w:spacing w:after="0" w:line="190" w:lineRule="exact"/>
        <w:rPr>
          <w:sz w:val="20"/>
          <w:szCs w:val="20"/>
          <w:color w:val="auto"/>
        </w:rPr>
      </w:pPr>
    </w:p>
    <w:p>
      <w:pPr>
        <w:ind w:left="640" w:hanging="316"/>
        <w:spacing w:after="0" w:line="25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we began to offer certain event contracts in October 2024 related to the U.S. presidential election and in March 2025 related to the annual NCAA college basketball tournaments, we received requests for information and a subpoena from the MSD, respectively.</w:t>
      </w:r>
    </w:p>
    <w:p>
      <w:pPr>
        <w:spacing w:after="0" w:line="17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February 2025 after we began offering sports-related event contracts tied to the pro football championship, the CFTC formally requested that RHD “not permit customers to access” sports-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related event contracts “until staff can complete a review,” leading us to suspend the rollout of that product. After we began offering sports event contracts tied to the annual NCAA college basketball tournaments in March 2025 and provided the CFTC with certain information and documents, the CFTC indicated it lacked a “legal justification” to prevent us from offering access to those event contracts.</w:t>
      </w:r>
    </w:p>
    <w:p>
      <w:pPr>
        <w:spacing w:after="0" w:line="208" w:lineRule="exact"/>
        <w:rPr>
          <w:sz w:val="20"/>
          <w:szCs w:val="20"/>
          <w:color w:val="auto"/>
        </w:rPr>
      </w:pPr>
    </w:p>
    <w:p>
      <w:pPr>
        <w:jc w:val="both"/>
        <w:ind w:left="640" w:hanging="316"/>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2025, the NJDGE issued a letter to RHM demanding that we, among other things, cease and desist from offering sports-related event contracts, which the NJDGE views as unlicensed sports wagering under state law. Other state regulators with authority over sports wagering, including in Ohio and Connecticut, have since sent RHM and/or RHD similar demand letters.</w:t>
      </w:r>
    </w:p>
    <w:p>
      <w:pPr>
        <w:spacing w:after="0" w:line="189" w:lineRule="exact"/>
        <w:rPr>
          <w:rFonts w:ascii="Arial" w:cs="Arial" w:eastAsia="Arial" w:hAnsi="Arial"/>
          <w:sz w:val="18"/>
          <w:szCs w:val="18"/>
          <w:color w:val="auto"/>
        </w:rPr>
      </w:pPr>
    </w:p>
    <w:p>
      <w:pPr>
        <w:jc w:val="both"/>
        <w:ind w:left="640" w:hanging="316"/>
        <w:spacing w:after="0" w:line="23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8, 2025, the U.S. District Court for the District of Nevada issued a preliminary injunction in KalshiEx, LLC v. Hendrick, et al. preventing the Nevada Gaming Commission and Nevada Gaming Control Board from enforcing Nevada state laws and pursuing civil or criminal liability against KalshiEx, LLC for offering sports-related event contracts because the Commodity Exchange Act (“CEA”) grants the CFTC exclusive jurisdiction over event contracts that are traded or executed on a designated contract market and the CFTC has impliedly approved the contracts. On November 25, 2025, the court dissolved KalshiEx’s preliminary injunction. KalshiEx has appealed the decision. On February 17, 2026, the Nevada Gaming Control Board filed a civil enforcement suit against KalshiEx seeking injunctive relief to enjoin KalshiEx from offering outcome-based event contracts. KalshiEx has removed the action to federal court. KalshiEx filed for similar injunctive relief in New Jersey, Maryland, Ohio, New York, Connecticut, and Tennessee. On April 28, 2025, the federal district court in the New Jersey lawsuit, KalshiEx LLC v. Flaherty, et al., issued a preliminary injunction against the New Jersey gaming regulators concluding that KalshiEx has demonstrated a likelihood of prevailing on its preemption arguments. The New Jersey gaming regulators have appealed this decision to the Third Circuit Court of Appeals, which heard oral argument in September 2025. The U.S. District Court for the District of Maryland denied KalshiEx’s motion for injunctive relief and KalshiEx has appealed this decision to the Fourth Circuit Court of Appeals. KalshiEx has also been sued by the Massachusetts Attorney General seeking to enforce Massachusetts state gaming laws. On January 20, 2026, the Massachusetts Superior Court granted Massachusetts’ motion for a preliminary injunction. The injunction was issued on February 6, 2026, and an appeal has been noticed. On February 17, 2026, the Massachusetts Appeals Court stayed the injunction pending appeal. In Tennessee, KalshiEx’s motion for a temporary restraining order was granted on January 12, 2026.</w:t>
      </w:r>
    </w:p>
    <w:p>
      <w:pPr>
        <w:spacing w:after="0" w:line="213"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14, 2025, the U.S. District Court for the District of Nevada denied motions by North American Derivatives Exchange, Inc. (“Crypto.com”) for a judgment on the pleadings and a preliminary injunction because the Court found Crypto.com’s sports-related event contracts are not “swaps” falling within the CFTC’s exclusive jurisdiction. The district court found that Crypto.com was unlikely to prevail on its argument that the CFTC has exclusive jurisdiction over sports-related event contracts. Crypto.com has appealed the decision to the United States Court of Appeals for the Ninth Circuit.</w:t>
      </w:r>
    </w:p>
    <w:p>
      <w:pPr>
        <w:spacing w:after="0" w:line="208"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January 16, 2026, the Nevada Gaming Control Board filed a civil enforcement action in Nevada state court against Blockratize, Inc. d/b/a Polymarket; QCX LLC d/b/a Polymarket US; and Adventure One QSS, Inc. d/b/a Polymarket (together "Polymarket") seeking injunctive relief to enjoin Polymarket from offering outcome-based event contracts. On January 29, 2026, the Nevada State Court issued a temporary restraining order against Polymarket. On February 5, 2026, Polymarket removed the case to the U.S. District Court for Nevada.</w:t>
      </w:r>
    </w:p>
    <w:p>
      <w:pPr>
        <w:spacing w:after="0" w:line="208"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2, 2026, the Nevada Gaming Control Board filed a civil enforcement action in Nevada state court against Coinbase seeking injunctive relief to enjoin Coinbase from offering outcome-based event contracts. On February 4, 2026, Coinbase filed a complaint against Nevada in the U.S. District Court for the District of Nevada seeking to enjoin Nevada's civil enforcement action. On February 5, 2026, the Nevada state court issued a temporary restraining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order against Coinbase. On February 7, 2026, the U.S. District Court for Nevada dismissed Coinbase's suit.</w:t>
      </w:r>
    </w:p>
    <w:p>
      <w:pPr>
        <w:spacing w:after="0" w:line="230" w:lineRule="exact"/>
        <w:rPr>
          <w:sz w:val="20"/>
          <w:szCs w:val="20"/>
          <w:color w:val="auto"/>
        </w:rPr>
      </w:pPr>
    </w:p>
    <w:p>
      <w:pPr>
        <w:jc w:val="both"/>
        <w:ind w:left="640" w:hanging="316"/>
        <w:spacing w:after="0" w:line="232"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19, 2025, RHD filed suits in the U.S. District Court for the District of Nevada and the U.S. District Court for the District of New Jersey seeking injunctive relief similar to the relief sought by KalshiEx. On September 15, 2025, RHD filed suit in the U.S. District Court for the District of Massachusetts seeking similar injunctive relief. New Jersey has agreed to a preliminary injunction pending the outcome of its appeal to the Third Circuit in its litigation with KalshiEx. In Nevada, the court denied RHD’s motion for a preliminary injunction and RHD has appealed the decision to the United States Court of Appeals for the Ninth Circuit. Nevada has agreed to refrain from enforcing its state gaming laws during the pendency of the appeal, subject to certain conditions which included ceasing to offer new sports-related event contracts (absent an injunction pending appeal staying an enforcement action, which RHD has sought from the Ninth Circuit). In Massachusetts, the court initially dismissed RHD’s suit as unripe. RHD moved for reconsideration, and the court granted that motion. Pursuant to the court’s order, RHD filed an amended complaint on January 20, 2026 and renewed its motion for a preliminary injunction.</w:t>
      </w:r>
    </w:p>
    <w:p>
      <w:pPr>
        <w:spacing w:after="0" w:line="209" w:lineRule="exact"/>
        <w:rPr>
          <w:rFonts w:ascii="Arial" w:cs="Arial" w:eastAsia="Arial" w:hAnsi="Arial"/>
          <w:sz w:val="18"/>
          <w:szCs w:val="18"/>
          <w:color w:val="auto"/>
        </w:rPr>
      </w:pPr>
    </w:p>
    <w:p>
      <w:pPr>
        <w:jc w:val="both"/>
        <w:ind w:left="640" w:hanging="316"/>
        <w:spacing w:after="0" w:line="23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also subject to and have been named as a defendant in lawsuits by private plaintiffs and certain Indian tribes alleging statutory and regulatory violations, including that our sports event contracts constitute illegal sports betting, and seeking, among other things, damages (including under “statute of Anne” laws providing for triple damages) and injunctive relief. In one of those cases, Blue Lake Rancheria v. Kalshi Inc., the U.S. District Court for the Northern District of California denied the plaintiff’s motion for a preliminary injunction prohibiting the trading and execution of sports-related event contracts on tribal lands, finding that the CEA confers exclusive jurisdiction over the regulation of such contracts to the CFTC. The plaintiff has appealed that ruling to the Ninth Circuit Court of Appeals, and briefing is ongoing.</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outcome of these cases or new laws or regulations, changes in the interpretation of existing laws or regulations, or more rigorous</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state laws attempting to prevent the trading of CFTC-regulated sports-related event contracts are not preempted by the CEA, or that outcome based event contracts are not “swaps” or contracts in excluded commodities falling within the jurisdiction of the CFTC, which would likely require us to cease offering certain event contracts in one or more states (or across all jurisdictions in which we operate) and could lead to adverse litigation and regulatory actions against us for doing so. Any such decision(s) could also result in us becoming subject to various new state-specific regulations relating to or implicating other event contracts, which would further limit our ability to offer access to event contracts within such state(s). 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advanced notice to customers. The CFTC has previously proposed a rule amendment that, if adopted by the CFTC as proposed, would likely have prohibited us from offering sports and election event contracts (similar to the ones we offered in November 2024). While the CFTC withdrew this proposed rule amendment on February 4, 2026, it also announced that it intends to engage in further</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event contract rulemaking. In the future, the CFTC could also take broader and more expansive actions with respect to these or other event contracts without notice at any time. Further, the tax treatment of event contracts is unclear, and unfavorable interpretations of tax laws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regulations by foreign or U.S. federal or state tax authorities could result in income and other taxes being imposed on Robinhood, our counterparties and our customers. 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offer a wider range of products and services. Some of our competitors, particularly new and emerging technology companies, are not subject to the same regulatory requirements or scrutiny to which we are subject, which could allow them to innovate more quickly or take more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into business combinations or partnerships, or established companies in other market segments expand to become competitive with our business.</w:t>
      </w:r>
    </w:p>
    <w:p>
      <w:pPr>
        <w:spacing w:after="0" w:line="20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90"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competitive pricing;</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providing easy-to-use, innovative, and attractive products and services that are adopted by customers;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retaining customers (such as by providing effective customer support and avoiding outages, security breaches, and trading restrictions);</w:t>
      </w:r>
    </w:p>
    <w:p>
      <w:pPr>
        <w:spacing w:after="0" w:line="241"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recruiting and retaining highly skilled personnel and senior management;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and improving our reputation and the market perception of our brand and overall value;</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our relationships with our counterparties; and</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adjusting to a dynamic regulatory environment.</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w:t>
      </w:r>
    </w:p>
    <w:p>
      <w:pPr>
        <w:jc w:val="both"/>
        <w:spacing w:after="0" w:line="222" w:lineRule="auto"/>
        <w:rPr>
          <w:sz w:val="20"/>
          <w:szCs w:val="20"/>
          <w:color w:val="auto"/>
        </w:rPr>
      </w:pPr>
      <w:r>
        <w:rPr>
          <w:rFonts w:ascii="Arial" w:cs="Arial" w:eastAsia="Arial" w:hAnsi="Arial"/>
          <w:sz w:val="18"/>
          <w:szCs w:val="18"/>
          <w:color w:val="auto"/>
        </w:rPr>
        <w:t>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prevent us from increasing our number of customers include:</w:t>
      </w:r>
    </w:p>
    <w:p>
      <w:pPr>
        <w:spacing w:after="0" w:line="21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decline in our brand and reputation;</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increased pricing for our products and services;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shift in pricing models, including allowing customers to choose a fee-based model for cryptocurrency orders;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ineffective marketing efforts or a reduction in marketing activity;</w:t>
      </w:r>
    </w:p>
    <w:p>
      <w:pPr>
        <w:spacing w:after="0" w:line="229" w:lineRule="exact"/>
        <w:rPr>
          <w:rFonts w:ascii="Arial" w:cs="Arial" w:eastAsia="Arial" w:hAnsi="Arial"/>
          <w:sz w:val="18"/>
          <w:szCs w:val="18"/>
          <w:color w:val="auto"/>
        </w:rPr>
      </w:pPr>
    </w:p>
    <w:p>
      <w:pPr>
        <w:ind w:left="640" w:right="42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certain of our customers, due to being new and inexperienced, might be less loyal to our product or less likely to maintain historical trading patterns and interest in investing;</w:t>
      </w:r>
    </w:p>
    <w:p>
      <w:pPr>
        <w:spacing w:after="0" w:line="190" w:lineRule="exact"/>
        <w:rPr>
          <w:rFonts w:ascii="Arial" w:cs="Arial" w:eastAsia="Arial" w:hAnsi="Arial"/>
          <w:sz w:val="18"/>
          <w:szCs w:val="18"/>
          <w:color w:val="auto"/>
        </w:rPr>
      </w:pPr>
    </w:p>
    <w:p>
      <w:pPr>
        <w:ind w:left="640" w:right="28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broad decline in the equity or other financial markets, which could result in many of these investors feeling discouraged and exiting the markets altogether (as has occurred in connection with prior bear market cycles);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rising inflation resulting in less disposable income for our customers to invest;</w:t>
      </w:r>
    </w:p>
    <w:p>
      <w:pPr>
        <w:spacing w:after="0" w:line="229" w:lineRule="exact"/>
        <w:rPr>
          <w:rFonts w:ascii="Arial" w:cs="Arial" w:eastAsia="Arial" w:hAnsi="Arial"/>
          <w:sz w:val="18"/>
          <w:szCs w:val="18"/>
          <w:color w:val="auto"/>
        </w:rPr>
      </w:pPr>
    </w:p>
    <w:p>
      <w:pPr>
        <w:ind w:left="640" w:right="42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customers experiencing difficulties using the Robinhood app as intended, due to any number of reasons such as design errors, service outages, or trading restrictions imposed by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customers experiencing security or data breaches, account intrusions, or other unauthorized access;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failure to provide adequate customer service;</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customer resistance to and non-acceptance of cryptocurrencies; and</w:t>
      </w:r>
    </w:p>
    <w:p>
      <w:pPr>
        <w:spacing w:after="0" w:line="229" w:lineRule="exact"/>
        <w:rPr>
          <w:rFonts w:ascii="Arial" w:cs="Arial" w:eastAsia="Arial" w:hAnsi="Arial"/>
          <w:sz w:val="18"/>
          <w:szCs w:val="18"/>
          <w:color w:val="auto"/>
        </w:rPr>
      </w:pPr>
    </w:p>
    <w:p>
      <w:pPr>
        <w:ind w:left="640" w:right="820" w:hanging="316"/>
        <w:spacing w:after="0" w:line="288"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customer dissatisfaction with the limited number of cryptocurrencies available on our platforms or with our ceasing support for cryptocurrencies on our RHC, RHEU, or Bitstamp platforms because they failed our regular listing committee review; and</w:t>
      </w:r>
    </w:p>
    <w:p>
      <w:pPr>
        <w:spacing w:after="0" w:line="166" w:lineRule="exact"/>
        <w:rPr>
          <w:rFonts w:ascii="Arial" w:cs="Arial" w:eastAsia="Arial" w:hAnsi="Arial"/>
          <w:sz w:val="17"/>
          <w:szCs w:val="17"/>
          <w:color w:val="auto"/>
        </w:rPr>
      </w:pPr>
    </w:p>
    <w:p>
      <w:pPr>
        <w:ind w:left="640" w:right="100" w:hanging="316"/>
        <w:spacing w:after="0" w:line="258" w:lineRule="auto"/>
        <w:tabs>
          <w:tab w:leader="none" w:pos="609"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customer dissatisfaction with the RHC and Bitstamp USA, Inc. platforms removing certain cryptocurrencies because the SEC or a court has asserted or determined that the cryptocurrencies or similar cryptocurrencies are securities.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provide and monetize new and innovative products and services that are adopted by customers, our business may become less competitive and our revenue might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w:t>
      </w:r>
    </w:p>
    <w:p>
      <w:pPr>
        <w:jc w:val="both"/>
        <w:spacing w:after="0" w:line="235" w:lineRule="auto"/>
        <w:rPr>
          <w:sz w:val="20"/>
          <w:szCs w:val="20"/>
          <w:color w:val="auto"/>
        </w:rPr>
      </w:pPr>
      <w:r>
        <w:rPr>
          <w:rFonts w:ascii="Arial" w:cs="Arial" w:eastAsia="Arial" w:hAnsi="Arial"/>
          <w:sz w:val="17"/>
          <w:szCs w:val="17"/>
          <w:color w:val="auto"/>
        </w:rPr>
        <w:t>inhibited by industry-wide standards, legal restrictions, incompatible customer expectations, demands, and preferences, or third-party intellectual property rights. Our efforts to innovate have been and might continue to also be delayed or blocked by new or enhanced regulatory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and services rely on software and systems that are highly technical and have been, and may in the future be, subject to</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interruption, instability, and other potential flaws due to software errors, design defects, and other processing, operational, and technological failures, whether internal or external.</w:t>
      </w:r>
    </w:p>
    <w:p>
      <w:pPr>
        <w:spacing w:after="0" w:line="19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For example, on October 20, 2025, Amazon Web Services (AWS) experienced a major disruption in its US-EAST-1 region due to a failure in an internal system. This affected certain of our operations, resulting in service instability and interruption. Further, we have in the past and might in the future be particularly vulnerable to any such internal technology failures because we rely heavily on our own</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20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20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surges in trading volume on our platforms have in the past and might in the future cause our systems to operate at diminished</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outages or errors, including, for example, in connection with the March 2020 Outages and the April-May 2021 Disruptions, and may compound in the future as a result of such events. Frequent or persistent interruptions, or perceptions of such interruptions whether true or not, in our</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w:t>
      </w:r>
    </w:p>
    <w:p>
      <w:pPr>
        <w:jc w:val="both"/>
        <w:spacing w:after="0" w:line="235" w:lineRule="auto"/>
        <w:rPr>
          <w:sz w:val="20"/>
          <w:szCs w:val="20"/>
          <w:color w:val="auto"/>
        </w:rPr>
      </w:pPr>
      <w:r>
        <w:rPr>
          <w:rFonts w:ascii="Arial" w:cs="Arial" w:eastAsia="Arial" w:hAnsi="Arial"/>
          <w:sz w:val="17"/>
          <w:szCs w:val="17"/>
          <w:color w:val="auto"/>
        </w:rPr>
        <w:t>charges related to our delivery of our application could adversely affect customer usage of the Robinhood app. For example, from time to time we have experienced delays in our ability to launch products or update features on our platforms as a result of prolonged app store review</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modify, enhance, and improve our products and services to keep pace with changes in internet-related hardware, mobile operating systems and other software, communication, browser, and database technologies. We might not be successful in developing products that operate effectively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rely on certain third-party computer systems or third-party service providers, including several cloud technology providers such as AWS (on which we primarily rely to deliver our services to customers on our platforms), internet service providers, payment services providers, market and third-party data providers, regulatory services providers, clearing systems, Liquidity Providers, securities and cryptocurrency exchanges, facilitators of cryptocurrency staking services, alternative trading systems (such as BOATS with respect to Robinhood 24 Hour Market),</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exchange systems (such as ForecastEx, LLC and KalshiEx LLC, with respect to certain event contracts), banking systems, payment gateways that link us to the payment card and bank clearing networks to process transactions, co-location facilities, communications facilities, and other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third-party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data security is limited. In addition, these third-party service providers might rely on subcontractors to provide services to us that face similar risks.</w:t>
      </w:r>
    </w:p>
    <w:p>
      <w:pPr>
        <w:spacing w:after="0" w:line="19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 complaints, significant fines, litigation, disputes, claims, regulatory investigations or other inquiries and harm our reputation. Regulators might also hold us responsible for the failures of our providers. For example, after BOATS, the trading venue that primarily supports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overnight trading on Robinhood 24 Hour Market (8:00 pm - 4:00 am ET), experienced disruptions during the overnight trading session on August 4-5, 2024, we received requests for information from certain regulators.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continue to incorporate AI technologies into some of our products and processes. These technologies may present business, compliance, and reputational risks.</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 For example, on December 11, 2025, the President issued an executive order to establish a national policy framework for AI intended to preempt state AI laws and regulations. Among other things, the executive order directs the Federal Communications Commission to initiate a proceeding to determine whether to adopt a federal reporting and disclosure standard for AI models, which could impose significant additional costs on us to comply or significant fines for failing to comply.</w:t>
      </w:r>
    </w:p>
    <w:p>
      <w:pPr>
        <w:spacing w:after="0" w:line="215"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license fees to third parties. The evolving legal, regulatory and compliance framework for AI technologies may also impact our ability to protect our own data and intellectual property against infringing use.</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systems, including those of companies we have acquired or may seek to acquire in the future, and those of our customers and third-</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party service providers have been and might in the future be vulnerable to cybersecurity issues. We, like other financial technology organizations, routinely are subject to cybersecurity threats and our technologies, systems, and networks have been and might in the future be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systems. We have also received customer complaints and been subject to litigation and regulatory inquiries, examinations, enforcement actions, and investigations by various state and federal regulatory bodies, including the SEC, FINRA, and certain state regulators, including the NYDFS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w:t>
      </w:r>
    </w:p>
    <w:p>
      <w:pPr>
        <w:spacing w:after="0" w:line="18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Additionally, there is an increased risk that we might experience cybersecurity-related incidents as a result of any of our employees, service providers, or other third 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For example, in late October 2024, a cyberattack occurred on our Newsroom in which a cyber 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that this third-party vulnerability impacted us, the attack highlights the growing risk from cybersecurity threats against third-party service providers. Due to applicable laws and regulations or contractual obligations, we could be held responsible for</w:t>
      </w:r>
    </w:p>
    <w:p>
      <w:pPr>
        <w:jc w:val="both"/>
        <w:spacing w:after="0" w:line="222" w:lineRule="auto"/>
        <w:rPr>
          <w:sz w:val="20"/>
          <w:szCs w:val="20"/>
          <w:color w:val="auto"/>
        </w:rPr>
      </w:pPr>
      <w:r>
        <w:rPr>
          <w:rFonts w:ascii="Arial" w:cs="Arial" w:eastAsia="Arial" w:hAnsi="Arial"/>
          <w:sz w:val="18"/>
          <w:szCs w:val="18"/>
          <w:color w:val="auto"/>
        </w:rPr>
        <w:t>any information security failure or cybersecurity attack attributed to our vendors as they relate to the information we share with them. A vulnerability in a third-party service provider’s software or systems, a failure of our third-party service providers’ safeguards, policies or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procedures, or a breach of a third-party service provider’s software or systems has in the past and may in the future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208"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w:t>
      </w:r>
    </w:p>
    <w:p>
      <w:pPr>
        <w:spacing w:after="0" w:line="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increasing security protection costs by deploying additional personnel and modifying or enhancing our protection technologies, investigating, remediating, or correcting the breach and any security vulnerabilities, defending against and resolving legal and regulatory claims, and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spacing w:after="0" w:line="21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cover all cybersecurity incident-related claims. The successful assertion of one or more significant claims against us or changes in our cybersecurity insurance coverage, premiums, or deductibles may adversely affect our reputation, business, financial condition or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w:t>
      </w:r>
    </w:p>
    <w:p>
      <w:pPr>
        <w:jc w:val="both"/>
        <w:spacing w:after="0" w:line="235" w:lineRule="auto"/>
        <w:rPr>
          <w:sz w:val="20"/>
          <w:szCs w:val="20"/>
          <w:color w:val="auto"/>
        </w:rPr>
      </w:pPr>
      <w:r>
        <w:rPr>
          <w:rFonts w:ascii="Arial" w:cs="Arial" w:eastAsia="Arial" w:hAnsi="Arial"/>
          <w:sz w:val="17"/>
          <w:szCs w:val="17"/>
          <w:color w:val="auto"/>
        </w:rPr>
        <w:t>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15 - Commitments &amp; Contingencies to our consolidated financial statements in this Annual Report) and may in the future be subject to investigations and examinations regarding, among other things, our cybersecurity practices. In addition, if we fail to follow these</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security standards, even if no customer information is compromised, we might incur significant fines or experience a significant increase in costs. Following the November 2021 Data Security Incident, we received requests for information from regulatory authorities regarding, among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things, the adequacy of our information security measures, and as part of the January 2025 SEC Settlement, RHF and RHS paid penalties for violating Regulation S-P.</w:t>
      </w:r>
    </w:p>
    <w:p>
      <w:pPr>
        <w:spacing w:after="0" w:line="20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5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15c3-3, which require certain broker-dealers, including RHS, by June 2026 to increase the frequency with which they perform computations of the net cash they owe to customers and other broker-dealers from weekly to daily. A large operating loss or charge against net capital could have adverse effects on our ability to maintain or expand our business.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2"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19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w:t>
      </w:r>
    </w:p>
    <w:p>
      <w:pPr>
        <w:jc w:val="both"/>
        <w:spacing w:after="0" w:line="232" w:lineRule="auto"/>
        <w:rPr>
          <w:sz w:val="20"/>
          <w:szCs w:val="20"/>
          <w:color w:val="auto"/>
        </w:rPr>
      </w:pPr>
      <w:r>
        <w:rPr>
          <w:rFonts w:ascii="Arial" w:cs="Arial" w:eastAsia="Arial" w:hAnsi="Arial"/>
          <w:sz w:val="18"/>
          <w:szCs w:val="18"/>
          <w:color w:val="auto"/>
        </w:rPr>
        <w:t>with RHF, paid a penalty totaling $26 million and agreed to pay restitution and to certain undertakings to resolve these investigations, among others.</w:t>
      </w:r>
    </w:p>
    <w:p>
      <w:pPr>
        <w:spacing w:after="0" w:line="20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All customers can place limit orders to buy whole shares of the most traded exchange-traded funds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Liquidity Providers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w:t>
      </w:r>
    </w:p>
    <w:p>
      <w:pPr>
        <w:spacing w:after="0" w:line="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adverse impact on our business, financial condition, results of operations, and/or brand and reputation. For example, on August 5, 2024, BOATS did not open for overnight trading and as a result, Robinhood customers were unable to execute any trades during that overnight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session.</w:t>
      </w:r>
    </w:p>
    <w:p>
      <w:pPr>
        <w:spacing w:after="0" w:line="214"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21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addition, as a clearing member firm of securities and derivatives clearinghouses in the U.S., we are also exposed to clearing member credit risk. Securities and derivatives clearinghouses require member firms to deposit cash, stock and/or government securities for margin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Liquidity Providers, and other counterparties could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w:t>
      </w:r>
    </w:p>
    <w:p>
      <w:pPr>
        <w:jc w:val="both"/>
        <w:spacing w:after="0" w:line="235" w:lineRule="auto"/>
        <w:rPr>
          <w:sz w:val="20"/>
          <w:szCs w:val="20"/>
          <w:color w:val="auto"/>
        </w:rPr>
      </w:pPr>
      <w:r>
        <w:rPr>
          <w:rFonts w:ascii="Arial" w:cs="Arial" w:eastAsia="Arial" w:hAnsi="Arial"/>
          <w:sz w:val="17"/>
          <w:szCs w:val="17"/>
          <w:color w:val="auto"/>
        </w:rPr>
        <w:t>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losses due to the potential failure of our customers to perform their obligations under these transactions and margin loans.</w:t>
      </w:r>
    </w:p>
    <w:p>
      <w:pPr>
        <w:spacing w:after="0" w:line="214"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spacing w:after="0" w:line="19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Additionally, RHD is obligated to establish and maintain an appropriate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spacing w:after="0" w:line="19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As a result of our acquisition of Bitstamp, we now provide additional cryptocurrency products and services to institutional customers both in parts of the U.S. and internationally, including products and services such as retail lending, on-exchange lending, off-exchange settlement, post-trade settlement, and perpetual futures exchange. These offerings to certain institutional clients expose us to risks we have not historically faced at scale, including credit risk.</w:t>
      </w:r>
    </w:p>
    <w:p>
      <w:pPr>
        <w:spacing w:after="0" w:line="20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 We regularly update our risk management framework and practices, but eliminating credit risk entirely is difficult.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Providing investment advice and recommendations could subject us to investigations, penalties, and liability for customer losses if</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we fail to comply with applicable regulatory standards, and providing investment education tools could subject us to additional risks if such tools are construed to be investment advice or recommendations.</w:t>
      </w:r>
    </w:p>
    <w:p>
      <w:pPr>
        <w:spacing w:after="0" w:line="19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advisory clients. Other regulations, such as the SEC’s Regulation Best Interest and certain state broker-dealer regulations, impose heightened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standards and requirements on recommendations to retail investors. For example, the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w:t>
      </w:r>
    </w:p>
    <w:p>
      <w:pPr>
        <w:spacing w:after="0" w:line="208"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We also provide customers with a variety of educational materials in various jurisdictions, investment tools, and financial news and information, such as our “Snacks” newsletter (which is offered by Sherwood Media), the suite of other editorial offerings that Sherwood Media</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has launched and will continue to launch, and the Robinhood Investor Index. Additionally, Robinhood Gold Subscribers have access to Robinhood Cortex, which is an AI-powered investing assistant that enhances Robinhood product offerings with tailored insights and information through features such as Digests and customizable market scanners, and stock research reports prepared by our third-party collaborator, Morningstar, Inc.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If services that we do not consider to be recommendations (such as educational materials, and our editorial offerings, including Robinhood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of these services or discontinue them altogether, one or more of which could have an adverse effect on our ability to attract and retain customers.</w:t>
      </w:r>
    </w:p>
    <w:p>
      <w:pPr>
        <w:spacing w:after="0" w:line="20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wholly-owned subsidiary, RHV, serves as the investment adviser to RVI, a closed-end investment company, which will subject us to additional burdens and risks and could subject us to potential liability.</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RHV, an investment adviser registered with the SEC under the Advisers Act, serves as the investment adviser to RVI (the “Fund”). The Fund is a recently organized Delaware statutory trust registered under the 1940 Act, as an externally managed, non-diversified, closed-end investment company. RHV is responsible for making investment decisions for the Fund’s portfolio. RHV was formed in August 2025 and has limited investing history. RHV’s service as an investment adviser to the Fund will subject us to additional burdens risks and could subject us to potential liability, including but not limited to:</w:t>
      </w:r>
    </w:p>
    <w:p>
      <w:pPr>
        <w:spacing w:after="0" w:line="196" w:lineRule="exact"/>
        <w:rPr>
          <w:sz w:val="20"/>
          <w:szCs w:val="20"/>
          <w:color w:val="auto"/>
        </w:rPr>
      </w:pPr>
    </w:p>
    <w:p>
      <w:pPr>
        <w:jc w:val="both"/>
        <w:ind w:left="640" w:hanging="316"/>
        <w:spacing w:after="0" w:line="239"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become further subject to additional regulatory and compliance burdens. For example, the Fund is registered under the 1940 Act as an investment company. The Fund and its investment adviser, RHV, are subject to the 1940 Act and the rules thereunder, which, among other things, regulate the relationship between a registered investment company and its investment adviser and their respective affiliates and prohibit or severely restrict principal transactions and joint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was recently formed and while its personnel have investment experience, RHV and its management have limited experience managing a closed-end investment company registered under the 1940 Act.</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or its directors, officers or employees and its affiliates, successors or other legal representatives may be liable for any error of judgment, for any mistake of law or for certain types of acts or omissions by such person.</w:t>
      </w:r>
    </w:p>
    <w:p>
      <w:pPr>
        <w:spacing w:after="0" w:line="190"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provides certain investment advisory, management and administrative services to the Fund pursuant to an investment advisory agreement but its provision of those services to the Fund can be terminated without penalty as specified in the investment advisory agreement. In addition, if the investors in the Fund were to be dissatisfied with the investment performance or disagree with investment strategies employed by RHV, they may seek to cause the board of directors of the Fund to terminate its investment management agreement with us or change the terms of such agreement in a manner that is less favorable to us.</w:t>
      </w:r>
    </w:p>
    <w:p>
      <w:pPr>
        <w:spacing w:after="0" w:line="208"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management fees generated by the Fund are uncertain and depend on the success of the Fund’s initial public offering and the Fund’s investment performance.</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Shareholder activism involving closed-end funds has increased, including public campaigns to demand that a fund consider significant transactions such as a tender offer, merger or liquidation or seek other actions such as the termination of the fund’s investment management contract.</w:t>
      </w:r>
    </w:p>
    <w:p>
      <w:pPr>
        <w:spacing w:after="0" w:line="202" w:lineRule="exact"/>
        <w:rPr>
          <w:rFonts w:ascii="Arial" w:cs="Arial" w:eastAsia="Arial" w:hAnsi="Arial"/>
          <w:sz w:val="18"/>
          <w:szCs w:val="18"/>
          <w:color w:val="auto"/>
        </w:rPr>
      </w:pPr>
    </w:p>
    <w:p>
      <w:pPr>
        <w:jc w:val="both"/>
        <w:ind w:left="640" w:hanging="316"/>
        <w:spacing w:after="0" w:line="233"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held by the Fund are illiquid, private investments and thus have no readily ascertainable market prices. The actual results related to any particular investment often vary materially. Because there is significant uncertainty in the valuation of, or in the stability of the value of, illiquid investments, the fair values of such investments as reflected in the Fund’s NAV do not necessarily reflect the prices that would actually be obtained by the Fund when such investments are realized and may contribute to a disconnect between NAV and the market price of the Fund’s shares, volatility in the Fund’s NAV or market price, negative investor perceptions of the Fund’s performance and reduced investor confidence in us or the Fund, which could in turn result in difficulty in raising additional funds, reputational harm, and increased risk of litigation or other claims against us, RHV, or the Fund.</w:t>
      </w:r>
    </w:p>
    <w:p>
      <w:pPr>
        <w:spacing w:after="0" w:line="208" w:lineRule="exact"/>
        <w:rPr>
          <w:rFonts w:ascii="Arial" w:cs="Arial" w:eastAsia="Arial" w:hAnsi="Arial"/>
          <w:sz w:val="18"/>
          <w:szCs w:val="18"/>
          <w:color w:val="auto"/>
        </w:rPr>
      </w:pPr>
    </w:p>
    <w:p>
      <w:pPr>
        <w:jc w:val="both"/>
        <w:ind w:left="640" w:hanging="316"/>
        <w:spacing w:after="0" w:line="23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Fund is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the Fund. RHV and its affiliates will be permitted to market, organize, sponsor, act as general partner or as the primary source for transactions for other pooled investment vehicles and other accounts, which may be offered on a public or private placement basis, and to engage in other investment and business activities. Some of these funds and accounts may have investment strategies that overlap with the investment strategies of the Fund. Such activities may raise conflicts of interest for which the resolution may not be determinable.</w:t>
      </w:r>
    </w:p>
    <w:p>
      <w:pPr>
        <w:spacing w:after="0" w:line="20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Fund performs poorly or does not achieve expected returns, investors may decline to invest in any future closed-end funds we may raise or otherwise attribute the Fund’s performance to Robinhood more generally.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Any of these additional burdens and risks could subject us to potential liability and could harm our reputation and business.</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provision of brokerage and custodial services to RIAs exposes us to operational, regulatory and reputational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rely heavily on proprietary and third-party technology platforms to provide brokerage, custodial, and administrative services. A failure in</w:t>
      </w:r>
    </w:p>
    <w:p>
      <w:pPr>
        <w:spacing w:after="0" w:line="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these systems, including outages, cyberattacks, data breaches, or programming errors, could interrupt our operations or those of our RIA clients, resulting in financial losses, regulatory exposure, or damage to our relationships with advisors and end clients.</w:t>
      </w:r>
    </w:p>
    <w:p>
      <w:pPr>
        <w:spacing w:after="0" w:line="20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may be subject to regulatory actions, legal claims, and arbitration proceedings arising from the actions or omissions of RIAs to whom we provide custodial support. We provide investment advice to end clients through RAM and RHV, and although we do not provide such investment advice through TradePMR, disputes may nevertheless arise regarding account management, trade execution, or data integrity. Any such claims could result in costly litigation, adverse judgments, or settlements.</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spacing w:after="0" w:line="20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Our ability to retain and grow our RIA client base depends in part on our reputation for service quality, platform stability, and regulatory compliance. Negative publicity, including but not limited to negative publicity arising from operational failures, regulatory sanctions, or advisor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misconduct, may harm our brand and result in the loss of key relationships or reduced advisor onboarding.</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7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As we expand our cryptocurrency product and service offerings, the risks associated with failing to safeguard and manage cryptocurrencies we hold on behalf of our customers increase. Our success and the success of our offerings require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applicable regulatory requirements could result in reputational harm, significant financial losses, lead customers to discontinue or reduce their use of our services, and result in significant penalties and fines and additional restrictions.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hold all settled cryptocurrencies in custody on behalf of customers in two types of wallets: (i) hot wallets, which are managed online, and</w:t>
      </w:r>
    </w:p>
    <w:p>
      <w:pPr>
        <w:spacing w:after="0" w:line="19" w:lineRule="exact"/>
        <w:rPr>
          <w:sz w:val="20"/>
          <w:szCs w:val="20"/>
          <w:color w:val="auto"/>
        </w:rPr>
      </w:pPr>
    </w:p>
    <w:p>
      <w:pPr>
        <w:jc w:val="both"/>
        <w:ind w:firstLine="6"/>
        <w:spacing w:after="0" w:line="236" w:lineRule="auto"/>
        <w:tabs>
          <w:tab w:leader="none" w:pos="2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settlement operations of its wallets. As noted, Bitstamp does use third party custodians. Failures, problems or issues at these third party custodians could subject Bitstamp to various forms of risk and may have a significant impact on Bitstamp’s business and reputation, which, in turn, could harm Robinhood’s business and reputation more broadly.</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over financial reporting (in accordance with guidance issued by the staffs of the SEC’s Office of the Chief Accountant and the Division of Corporation Finance, companies are permitted to exclude acquisitions from their assessment of internal control over financial reporting for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first fiscal year in which the acquisition occurred, and we currently expect to exclude Bitstamp, which we acquired in June 2025, from such assessment for 2025).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activities, including targeted physical attacks. For example, in August 2021, hackers were able to momentarily take over the BSV network, allowing them to spend coins they did not have and prevent transactions from completing. Any exposure or loss of private keys relating to, 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hack or other compromise of, the hot wallets or cold wallets we use to store our customers’ cryptocurrencies could result in total loss of customers’ cryptocurrencies (because customers’ cryptocurrency balances are not protected by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Liquidity Providers might affect the ability or willingness of our customers to trade or hold cryptocurrencies on our platforms, might result in litigation and regulatory enforcement actions, and could harm customer trust in us and our products generally.</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9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(including as a result of prior bear market cycles), which have impacted, and will continue to impact, our trading volumes and operating results and might adversely impact our growth strategy and business. Several factors could affect a cryptocurrency’s price, including, but not limited to:</w:t>
      </w:r>
    </w:p>
    <w:p>
      <w:pPr>
        <w:spacing w:after="0" w:line="166" w:lineRule="exact"/>
        <w:rPr>
          <w:sz w:val="20"/>
          <w:szCs w:val="20"/>
          <w:color w:val="auto"/>
        </w:rPr>
      </w:pPr>
    </w:p>
    <w:p>
      <w:pPr>
        <w:jc w:val="both"/>
        <w:ind w:left="640" w:hanging="316"/>
        <w:spacing w:after="0" w:line="239"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207" w:lineRule="exact"/>
        <w:rPr>
          <w:rFonts w:ascii="Arial" w:cs="Arial" w:eastAsia="Arial" w:hAnsi="Arial"/>
          <w:sz w:val="18"/>
          <w:szCs w:val="18"/>
          <w:color w:val="auto"/>
        </w:rPr>
      </w:pPr>
    </w:p>
    <w:p>
      <w:pPr>
        <w:ind w:left="640" w:right="20" w:hanging="316"/>
        <w:spacing w:after="0" w:line="271"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80" w:lineRule="exact"/>
        <w:rPr>
          <w:rFonts w:ascii="Arial" w:cs="Arial" w:eastAsia="Arial" w:hAnsi="Arial"/>
          <w:sz w:val="17"/>
          <w:szCs w:val="17"/>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Changes in the rights, obligations, incentives, or rewards for the various participants in a blockchain network.</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The maintenance and development of the software protocol of cryptocurrencies.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Cryptocurrency exchanges’ deposit and withdrawal policies and practices, liquidity on such exchanges and interruptions in service from or failures of such exchanges.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Regulatory measures, if any, that affect the use and value of cryptocurrencies or regulatory or judicial assertions or determinations that certain cryptocurrencies are securities.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Competition for and among various cryptocurrencies that exist and market preferences and expectations with respect to adoption of individual currencies.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Actual or perceived manipulation of the markets for cryptocurrencies.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Actual or perceived connections between cryptocurrencies (and related activities such as mining) and adverse environmental effects or illegal activities.</w:t>
      </w:r>
    </w:p>
    <w:p>
      <w:pPr>
        <w:spacing w:after="0" w:line="190" w:lineRule="exact"/>
        <w:rPr>
          <w:rFonts w:ascii="Arial" w:cs="Arial" w:eastAsia="Arial" w:hAnsi="Arial"/>
          <w:sz w:val="18"/>
          <w:szCs w:val="18"/>
          <w:color w:val="auto"/>
        </w:rPr>
      </w:pPr>
    </w:p>
    <w:p>
      <w:pPr>
        <w:ind w:left="640" w:hanging="316"/>
        <w:spacing w:after="0" w:line="243"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Expectations with respect to the rate of inflation in the economy, monetary policies of governments, trade restrictions, and currency devaluations and revaluations.</w:t>
      </w:r>
    </w:p>
    <w:p>
      <w:pPr>
        <w:spacing w:after="0" w:line="19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189"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209"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In light of events in 2022, cryptocurrency market risks were identified as a key risk to the Company and management has accordingly implemented certain measures, including enhanced monitoring for cryptocurrency markets (such as reducing net open position limits with</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19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We currently facilitate customer trades for certain cryptocurrencies that we have analyzed under applicable internal policies and procedures and, for cryptocurrencies supported on our RHC and Bitstamp US platforms, that we believe are not securities under relevant U.S. federal and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state securities laws. Determining whether any given cryptocurrency is a security is a highly complex, fact-driven analysis, which may change and evolve over time based on changes in the cryptocurrency and its related ecosystem and on evolving legal and regulatory developments.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Different parties may reach different conclusions about the outcome of this analysis based on the same facts. The analysis may become clearer depending on the outcome in certain cases currently pending in varying stages of litigation. The SEC Staff has indicated that the determination of whether or not a cryptocurrency is a security depends on the characteristics and use of that particular asset. The SEC, individual Commissioners and the SEC Staff have previously taken positions that certain cryptocurrencies are “securities” in the context of settled or litigated enforcement actions. Although the SEC had not historically provided advance confirmation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status of any particular cryptocurrency as a security, speeches by senior officials at the SEC have indicated that the SEC generally does not consider Bitcoin or Ether to be securities and Staff of the SEC’s Division of Corporation Finance published statements clarifying that the Division does not view the offers and sales of certain “stablecoins” and “meme coins” to constitute securities transactions. Moreover, SEC Staff have authored informal, non-binding “no-action” letters to the promoters of a handful of digital assets to the effect that the Staff would not recommend enforcement action to the SEC on the basis that transactions in such digital assets, as described to the Staff by their respective promoters, are securities transactions, including with respect to the issuance of tokens in connection with internet and energy decentralized physical</w:t>
      </w:r>
    </w:p>
    <w:p>
      <w:pPr>
        <w:jc w:val="both"/>
        <w:spacing w:after="0" w:line="222" w:lineRule="auto"/>
        <w:rPr>
          <w:sz w:val="20"/>
          <w:szCs w:val="20"/>
          <w:color w:val="auto"/>
        </w:rPr>
      </w:pPr>
      <w:r>
        <w:rPr>
          <w:rFonts w:ascii="Arial" w:cs="Arial" w:eastAsia="Arial" w:hAnsi="Arial"/>
          <w:sz w:val="18"/>
          <w:szCs w:val="18"/>
          <w:color w:val="auto"/>
        </w:rPr>
        <w:t>infrastructure projects and a consumer finance rewards program. However, such statements and views are not official policy statements by the SEC and reflect only the SEC Staff’s and speakers’ views, which are not binding on the SEC or any court or other agency (including, for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instance, the NYDFS, which recently published a consumer alert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provides guidelines for the regulation of stablecoins in the U.S., which may differ from the views set forth in the SEC Staff statement regarding stablecoins). With respect to all cryptocurrencies other than Bitcoin and Ether, there is less certainty about whether they would be viewed as securities under the applicable federal and state securities laws. However, on November 12, 2025, SEC Chairman Paul Atkins stated during a speech that it is his view that “most crypto tokens trading today are not themselves securities,” further specifying his view that, subject to certain qualifications, he does not believe certain “digital commodities,” “network tokens,” “digital collectibles,” or “digital tools” constitute securities and that he anticipates the Commission will consider establishing a clear token taxonomy in the coming months. However, such statement is not binding on the SEC or any court or other agency. Additionally, U.S. regulators have expressed concerns about cryptocurrency platforms adding multiple new coins, some of which they may view as unregistered securities. Additionally, the current presidential administration and control of</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Congress in the U.S. present considerable uncertainty as to cryptocurrency regulations and how regulators will apply the securities laws to cryptocurrencies and what changes Congress may enact with respect to cryptocurrencies. Although our policies and procedures are intended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For example, in June 2023, the SEC charged Binance and, separately,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In November 2023, the SEC brought similar charges against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 Several other</w:t>
      </w:r>
    </w:p>
    <w:p>
      <w:pPr>
        <w:jc w:val="both"/>
        <w:spacing w:after="0" w:line="235" w:lineRule="auto"/>
        <w:rPr>
          <w:sz w:val="20"/>
          <w:szCs w:val="20"/>
          <w:color w:val="auto"/>
        </w:rPr>
      </w:pPr>
      <w:r>
        <w:rPr>
          <w:rFonts w:ascii="Arial" w:cs="Arial" w:eastAsia="Arial" w:hAnsi="Arial"/>
          <w:sz w:val="17"/>
          <w:szCs w:val="17"/>
          <w:color w:val="auto"/>
        </w:rPr>
        <w:t>digital assets market participants, including us, have also announced that the SEC informed them that the SEC was terminating its investigation or enforcement action into their firm. Also, in April 2025, the Office of the Deputy Attorney General issued a memorandum (the “April DOJ</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crypto task force dedicated to developing a comprehensive and clear regulatory framework for crypto assets.” The task force is focused on helping the SEC “draw clear regulatory lines, provide realistic paths to registration, craft sensible disclosure frameworks, and deploy enforcement resources judiciously.” The SEC formed the Crypto Task Force to provide clarity on the application of the federal securities laws to the crypto asset market and to recommend practical policy measures that aim to foster innovation and protect investors. Since formation, the Crypto Task Force has accepted written submissions on various cryptocurrency-related topics from industry participants; hosted roundtables on topics relating to security status, trading, custody, tokenization, DeFi, and financial surveillance and privacy; and has held meetings with</w:t>
      </w:r>
    </w:p>
    <w:p>
      <w:pPr>
        <w:jc w:val="both"/>
        <w:spacing w:after="0" w:line="235" w:lineRule="auto"/>
        <w:rPr>
          <w:sz w:val="20"/>
          <w:szCs w:val="20"/>
          <w:color w:val="auto"/>
        </w:rPr>
      </w:pPr>
      <w:r>
        <w:rPr>
          <w:rFonts w:ascii="Arial" w:cs="Arial" w:eastAsia="Arial" w:hAnsi="Arial"/>
          <w:sz w:val="17"/>
          <w:szCs w:val="17"/>
          <w:color w:val="auto"/>
        </w:rPr>
        <w:t>interested stakeholders. On July 31, 2025, SEC Chairman Paul Atkins announced the launch of “Project Crypto,” described as “a Commission-wide initiative to modernize the securities rules and regulations to enable America’s financial markets to move on-chain.” In connection with this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initiative, Chairman Atkins indicated that he has asked the Crypto Task Force to work on developing proposals to implement recommendations in the July 30, 2025, President’s Working Group on Digital Asset Markets Report, as well as a potential innovation exemption. While these developments are positive, the Crypto Task Force’s work remains in the early stages, and no formal rulemaking or exemptions have been proposed or adopted to date. In addition, notwithstanding recent positive developments involving the SEC, DOJ, and other federal regulators, state regulators retain independent authority to enforce their own securities laws, which may differ from or be interpreted more expansively than federal law. As a result, a state regulator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spacing w:after="0" w:line="20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From time to time, we also have received with respect to our RHC platform, and might in the future receive, SEC inquiries regarding specific cryptocurrencies supported on our RHC or Bitstamp US platforms and added features and since December 2022, we have received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investigative subpoenas from the SEC regarding, among other topics, RHC’s supported cryptocurrencies, custody of cryptocurrencies, and platform operations. During our discussions with the SEC Staff in the fourth quarter of 2023, the Staff asserted that they are considering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whether, and may recommend that the SEC find that, certain cryptocurrencies supported by our RHC platform are securities, and in the second quarter of 2024, we received a “Wells Notice” stating that the SEC Staff made a “preliminary determination” to recommend that the SEC file an enforcement action against RHC alleging violations of Sections 15(a) and 17A of the Exchange Act. On February 21, 2025, the SEC Division of Enforcement closed the investigation, advising RHC in writing that it had concluded its investigation and did not intend to move forward with recommending an enforcement action.</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w:t>
      </w:r>
    </w:p>
    <w:p>
      <w:pPr>
        <w:jc w:val="both"/>
        <w:spacing w:after="0" w:line="222" w:lineRule="auto"/>
        <w:rPr>
          <w:sz w:val="20"/>
          <w:szCs w:val="20"/>
          <w:color w:val="auto"/>
        </w:rPr>
      </w:pPr>
      <w:r>
        <w:rPr>
          <w:rFonts w:ascii="Arial" w:cs="Arial" w:eastAsia="Arial" w:hAnsi="Arial"/>
          <w:sz w:val="18"/>
          <w:szCs w:val="18"/>
          <w:color w:val="auto"/>
        </w:rPr>
        <w:t>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continue to analyze the cryptocurrencies supported on the RHC and Bitstamp US platforms under our Crypto Listing Frameworks and</w:t>
      </w:r>
    </w:p>
    <w:p>
      <w:pPr>
        <w:spacing w:after="0" w:line="1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Bitstamp’s similar internal policies, respectively, on a periodic basis to ensure that they continue to meet the applicable internal requirements for continued support on the RHC and Bitstamp US platforms which include, among other factors, that we continue to believe they are not</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 June 2025, we launched “Robinhood Stock Tokens” in certain jurisdictions in the EEA, which are designed to provide eligible</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customers in the EEA with exposure to certain U.S. exchange-listed stocks and ETPs. While we currently only offer Robinhood Stock Tokens in the EEA, because the assets underlying the tokens are certain U.S. stocks and ETPs, the SEC could assert jurisdiction over our Robinhood</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 Token offering and claim that transactions in our Robinhood Stock Tokens must be conducted in compliance with applicable federal laws and regulations. See “-Our introduction of Robinhood Stock Tokens in the EEA may expose us to significant regulatory, litigation, contractual, operational, and reputational risks” for more information.</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If the SEC, a state regulator or a private litigant alleges that staking services we offer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19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June 2025, we announced that RHC will be offering crypto staking services to eligible customers in certain jurisdictions in the U.S.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described under “-Risks Related to Cryptocurrency Products and Services-In the U.S., any particular cryptocurrency’s status as a “security” is subject to a high degree of uncertainty and if we have not properly characterized one or more cryptocurrencies, we might be subject to</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As noted above, the litigation against Binance, Coinbase, and Kraken has been dismissed, and the SEC filed a stipulation to dismiss its lawsuit against Consensys with prejudice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believe that our staking services do not offer or sell any “securities” subject to the securities laws or SEC regulations. We also believe that the structure, terms and other characteristics of the staking services offered by RHC generally align with those described in the Staff’s Statement on Certain Protocol Staking Activities issued in May 2025, wherein the Staff stated that it is the Staff’s view that the staking services of the nature described therein do not involve the offer and sale of “securities” within the meaning of the Securities Act and the Exchange Act. However, the Staff’s statement does not constitute a rule, regulation, guidance or statement of the SEC, and may be withdrawn at any time without notice and comment by the Staff or the SEC. Accordingly, we do not know if the SEC will agree with our interpretation of the applicable federal laws or regulations, or if we will be successful if we seek relief from the courts.</w:t>
      </w:r>
    </w:p>
    <w:p>
      <w:pPr>
        <w:spacing w:after="0" w:line="19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 While certain of the state regulators have since dismissed their lawsuits against Coinbase with respect to its staking services, not all state regulators have done so.</w:t>
      </w:r>
    </w:p>
    <w:p>
      <w:pPr>
        <w:spacing w:after="0" w:line="19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the SEC, a state regulator or a private litigant were to prevail on claims that our staking services offered in the U.S. violate the Securities Act, Exchange Act or applicable state laws and regulations, we may be subject to monetary penalties, liabilities, reputational harm, and may be required to cease offering these services.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8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U.S., cryptocurrencies are regulated by both federal and state authorities, depending on the context of their usage. For example, on October 13,</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2023, California enacted the DFAL, which, upon effectiveness on July 1, 2026, will prohibit any person or entity engaging in digital financial asset business activity or holding itself out as being engaged in digital financial asset business activity, with or on behalf of a resident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California (including businesses with a place of business in California), unless that person or entity either (i) holds a license under the DFAL, (ii) has submitted an application for such license on or before July 1, 2026 and is awaiting approval or denial of that application, or (iii) is exempt from licensure. Once licensed, the licensee must comply with requirements related to record maintenance, fee and risk disclosures, cybersecurity, customer protection, and anti-fraud and AML. We expect to apply for a license under DFAL in connection with our cryptocurrency trading operations in California. In addition, the NYDFS requires that any persons or entity engaging in virtual currency activity for third parties in or involving New York, excluding merchants and consumers, must apply for a license, commonly referred to as a BitLicense, from the NYDFS and must comply with AML, cybersecurity, consumer protection, and financial and reporting requirements, among others, or must be chartered under the New York Banking Law and be approved by the NYDFS to engage in virtual currency business activity.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among state governments which, along with potential accounting and tax issues or other requirements relating to cryptocurrencies, could impede the growth of our cryptocurrency operations. The current presidential administration and control of Congress in the U.S. also present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considerable uncertainty as to future cryptocurrency regulations. Additionally, regulation in response to the climate impact of cryptocurrency mining could negatively impact cryptocurrency trading on our platforms.</w:t>
      </w:r>
    </w:p>
    <w:p>
      <w:pPr>
        <w:spacing w:after="0" w:line="20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 cryptocurrency accounting rules and regulations that we must comply with are complex and subject to interpretation by the FASB, the SEC, and various bodies formed to promulgate and interpret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while the staff of the SEC’s Division of Trading and Markets provided certain limited FAQ guidance on May 15, 2025 with respect to net capital considerations, no formal guidance has been provided by the FASB or the SEC. Accordingly, there remains significant uncertainty as to the appropriate accounting for cryptocurrency asset transactions, cryptocurrency assets, and related</w:t>
      </w:r>
    </w:p>
    <w:p>
      <w:pPr>
        <w:jc w:val="both"/>
        <w:spacing w:after="0" w:line="222" w:lineRule="auto"/>
        <w:rPr>
          <w:sz w:val="20"/>
          <w:szCs w:val="20"/>
          <w:color w:val="auto"/>
        </w:rPr>
      </w:pPr>
      <w:r>
        <w:rPr>
          <w:rFonts w:ascii="Arial" w:cs="Arial" w:eastAsia="Arial" w:hAnsi="Arial"/>
          <w:sz w:val="18"/>
          <w:szCs w:val="18"/>
          <w:color w:val="auto"/>
        </w:rPr>
        <w:t>revenues. Uncertainties in or changes in regulatory or financial accounting standards could result in the need to change our accounting methods and/or restate our financial statements, and could impair our ability to provide timely and accurate financial information, which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financial statements, and result in a loss of investor confidence.</w:t>
      </w:r>
    </w:p>
    <w:p>
      <w:pPr>
        <w:spacing w:after="0" w:line="21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RFIA, CLARITY Act and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cryptocurrency trading and might materially decrease our revenue derived from Transaction Rebates in absolute terms and as a proportion of our total revenues.</w:t>
      </w:r>
    </w:p>
    <w:p>
      <w:pPr>
        <w:spacing w:after="0" w:line="204"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January 2023, the Bankruptcy Court for the Southern District of New York issued a ruling in In re Celsius Network LLC, that certain crypto assets held by Celsius customer accounts were the property of Celsius’s estate and that the holders of such accounts are unsecured creditors.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assets that are treated as “covered securities” if acquired on or after January 1, 2026. The implementation of these requirements, and any further legislative changes or related guidance from the Internal Revenue Service and the Treasury Department, might significantly impact our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tax reporting and withholding processes and result in increased compliance costs. Failure to comply with these new information reporting and withholding requirements might subject us to significant tax liabilities and penalties. Similarly, the OECD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continued efforts to expand our business internationally also subject us to additional laws, regulations, or other government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w:t>
      </w:r>
    </w:p>
    <w:p>
      <w:pPr>
        <w:jc w:val="both"/>
        <w:spacing w:after="0" w:line="235" w:lineRule="auto"/>
        <w:rPr>
          <w:sz w:val="20"/>
          <w:szCs w:val="20"/>
          <w:color w:val="auto"/>
        </w:rPr>
      </w:pPr>
      <w:r>
        <w:rPr>
          <w:rFonts w:ascii="Arial" w:cs="Arial" w:eastAsia="Arial" w:hAnsi="Arial"/>
          <w:sz w:val="17"/>
          <w:szCs w:val="17"/>
          <w:color w:val="auto"/>
        </w:rPr>
        <w:t>crypto-asset industry participants, the crypto-asset markets, and their users, particularly trading platforms and service providers that fall within such jurisdictions’ regulatory scope. For example, the provisions of MiCA went into effect as of December 30, 2024, and the FCA announced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new proposals for certain aspects of the prudential requirements for crypto firms. See “Risks Related to Our Business- We might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us to expend significant resources. In addition, any failure to comply with any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which, in turn could have a material adverse effect on our results of operations, financial condition or business. In addition, new laws or regulations, or new interpretations of existing laws or regulations, could have a materially adverse impact on our ability to operate as currently intended, or require us to obtain additional or newly created registrations or licenses in the future and cause us to incur significant</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expense in order to ensure compliance. Additionally, under recommendations from FinCEN, and the Financial Action Task Force, the U.S. and several international jurisdictions in which RHEU or Bitstamp operate have imposed the Funds Travel Rule and the Funds Transfer Rule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Crypto Transfers, crypto staking and lending, Robinhood Wallet, and Robinhood Connect features could result in loss of customer assets, customer disputes, and other liabilities, which could harm our reputation and adversely impact trading volumes and transaction-based revenues.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In the U.S., we allow customers to deposit and withdraw cryptocurrencies to and from our RHC and Bitstamp platforms through our Crypto Transfers feature in the states in which RHC or Bitstamp operates.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customers have access to Robinhood Connect, allowing their customers to use their RHC accounts to buy and transfer crypto, and fund their self-custody wallets.</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w:t>
      </w:r>
    </w:p>
    <w:p>
      <w:pPr>
        <w:jc w:val="both"/>
        <w:spacing w:after="0" w:line="232" w:lineRule="auto"/>
        <w:rPr>
          <w:sz w:val="20"/>
          <w:szCs w:val="20"/>
          <w:color w:val="auto"/>
        </w:rPr>
      </w:pPr>
      <w:r>
        <w:rPr>
          <w:rFonts w:ascii="Arial" w:cs="Arial" w:eastAsia="Arial" w:hAnsi="Arial"/>
          <w:sz w:val="18"/>
          <w:szCs w:val="18"/>
          <w:color w:val="auto"/>
        </w:rPr>
        <w:t>Dogecoin, or other cryptocurrency is sent to a Bitcoin wallet address, for example, or if any of the other foregoing errors occur, such cryptocurrencies could be permanently and irretrievably lost with no means of recovery.</w:t>
      </w:r>
    </w:p>
    <w:p>
      <w:pPr>
        <w:spacing w:after="0" w:line="20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 -party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third-party service provider are slashed by the underlying blockchain network,</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customers’ assets may be confiscated, withdrawn, or burnt by the network, resulting in losses for which we may be responsible. Furthermore, certain types of staking require the payment of transaction fees on the underlying blockchain network, and such fees can become significant as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and complexity of the transaction grows, depending on the degree of network congestion and the price of the network token. If we experience a high volume of such staking requests from customers on an ongoing basis, we could incur significant costs.</w:t>
      </w:r>
    </w:p>
    <w:p>
      <w:pPr>
        <w:spacing w:after="0" w:line="20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w:t>
      </w:r>
    </w:p>
    <w:p>
      <w:pPr>
        <w:spacing w:after="0" w:line="20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negatively. Although our account agreements for Crypto Transfers and licensing agreements for Robinhood Wallet disclaim responsibility for losses caused by user errors, such incidents could result in user disputes, damage to our brand and reputation, legal claims against us,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1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AML and counter-terrorist financing laws, which among other things impose strict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1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20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w:t>
      </w:r>
    </w:p>
    <w:p>
      <w:pPr>
        <w:spacing w:after="0" w:line="21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network and the approach to such forked cryptocurrencies and that we may temporarily suspend trading for a cryptocurrency whose network is undergoing a fork without advanced notice to the customer. Regardless of the foregoing, we might in the future be subject to claims by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rely heavily on third-party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cryptocurrency exchanges after customer trades are executed. Accordingly, we rely on</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third-party banks to facilitate cash settlements with customers’ brokerage accounts, and we rely on the ability of Liquidity Providers and Bitstamp, where applicable, to complete cryptocurrency settlements with us to obtain cryptocurrency for customer accounts. In addition, we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access to bank accounts), payments services, or other financial services to companies providing cryptocurrency products, including us. For instance, in May 2023, two prominent Liquidity Providers announced their respective decisions to limit their offerings in cryptocurrency trading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might also be harmed by the loss of any of our liquidity partners. Unlike our customers’ orders for other cryptocurrencies, which are currently fulfilled by Liquidity Providers, our RHC customers’ orders for USDC, a stablecoin backed by dollar denominated assets held by the issuer in segregated accounts with U.S. regulated financial institutions, are fulfilled directly from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introduction of Robinhood Stock Tokens in the EEA may expose us to significant regulatory, litigation, contractual, operational, and reputational risks.</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June 2025, we launched Robinhood Stock Tokens for eligible customers in certain EEA jurisdictions. These products are designed to provide economic exposure to the price performance of certain U.S. stocks issued by publicly-listed U.S. companies and certain U.S. ETPs,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without conveying legal ownership or shareholder rights, such as voting rights, related to such underlying stocks and ETPs. From time to time, we have offered, and may offer, token products that reference privately-held U.S. companies in connection with certain limited promotional</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initiatives in certain EEA jurisdictions (the “Private Company Stock Token Promotion”). Such tokens and Robinhood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w:t>
      </w:r>
    </w:p>
    <w:p>
      <w:pPr>
        <w:spacing w:after="0" w:line="20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cryptocurrency industry is rapidly evolving, and the tokenization of real-world assets is a nascent development in the industry. Accordingly, there remains considerable regulatory uncertainty regarding how transactions, products, services or offerings involving tokenized real-world assets, including tokenized financial instruments,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SEC Commissioner Hester M. Peirce issued a statement noting that tokenized securities are still securities, and therefore transactions involving tokenized securities are subject to federal securities laws. Advisory committees and staff of the CFTC have also discussed exploring a potential regulatory framework for tokenization of assets, including tokenized collateral.</w:t>
      </w:r>
    </w:p>
    <w:p>
      <w:pPr>
        <w:spacing w:after="0" w:line="19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Regulatory approaches to tokenized real-world assets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real-world asset. In Singapore, the MAS has issued guidance stating that a crypto-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have offered Robinhood Stock Tokens and the Private Company Stock Token Promotion to eligible customers of RHEU in certain 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 to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extent we offer similar tokens or promotions in different jurisdictions in the future), we cannot ensure that regulators would agree with our conclusions. For example, we have received requests for clarifications from the Bank of Lithuania, which has issued RHEU licenses under MiCA</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and MiFID, regarding our Robinhood Stock Tokens and the Private Company Stock Token Promotion in connection with the launch of that offering. Responding to such requests may divert management attention and require us to expend additional resources. If the Bank of Lithuania determines that our Robinhood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Robinhood Stock Token offering), loss or non-renewal of existing licenses or authorizations, increased scrutiny from other regulators, loss of our customers and reputational harm. In addition, any change in applicable laws or regulations, or change in interpretations of existing laws or regulations, could have a materially adverse impact on our ability to operate our Robinhood Stock Token offering as currently intended. In addition, because the assets underlying our Robinhood Stock Tokens and the Private Company Stock Token Promotion are certain U.S. securities, the SEC or other U.S. regulators, including the CFTC, could assert jurisdiction over our Robinhood Stock Token offering or the Private Company Stock Token Promotion and claim that transactions in related tokens must be conducted in compliance with applicable U.S. laws and regulations. Such a determination could result in lawsuits, regulatory action and enforcement</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may also face contractual or legal challenges from the issuers of the referenced securities. Some companies, particularly private companies with transfer restrictions, may object to the creation of synthetic instruments such as tokens which reference the companies’ securities and are facilitated by Robinhood or one of its affiliates holding an interest in a SPV that holds the referenced securities or instruments representing a contingent interest in the referenced securities. In such cases, the issuer may assert that our interest in the SPV is invalid, 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Robinhood Stock Token offering and the Private Company Stock Token Promotion also involved, and could involve, operational risks, in</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addition to existing cryptocurrency risks. They have relied on, and could rely on, accurate and timely price data, functioning systems for custody and valuation, and clear communication to customers about how the tokens work. If these systems fail, or if customers misunderstand that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tokens don’t represent actual securities, we could face regulatory action, legal exposure, or reputational harm.</w:t>
      </w:r>
    </w:p>
    <w:p>
      <w:pPr>
        <w:spacing w:after="0" w:line="21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we are unable to adequately manage these risks, or if regulators, issuers, or other counterparties take adverse action, our Robinhood Stock Token or similar initiatives in the future could be curtailed or terminated, which could adversely affect our crypto and international business operations, expose us to significant liability and harm our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spending, payments and banking products and services subject us to risks related to bank partnerships, FDIC pass-through insurance and other regulatory obligations.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offered a Spending Account (in connection with a partnership with J.P. Morgan Chase Bank, N.A.), and partnered, on a non-exclusive basis, with Sutton Bank (“Sutton”), an Ohio-chartered bank, pursuant to a license from Mastercard International Incorporated, to offer the Robinhood Cash Card. Under the terms of our program agreement with Sutton, Robinhood Cash Card accounts for our users were opened and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maintained by Sutton. We act as the service provider to, among other things, facilitate communication between our users and Sutton for which we receive compensation from Sutton. We began winding down the Spending Account product in 2025 by closing inactive, unfunded accounts.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product is expected to be fully wound down by the second quarter of 2026. We recently began (on an invite-only basis) offering external customers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Additionally, Robinhood branded credit cards are issued by Coastal Bank, a Washington-chartered bank, pursuant to a partnership with Visa U.S.A. Inc. Our partner banks are members of the FDIC.</w:t>
      </w:r>
    </w:p>
    <w:p>
      <w:pPr>
        <w:spacing w:after="0" w:line="208"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We believe our record 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held at our partner banks are not covered by deposit insurance, participating users might decide to withdraw their funds, which could adversely affect our brand and our business. Due to the fact that we are deemed a service-provider to our partner banks, we are subject to audit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standards for third-party vendors in accordance with bank regulatory guidance and examinations by federal bank regulatory authorities and the CFPB.</w:t>
      </w:r>
    </w:p>
    <w:p>
      <w:pPr>
        <w:spacing w:after="0" w:line="20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As a result of the stored 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Robinhood Credit paid a penalty of $200,000 to the Massachusetts Division of Banks for previously engaging in the business of a third party loan servicer in Massachusetts without the appropriate registration. Violations of any of these requirements could result in the assessment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actual damages or statutory damages or penalties (including treble damages in some instances) and plaintiffs’ attorneys’ fees.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offering of consumer credit cards through Robinhood Credit increases our exposure to customer defaults and credit risk and could result in losses.</w:t>
      </w:r>
    </w:p>
    <w:p>
      <w:pPr>
        <w:spacing w:after="0" w:line="17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w:t>
      </w:r>
    </w:p>
    <w:p>
      <w:pPr>
        <w:jc w:val="both"/>
        <w:spacing w:after="0" w:line="222" w:lineRule="auto"/>
        <w:rPr>
          <w:sz w:val="20"/>
          <w:szCs w:val="20"/>
          <w:color w:val="auto"/>
        </w:rPr>
      </w:pPr>
      <w:r>
        <w:rPr>
          <w:rFonts w:ascii="Arial" w:cs="Arial" w:eastAsia="Arial" w:hAnsi="Arial"/>
          <w:sz w:val="18"/>
          <w:szCs w:val="18"/>
          <w:color w:val="auto"/>
        </w:rPr>
        <w:t>2022) or public health threats (like the COVID-19 pandemic). Additionally, if any of these factors make it economically unfeasible for us to continue to offer the Robinhood Gold Card Rewards Program and we cease to offer such rewards, it might make Robinhood Credit products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less desirable to customers. Any material increase in credit losses and defaults or inability to retain existing or attract new Robinhood Credit customers could have adverse effects on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payments, and banking services for illegal activities or improper purposes could harm our business</w:t>
      </w:r>
      <w:r>
        <w:rPr>
          <w:rFonts w:ascii="Arial" w:cs="Arial" w:eastAsia="Arial" w:hAnsi="Arial"/>
          <w:sz w:val="18"/>
          <w:szCs w:val="18"/>
          <w:i w:val="1"/>
          <w:iCs w:val="1"/>
          <w:color w:val="auto"/>
        </w:rPr>
        <w:t>.</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The highly automated nature of, and liquidity offered by, our spending and payments services to move money make us and our customers a target for illegal or improper uses, including scams and fraud directed at our stored value Spending Account, Robinhood Cash Card, Robinhood Banking accounts (including the cash delivery feature, which allows customers in supported jurisdictions to order cash directly to their residences),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spacing w:after="0" w:line="207"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 protection in non-U.S. countries as they would in the U.S.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trademarks could be lost or impaired, which could harm our brand and our business. Our trademarks might also be opposed, contested, circumvented or found to be unenforceable, weak or invalid, and we might not be able to prevent third parties from infringing or otherwise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violating them or using similar marks in a manner that causes confusion or dilutes the value or strength of our brand.</w:t>
      </w:r>
    </w:p>
    <w:p>
      <w:pPr>
        <w:spacing w:after="0" w:line="214"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0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19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been, currently are,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seek to monetize the intellectual property rights they own to extract value through licensing or other settlements.</w:t>
      </w:r>
    </w:p>
    <w:p>
      <w:pPr>
        <w:spacing w:after="0" w:line="23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7"/>
          <w:szCs w:val="17"/>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From time to time, our competitors or other third parties have in the past claimed, currently claim, and might in the future claim,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0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use open source software in our products and services (as well as in some of our internally developed systems) and we anticipate using</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of our own proprietary source code and/or may make contributions to open source software. There is a risk that our proprietary software or contributions may be used in such a manner that we may need to enforce our rights to ownership of such open source software, including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3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incur debt to increase our liquidity position.</w:t>
      </w:r>
    </w:p>
    <w:p>
      <w:pPr>
        <w:spacing w:after="0" w:line="21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maintain voluntary and required insurance coverage, including, among others, general liability, property, director and officer, excess-SIPC, cyber and data breach, crime, and fidelity bond insurance. Our insurance coverage is expensive and maintaining or expanding our insurance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coverage might have an adverse effect on our results of operations and financial condition.</w:t>
      </w:r>
    </w:p>
    <w:p>
      <w:pPr>
        <w:spacing w:after="0" w:line="21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spacing w:after="0" w:line="189"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19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09"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30"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As of December 31, 2025, we have U.S. federal, state and non-U.S. NOLs available to reduce future taxable income subject to certain limitations. Under Sections 382 and 383 of the Code, a corporation that undergoes an “ownership change” (as defined by the Code) may be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Although we believe we are compliant with the tax reporting and withholding requirements with respect to our customers’ transactions in the</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reporting or withholding requirements with respect to customer asset transactions, we may be exposed to additional withholding obligations, which could increase our compliance costs and result in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0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w:t>
      </w:r>
    </w:p>
    <w:p>
      <w:pPr>
        <w:jc w:val="both"/>
        <w:spacing w:after="0" w:line="235" w:lineRule="auto"/>
        <w:rPr>
          <w:sz w:val="20"/>
          <w:szCs w:val="20"/>
          <w:color w:val="auto"/>
        </w:rPr>
      </w:pPr>
      <w:r>
        <w:rPr>
          <w:rFonts w:ascii="Arial" w:cs="Arial" w:eastAsia="Arial" w:hAnsi="Arial"/>
          <w:sz w:val="17"/>
          <w:szCs w:val="17"/>
          <w:color w:val="auto"/>
        </w:rPr>
        <w:t>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w:t>
      </w:r>
    </w:p>
    <w:p>
      <w:pPr>
        <w:jc w:val="both"/>
        <w:spacing w:after="0" w:line="232" w:lineRule="auto"/>
        <w:rPr>
          <w:sz w:val="20"/>
          <w:szCs w:val="20"/>
          <w:color w:val="auto"/>
        </w:rPr>
      </w:pPr>
      <w:r>
        <w:rPr>
          <w:rFonts w:ascii="Arial" w:cs="Arial" w:eastAsia="Arial" w:hAnsi="Arial"/>
          <w:sz w:val="18"/>
          <w:szCs w:val="18"/>
          <w:color w:val="auto"/>
        </w:rPr>
        <w:t>and have a material and adverse effect on our business, results of operations, financial condition and prospects. In addition, if we are unable to continue to meet these requirements, we might not be able to remain listed on the Nasdaq.</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08" w:lineRule="exact"/>
        <w:rPr>
          <w:sz w:val="20"/>
          <w:szCs w:val="20"/>
          <w:color w:val="auto"/>
        </w:rPr>
      </w:pPr>
    </w:p>
    <w:p>
      <w:pPr>
        <w:jc w:val="both"/>
        <w:ind w:left="640" w:hanging="316"/>
        <w:spacing w:after="0" w:line="24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announcements by us or our competitors of new offerings or platform features;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public’s perception of the quality and accuracy of our key metrics on our customer base and engagement;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public’s reaction to our media statements, other public announcements and filings with the SEC;</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rumors and market speculation involving us or other companies in our industry;</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extent to which retail and other individual investors (as distinguished from institutional investors), including our customers, invest in our Class A common stock, which might result in increased volatility; and</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media coverage related to certain individuals and entities identified as having owned our stock, and any speculation related to plans to dispose of their holdings.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spacing w:after="0" w:line="202"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stock, which would create additional downward pressure on the trading price of our Class A common stock.</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As of December 31, 2025, our founders and their related entities hold approximately 12% of our outstanding common stock (and, as described below, over 50% of the voting power of our outstanding capital stock). If our founders or other significant stockholders sell, or indicate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an intent to sell, large amounts of stock in the public market, such sales, or the perception that these sales might occur, could cause the trading price of our Class A common stock to decline substantially.</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12 - Common Stock and Stockholders’ Equity to our consolidated financial statements in this Annual Report) and for issuance under our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1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deem appropriate. These sales could also cause the trading price of our Class A common stock to fall and make it more difficult for you to sell shares of our Class A common stock.</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On May 28, 2024, Robinhood announced that its board of directors approved the Repurchase Program authorizing the Company to repurchase up to $1 billion of its outstanding Class A common stock to return value to shareholders. In July 2024, Robinhood began to execute on the Repurchase Program and on April 30, 2025, we announced that the board of directors has authorized an additional $500 million, bringing the Repurchase Program authorization to a total of $1.5 billion. As of December 31, 2025, Robinhood has made share repurchases of $910 million under the Repurchase Program. While the Repurchase Program does not have an expiration date, the Company’s management expects to complete the remainder of the authorization over the next roughly two years, with flexibility to accelerate if market conditions warrant. The timing and amount of repurchase transactions will be determined by the Company from time to time at its discretion based on its evaluation of</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market conditions, share price, and other factors, and repurchase transactions may be made using a variety of methods, such as open market share repurchases, including the use of trading plans intended to qualify under Rule 10b5-1 under the Exchange Act, or other financial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7"/>
          <w:szCs w:val="17"/>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184"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Our Class A common stock has one vote per share, our Class B common stock has 10 votes per share, and our Class C common stock has no voting rights, except as otherwise required by law. Our founders and Founder Affiliates together hold all of the issued and outstanding shares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our Class B common stock. Accordingly, Mr. Tenev, who is also our CEO, President and Chair of our board of directors, and Mr. Bhatt, who is a director, collectively with their related entities hold over 50% of the voting power of our outstanding capital stock. As a result, our founders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In addition, our founders and Founder Affiliates have entered into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19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Further pursuant to the equity exchange right agreements entered into between us and each of our founders in connection with our IPO, each of our founders has Equity Exchange Rights. Any exercise by our founders of these Equity Exchange Rights will dilute the voting power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A common stock.</w:t>
      </w:r>
    </w:p>
    <w:p>
      <w:pPr>
        <w:spacing w:after="0" w:line="214" w:lineRule="exact"/>
        <w:rPr>
          <w:sz w:val="20"/>
          <w:szCs w:val="20"/>
          <w:color w:val="auto"/>
        </w:rPr>
      </w:pPr>
    </w:p>
    <w:p>
      <w:pPr>
        <w:jc w:val="both"/>
        <w:ind w:right="20" w:firstLine="318"/>
        <w:spacing w:after="0" w:line="258" w:lineRule="auto"/>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no current plans to issue shares of our Class C common stock. Because the shares of our Class C common stock have no voting</w:t>
      </w:r>
    </w:p>
    <w:p>
      <w:pPr>
        <w:spacing w:after="0" w:line="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7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0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8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0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choosing for disputes with us or our directors, officers, or other employees, which might discourage lawsuits against us and our directors, officers, and other employees. The enforceability of similar choice of forum provisions in other companies’ charter documents has been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auto"/>
        </w:rPr>
        <w:t>ITEM 1B. UNRESOLVED STAFF COMMENTS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1C. CYBERSECURITY</w:t>
      </w:r>
    </w:p>
    <w:p>
      <w:pPr>
        <w:spacing w:after="0" w:line="19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 As a result, our systems and operations as well as those of the third parties on which we rely to conduct certain key functions are vulnerable to cybersecurity incidents, which we have experienced in the past. Although no organization can eliminate cybersecurity and information technology risk completely, we have a cybersecurity program that includes physical, technological, and administrative controls designed to detect, contain, respond to and remediate cybersecurity threats and incidents and defined processes to assess, identify and manage material risks from cybersecurity threats. These controls and processes include, among others:</w:t>
      </w:r>
    </w:p>
    <w:p>
      <w:pPr>
        <w:spacing w:after="0" w:line="133" w:lineRule="exact"/>
        <w:rPr>
          <w:sz w:val="20"/>
          <w:szCs w:val="20"/>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 vulnerability management program that performs regular vulnerability scans and relies on our risk-based information security program to promote coverage of critical areas;</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an offensive security team that actively tests our security controls, imitating methods persons trying to achieve unauthorized access might use to identify any weaknesses;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global privacy program supported by our privacy engineering and privacy legal teams;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an incident response plan which outlines the roles and responsibilities of key personnel in the event of a cybersecurity incident;</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conducting mandatory annual security and privacy training for employees and contractors and, where appropriate, giving employees and contractors role-based training focused on content specific to their role at the Company;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undertaking an annual review of our consumer facing policies and statements related to cybersecurity;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our employees to treat customer information and data with care through policy, practice and contract (as applicable);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carrying cybersecurity insurance that provides some protection against potential losses arising from a cybersecurity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cybersecurity program is managed by the Company’s Security and Corporate Engineering organization, which is led by our CISO, who reports directly to the Chief Technology Officer. Our CISO has over twenty years of experience in the security industry and has held a variety of leadership positions in cybersecurity at Medicity, Aetna, and Google. Additionally, several of Robinhood’s subsidiaries, including RHC, RHF, and RHS, have a Chief Information Security Officer, who reports to the Company’s CISO, and an ROC that manages risks, including cybersecurity risks, specific to each entity’s business. Each of our Chief Information Security Officers has expertise in cybersecurity, industry and regulatory standards, risk management, and security operations. The Security organization elevates risks to the relevant ROCs where applicable. Our cybersecurity program is aligned with industry standards and best practices, such as the NIST CSF and NIST 800-53 R5 control framework, and we engage third-party consultants annually to conduct a NIST CSF maturity assessment of our cybersecurity program.</w:t>
      </w:r>
    </w:p>
    <w:p>
      <w:pPr>
        <w:spacing w:after="0" w:line="13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maintain a Third Party Security and Privacy Standard and conduct security reviews of vendors, including for potential fourth-party risks, prior to and during their contracts with Robinhood and require all third-party service providers with access to personal, confidential or proprietary information to implement and maintain cybersecurity practices consistent with applicable legal standards and industry standards. Any identified security or privacy risks of doing business with a vendor, including potential fourth-party risks, are highlighted to business owners to help make informed risk-based decisions.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engage the assistance of third-party consultants to increase protection of our information and IT systems and network to help secure long-term value for our stakeholders. Services provided by third-party consultants include, but are not limited to: regular assessments of our cybersecurity program including cyber maturity assessments and penetration tests; risk scoring of our critical business partners and vendors; and participating in incident response processes.</w:t>
      </w:r>
    </w:p>
    <w:p>
      <w:pPr>
        <w:spacing w:after="0" w:line="1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management is responsible for the Company’s day-to-day risk operations and management processes. Management has established cybersecurity standards to improve the Company’s cybersecurity risk posture and to help define and implement appropriate measures to protect the Company’s systems and data from cyber threats. In addition to our Internal Audit and Compliance functions, the ERM team partners with various front-line risk teams and risk owners across Robinhood, to foster consistent risk management practices across Robinhood. In particular, the ERM team provides governance over risk management practices and reports on a quarterly basis on top risks to the Safety Committee, along with planned mitigants and monitoring procedures.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a cybersecurity incident occurs, incident response procedures are in place to facilitate the appropriate reporting to the CISO, and business continuity plans are mobilized to minimize disruption to business operations. We have also implemented guidelines to outline communications responsibilities during incidents of all severity levels, including an escalation process for alerting senior management of high severity and material incidents.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a significant cybersecurity incident occurs, we will conduct an assessment to determine if it is material to us. If a materiality assessment is required, the CISO will report such an incident to our MAC, which consists of the CFO, CLO, and CBO (in addition to the CISO) and notify the CEO. The MAC will then determine, without unreasonable delay, whether the incident is material to the Company. In making such determination, the MAC may consult with the CEO, other members of the Company’s management, and the Company’s outside professional advisors, in each case, as appropriate. The incident materiality determination will be made by considering all relevant quantitative and qualitative factors, including without limitation: the nature, size and scope of the incident; financial condition; results of operations; litigation or regulatory investigations/actions; the Company’s reputation, and customer and vendor relationships; and competitiveness.</w:t>
      </w:r>
    </w:p>
    <w:p>
      <w:pPr>
        <w:spacing w:after="0" w:line="14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principal role of our board of directors and the Safety Committee, a board-level committee composed solely of independent directors, is one of oversight, recognizing that management is responsible for the design, implementation, and maintenance of an effective program for protecting against and mitigating data privacy and cybersecurity risks. The Safety Committee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management’s exercise of its responsibility to identify, assess, manage, monitor and mitigate material risks not specifically allocated to the board of directors or another of its committees. The Safety Committee has been explicitly assigned the responsibility to oversee risks from cybersecurity threats, among others, and the full board of directors will be notified when the MAC is assessing a cybersecurity incident and informed of any required disclosures. Our board of directors and Safety Committee receive updates on relevant industry developments, threats, and material risks identified as needed each quarter, including material legal and legislative developments, concerning data privacy and security, the rapidly evolving cybersecurity risk landscape, and the Safety Committee facilitates the board of directors’ oversight responsibilities.</w:t>
      </w:r>
    </w:p>
    <w:p>
      <w:pPr>
        <w:spacing w:after="0" w:line="13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systems and those of our customers and third-party service providers have been and might in the future be vulnerable to cybersecurity threats. For more information about risks related to cybersecurity threats, including previous cybersecurity incidents (including the November 2021 Data Security Incident (defined below)), that have materially affected or are reasonably likely to materially affect our business, financial condition, and results of operations, see “Risk Factors–</w:t>
      </w:r>
      <w:r>
        <w:rPr>
          <w:rFonts w:ascii="Arial" w:cs="Arial" w:eastAsia="Arial" w:hAnsi="Arial"/>
          <w:sz w:val="17"/>
          <w:szCs w:val="17"/>
          <w:i w:val="1"/>
          <w:iCs w:val="1"/>
          <w:color w:val="auto"/>
        </w:rPr>
        <w:t>Our business could be materially and adversely affected by a cybersecurity breach or</w:t>
      </w:r>
      <w:r>
        <w:rPr>
          <w:rFonts w:ascii="Arial" w:cs="Arial" w:eastAsia="Arial" w:hAnsi="Arial"/>
          <w:sz w:val="17"/>
          <w:szCs w:val="17"/>
          <w:color w:val="auto"/>
        </w:rPr>
        <w:t xml:space="preserve"> </w:t>
      </w:r>
      <w:r>
        <w:rPr>
          <w:rFonts w:ascii="Arial" w:cs="Arial" w:eastAsia="Arial" w:hAnsi="Arial"/>
          <w:sz w:val="17"/>
          <w:szCs w:val="17"/>
          <w:i w:val="1"/>
          <w:iCs w:val="1"/>
          <w:color w:val="auto"/>
        </w:rPr>
        <w:t>other attack involving our computer systems or data or those of our customers or third-party or fourth-party service providers</w:t>
      </w:r>
      <w:r>
        <w:rPr>
          <w:rFonts w:ascii="Arial" w:cs="Arial" w:eastAsia="Arial" w:hAnsi="Arial"/>
          <w:sz w:val="17"/>
          <w:szCs w:val="17"/>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ITEM 2. PROPERTIES</w:t>
      </w:r>
    </w:p>
    <w:p>
      <w:pPr>
        <w:spacing w:after="0" w:line="18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corporate headquarters are located in Menlo Park, California, where we currently have lease commitments for multiple facilities with various expiration dates through 2036. We otherwise lease office facilities throughout the United States and other countries around the world for engineering, sales, marketing, and operations, as well as general and administrative purposes.</w:t>
      </w:r>
    </w:p>
    <w:p>
      <w:pPr>
        <w:spacing w:after="0" w:line="15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ITEM 3. LEGAL PROCEEDINGS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15 - Commitments &amp; Contingencies to our consolidated financial statements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25"/>
          <w:szCs w:val="25"/>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Class A common stock has been listed on the Nasdaq Global Select Market under the symbol “HOOD” since July 29, 2021. Prior to that time, there was no public market for our stock.</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B and Class C common stock are not listed on any stock exchange nor traded on any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11, 2026, there were 89 stockholders of record of our Class A common stock. Because many of our shares of Class A common stock are held by brokers and other institutions on behalf of stockholders, we are unable to estimate the total number of stockholders represented by these record holders. As of February 11, 2026, there were nine stockholders of record of our Class B common stock and zero stockholders of record of our Class C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February 26, 2025, the Company completed the acquisition of TradePMR. 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in a transaction exempt from registration pursuant to Section 4(a)(2) of the Securities Act. Refer to Note 3 - Business Combinations to our consolidated financial statements in this Annual Report for more information on this transaction.</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than the above, from January 1, 2025 through December 31, 2025 the Company did not sell any shares of Class A common stock (or other equity securities of RHM)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repurchases of shares of our Class A common stock during the three months ended December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4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 Number of</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 Price Paid</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Purchased as Part of</w:t>
            </w:r>
          </w:p>
        </w:tc>
        <w:tc>
          <w:tcPr>
            <w:tcW w:w="1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Publicly Announced Plans</w:t>
            </w:r>
          </w:p>
        </w:tc>
        <w:tc>
          <w:tcPr>
            <w:tcW w:w="260" w:type="dxa"/>
            <w:vAlign w:val="bottom"/>
          </w:tcPr>
          <w:p>
            <w:pPr>
              <w:spacing w:after="0"/>
              <w:rPr>
                <w:sz w:val="12"/>
                <w:szCs w:val="12"/>
                <w:color w:val="auto"/>
              </w:rPr>
            </w:pPr>
          </w:p>
        </w:tc>
        <w:tc>
          <w:tcPr>
            <w:tcW w:w="1680" w:type="dxa"/>
            <w:vAlign w:val="bottom"/>
          </w:tcPr>
          <w:p>
            <w:pPr>
              <w:jc w:val="center"/>
              <w:ind w:right="99"/>
              <w:spacing w:after="0" w:line="146"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6"/>
                <w:szCs w:val="16"/>
                <w:color w:val="auto"/>
              </w:rPr>
            </w:pPr>
          </w:p>
        </w:tc>
        <w:tc>
          <w:tcPr>
            <w:tcW w:w="1220" w:type="dxa"/>
            <w:vAlign w:val="bottom"/>
          </w:tcPr>
          <w:p>
            <w:pPr>
              <w:jc w:val="right"/>
              <w:ind w:right="235"/>
              <w:spacing w:after="0" w:line="191"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(1)</w:t>
            </w:r>
          </w:p>
        </w:tc>
        <w:tc>
          <w:tcPr>
            <w:tcW w:w="1840" w:type="dxa"/>
            <w:vAlign w:val="bottom"/>
          </w:tcPr>
          <w:p>
            <w:pPr>
              <w:jc w:val="center"/>
              <w:spacing w:after="0" w:line="191"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8"/>
                <w:szCs w:val="18"/>
                <w:b w:val="1"/>
                <w:bCs w:val="1"/>
                <w:color w:val="auto"/>
                <w:w w:val="98"/>
                <w:vertAlign w:val="superscript"/>
              </w:rPr>
              <w:t>(2)</w:t>
            </w:r>
          </w:p>
        </w:tc>
        <w:tc>
          <w:tcPr>
            <w:tcW w:w="260" w:type="dxa"/>
            <w:vAlign w:val="bottom"/>
          </w:tcPr>
          <w:p>
            <w:pPr>
              <w:spacing w:after="0"/>
              <w:rPr>
                <w:sz w:val="16"/>
                <w:szCs w:val="16"/>
                <w:color w:val="auto"/>
              </w:rPr>
            </w:pPr>
          </w:p>
        </w:tc>
        <w:tc>
          <w:tcPr>
            <w:tcW w:w="1680" w:type="dxa"/>
            <w:vAlign w:val="bottom"/>
          </w:tcPr>
          <w:p>
            <w:pPr>
              <w:jc w:val="center"/>
              <w:ind w:right="79"/>
              <w:spacing w:after="0" w:line="191" w:lineRule="exact"/>
              <w:rPr>
                <w:sz w:val="20"/>
                <w:szCs w:val="20"/>
                <w:color w:val="auto"/>
              </w:rPr>
            </w:pPr>
            <w:r>
              <w:rPr>
                <w:rFonts w:ascii="Arial" w:cs="Arial" w:eastAsia="Arial" w:hAnsi="Arial"/>
                <w:sz w:val="14"/>
                <w:szCs w:val="14"/>
                <w:b w:val="1"/>
                <w:bCs w:val="1"/>
                <w:color w:val="auto"/>
                <w:w w:val="97"/>
              </w:rPr>
              <w:t xml:space="preserve">Plans or Programs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2025 - October 31,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69,694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November 1, 2025 - November 30, 2025</w:t>
            </w:r>
          </w:p>
        </w:tc>
        <w:tc>
          <w:tcPr>
            <w:tcW w:w="1420" w:type="dxa"/>
            <w:vAlign w:val="bottom"/>
          </w:tcPr>
          <w:p>
            <w:pPr>
              <w:jc w:val="right"/>
              <w:spacing w:after="0"/>
              <w:rPr>
                <w:sz w:val="20"/>
                <w:szCs w:val="20"/>
                <w:color w:val="auto"/>
              </w:rPr>
            </w:pPr>
            <w:r>
              <w:rPr>
                <w:rFonts w:ascii="Arial" w:cs="Arial" w:eastAsia="Arial" w:hAnsi="Arial"/>
                <w:sz w:val="18"/>
                <w:szCs w:val="18"/>
                <w:color w:val="auto"/>
              </w:rPr>
              <w:t>671,947</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117.28</w:t>
            </w: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671,947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2025 -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89,988</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89,988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8"/>
        </w:trPr>
        <w:tc>
          <w:tcPr>
            <w:tcW w:w="460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831,629</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119.86</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831,629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 w:lineRule="exact"/>
        <w:rPr>
          <w:sz w:val="20"/>
          <w:szCs w:val="20"/>
          <w:color w:val="auto"/>
        </w:rPr>
      </w:pPr>
    </w:p>
    <w:p>
      <w:pPr>
        <w:ind w:left="160" w:hanging="154"/>
        <w:spacing w:after="0"/>
        <w:tabs>
          <w:tab w:leader="none" w:pos="160"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average cost per share excludes the 1% excise tax on net share repurchase and commissions.</w:t>
      </w:r>
    </w:p>
    <w:p>
      <w:pPr>
        <w:spacing w:after="0" w:line="10" w:lineRule="exact"/>
        <w:rPr>
          <w:rFonts w:ascii="Arial" w:cs="Arial" w:eastAsia="Arial" w:hAnsi="Arial"/>
          <w:sz w:val="9"/>
          <w:szCs w:val="9"/>
          <w:color w:val="auto"/>
        </w:rPr>
      </w:pPr>
    </w:p>
    <w:p>
      <w:pPr>
        <w:jc w:val="both"/>
        <w:ind w:left="160" w:hanging="154"/>
        <w:spacing w:after="0" w:line="255" w:lineRule="auto"/>
        <w:tabs>
          <w:tab w:leader="none" w:pos="139" w:val="left"/>
        </w:tabs>
        <w:numPr>
          <w:ilvl w:val="0"/>
          <w:numId w:val="39"/>
        </w:numPr>
        <w:rPr>
          <w:rFonts w:ascii="Arial" w:cs="Arial" w:eastAsia="Arial" w:hAnsi="Arial"/>
          <w:sz w:val="9"/>
          <w:szCs w:val="9"/>
          <w:color w:val="auto"/>
        </w:rPr>
      </w:pPr>
      <w:r>
        <w:rPr>
          <w:rFonts w:ascii="Arial" w:cs="Arial" w:eastAsia="Arial" w:hAnsi="Arial"/>
          <w:sz w:val="14"/>
          <w:szCs w:val="14"/>
          <w:color w:val="auto"/>
        </w:rPr>
        <w:t>On May 28, 2024, we announced that the board of directors approved the Repurchase Program authorizing the Company to repurchase up to $1 billion of its outstanding Class A common stock. On April 30, 2025, we announced that the board of directors has authorized an additional $500 million, bringing the Repurchase Program authorization to a total of $1.5 billion.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12 - Common Stock and Stockholders’ Equity of our consolidated financial statements in this Annual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124460</wp:posOffset>
            </wp:positionV>
            <wp:extent cx="5243830" cy="285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4383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graph above compares the cumulative total stockholder return on our Class A common stock with the cumulative total return of the KBW NASDAQ Financial Technology Index and the Standard &amp; Poor’s 500 Index. The graph assumes (i) that $100 was invested at the market close on July 29, 2021, the date that our Class A common stock commenced trading on the Nasdaq Global Select Market, in each of our Class A common stock, the KBW NASDAQ Financial Technology Index, and the Standard &amp; Poor’s 500 Index and (ii) reinvestment of gross dividends. The graph uses the closing market price on July 29, 2021 of $ 34.82 per share as the initial value of our Class A common stock. The stock price performance shown in the graph represents past performance and should not be considered an indication of future stock price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right="760"/>
        <w:spacing w:after="0" w:line="291" w:lineRule="auto"/>
        <w:rPr>
          <w:sz w:val="20"/>
          <w:szCs w:val="20"/>
          <w:color w:val="auto"/>
        </w:rPr>
      </w:pPr>
      <w:r>
        <w:rPr>
          <w:rFonts w:ascii="Arial" w:cs="Arial" w:eastAsia="Arial" w:hAnsi="Arial"/>
          <w:sz w:val="35"/>
          <w:szCs w:val="35"/>
          <w:color w:val="auto"/>
        </w:rPr>
        <w:t>ITEM 7. MANAGEMENT’S DISCUSSION AND ANALYSIS OF FINANCIAL CONDITION AND RESULTS OF OPERATIONS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Annual Report, and should be read in conjunction with our consolidated financial statements and notes elsewhere in this Annual Report.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5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refer to our “users” and our “customers” interchangeably throughout this Annual Report to refer to individuals who hold accounts on our platforms.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380" w:lineRule="exact"/>
        <w:rPr>
          <w:sz w:val="20"/>
          <w:szCs w:val="20"/>
          <w:color w:val="auto"/>
        </w:rPr>
      </w:pPr>
    </w:p>
    <w:p>
      <w:pPr>
        <w:ind w:right="540" w:firstLine="274"/>
        <w:spacing w:after="0" w:line="289"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11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 Results and Performance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respect to the year ended December 31, 2025, as compared to the year ended December 31, 2024:</w:t>
      </w:r>
    </w:p>
    <w:p>
      <w:pPr>
        <w:spacing w:after="0" w:line="190"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net revenues increased 52% to $4.47 billion compared to $2.95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increased 33% to $1.88 billion compared to $1.41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diluted EPS increased 31% to $2.05 compared to $1.56;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operating expenses increased 25% to $2.38 billion compared to $1.90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(non-GAAP) increased 76% to $2.52 billion compared to $1.43 billion;</w:t>
      </w:r>
    </w:p>
    <w:p>
      <w:pPr>
        <w:spacing w:after="0" w:line="190"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Funded Customers increased by 1.8 million, 7%, to 27.0 million compared to 25.2 million and Investment Accounts increased by 2.2 million , 8%, to 28.4 million compared to 26.2 million;</w:t>
      </w:r>
    </w:p>
    <w:p>
      <w:pPr>
        <w:spacing w:after="0" w:line="118" w:lineRule="exact"/>
        <w:rPr>
          <w:rFonts w:ascii="Arial" w:cs="Arial" w:eastAsia="Arial" w:hAnsi="Arial"/>
          <w:sz w:val="18"/>
          <w:szCs w:val="18"/>
          <w:color w:val="auto"/>
        </w:rPr>
      </w:pPr>
    </w:p>
    <w:p>
      <w:pPr>
        <w:ind w:left="640" w:hanging="316"/>
        <w:spacing w:after="0" w:line="233"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Platform Assets increased 67% to $322.1 billion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compared to $192.9 billion, driven by continued Net Deposits, acquired assets, and higher equity valuations;</w:t>
      </w:r>
    </w:p>
    <w:p>
      <w:pPr>
        <w:spacing w:after="0" w:line="15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Deposits were $68.1 billion, which translates to a growth rate of 35% relative to Total Platform Assets at the end of the fourth quarter of 2024, compared to $50.5 billion, which translates to a growth rate of 49% relative to Total Platform Assets at the end of the fourth quarter of 2023;</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ARPU increased 40% to $171 compared to $122;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Robinhood Gold Subscribers increased 58% to 4.18 million compared to 2.64 million.</w:t>
      </w:r>
    </w:p>
    <w:p>
      <w:pPr>
        <w:spacing w:after="0" w:line="17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44" w:lineRule="exact"/>
        <w:rPr>
          <w:sz w:val="20"/>
          <w:szCs w:val="20"/>
          <w:color w:val="auto"/>
        </w:rPr>
      </w:pPr>
    </w:p>
    <w:p>
      <w:pPr>
        <w:ind w:firstLine="324"/>
        <w:spacing w:after="0" w:line="217" w:lineRule="auto"/>
        <w:tabs>
          <w:tab w:leader="none" w:pos="49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Subsequent to the release of our preliminary earnings results for the fourth quarter and full year 2025 on February 10, 2026, December 2025 Total Platform Assets were revised to reflect final crypto pricing data.</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MIAXdx</w:t>
      </w:r>
    </w:p>
    <w:p>
      <w:pPr>
        <w:spacing w:after="0" w:line="177"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Business Acquisitions</w:t>
      </w:r>
    </w:p>
    <w:p>
      <w:pPr>
        <w:spacing w:after="0" w:line="177"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w:t>
      </w:r>
    </w:p>
    <w:p>
      <w:pPr>
        <w:spacing w:after="0" w:line="137"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In December 2025, we entered into agreements to acquire PT Buana Capital Sekuritas, an Indonesian brokerage, and PT Pedagang Aset Kripto, a licensed Indonesian digital financial asset trader. Both pending acquisitions are subject to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67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Funded Customers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i w:val="1"/>
                <w:iCs w:val="1"/>
                <w:color w:val="auto"/>
              </w:rPr>
              <w:t>(in millions)</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4"/>
        </w:trPr>
        <w:tc>
          <w:tcPr>
            <w:tcW w:w="674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4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 xml:space="preserve">Total Platform Assets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(in billions)</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192.9</w:t>
            </w:r>
          </w:p>
        </w:tc>
        <w:tc>
          <w:tcPr>
            <w:tcW w:w="100" w:type="dxa"/>
            <w:vAlign w:val="bottom"/>
          </w:tcPr>
          <w:p>
            <w:pPr>
              <w:spacing w:after="0"/>
              <w:rPr>
                <w:sz w:val="17"/>
                <w:szCs w:val="17"/>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322.1</w:t>
            </w:r>
          </w:p>
        </w:tc>
        <w:tc>
          <w:tcPr>
            <w:tcW w:w="0" w:type="dxa"/>
            <w:vAlign w:val="bottom"/>
          </w:tcPr>
          <w:p>
            <w:pPr>
              <w:spacing w:after="0"/>
              <w:rPr>
                <w:sz w:val="1"/>
                <w:szCs w:val="1"/>
                <w:color w:val="auto"/>
              </w:rPr>
            </w:pPr>
          </w:p>
        </w:tc>
      </w:tr>
      <w:tr>
        <w:trPr>
          <w:trHeight w:val="19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Net Deposits </w:t>
            </w:r>
            <w:r>
              <w:rPr>
                <w:rFonts w:ascii="Arial" w:cs="Arial" w:eastAsia="Arial" w:hAnsi="Arial"/>
                <w:sz w:val="14"/>
                <w:szCs w:val="14"/>
                <w:i w:val="1"/>
                <w:iCs w:val="1"/>
                <w:color w:val="auto"/>
              </w:rPr>
              <w:t>(in billions)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4"/>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Growth Rate with respect to Net Deposits</w:t>
            </w:r>
          </w:p>
        </w:tc>
        <w:tc>
          <w:tcPr>
            <w:tcW w:w="520" w:type="dxa"/>
            <w:vAlign w:val="bottom"/>
          </w:tcPr>
          <w:p>
            <w:pPr>
              <w:spacing w:after="0"/>
              <w:rPr>
                <w:sz w:val="16"/>
                <w:szCs w:val="16"/>
                <w:color w:val="auto"/>
              </w:rPr>
            </w:pP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ARPU </w:t>
            </w:r>
            <w:r>
              <w:rPr>
                <w:rFonts w:ascii="Arial" w:cs="Arial" w:eastAsia="Arial" w:hAnsi="Arial"/>
                <w:sz w:val="14"/>
                <w:szCs w:val="14"/>
                <w:i w:val="1"/>
                <w:iCs w:val="1"/>
                <w:color w:val="auto"/>
              </w:rPr>
              <w:t>(in dollars)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0"/>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Robinhood Gold Subscribers </w:t>
            </w:r>
            <w:r>
              <w:rPr>
                <w:rFonts w:ascii="Arial" w:cs="Arial" w:eastAsia="Arial" w:hAnsi="Arial"/>
                <w:sz w:val="14"/>
                <w:szCs w:val="14"/>
                <w:i w:val="1"/>
                <w:iCs w:val="1"/>
                <w:color w:val="auto"/>
              </w:rPr>
              <w:t>(in millions)</w:t>
            </w:r>
          </w:p>
        </w:tc>
        <w:tc>
          <w:tcPr>
            <w:tcW w:w="520" w:type="dxa"/>
            <w:vAlign w:val="bottom"/>
          </w:tcPr>
          <w:p>
            <w:pPr>
              <w:spacing w:after="0"/>
              <w:rPr>
                <w:sz w:val="16"/>
                <w:szCs w:val="16"/>
                <w:color w:val="auto"/>
              </w:rPr>
            </w:pP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89"/>
        </w:trPr>
        <w:tc>
          <w:tcPr>
            <w:tcW w:w="6640" w:type="dxa"/>
            <w:vAlign w:val="bottom"/>
          </w:tcPr>
          <w:p>
            <w:pPr>
              <w:spacing w:after="0"/>
              <w:rPr>
                <w:sz w:val="20"/>
                <w:szCs w:val="20"/>
                <w:color w:val="auto"/>
              </w:rPr>
            </w:pPr>
            <w:r>
              <w:rPr>
                <w:rFonts w:ascii="Arial" w:cs="Arial" w:eastAsia="Arial" w:hAnsi="Arial"/>
                <w:sz w:val="14"/>
                <w:szCs w:val="14"/>
                <w:color w:val="auto"/>
              </w:rPr>
              <w:t>_______________</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4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The following table describes the annual changes within Funded Customers:</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160" w:type="dxa"/>
            <w:vAlign w:val="bottom"/>
            <w:vMerge w:val="restart"/>
          </w:tcPr>
          <w:p>
            <w:pPr>
              <w:jc w:val="right"/>
              <w:ind w:right="8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vMerge w:val="restart"/>
          </w:tcPr>
          <w:p>
            <w:pPr>
              <w:jc w:val="right"/>
              <w:ind w:right="74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4"/>
        </w:trPr>
        <w:tc>
          <w:tcPr>
            <w:tcW w:w="6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Beginning Funded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4"/>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New Funded Customers</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Resurrected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4"/>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Acquired customers</w:t>
            </w:r>
          </w:p>
        </w:tc>
        <w:tc>
          <w:tcPr>
            <w:tcW w:w="3120" w:type="dxa"/>
            <w:vAlign w:val="bottom"/>
            <w:gridSpan w:val="3"/>
            <w:vMerge w:val="restart"/>
          </w:tcPr>
          <w:p>
            <w:pPr>
              <w:jc w:val="right"/>
              <w:ind w:right="10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Churned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Ending Funded Customers</w:t>
            </w:r>
          </w:p>
        </w:tc>
        <w:tc>
          <w:tcPr>
            <w:tcW w:w="216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8"/>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The following table sets out the components of Total Platform Assets by type of asset: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i w:val="1"/>
                <w:iCs w:val="1"/>
                <w:color w:val="auto"/>
              </w:rPr>
              <w:t>(in billions)</w:t>
            </w:r>
          </w:p>
        </w:tc>
        <w:tc>
          <w:tcPr>
            <w:tcW w:w="1520" w:type="dxa"/>
            <w:vAlign w:val="bottom"/>
            <w:vMerge w:val="restart"/>
          </w:tcPr>
          <w:p>
            <w:pPr>
              <w:jc w:val="right"/>
              <w:ind w:right="8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vMerge w:val="restart"/>
          </w:tcPr>
          <w:p>
            <w:pPr>
              <w:jc w:val="right"/>
              <w:ind w:right="82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6380" w:type="dxa"/>
            <w:vAlign w:val="bottom"/>
            <w:gridSpan w:val="4"/>
            <w:shd w:val="clear" w:color="auto" w:fill="CCEEFF"/>
          </w:tcPr>
          <w:p>
            <w:pPr>
              <w:ind w:left="6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Cryptocurrencies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Options and futures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RIA assets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Cash held by Customers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Receivables from Customers (primarily margin balances)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Total Platform Assets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2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7100" w:type="dxa"/>
            <w:vAlign w:val="bottom"/>
            <w:gridSpan w:val="6"/>
          </w:tcPr>
          <w:p>
            <w:pPr>
              <w:spacing w:after="0"/>
              <w:rPr>
                <w:sz w:val="20"/>
                <w:szCs w:val="20"/>
                <w:color w:val="auto"/>
              </w:rPr>
            </w:pPr>
            <w:r>
              <w:rPr>
                <w:rFonts w:ascii="Arial" w:cs="Arial" w:eastAsia="Arial" w:hAnsi="Arial"/>
                <w:sz w:val="14"/>
                <w:szCs w:val="14"/>
                <w:color w:val="auto"/>
              </w:rPr>
              <w:t>The following table describes the changes within Total Platform Assets: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jc w:val="right"/>
              <w:ind w:right="1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i w:val="1"/>
                <w:iCs w:val="1"/>
                <w:color w:val="auto"/>
              </w:rPr>
              <w:t>(in billions)</w:t>
            </w:r>
          </w:p>
        </w:tc>
        <w:tc>
          <w:tcPr>
            <w:tcW w:w="1520" w:type="dxa"/>
            <w:vAlign w:val="bottom"/>
            <w:vMerge w:val="restart"/>
          </w:tcPr>
          <w:p>
            <w:pPr>
              <w:jc w:val="right"/>
              <w:ind w:right="6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Beginning Total Platform Assets</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6780" w:type="dxa"/>
            <w:vAlign w:val="bottom"/>
            <w:gridSpan w:val="5"/>
            <w:shd w:val="clear" w:color="auto" w:fill="CCEEFF"/>
          </w:tcPr>
          <w:p>
            <w:pPr>
              <w:ind w:left="6400"/>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Acquired assets</w:t>
            </w:r>
          </w:p>
        </w:tc>
        <w:tc>
          <w:tcPr>
            <w:tcW w:w="1520" w:type="dxa"/>
            <w:vAlign w:val="bottom"/>
          </w:tcPr>
          <w:p>
            <w:pPr>
              <w:spacing w:after="0"/>
              <w:rPr>
                <w:sz w:val="17"/>
                <w:szCs w:val="17"/>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Net Deposits</w:t>
            </w:r>
          </w:p>
        </w:tc>
        <w:tc>
          <w:tcPr>
            <w:tcW w:w="1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Net market gains</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Ending Total Platform Assets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780" w:type="dxa"/>
            <w:vAlign w:val="bottom"/>
            <w:gridSpan w:val="5"/>
            <w:shd w:val="clear" w:color="auto" w:fill="CCEEFF"/>
          </w:tcPr>
          <w:p>
            <w:pPr>
              <w:ind w:left="6400"/>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320" w:right="100"/>
        <w:spacing w:after="0" w:line="293" w:lineRule="auto"/>
        <w:rPr>
          <w:sz w:val="20"/>
          <w:szCs w:val="20"/>
          <w:color w:val="auto"/>
        </w:rPr>
      </w:pPr>
      <w:r>
        <w:rPr>
          <w:rFonts w:ascii="Arial" w:cs="Arial" w:eastAsia="Arial" w:hAnsi="Arial"/>
          <w:sz w:val="14"/>
          <w:szCs w:val="14"/>
          <w:color w:val="auto"/>
        </w:rPr>
        <w:t>Subsequent to the release of our preliminary earnings results for the fourth quarter and full year 2025 on February 10, 2026, December 2025 Total Platform Assets were revised to reflect final crypto pricing data.</w:t>
      </w:r>
    </w:p>
    <w:p>
      <w:pPr>
        <w:sectPr>
          <w:pgSz w:w="11900" w:h="16838" w:orient="portrait"/>
          <w:cols w:equalWidth="0" w:num="1">
            <w:col w:w="11340"/>
          </w:cols>
          <w:pgMar w:left="320" w:top="121" w:right="239" w:bottom="199"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193040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Adjusted EBITDA</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EBITDA. 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2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Adjusted EBITDA to the most directly comparable GAAP measure, net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9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2025</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1,411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w:t>
            </w:r>
          </w:p>
        </w:tc>
      </w:tr>
      <w:tr>
        <w:trPr>
          <w:trHeight w:val="194"/>
        </w:trPr>
        <w:tc>
          <w:tcPr>
            <w:tcW w:w="7160" w:type="dxa"/>
            <w:vAlign w:val="bottom"/>
          </w:tcPr>
          <w:p>
            <w:pPr>
              <w:ind w:left="20"/>
              <w:spacing w:after="0"/>
              <w:rPr>
                <w:sz w:val="20"/>
                <w:szCs w:val="20"/>
                <w:color w:val="auto"/>
              </w:rPr>
            </w:pPr>
            <w:r>
              <w:rPr>
                <w:rFonts w:ascii="Arial" w:cs="Arial" w:eastAsia="Arial" w:hAnsi="Arial"/>
                <w:sz w:val="14"/>
                <w:szCs w:val="14"/>
                <w:color w:val="auto"/>
              </w:rPr>
              <w:t>Add:</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expenses related to credit facilities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4"/>
        </w:trPr>
        <w:tc>
          <w:tcPr>
            <w:tcW w:w="7160" w:type="dxa"/>
            <w:vAlign w:val="bottom"/>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3"/>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7"/>
        </w:trPr>
        <w:tc>
          <w:tcPr>
            <w:tcW w:w="716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2,226</w:t>
            </w: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7160" w:type="dxa"/>
            <w:vAlign w:val="bottom"/>
          </w:tcPr>
          <w:p>
            <w:pPr>
              <w:ind w:left="360"/>
              <w:spacing w:after="0"/>
              <w:rPr>
                <w:sz w:val="20"/>
                <w:szCs w:val="20"/>
                <w:color w:val="auto"/>
              </w:rPr>
            </w:pPr>
            <w:r>
              <w:rPr>
                <w:rFonts w:ascii="Arial" w:cs="Arial" w:eastAsia="Arial" w:hAnsi="Arial"/>
                <w:sz w:val="14"/>
                <w:szCs w:val="14"/>
                <w:color w:val="auto"/>
              </w:rPr>
              <w:t>SBC</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3"/>
        </w:trPr>
        <w:tc>
          <w:tcPr>
            <w:tcW w:w="7160" w:type="dxa"/>
            <w:vAlign w:val="bottom"/>
            <w:shd w:val="clear" w:color="auto" w:fill="CCEEFF"/>
          </w:tcPr>
          <w:p>
            <w:pPr>
              <w:ind w:left="340"/>
              <w:spacing w:after="0" w:line="203" w:lineRule="exact"/>
              <w:rPr>
                <w:sz w:val="20"/>
                <w:szCs w:val="20"/>
                <w:color w:val="auto"/>
              </w:rPr>
            </w:pPr>
            <w:r>
              <w:rPr>
                <w:rFonts w:ascii="Arial" w:cs="Arial" w:eastAsia="Arial" w:hAnsi="Arial"/>
                <w:sz w:val="14"/>
                <w:szCs w:val="14"/>
                <w:color w:val="auto"/>
              </w:rPr>
              <w:t xml:space="preserve">Significant legal and tax settlements and reserves </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160" w:type="dxa"/>
            <w:vAlign w:val="bottom"/>
          </w:tcPr>
          <w:p>
            <w:pPr>
              <w:ind w:left="340"/>
              <w:spacing w:after="0" w:line="199" w:lineRule="exact"/>
              <w:rPr>
                <w:sz w:val="20"/>
                <w:szCs w:val="20"/>
                <w:color w:val="auto"/>
              </w:rPr>
            </w:pPr>
            <w:r>
              <w:rPr>
                <w:rFonts w:ascii="Arial" w:cs="Arial" w:eastAsia="Arial" w:hAnsi="Arial"/>
                <w:sz w:val="14"/>
                <w:szCs w:val="14"/>
                <w:color w:val="auto"/>
              </w:rPr>
              <w:t xml:space="preserve">Unrealized gains in non-marketable equity securities </w:t>
            </w:r>
            <w:r>
              <w:rPr>
                <w:rFonts w:ascii="Arial" w:cs="Arial" w:eastAsia="Arial" w:hAnsi="Arial"/>
                <w:sz w:val="18"/>
                <w:szCs w:val="18"/>
                <w:color w:val="auto"/>
                <w:vertAlign w:val="superscript"/>
              </w:rPr>
              <w:t>(2)</w:t>
            </w:r>
          </w:p>
        </w:tc>
        <w:tc>
          <w:tcPr>
            <w:tcW w:w="4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7"/>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60" w:right="20" w:hanging="154"/>
        <w:spacing w:after="0" w:line="233" w:lineRule="auto"/>
        <w:tabs>
          <w:tab w:leader="none" w:pos="16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2024, significant legal and tax settlements and reserves included a $55 million benefit due to a reversal of an accrual as part of a regulatory settlement.</w:t>
      </w:r>
    </w:p>
    <w:p>
      <w:pPr>
        <w:ind w:left="140" w:hanging="134"/>
        <w:spacing w:after="0" w:line="224"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2025, unrealized gains in non-marketable equity securities primarily related to investments held by Robinhood Ventures Fund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Transaction-based revenues consist of amounts earned from routing customer orders for options, cryptocurrencies, and equities to market makers. When customers place orders for options, cryptocurrencies, or equities on our platform, we route these orders to market makers and we receive consideration from those market makers. With respect to options and equities trading, such fees are known as PFOF. With respect to cryptocurrencies trading, we receive “Transaction Rebates” when routing to market makers. In the case of options, our fee is on a per contract basis based on the underlying security. For equities, the fees we receive are typically based on the size of the publicly quoted bid-ask spread for the security being traded; that is, we receive a fixed percentage of the difference between the publicly quoted bid and ask at the time the trade is executed. In the case of cryptocurrencies, our rebate is a fixed percentage of the notional order value.</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Within each asset class, whether options, cryptocurrencies, or equities, the transaction-based revenue we earn is calculated in an identical manner among all participating market makers. We route option and equity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cryptocurrency from the market maker.</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also earn transaction-based revenues from commissions. Acting as an agent, we facilitate purchases and sales of event contracts and futures on behalf of users. Commissions are recognized on a trade-date basis as this is when the performance obligation is satisfied.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revenues primarily consists of Robinhood Gold subscription fees, proxy revenues, digital asset listing fees, selling concession revenues, advertising revenues, and ACATS fees charged to users for facilitating the transfer of part or all of assets in their accounts to another broker-dealer.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Match Incentives</w:t>
      </w:r>
    </w:p>
    <w:p>
      <w:pPr>
        <w:spacing w:after="0" w:line="16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All match incentives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a reduction to revenue when earned. The matches are allocated to certain revenue categories on a proportional basis.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primarily consist of compensation and employee benefits, as well as allocated overhead for employees engaged in clearing and brokerage functions, market data expenses, expenses related to our instant withdrawals feature, and other brokerage and transaction costs such as costs related to our Cash Sweep and securities lending programs, customer statement-related costs, regulatory fees and fees paid to centralized clearinghouses. A large portion of our brokerage and transaction costs are variable and tied to trading and transaction volumes on our platforms.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related to compensation and benefits, for engineering, data science, and design personnel, as well as allocated overhead, costs incurred to support and improve our platforms and develop new products, and costs associated with computer hardware and software, including amortization of internally developed software.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compensation and employee benefits, as well as allocated overhead for employees engaged in customer support, and costs incurred to support and improve customer experience (such as third-party customer service vendors).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compensation and employee benefits, and allocated overhead for employees engaged in the marketing function and other marketing costs such as costs related to our keynote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General and administrative costs primarily consist of compensation and employee benefits, as well as allocated overhead for certain executives and employees engaged in legal, finance, human resources, risk, and compliance. General and administrative costs also include legal expenses, other professional fees, as well as other general and administrative costs such as costs related to business insurance, and real estate charges including impairments on our operating leases and leasehold improvements, lease terminations, and settlements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Year Ended December 31,</w:t>
            </w:r>
          </w:p>
        </w:tc>
      </w:tr>
      <w:tr>
        <w:trPr>
          <w:trHeight w:val="23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r>
      <w:tr>
        <w:trPr>
          <w:trHeight w:val="19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1,647</w:t>
            </w:r>
          </w:p>
        </w:tc>
        <w:tc>
          <w:tcPr>
            <w:tcW w:w="8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2,628</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211"/>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06"/>
        </w:trPr>
        <w:tc>
          <w:tcPr>
            <w:tcW w:w="8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net revenues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r>
      <w:tr>
        <w:trPr>
          <w:trHeight w:val="212"/>
        </w:trPr>
        <w:tc>
          <w:tcPr>
            <w:tcW w:w="8720" w:type="dxa"/>
            <w:vAlign w:val="bottom"/>
          </w:tcPr>
          <w:p>
            <w:pPr>
              <w:ind w:left="20"/>
              <w:spacing w:after="0" w:line="211" w:lineRule="exact"/>
              <w:rPr>
                <w:sz w:val="20"/>
                <w:szCs w:val="20"/>
                <w:color w:val="auto"/>
              </w:rPr>
            </w:pPr>
            <w:r>
              <w:rPr>
                <w:rFonts w:ascii="Arial" w:cs="Arial" w:eastAsia="Arial" w:hAnsi="Arial"/>
                <w:sz w:val="16"/>
                <w:szCs w:val="16"/>
                <w:color w:val="auto"/>
              </w:rPr>
              <w:t>Operating expenses</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Technology and development</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11"/>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06"/>
        </w:trPr>
        <w:tc>
          <w:tcPr>
            <w:tcW w:w="8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r>
      <w:tr>
        <w:trPr>
          <w:trHeight w:val="21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r>
      <w:tr>
        <w:trPr>
          <w:trHeight w:val="21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Net income (loss) attributable to non-controlling interest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ind w:left="160" w:hanging="154"/>
        <w:spacing w:after="0" w:line="228" w:lineRule="auto"/>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Includes SBC expense as follows:</w:t>
      </w:r>
    </w:p>
    <w:p>
      <w:pPr>
        <w:spacing w:after="0" w:line="4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5256530</wp:posOffset>
            </wp:positionH>
            <wp:positionV relativeFrom="paragraph">
              <wp:posOffset>12700</wp:posOffset>
            </wp:positionV>
            <wp:extent cx="16135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13535" cy="8255"/>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40"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7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2025</w:t>
            </w:r>
          </w:p>
        </w:tc>
      </w:tr>
      <w:tr>
        <w:trPr>
          <w:trHeight w:val="19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Marketing</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7960" w:type="dxa"/>
            <w:vAlign w:val="bottom"/>
          </w:tcPr>
          <w:p>
            <w:pPr>
              <w:ind w:left="260"/>
              <w:spacing w:after="0"/>
              <w:rPr>
                <w:sz w:val="20"/>
                <w:szCs w:val="20"/>
                <w:color w:val="auto"/>
              </w:rPr>
            </w:pPr>
            <w:r>
              <w:rPr>
                <w:rFonts w:ascii="Arial" w:cs="Arial" w:eastAsia="Arial" w:hAnsi="Arial"/>
                <w:sz w:val="14"/>
                <w:szCs w:val="14"/>
                <w:color w:val="auto"/>
              </w:rPr>
              <w:t>Total SBC expense</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r>
      <w:tr>
        <w:trPr>
          <w:trHeight w:val="20"/>
        </w:trPr>
        <w:tc>
          <w:tcPr>
            <w:tcW w:w="7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2025 and 2024</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 discussion of our results for fiscal year 2024 compared to fiscal year 2023 can be found in “Management's Discussion and Analysis of Financial Condition and Results of Operations — Comparison of the Years Ended December 31, 2024 and 2023” in Part II, Item 7 of our Annual Report on Form 10-K for the year ended December 31, 2024, filed with the SEC on February 18, 2025.</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Pr>
          <w:p>
            <w:pPr>
              <w:spacing w:after="0"/>
              <w:rPr>
                <w:sz w:val="7"/>
                <w:szCs w:val="7"/>
                <w:color w:val="auto"/>
              </w:rPr>
            </w:pPr>
          </w:p>
        </w:tc>
        <w:tc>
          <w:tcPr>
            <w:tcW w:w="9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7"/>
                <w:szCs w:val="7"/>
                <w:color w:val="auto"/>
              </w:rPr>
            </w:pPr>
          </w:p>
        </w:tc>
        <w:tc>
          <w:tcPr>
            <w:tcW w:w="138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2024 to 2025</w:t>
            </w:r>
          </w:p>
        </w:tc>
        <w:tc>
          <w:tcPr>
            <w:tcW w:w="134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4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42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4"/>
                <w:szCs w:val="14"/>
                <w:color w:val="auto"/>
              </w:rPr>
              <w:t>% of total net revenues</w:t>
            </w: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20" w:type="dxa"/>
            <w:vAlign w:val="bottom"/>
            <w:gridSpan w:val="2"/>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420" w:type="dxa"/>
            <w:vAlign w:val="bottom"/>
            <w:gridSpan w:val="2"/>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4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4420" w:type="dxa"/>
            <w:vAlign w:val="bottom"/>
            <w:gridSpan w:val="2"/>
          </w:tcPr>
          <w:p>
            <w:pPr>
              <w:ind w:left="4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1,647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Transaction-based revenues increased by $981 million primarily driven by increases of $363 million in options, $275 million in cryptocurrencies, and $ 125 million in equities. In addition, other transaction-based revenues increased by $218 million primarily driven by increased user activities in Prediction Markets and instant withdrawals.</w:t>
      </w:r>
    </w:p>
    <w:p>
      <w:pPr>
        <w:spacing w:after="0" w:line="1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Options revenues increased primarily due to higher option rebate rates due to the mix of ticker symbols traded as different ticker symbols pay different rebate rates. In addition, options revenues increased due to a 12% increase in Options Contracts Traded per trader and a 16% increase in the number of users placing option trades. The increase was offset by a $55 million increase of match incentives paid to our customers.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Cryptocurrencies revenues increased primarily due to higher cryptocurrency rebate rates from crypto market makers and a 6% increase in the number of users placing cryptocurrency trades, partially offset by 9% decrease in the average Notional Trading Volume traded per trader. In addition, cryptocurrencies revenues benefited from our acquisition of Bitstamp. The increase was offset by an $18 million increase of certain incentives paid to our customers.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Equities revenues increased as a result of a 65% increase in the average Notional Trading Volume traded per trader and a 12% increase in the number of users placing equity trades. The increase was partially offset by lower equity rebate rates due to the mix of ticker symbols traded as different ticker symbols pay different rebate rates. The increase was offset by a $14 million increase of certain match incentives paid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40" w:type="dxa"/>
            <w:vAlign w:val="bottom"/>
          </w:tcPr>
          <w:p>
            <w:pPr>
              <w:spacing w:after="0"/>
              <w:rPr>
                <w:sz w:val="7"/>
                <w:szCs w:val="7"/>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7"/>
                <w:szCs w:val="7"/>
                <w:color w:val="auto"/>
              </w:rPr>
            </w:pPr>
          </w:p>
        </w:tc>
        <w:tc>
          <w:tcPr>
            <w:tcW w:w="1320" w:type="dxa"/>
            <w:vAlign w:val="bottom"/>
            <w:gridSpan w:val="2"/>
          </w:tcPr>
          <w:p>
            <w:pPr>
              <w:jc w:val="center"/>
              <w:ind w:right="80"/>
              <w:spacing w:after="0" w:line="87" w:lineRule="exact"/>
              <w:rPr>
                <w:sz w:val="20"/>
                <w:szCs w:val="20"/>
                <w:color w:val="auto"/>
              </w:rPr>
            </w:pPr>
            <w:r>
              <w:rPr>
                <w:rFonts w:ascii="Arial" w:cs="Arial" w:eastAsia="Arial" w:hAnsi="Arial"/>
                <w:sz w:val="10"/>
                <w:szCs w:val="10"/>
                <w:b w:val="1"/>
                <w:bCs w:val="1"/>
                <w:color w:val="auto"/>
              </w:rPr>
              <w:t>2024 to 2025</w:t>
            </w:r>
          </w:p>
        </w:tc>
        <w:tc>
          <w:tcPr>
            <w:tcW w:w="12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7"/>
                <w:szCs w:val="7"/>
                <w:color w:val="auto"/>
              </w:rPr>
            </w:pPr>
          </w:p>
        </w:tc>
        <w:tc>
          <w:tcPr>
            <w:tcW w:w="14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5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 Change</w:t>
            </w:r>
          </w:p>
        </w:tc>
        <w:tc>
          <w:tcPr>
            <w:tcW w:w="1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0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Net interest revenues: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gridSpan w:val="3"/>
            <w:shd w:val="clear" w:color="auto" w:fill="CCEEFF"/>
          </w:tcPr>
          <w:p>
            <w:pPr>
              <w:jc w:val="right"/>
              <w:ind w:right="614"/>
              <w:spacing w:after="0"/>
              <w:rPr>
                <w:sz w:val="20"/>
                <w:szCs w:val="20"/>
                <w:color w:val="auto"/>
              </w:rPr>
            </w:pPr>
            <w:r>
              <w:rPr>
                <w:rFonts w:ascii="Arial" w:cs="Arial" w:eastAsia="Arial" w:hAnsi="Arial"/>
                <w:sz w:val="16"/>
                <w:szCs w:val="16"/>
                <w:color w:val="auto"/>
              </w:rPr>
              <w:t>% of total net revenues</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Margin interest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2"/>
        </w:trPr>
        <w:tc>
          <w:tcPr>
            <w:tcW w:w="4500" w:type="dxa"/>
            <w:vAlign w:val="bottom"/>
            <w:gridSpan w:val="2"/>
            <w:shd w:val="clear" w:color="auto" w:fill="CCEEFF"/>
          </w:tcPr>
          <w:p>
            <w:pPr>
              <w:ind w:left="260"/>
              <w:spacing w:after="0" w:line="172" w:lineRule="exact"/>
              <w:rPr>
                <w:sz w:val="20"/>
                <w:szCs w:val="20"/>
                <w:color w:val="auto"/>
              </w:rPr>
            </w:pPr>
            <w:r>
              <w:rPr>
                <w:rFonts w:ascii="Arial" w:cs="Arial" w:eastAsia="Arial" w:hAnsi="Arial"/>
                <w:sz w:val="18"/>
                <w:szCs w:val="18"/>
                <w:color w:val="auto"/>
              </w:rPr>
              <w:t>Interest on segregated cash, cash equivalents,</w:t>
            </w: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securities, and deposits</w:t>
            </w:r>
          </w:p>
        </w:tc>
        <w:tc>
          <w:tcPr>
            <w:tcW w:w="24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Sweep</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Securities lending, net</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Credit card,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NM</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Total net interest revenues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increased by $405 million, primarily driven by growth in our interest-earning asset balances and securities lending activities. The increase was partially offset by a decrease in interest revenue on corporate cash and investments primarily driven by a lower short-term interest rate environment. We anticipate any potential future rate cuts by the Federal Reserve will negatively impact our net interest revenues and adversely affect our customers’ returns on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interest-earning assets, the revenue generated by these assets, and their respective annual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147320</wp:posOffset>
            </wp:positionV>
            <wp:extent cx="34537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537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for</w:t>
            </w:r>
          </w:p>
        </w:tc>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Margin Book</w:t>
            </w:r>
          </w:p>
        </w:tc>
        <w:tc>
          <w:tcPr>
            <w:tcW w:w="10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color w:val="auto"/>
              </w:rPr>
              <w:t>Cash and</w:t>
            </w:r>
          </w:p>
        </w:tc>
        <w:tc>
          <w:tcPr>
            <w:tcW w:w="1140" w:type="dxa"/>
            <w:vAlign w:val="bottom"/>
            <w:gridSpan w:val="2"/>
          </w:tcPr>
          <w:p>
            <w:pPr>
              <w:jc w:val="right"/>
              <w:ind w:right="189"/>
              <w:spacing w:after="0"/>
              <w:rPr>
                <w:sz w:val="20"/>
                <w:szCs w:val="20"/>
                <w:color w:val="auto"/>
              </w:rPr>
            </w:pPr>
            <w:r>
              <w:rPr>
                <w:rFonts w:ascii="Arial" w:cs="Arial" w:eastAsia="Arial" w:hAnsi="Arial"/>
                <w:sz w:val="14"/>
                <w:szCs w:val="14"/>
                <w:color w:val="auto"/>
              </w:rPr>
              <w:t>Cash Sweep</w:t>
            </w:r>
          </w:p>
        </w:tc>
        <w:tc>
          <w:tcPr>
            <w:tcW w:w="32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9"/>
                <w:szCs w:val="9"/>
                <w:color w:val="auto"/>
              </w:rPr>
              <w:t>(2)</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interest-</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5"/>
          </w:tcPr>
          <w:p>
            <w:pPr>
              <w:jc w:val="right"/>
              <w:ind w:right="134"/>
              <w:spacing w:after="0" w:line="145" w:lineRule="exact"/>
              <w:rPr>
                <w:sz w:val="20"/>
                <w:szCs w:val="20"/>
                <w:color w:val="auto"/>
              </w:rPr>
            </w:pPr>
            <w:r>
              <w:rPr>
                <w:rFonts w:ascii="Arial" w:cs="Arial" w:eastAsia="Arial" w:hAnsi="Arial"/>
                <w:sz w:val="16"/>
                <w:szCs w:val="16"/>
                <w:color w:val="auto"/>
                <w:vertAlign w:val="subscript"/>
              </w:rPr>
              <w:t>deposits</w:t>
            </w:r>
            <w:r>
              <w:rPr>
                <w:rFonts w:ascii="Arial" w:cs="Arial" w:eastAsia="Arial" w:hAnsi="Arial"/>
                <w:sz w:val="7"/>
                <w:szCs w:val="7"/>
                <w:color w:val="auto"/>
              </w:rPr>
              <w:t xml:space="preserve">(1)  </w:t>
            </w:r>
            <w:r>
              <w:rPr>
                <w:rFonts w:ascii="Arial" w:cs="Arial" w:eastAsia="Arial" w:hAnsi="Arial"/>
                <w:sz w:val="16"/>
                <w:szCs w:val="16"/>
                <w:color w:val="auto"/>
                <w:vertAlign w:val="subscript"/>
              </w:rPr>
              <w:t>(off-balance sheet)</w:t>
            </w:r>
            <w:r>
              <w:rPr>
                <w:rFonts w:ascii="Arial" w:cs="Arial" w:eastAsia="Arial" w:hAnsi="Arial"/>
                <w:sz w:val="16"/>
                <w:szCs w:val="16"/>
                <w:color w:val="auto"/>
                <w:vertAlign w:val="superscript"/>
              </w:rPr>
              <w:t>Credit card, net</w:t>
            </w:r>
          </w:p>
        </w:tc>
        <w:tc>
          <w:tcPr>
            <w:tcW w:w="10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earning assets</w:t>
            </w:r>
          </w:p>
        </w:tc>
        <w:tc>
          <w:tcPr>
            <w:tcW w:w="0" w:type="dxa"/>
            <w:vAlign w:val="bottom"/>
          </w:tcPr>
          <w:p>
            <w:pPr>
              <w:spacing w:after="0"/>
              <w:rPr>
                <w:sz w:val="1"/>
                <w:szCs w:val="1"/>
                <w:color w:val="auto"/>
              </w:rPr>
            </w:pPr>
          </w:p>
        </w:tc>
      </w:tr>
      <w:tr>
        <w:trPr>
          <w:trHeight w:val="119"/>
        </w:trPr>
        <w:tc>
          <w:tcPr>
            <w:tcW w:w="1520" w:type="dxa"/>
            <w:vAlign w:val="bottom"/>
          </w:tcPr>
          <w:p>
            <w:pPr>
              <w:spacing w:after="0" w:line="119" w:lineRule="exact"/>
              <w:rPr>
                <w:sz w:val="20"/>
                <w:szCs w:val="20"/>
                <w:color w:val="auto"/>
              </w:rPr>
            </w:pPr>
            <w:r>
              <w:rPr>
                <w:rFonts w:ascii="Arial" w:cs="Arial" w:eastAsia="Arial" w:hAnsi="Arial"/>
                <w:sz w:val="13"/>
                <w:szCs w:val="13"/>
                <w:i w:val="1"/>
                <w:iCs w:val="1"/>
                <w:color w:val="auto"/>
              </w:rPr>
              <w:t>annual yield)</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20"/>
                <w:szCs w:val="20"/>
                <w:color w:val="auto"/>
              </w:rPr>
            </w:pPr>
            <w:r>
              <w:rPr>
                <w:rFonts w:ascii="Arial" w:cs="Arial" w:eastAsia="Arial" w:hAnsi="Arial"/>
                <w:sz w:val="14"/>
                <w:szCs w:val="14"/>
                <w:b w:val="1"/>
                <w:bCs w:val="1"/>
                <w:color w:val="auto"/>
              </w:rPr>
              <w:t>Year ended December</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31, 2025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20" w:type="dxa"/>
            <w:vAlign w:val="bottom"/>
          </w:tcPr>
          <w:p>
            <w:pPr>
              <w:jc w:val="right"/>
              <w:spacing w:after="0"/>
              <w:rPr>
                <w:sz w:val="20"/>
                <w:szCs w:val="20"/>
                <w:color w:val="auto"/>
              </w:rPr>
            </w:pPr>
            <w:r>
              <w:rPr>
                <w:rFonts w:ascii="Arial" w:cs="Arial" w:eastAsia="Arial" w:hAnsi="Arial"/>
                <w:sz w:val="14"/>
                <w:szCs w:val="14"/>
                <w:color w:val="auto"/>
              </w:rPr>
              <w:t>December 31, 2025</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16,823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10,995</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32,786</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1,040</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ind w:left="520"/>
              <w:spacing w:after="0"/>
              <w:rPr>
                <w:sz w:val="20"/>
                <w:szCs w:val="20"/>
                <w:color w:val="auto"/>
              </w:rPr>
            </w:pPr>
            <w:r>
              <w:rPr>
                <w:rFonts w:ascii="Arial" w:cs="Arial" w:eastAsia="Arial" w:hAnsi="Arial"/>
                <w:sz w:val="14"/>
                <w:szCs w:val="14"/>
                <w:b w:val="1"/>
                <w:bCs w:val="1"/>
                <w:color w:val="auto"/>
              </w:rPr>
              <w:t xml:space="preserve">61,644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December 31, 2024</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7,909</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9,943</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26,064</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44,307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11,431</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12,226</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30,912</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55,200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Revenue (expense)</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486</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64</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3.98 %</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0.74 %</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-755015</wp:posOffset>
            </wp:positionV>
            <wp:extent cx="6874510" cy="126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-502920</wp:posOffset>
            </wp:positionV>
            <wp:extent cx="6874510" cy="126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-250825</wp:posOffset>
            </wp:positionV>
            <wp:extent cx="6874510" cy="1263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635</wp:posOffset>
            </wp:positionV>
            <wp:extent cx="6874510" cy="1263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74510" cy="12636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Year ended December 31, 2024</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84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Securities</w:t>
            </w:r>
          </w:p>
        </w:tc>
        <w:tc>
          <w:tcPr>
            <w:tcW w:w="1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expenses</w:t>
            </w:r>
          </w:p>
        </w:tc>
        <w:tc>
          <w:tcPr>
            <w:tcW w:w="50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Other</w:t>
            </w:r>
          </w:p>
        </w:tc>
        <w:tc>
          <w:tcPr>
            <w:tcW w:w="12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w w:val="99"/>
              </w:rPr>
              <w:t>Total net interest</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1200" w:type="dxa"/>
            <w:vAlign w:val="bottom"/>
          </w:tcPr>
          <w:p>
            <w:pPr>
              <w:jc w:val="center"/>
              <w:ind w:left="29"/>
              <w:spacing w:after="0" w:line="142" w:lineRule="exact"/>
              <w:rPr>
                <w:sz w:val="20"/>
                <w:szCs w:val="20"/>
                <w:color w:val="auto"/>
              </w:rPr>
            </w:pPr>
            <w:r>
              <w:rPr>
                <w:rFonts w:ascii="Arial" w:cs="Arial" w:eastAsia="Arial" w:hAnsi="Arial"/>
                <w:sz w:val="14"/>
                <w:szCs w:val="14"/>
                <w:color w:val="auto"/>
              </w:rPr>
              <w:t>related to credit</w:t>
            </w:r>
          </w:p>
        </w:tc>
        <w:tc>
          <w:tcPr>
            <w:tcW w:w="5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lending, net</w:t>
            </w:r>
          </w:p>
        </w:tc>
        <w:tc>
          <w:tcPr>
            <w:tcW w:w="1200" w:type="dxa"/>
            <w:vAlign w:val="bottom"/>
            <w:tcBorders>
              <w:bottom w:val="single" w:sz="8" w:color="auto"/>
            </w:tcBorders>
          </w:tcPr>
          <w:p>
            <w:pPr>
              <w:jc w:val="center"/>
              <w:ind w:left="29"/>
              <w:spacing w:after="0" w:line="185" w:lineRule="exact"/>
              <w:rPr>
                <w:sz w:val="20"/>
                <w:szCs w:val="20"/>
                <w:color w:val="auto"/>
              </w:rPr>
            </w:pPr>
            <w:r>
              <w:rPr>
                <w:rFonts w:ascii="Arial" w:cs="Arial" w:eastAsia="Arial" w:hAnsi="Arial"/>
                <w:sz w:val="14"/>
                <w:szCs w:val="14"/>
                <w:color w:val="auto"/>
                <w:w w:val="96"/>
              </w:rPr>
              <w:t>facilities</w:t>
            </w:r>
            <w:r>
              <w:rPr>
                <w:rFonts w:ascii="Arial" w:cs="Arial" w:eastAsia="Arial" w:hAnsi="Arial"/>
                <w:sz w:val="18"/>
                <w:szCs w:val="18"/>
                <w:color w:val="auto"/>
                <w:w w:val="96"/>
                <w:vertAlign w:val="superscript"/>
              </w:rPr>
              <w:t>(5)</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640" w:val="left"/>
          <w:tab w:leader="none" w:pos="1720" w:val="left"/>
          <w:tab w:leader="none" w:pos="2560" w:val="left"/>
          <w:tab w:leader="none" w:pos="3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190 $</w:t>
      </w:r>
      <w:r>
        <w:rPr>
          <w:sz w:val="20"/>
          <w:szCs w:val="20"/>
          <w:color w:val="auto"/>
        </w:rPr>
        <w:tab/>
      </w:r>
      <w:r>
        <w:rPr>
          <w:rFonts w:ascii="Arial" w:cs="Arial" w:eastAsia="Arial" w:hAnsi="Arial"/>
          <w:sz w:val="14"/>
          <w:szCs w:val="14"/>
          <w:color w:val="auto"/>
        </w:rPr>
        <w:t>(32) $</w:t>
      </w:r>
      <w:r>
        <w:rPr>
          <w:sz w:val="20"/>
          <w:szCs w:val="20"/>
          <w:color w:val="auto"/>
        </w:rPr>
        <w:tab/>
      </w:r>
      <w:r>
        <w:rPr>
          <w:rFonts w:ascii="Arial" w:cs="Arial" w:eastAsia="Arial" w:hAnsi="Arial"/>
          <w:sz w:val="14"/>
          <w:szCs w:val="14"/>
          <w:color w:val="auto"/>
        </w:rPr>
        <w:t xml:space="preserve">4 </w:t>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1,514</w:t>
      </w:r>
    </w:p>
    <w:p>
      <w:pPr>
        <w:spacing w:after="0" w:line="38"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2.74 %</w:t>
      </w:r>
    </w:p>
    <w:p>
      <w:pPr>
        <w:spacing w:after="0" w:line="236" w:lineRule="exact"/>
        <w:rPr>
          <w:sz w:val="20"/>
          <w:szCs w:val="20"/>
          <w:color w:val="auto"/>
        </w:rPr>
      </w:pPr>
    </w:p>
    <w:p>
      <w:pPr>
        <w:sectPr>
          <w:pgSz w:w="11900" w:h="16838" w:orient="portrait"/>
          <w:cols w:equalWidth="0" w:num="2">
            <w:col w:w="7340" w:space="60"/>
            <w:col w:w="3840"/>
          </w:cols>
          <w:pgMar w:left="320" w:top="121" w:right="339" w:bottom="1440" w:gutter="0" w:footer="0" w:header="0"/>
          <w:type w:val="continuous"/>
        </w:sectPr>
      </w:pPr>
    </w:p>
    <w:tbl>
      <w:tblPr>
        <w:tblLayout w:type="fixed"/>
        <w:tblInd w:w="320" w:type="dxa"/>
        <w:tblCellMar>
          <w:top w:w="0" w:type="dxa"/>
          <w:left w:w="0" w:type="dxa"/>
          <w:bottom w:w="0" w:type="dxa"/>
          <w:right w:w="0" w:type="dxa"/>
        </w:tblCellMar>
      </w:tblPr>
      <w:tr>
        <w:trPr>
          <w:trHeight w:val="194"/>
        </w:trPr>
        <w:tc>
          <w:tcPr>
            <w:tcW w:w="1180" w:type="dxa"/>
            <w:vAlign w:val="bottom"/>
          </w:tcPr>
          <w:p>
            <w:pPr>
              <w:ind w:left="280"/>
              <w:spacing w:after="0"/>
              <w:rPr>
                <w:sz w:val="20"/>
                <w:szCs w:val="20"/>
                <w:color w:val="auto"/>
              </w:rPr>
            </w:pPr>
            <w:r>
              <w:rPr>
                <w:rFonts w:ascii="Arial" w:cs="Arial" w:eastAsia="Arial" w:hAnsi="Arial"/>
                <w:sz w:val="14"/>
                <w:szCs w:val="14"/>
                <w:color w:val="auto"/>
              </w:rPr>
              <w:t>December 31,</w:t>
            </w:r>
          </w:p>
        </w:tc>
        <w:tc>
          <w:tcPr>
            <w:tcW w:w="360" w:type="dxa"/>
            <w:vAlign w:val="bottom"/>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7,909</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9,943</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26,064</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391</w:t>
            </w:r>
          </w:p>
        </w:tc>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44,307</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1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3,458</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10,107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16,352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30,122</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1540" w:type="dxa"/>
            <w:vAlign w:val="bottom"/>
            <w:gridSpan w:val="2"/>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2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5,082</w:t>
            </w:r>
          </w:p>
        </w:tc>
        <w:tc>
          <w:tcPr>
            <w:tcW w:w="26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10,252</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21,352</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w:t>
            </w:r>
          </w:p>
        </w:tc>
        <w:tc>
          <w:tcPr>
            <w:tcW w:w="420" w:type="dxa"/>
            <w:vAlign w:val="bottom"/>
          </w:tcPr>
          <w:p>
            <w:pPr>
              <w:spacing w:after="0"/>
              <w:rPr>
                <w:sz w:val="17"/>
                <w:szCs w:val="17"/>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36,947</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319</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1,039</w:t>
            </w:r>
          </w:p>
        </w:tc>
        <w:tc>
          <w:tcPr>
            <w:tcW w:w="4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4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1,109</w:t>
            </w:r>
          </w:p>
        </w:tc>
      </w:tr>
      <w:tr>
        <w:trPr>
          <w:trHeight w:val="198"/>
        </w:trPr>
        <w:tc>
          <w:tcPr>
            <w:tcW w:w="1540" w:type="dxa"/>
            <w:vAlign w:val="bottom"/>
            <w:gridSpan w:val="2"/>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5.04 %</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0.84 %</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2.81 %</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3.00 %</w:t>
            </w:r>
          </w:p>
        </w:tc>
      </w:tr>
    </w:tbl>
    <w:p>
      <w:pPr>
        <w:spacing w:after="0" w:line="8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80" w:hanging="156"/>
        <w:spacing w:after="0" w:line="233" w:lineRule="auto"/>
        <w:tabs>
          <w:tab w:leader="none" w:pos="474"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Includes cash and cash equivalents, restricted cash, segregated cash, cash equivalents, securities under federal and other regulations, deposits with clearing organizations, and investments.</w:t>
      </w:r>
    </w:p>
    <w:p>
      <w:pPr>
        <w:jc w:val="both"/>
        <w:ind w:left="480" w:hanging="156"/>
        <w:spacing w:after="0" w:line="241" w:lineRule="auto"/>
        <w:tabs>
          <w:tab w:leader="none" w:pos="472"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December 31, 2025, the off-balance sheet amount funded under the Program Agreement was $200 million and the on-balance sheet amount was $840 million. Refer to Note 11 - Financing Activities and Off-Balance Sheet Risk to our consolidated financial statements in this Annual Report for more information.</w:t>
      </w:r>
    </w:p>
    <w:p>
      <w:pPr>
        <w:ind w:left="480" w:hanging="156"/>
        <w:spacing w:after="0"/>
        <w:tabs>
          <w:tab w:leader="none" w:pos="480" w:val="left"/>
        </w:tabs>
        <w:numPr>
          <w:ilvl w:val="0"/>
          <w:numId w:val="45"/>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w:t>
      </w:r>
    </w:p>
    <w:p>
      <w:pPr>
        <w:spacing w:after="0" w:line="11" w:lineRule="exact"/>
        <w:rPr>
          <w:rFonts w:ascii="Arial" w:cs="Arial" w:eastAsia="Arial" w:hAnsi="Arial"/>
          <w:sz w:val="9"/>
          <w:szCs w:val="9"/>
          <w:color w:val="auto"/>
        </w:rPr>
      </w:pPr>
    </w:p>
    <w:p>
      <w:pPr>
        <w:ind w:left="480" w:hanging="156"/>
        <w:spacing w:after="0" w:line="199" w:lineRule="auto"/>
        <w:tabs>
          <w:tab w:leader="none" w:pos="4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Annual yield is calculated by dividing revenue for the given period by the applicable average asset balance.</w:t>
      </w:r>
    </w:p>
    <w:p>
      <w:pPr>
        <w:ind w:left="480" w:hanging="156"/>
        <w:spacing w:after="0" w:line="256" w:lineRule="auto"/>
        <w:tabs>
          <w:tab w:leader="none" w:pos="458"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Includes interest expenses related to our revolving credit facilities; interest expense related to the Credit Card Funding Trust is included in the credit card, net interest yield calculation. Refer to Note 11 - Financing Activities and Off-Balance Sheet Risk to our consolidated financial statements in this Annual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40" w:type="dxa"/>
            <w:vAlign w:val="bottom"/>
          </w:tcPr>
          <w:p>
            <w:pPr>
              <w:spacing w:after="0"/>
              <w:rPr>
                <w:sz w:val="7"/>
                <w:szCs w:val="7"/>
                <w:color w:val="auto"/>
              </w:rPr>
            </w:pPr>
          </w:p>
        </w:tc>
        <w:tc>
          <w:tcPr>
            <w:tcW w:w="9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7"/>
                <w:szCs w:val="7"/>
                <w:color w:val="auto"/>
              </w:rPr>
            </w:pPr>
          </w:p>
        </w:tc>
        <w:tc>
          <w:tcPr>
            <w:tcW w:w="1260" w:type="dxa"/>
            <w:vAlign w:val="bottom"/>
            <w:gridSpan w:val="2"/>
          </w:tcPr>
          <w:p>
            <w:pPr>
              <w:jc w:val="center"/>
              <w:ind w:right="80"/>
              <w:spacing w:after="0" w:line="87" w:lineRule="exact"/>
              <w:rPr>
                <w:sz w:val="20"/>
                <w:szCs w:val="20"/>
                <w:color w:val="auto"/>
              </w:rPr>
            </w:pPr>
            <w:r>
              <w:rPr>
                <w:rFonts w:ascii="Arial" w:cs="Arial" w:eastAsia="Arial" w:hAnsi="Arial"/>
                <w:sz w:val="10"/>
                <w:szCs w:val="10"/>
                <w:b w:val="1"/>
                <w:bCs w:val="1"/>
                <w:color w:val="auto"/>
              </w:rPr>
              <w:t>2024 to 2025</w:t>
            </w:r>
          </w:p>
        </w:tc>
        <w:tc>
          <w:tcPr>
            <w:tcW w:w="134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2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7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 Change</w:t>
            </w: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Other revenues: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gridSpan w:val="3"/>
            <w:shd w:val="clear" w:color="auto" w:fill="CCEEFF"/>
          </w:tcPr>
          <w:p>
            <w:pPr>
              <w:jc w:val="right"/>
              <w:ind w:right="535"/>
              <w:spacing w:after="0"/>
              <w:rPr>
                <w:sz w:val="20"/>
                <w:szCs w:val="20"/>
                <w:color w:val="auto"/>
              </w:rPr>
            </w:pPr>
            <w:r>
              <w:rPr>
                <w:rFonts w:ascii="Arial" w:cs="Arial" w:eastAsia="Arial" w:hAnsi="Arial"/>
                <w:sz w:val="16"/>
                <w:szCs w:val="16"/>
                <w:color w:val="auto"/>
              </w:rPr>
              <w:t>% of total net revenues</w:t>
            </w:r>
          </w:p>
        </w:tc>
        <w:tc>
          <w:tcPr>
            <w:tcW w:w="0" w:type="dxa"/>
            <w:vAlign w:val="bottom"/>
          </w:tcPr>
          <w:p>
            <w:pPr>
              <w:spacing w:after="0"/>
              <w:rPr>
                <w:sz w:val="1"/>
                <w:szCs w:val="1"/>
                <w:color w:val="auto"/>
              </w:rPr>
            </w:pPr>
          </w:p>
        </w:tc>
      </w:tr>
      <w:tr>
        <w:trPr>
          <w:trHeight w:val="205"/>
        </w:trPr>
        <w:tc>
          <w:tcPr>
            <w:tcW w:w="4740" w:type="dxa"/>
            <w:vAlign w:val="bottom"/>
            <w:gridSpan w:val="2"/>
          </w:tcPr>
          <w:p>
            <w:pPr>
              <w:ind w:left="240"/>
              <w:spacing w:after="0" w:line="205" w:lineRule="exact"/>
              <w:rPr>
                <w:sz w:val="20"/>
                <w:szCs w:val="20"/>
                <w:color w:val="auto"/>
              </w:rPr>
            </w:pPr>
            <w:r>
              <w:rPr>
                <w:rFonts w:ascii="Arial" w:cs="Arial" w:eastAsia="Arial" w:hAnsi="Arial"/>
                <w:sz w:val="18"/>
                <w:szCs w:val="18"/>
                <w:color w:val="auto"/>
              </w:rPr>
              <w:t>Gold subscription revenues</w:t>
            </w:r>
          </w:p>
        </w:tc>
        <w:tc>
          <w:tcPr>
            <w:tcW w:w="240" w:type="dxa"/>
            <w:vAlign w:val="bottom"/>
          </w:tcPr>
          <w:p>
            <w:pPr>
              <w:jc w:val="right"/>
              <w:ind w:right="32"/>
              <w:spacing w:after="0" w:line="205"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line="205"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260" w:type="dxa"/>
            <w:vAlign w:val="bottom"/>
          </w:tcPr>
          <w:p>
            <w:pPr>
              <w:jc w:val="right"/>
              <w:ind w:right="52"/>
              <w:spacing w:after="0" w:line="205"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55"/>
              <w:spacing w:after="0" w:line="205" w:lineRule="exact"/>
              <w:rPr>
                <w:sz w:val="20"/>
                <w:szCs w:val="20"/>
                <w:color w:val="auto"/>
              </w:rPr>
            </w:pPr>
            <w:r>
              <w:rPr>
                <w:rFonts w:ascii="Arial" w:cs="Arial" w:eastAsia="Arial" w:hAnsi="Arial"/>
                <w:sz w:val="18"/>
                <w:szCs w:val="18"/>
                <w:color w:val="auto"/>
              </w:rPr>
              <w:t>179</w:t>
            </w:r>
          </w:p>
        </w:tc>
        <w:tc>
          <w:tcPr>
            <w:tcW w:w="1240" w:type="dxa"/>
            <w:vAlign w:val="bottom"/>
            <w:gridSpan w:val="2"/>
          </w:tcPr>
          <w:p>
            <w:pPr>
              <w:jc w:val="center"/>
              <w:ind w:left="12"/>
              <w:spacing w:after="0" w:line="205" w:lineRule="exact"/>
              <w:rPr>
                <w:sz w:val="20"/>
                <w:szCs w:val="20"/>
                <w:color w:val="auto"/>
              </w:rPr>
            </w:pPr>
            <w:r>
              <w:rPr>
                <w:rFonts w:ascii="Arial" w:cs="Arial" w:eastAsia="Arial" w:hAnsi="Arial"/>
                <w:sz w:val="18"/>
                <w:szCs w:val="18"/>
                <w:color w:val="auto"/>
                <w:w w:val="94"/>
              </w:rPr>
              <w:t>64%</w:t>
            </w:r>
          </w:p>
        </w:tc>
        <w:tc>
          <w:tcPr>
            <w:tcW w:w="100" w:type="dxa"/>
            <w:vAlign w:val="bottom"/>
          </w:tcPr>
          <w:p>
            <w:pPr>
              <w:spacing w:after="0"/>
              <w:rPr>
                <w:sz w:val="17"/>
                <w:szCs w:val="17"/>
                <w:color w:val="auto"/>
              </w:rPr>
            </w:pPr>
          </w:p>
        </w:tc>
        <w:tc>
          <w:tcPr>
            <w:tcW w:w="134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100" w:type="dxa"/>
            <w:vAlign w:val="bottom"/>
            <w:tcBorders>
              <w:top w:val="single" w:sz="8" w:color="auto"/>
            </w:tcBorders>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Proxy revenues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2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124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99"/>
              </w:rPr>
              <w:t>242%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331</w:t>
            </w:r>
          </w:p>
        </w:tc>
        <w:tc>
          <w:tcPr>
            <w:tcW w:w="124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revenues increased by $136 million primarily driven by increased Gold subscription revenues of $70 million due to an increase in Gold Subscribers. Additionally, other revenues increased $63 million primarily driven by higher revenues from an increased number of digital assets listed, revenues derived from acquired business during the year, and increased IPO offerings.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2024 to 2025</w:t>
            </w:r>
          </w:p>
        </w:tc>
        <w:tc>
          <w:tcPr>
            <w:tcW w:w="0" w:type="dxa"/>
            <w:vAlign w:val="bottom"/>
          </w:tcPr>
          <w:p>
            <w:pPr>
              <w:spacing w:after="0"/>
              <w:rPr>
                <w:sz w:val="1"/>
                <w:szCs w:val="1"/>
                <w:color w:val="auto"/>
              </w:rPr>
            </w:pPr>
          </w:p>
        </w:tc>
      </w:tr>
      <w:tr>
        <w:trPr>
          <w:trHeight w:val="158"/>
        </w:trPr>
        <w:tc>
          <w:tcPr>
            <w:tcW w:w="702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05"/>
        </w:trPr>
        <w:tc>
          <w:tcPr>
            <w:tcW w:w="7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2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00"/>
              <w:spacing w:after="0"/>
              <w:rPr>
                <w:sz w:val="20"/>
                <w:szCs w:val="20"/>
                <w:color w:val="auto"/>
              </w:rPr>
            </w:pPr>
            <w:r>
              <w:rPr>
                <w:rFonts w:ascii="Arial" w:cs="Arial" w:eastAsia="Arial" w:hAnsi="Arial"/>
                <w:sz w:val="18"/>
                <w:szCs w:val="18"/>
                <w:color w:val="auto"/>
                <w:w w:val="99"/>
              </w:rPr>
              <w:t>164</w:t>
            </w:r>
          </w:p>
        </w:tc>
        <w:tc>
          <w:tcPr>
            <w:tcW w:w="80" w:type="dxa"/>
            <w:vAlign w:val="bottom"/>
          </w:tcPr>
          <w:p>
            <w:pPr>
              <w:spacing w:after="0"/>
              <w:rPr>
                <w:sz w:val="19"/>
                <w:szCs w:val="19"/>
                <w:color w:val="auto"/>
              </w:rPr>
            </w:pPr>
          </w:p>
        </w:tc>
        <w:tc>
          <w:tcPr>
            <w:tcW w:w="40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818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5"/>
        </w:trPr>
        <w:tc>
          <w:tcPr>
            <w:tcW w:w="70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5"/>
        </w:trPr>
        <w:tc>
          <w:tcPr>
            <w:tcW w:w="70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w w:val="99"/>
              </w:rPr>
              <w:t>272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455</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8"/>
        </w:trPr>
        <w:tc>
          <w:tcPr>
            <w:tcW w:w="70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2024 to 2025</w:t>
            </w:r>
          </w:p>
        </w:tc>
        <w:tc>
          <w:tcPr>
            <w:tcW w:w="0" w:type="dxa"/>
            <w:vAlign w:val="bottom"/>
          </w:tcPr>
          <w:p>
            <w:pPr>
              <w:spacing w:after="0"/>
              <w:rPr>
                <w:sz w:val="1"/>
                <w:szCs w:val="1"/>
                <w:color w:val="auto"/>
              </w:rPr>
            </w:pPr>
          </w:p>
        </w:tc>
      </w:tr>
      <w:tr>
        <w:trPr>
          <w:trHeight w:val="86"/>
        </w:trPr>
        <w:tc>
          <w:tcPr>
            <w:tcW w:w="7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02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Instant withdrawals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8"/>
        </w:trPr>
        <w:tc>
          <w:tcPr>
            <w:tcW w:w="7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2"/>
        </w:trPr>
        <w:tc>
          <w:tcPr>
            <w:tcW w:w="702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580"/>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increased by $47 million primarily driven by an increase of $15 million in employee compensation, benefits, and overhead due to increased average headcount to continue to support the growth and expansion of our brokerage business. Other brokerage and transaction costs increased $13 million primarily due to credit card network and processing fees driven by higher credit card transaction volume. Instant withdrawals expenses increased $11 million due to higher customer activities. Additionally, market data expenses increased $8 million primarily due to higher trading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40" w:type="dxa"/>
            <w:vAlign w:val="bottom"/>
          </w:tcPr>
          <w:p>
            <w:pPr>
              <w:jc w:val="right"/>
              <w:ind w:right="28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12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Cloud infrastructure services</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tools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2"/>
        </w:trPr>
        <w:tc>
          <w:tcPr>
            <w:tcW w:w="712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2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Technology and development costs increased by $79 million primarily due to increases of $33 million in software and tools and $22 million in cloud infrastructure expenses primarily driven by acquisitions and the continued growth and expansion of our business. Additionally, other technology and development expenses increased $18 million primarily driven by investments to support acquisitions and product growth.</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20" w:type="dxa"/>
            <w:vAlign w:val="bottom"/>
          </w:tcPr>
          <w:p>
            <w:pPr>
              <w:jc w:val="right"/>
              <w:ind w:right="264"/>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06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8"/>
        </w:trPr>
        <w:tc>
          <w:tcPr>
            <w:tcW w:w="706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Percent of total net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increased by $18 million primarily due to an increase of $9 million in other operations expense primarily related to costs associated with customer onboarding and account verification due to the growth of our customer base. Additionally, employee compensation, benefits, and overhead increased $4 million due to increased average headcount to support the expansion of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vMerge w:val="restart"/>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20" w:type="dxa"/>
            <w:vAlign w:val="bottom"/>
          </w:tcPr>
          <w:p>
            <w:pPr>
              <w:jc w:val="right"/>
              <w:ind w:right="266"/>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69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 - credit card related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credit losses - brokerage related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8"/>
        </w:trPr>
        <w:tc>
          <w:tcPr>
            <w:tcW w:w="7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2"/>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Provision for credit losses cost increased by $38 million primarily due to a $31 million increase in credit card related provision for credit losses mainly due to higher balances in purchased credit card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00" w:type="dxa"/>
            <w:vAlign w:val="bottom"/>
          </w:tcPr>
          <w:p>
            <w:pPr>
              <w:jc w:val="right"/>
              <w:ind w:right="26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30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marketing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2"/>
        </w:trPr>
        <w:tc>
          <w:tcPr>
            <w:tcW w:w="704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costs increased by $127 million primarily due to higher expenses in digital marketing of $58 million and brand marketing of $33 million as we increased our investments in paid marketing channels and other marketing initiatives to promote our brand, products, and services. Other marketing costs increased $27 million primarily related to our keynote events. Additionally, employee compensation, benefits, and overhead increased $9 million due to increased average headcount to support the expansion of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40" w:type="dxa"/>
            <w:vAlign w:val="bottom"/>
          </w:tcPr>
          <w:p>
            <w:pPr>
              <w:jc w:val="right"/>
              <w:ind w:right="28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12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Legal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2"/>
        </w:trPr>
        <w:tc>
          <w:tcPr>
            <w:tcW w:w="712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28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 and administrative costs increased by $173 million primarily due to an increase of $78 million in employee compensation, benefits, and overhead driven by increased average headcount, payroll taxes related to the vesting of Market-Based RSUs, and expenses recognized for shares granted in connection with acquisitions. In addition, other general and administrative expenses increased $73 million primarily due to a $55 million reversal of an accrual as part of a regulatory settlement in the prior year and an increase in expenses to support business expansion. Other professional fees increased $17 million primarily due to costs incurred in relation to business expansion.</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Provision for (Benefit from) Income Taxes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2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7"/>
              </w:rPr>
              <w:t>2024 to 2025</w:t>
            </w:r>
          </w:p>
        </w:tc>
        <w:tc>
          <w:tcPr>
            <w:tcW w:w="0" w:type="dxa"/>
            <w:vAlign w:val="bottom"/>
          </w:tcPr>
          <w:p>
            <w:pPr>
              <w:spacing w:after="0"/>
              <w:rPr>
                <w:sz w:val="1"/>
                <w:szCs w:val="1"/>
                <w:color w:val="auto"/>
              </w:rPr>
            </w:pPr>
          </w:p>
        </w:tc>
      </w:tr>
      <w:tr>
        <w:trPr>
          <w:trHeight w:val="158"/>
        </w:trPr>
        <w:tc>
          <w:tcPr>
            <w:tcW w:w="63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NM</w:t>
            </w:r>
          </w:p>
        </w:tc>
        <w:tc>
          <w:tcPr>
            <w:tcW w:w="0" w:type="dxa"/>
            <w:vAlign w:val="bottom"/>
          </w:tcPr>
          <w:p>
            <w:pPr>
              <w:spacing w:after="0"/>
              <w:rPr>
                <w:sz w:val="1"/>
                <w:szCs w:val="1"/>
                <w:color w:val="auto"/>
              </w:rPr>
            </w:pPr>
          </w:p>
        </w:tc>
      </w:tr>
      <w:tr>
        <w:trPr>
          <w:trHeight w:val="476"/>
        </w:trPr>
        <w:tc>
          <w:tcPr>
            <w:tcW w:w="6380" w:type="dxa"/>
            <w:vAlign w:val="bottom"/>
          </w:tcPr>
          <w:p>
            <w:pPr>
              <w:ind w:left="320"/>
              <w:spacing w:after="0"/>
              <w:rPr>
                <w:sz w:val="20"/>
                <w:szCs w:val="20"/>
                <w:color w:val="auto"/>
              </w:rPr>
            </w:pPr>
            <w:r>
              <w:rPr>
                <w:rFonts w:ascii="Arial" w:cs="Arial" w:eastAsia="Arial" w:hAnsi="Arial"/>
                <w:sz w:val="18"/>
                <w:szCs w:val="18"/>
                <w:color w:val="auto"/>
              </w:rPr>
              <w:t>Provision for income taxes increased by $572 million primarily due to the</w:t>
            </w:r>
          </w:p>
        </w:tc>
        <w:tc>
          <w:tcPr>
            <w:tcW w:w="4860" w:type="dxa"/>
            <w:vAlign w:val="bottom"/>
            <w:gridSpan w:val="8"/>
          </w:tcPr>
          <w:p>
            <w:pPr>
              <w:ind w:left="160"/>
              <w:spacing w:after="0"/>
              <w:rPr>
                <w:sz w:val="20"/>
                <w:szCs w:val="20"/>
                <w:color w:val="auto"/>
              </w:rPr>
            </w:pPr>
            <w:r>
              <w:rPr>
                <w:rFonts w:ascii="Arial" w:cs="Arial" w:eastAsia="Arial" w:hAnsi="Arial"/>
                <w:sz w:val="18"/>
                <w:szCs w:val="18"/>
                <w:color w:val="auto"/>
              </w:rPr>
              <w:t>benefits from the valuation release of the U.S. federal and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certain state deferred tax assets in the fourth quarter of 2024 and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Sources and Uses of Funds</w:t>
      </w:r>
    </w:p>
    <w:p>
      <w:pPr>
        <w:spacing w:after="0" w:line="17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NSCC, OCC, and CFTC). Based on our current level of operations, we believe our primary sources of liquidity will be adequate to meet our current liquidity needs for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we had cash and cash equivalents of $4.3 billion and stablecoin of $152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2025, we had committed revolving credit facilities with a total borrowing capacity of $3.775 billion and a borrowing capacity for our Credit Card Funding Trust of up to $ 950 million. Refer to Note 11 - Financing Activities and Off-Balance Sheet Risk to our consolidated financial statements in this Annual Report for further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short- and long-term material cash requirements for contractual obligations as of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gridSpan w:val="6"/>
          </w:tcPr>
          <w:p>
            <w:pPr>
              <w:jc w:val="right"/>
              <w:ind w:right="32"/>
              <w:spacing w:after="0"/>
              <w:rPr>
                <w:sz w:val="20"/>
                <w:szCs w:val="20"/>
                <w:color w:val="auto"/>
              </w:rPr>
            </w:pPr>
            <w:r>
              <w:rPr>
                <w:rFonts w:ascii="Arial" w:cs="Arial" w:eastAsia="Arial" w:hAnsi="Arial"/>
                <w:sz w:val="14"/>
                <w:szCs w:val="14"/>
                <w:b w:val="1"/>
                <w:bCs w:val="1"/>
                <w:color w:val="auto"/>
                <w:w w:val="99"/>
              </w:rPr>
              <w:t>Payments Due by Period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2027-2028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2029-2030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2"/>
        </w:trPr>
        <w:tc>
          <w:tcPr>
            <w:tcW w:w="43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26"/>
        </w:trPr>
        <w:tc>
          <w:tcPr>
            <w:tcW w:w="4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4300" w:type="dxa"/>
            <w:vAlign w:val="bottom"/>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2"/>
                <w:szCs w:val="22"/>
                <w:color w:val="auto"/>
                <w:vertAlign w:val="superscript"/>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3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20"/>
              <w:spacing w:after="0" w:line="199" w:lineRule="exact"/>
              <w:rPr>
                <w:sz w:val="20"/>
                <w:szCs w:val="20"/>
                <w:color w:val="auto"/>
              </w:rPr>
            </w:pPr>
            <w:r>
              <w:rPr>
                <w:rFonts w:ascii="Arial" w:cs="Arial" w:eastAsia="Arial" w:hAnsi="Arial"/>
                <w:sz w:val="18"/>
                <w:szCs w:val="18"/>
                <w:color w:val="auto"/>
              </w:rPr>
              <w:t>Credit Card Funding Trust borrowing principal and</w:t>
            </w:r>
          </w:p>
        </w:tc>
        <w:tc>
          <w:tcPr>
            <w:tcW w:w="300" w:type="dxa"/>
            <w:vAlign w:val="bottom"/>
          </w:tcPr>
          <w:p>
            <w:pPr>
              <w:spacing w:after="0"/>
              <w:rPr>
                <w:sz w:val="17"/>
                <w:szCs w:val="17"/>
                <w:color w:val="auto"/>
              </w:rPr>
            </w:pPr>
          </w:p>
        </w:tc>
        <w:tc>
          <w:tcPr>
            <w:tcW w:w="1000" w:type="dxa"/>
            <w:vAlign w:val="bottom"/>
          </w:tcPr>
          <w:p>
            <w:pPr>
              <w:jc w:val="right"/>
              <w:spacing w:after="0" w:line="199" w:lineRule="exact"/>
              <w:rPr>
                <w:sz w:val="20"/>
                <w:szCs w:val="20"/>
                <w:color w:val="auto"/>
              </w:rPr>
            </w:pPr>
            <w:r>
              <w:rPr>
                <w:rFonts w:ascii="Arial" w:cs="Arial" w:eastAsia="Arial" w:hAnsi="Arial"/>
                <w:sz w:val="18"/>
                <w:szCs w:val="18"/>
                <w:color w:val="auto"/>
              </w:rPr>
              <w:t>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602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40" w:hanging="134"/>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Operating lease commitments include tenant improvement allowance incentives amortized over the lease terms from 2025 to 2026.</w:t>
      </w:r>
    </w:p>
    <w:p>
      <w:pPr>
        <w:spacing w:after="0" w:line="286" w:lineRule="exact"/>
        <w:rPr>
          <w:sz w:val="20"/>
          <w:szCs w:val="20"/>
          <w:color w:val="auto"/>
        </w:rPr>
      </w:pPr>
    </w:p>
    <w:p>
      <w:pPr>
        <w:jc w:val="both"/>
        <w:ind w:left="160" w:hanging="158"/>
        <w:spacing w:after="0" w:line="234"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data services, and business insurance.</w:t>
      </w:r>
    </w:p>
    <w:p>
      <w:pPr>
        <w:spacing w:after="0" w:line="250" w:lineRule="exact"/>
        <w:rPr>
          <w:sz w:val="20"/>
          <w:szCs w:val="20"/>
          <w:color w:val="auto"/>
        </w:rPr>
      </w:pPr>
    </w:p>
    <w:p>
      <w:pPr>
        <w:jc w:val="both"/>
        <w:ind w:left="160" w:hanging="158"/>
        <w:spacing w:after="0" w:line="234"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Robinhood match incentives commitments represent non-cancelable future match payments on eligible cash deposits made by Robinhood Gold Subscribers. The future match payments are forfeited if deposits are not held on the platform during the specific earning period.</w:t>
      </w:r>
    </w:p>
    <w:p>
      <w:pPr>
        <w:spacing w:after="0" w:line="23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 See “Securities Borrowing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199390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and Lending” in Note 1 - Description of Business and Summary of Significant Accounting Policies to our consolidated financial statements in this Annual Report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seek potential acquisitions to leverage existing capabilities and further build out our business.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May 2025, we entered into an agreement to acquire all outstanding equity of WonderFi for C$0.36 per share, representing a total equity value of approximately $180 million.</w:t>
      </w:r>
    </w:p>
    <w:p>
      <w:pPr>
        <w:spacing w:after="0" w:line="123" w:lineRule="exact"/>
        <w:rPr>
          <w:sz w:val="20"/>
          <w:szCs w:val="20"/>
          <w:color w:val="auto"/>
        </w:rPr>
      </w:pPr>
    </w:p>
    <w:p>
      <w:pPr>
        <w:jc w:val="both"/>
        <w:ind w:firstLine="238"/>
        <w:spacing w:after="0" w:line="260"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2"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In December 2025, we entered into agreements to acquire PT Buana Capital Sekuritas, an Indonesian brokerage, and PT Pedagang Aset Kripto, a licensed Indonesian digital financial asset trader.</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Refer to Note 3 - Business Combinations to our consolidated financial statements in this Annual Report for more information on our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May 28, 2024, we announced that our board of directors approved the Repurchase Program authorizing us to repurchase up to $1 billion of our outstanding Class A common stock to return value to shareholders. On April 30, 2025, we announced that our board of directors has authorized an additional $500 million, bringing the Repurchase Program authorization to a total of $ 1.5 billion. For the year ended December 31, 2025, we had made share repurchases of $653 million under the Repurchase Program. Refer to Part II, Item 5 and Note 12 - Common Stock and Stockholders’ Equity to our consolidated financial statements in this Annual Report for more information about the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Regulatory Capital Requirements</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broker-dealer subsidiaries (RHS, RHF, and TradePMR) are subject to the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Net Capital Rule.</w:t>
      </w:r>
    </w:p>
    <w:p>
      <w:pPr>
        <w:spacing w:after="0" w:line="150" w:lineRule="exact"/>
        <w:rPr>
          <w:sz w:val="20"/>
          <w:szCs w:val="20"/>
          <w:color w:val="auto"/>
        </w:rPr>
      </w:pPr>
    </w:p>
    <w:p>
      <w:pPr>
        <w:jc w:val="both"/>
        <w:ind w:right="20" w:firstLine="318"/>
        <w:spacing w:after="0" w:line="304" w:lineRule="auto"/>
        <w:rPr>
          <w:sz w:val="20"/>
          <w:szCs w:val="20"/>
          <w:color w:val="auto"/>
        </w:rPr>
      </w:pPr>
      <w:r>
        <w:rPr>
          <w:rFonts w:ascii="Arial" w:cs="Arial" w:eastAsia="Arial" w:hAnsi="Arial"/>
          <w:sz w:val="17"/>
          <w:szCs w:val="17"/>
          <w:color w:val="auto"/>
        </w:rPr>
        <w:t>Our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table below summarizes the net capital, capital requirements and excess net capital of RHS, RHF, RHD, and TradePMR as of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2025</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46"/>
        </w:trPr>
        <w:tc>
          <w:tcPr>
            <w:tcW w:w="6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Capital</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Required Net Capital</w:t>
            </w:r>
          </w:p>
        </w:tc>
        <w:tc>
          <w:tcPr>
            <w:tcW w:w="200" w:type="dxa"/>
            <w:vAlign w:val="bottom"/>
          </w:tcPr>
          <w:p>
            <w:pPr>
              <w:spacing w:after="0"/>
              <w:rPr>
                <w:sz w:val="12"/>
                <w:szCs w:val="12"/>
                <w:color w:val="auto"/>
              </w:rPr>
            </w:pPr>
          </w:p>
        </w:tc>
        <w:tc>
          <w:tcPr>
            <w:tcW w:w="1380" w:type="dxa"/>
            <w:vAlign w:val="bottom"/>
          </w:tcPr>
          <w:p>
            <w:pPr>
              <w:jc w:val="center"/>
              <w:ind w:right="118"/>
              <w:spacing w:after="0" w:line="146"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81"/>
        </w:trPr>
        <w:tc>
          <w:tcPr>
            <w:tcW w:w="6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8"/>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RHD</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Arial" w:cs="Arial" w:eastAsia="Arial" w:hAnsi="Arial"/>
                <w:sz w:val="18"/>
                <w:szCs w:val="18"/>
                <w:color w:val="auto"/>
              </w:rPr>
              <w:t>TradePMR</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these subsidiaries were in compliance with their respective regulatory 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Flows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 Ended December 31,</w:t>
      </w:r>
    </w:p>
    <w:p>
      <w:pPr>
        <w:sectPr>
          <w:pgSz w:w="11900" w:h="16838" w:orient="portrait"/>
          <w:cols w:equalWidth="0" w:num="1">
            <w:col w:w="11240"/>
          </w:cols>
          <w:pgMar w:left="320" w:top="121" w:right="339" w:bottom="1440" w:gutter="0" w:footer="0" w:header="0"/>
        </w:sectPr>
      </w:pP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01"/>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rPr>
              <w:t>Cash provided by (used in):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25"/>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2"/>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7134860" cy="142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-572770</wp:posOffset>
            </wp:positionV>
            <wp:extent cx="7134860" cy="142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(used in) operating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net income after adjusting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3960"/>
        <w:spacing w:after="0" w:line="276" w:lineRule="auto"/>
        <w:rPr>
          <w:sz w:val="20"/>
          <w:szCs w:val="20"/>
          <w:color w:val="auto"/>
        </w:rPr>
      </w:pPr>
      <w:r>
        <w:rPr>
          <w:rFonts w:ascii="Arial" w:cs="Arial" w:eastAsia="Arial" w:hAnsi="Arial"/>
          <w:sz w:val="17"/>
          <w:szCs w:val="17"/>
          <w:color w:val="auto"/>
        </w:rPr>
        <w:t>Increase in securities borrowed due to increased customer activities Increase in securities segregated under federal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260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260350"/>
                    </a:xfrm>
                    <a:prstGeom prst="rect">
                      <a:avLst/>
                    </a:prstGeom>
                    <a:noFill/>
                  </pic:spPr>
                </pic:pic>
              </a:graphicData>
            </a:graphic>
          </wp:anchor>
        </w:drawing>
      </w:r>
    </w:p>
    <w:p>
      <w:pPr>
        <w:ind w:left="240" w:right="200"/>
        <w:spacing w:after="0" w:line="230" w:lineRule="auto"/>
        <w:rPr>
          <w:sz w:val="20"/>
          <w:szCs w:val="20"/>
          <w:color w:val="auto"/>
        </w:rPr>
      </w:pPr>
      <w:r>
        <w:rPr>
          <w:rFonts w:ascii="Arial" w:cs="Arial" w:eastAsia="Arial" w:hAnsi="Arial"/>
          <w:sz w:val="18"/>
          <w:szCs w:val="18"/>
          <w:color w:val="auto"/>
        </w:rPr>
        <w:t>Increase in securities loaned due to continued growth of our securities lending program, as well as market conditions, variable lending and funding activities</w:t>
      </w:r>
    </w:p>
    <w:p>
      <w:pPr>
        <w:spacing w:after="0" w:line="7" w:lineRule="exact"/>
        <w:rPr>
          <w:sz w:val="20"/>
          <w:szCs w:val="20"/>
          <w:color w:val="auto"/>
        </w:rPr>
      </w:pPr>
    </w:p>
    <w:p>
      <w:pPr>
        <w:ind w:left="240" w:right="620"/>
        <w:spacing w:after="0" w:line="234" w:lineRule="auto"/>
        <w:rPr>
          <w:sz w:val="20"/>
          <w:szCs w:val="20"/>
          <w:color w:val="auto"/>
        </w:rPr>
      </w:pPr>
      <w:r>
        <w:rPr>
          <w:rFonts w:ascii="Arial" w:cs="Arial" w:eastAsia="Arial" w:hAnsi="Arial"/>
          <w:sz w:val="18"/>
          <w:szCs w:val="18"/>
          <w:color w:val="auto"/>
        </w:rPr>
        <w:t>Decrease in working capital primarily driven by the timing of collection of receivables from users and payment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34860" cy="168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88"/>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8" w:hanging="1035"/>
        <w:spacing w:after="0"/>
        <w:tabs>
          <w:tab w:leader="none" w:pos="10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1,795</w:t>
      </w:r>
    </w:p>
    <w:p>
      <w:pPr>
        <w:spacing w:after="0" w:line="24"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color w:val="auto"/>
        </w:rPr>
        <w:t>289</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8"/>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8" w:hanging="1048"/>
        <w:spacing w:after="0"/>
        <w:tabs>
          <w:tab w:leader="none" w:pos="10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1,073</w:t>
      </w:r>
    </w:p>
    <w:p>
      <w:pPr>
        <w:spacing w:after="0" w:line="24" w:lineRule="exact"/>
        <w:rPr>
          <w:rFonts w:ascii="Arial" w:cs="Arial" w:eastAsia="Arial" w:hAnsi="Arial"/>
          <w:sz w:val="18"/>
          <w:szCs w:val="18"/>
          <w:color w:val="auto"/>
        </w:rPr>
      </w:pPr>
    </w:p>
    <w:p>
      <w:pPr>
        <w:ind w:left="1048"/>
        <w:spacing w:after="0"/>
        <w:rPr>
          <w:rFonts w:ascii="Arial" w:cs="Arial" w:eastAsia="Arial" w:hAnsi="Arial"/>
          <w:sz w:val="18"/>
          <w:szCs w:val="18"/>
          <w:color w:val="auto"/>
        </w:rPr>
      </w:pPr>
      <w:r>
        <w:rPr>
          <w:rFonts w:ascii="Arial" w:cs="Arial" w:eastAsia="Arial" w:hAnsi="Arial"/>
          <w:sz w:val="18"/>
          <w:szCs w:val="18"/>
          <w:color w:val="auto"/>
        </w:rPr>
        <w:t>2,462</w:t>
      </w:r>
    </w:p>
    <w:p>
      <w:pPr>
        <w:spacing w:after="0" w:line="18"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color w:val="auto"/>
        </w:rPr>
        <w:t>594</w:t>
      </w:r>
    </w:p>
    <w:p>
      <w:pPr>
        <w:spacing w:after="0" w:line="19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247</w:t>
      </w:r>
    </w:p>
    <w:p>
      <w:pPr>
        <w:spacing w:after="0" w:line="20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(2,581)</w:t>
      </w:r>
    </w:p>
    <w:p>
      <w:pPr>
        <w:spacing w:after="0" w:line="31" w:lineRule="exact"/>
        <w:rPr>
          <w:sz w:val="20"/>
          <w:szCs w:val="20"/>
          <w:color w:val="auto"/>
        </w:rPr>
      </w:pPr>
    </w:p>
    <w:p>
      <w:pPr>
        <w:ind w:left="1048" w:hanging="1048"/>
        <w:spacing w:after="0"/>
        <w:tabs>
          <w:tab w:leader="none" w:pos="10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10083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80" w:space="92"/>
            <w:col w:w="156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199390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(used in) investing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cash, cash equivalents, and segregated cash acquired in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Proceeds received from maturities of held-to-maturity investments offset by lower purchases in the current year</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purchases of credit card receivables offset by collections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Consideration transferred for business acquisitions and asset acquisitions</w:t>
      </w:r>
    </w:p>
    <w:p>
      <w:pPr>
        <w:spacing w:after="0" w:line="18" w:lineRule="exact"/>
        <w:rPr>
          <w:sz w:val="20"/>
          <w:szCs w:val="20"/>
          <w:color w:val="auto"/>
        </w:rPr>
      </w:pPr>
    </w:p>
    <w:p>
      <w:pPr>
        <w:ind w:left="240" w:right="2480"/>
        <w:spacing w:after="0" w:line="237" w:lineRule="auto"/>
        <w:rPr>
          <w:sz w:val="20"/>
          <w:szCs w:val="20"/>
          <w:color w:val="auto"/>
        </w:rPr>
      </w:pPr>
      <w:r>
        <w:rPr>
          <w:rFonts w:ascii="Arial" w:cs="Arial" w:eastAsia="Arial" w:hAnsi="Arial"/>
          <w:sz w:val="18"/>
          <w:szCs w:val="18"/>
          <w:color w:val="auto"/>
        </w:rPr>
        <w:t>Purchases of non-marketable securities primarily related to Robinhood Ventures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40" w:right="2520" w:hanging="211"/>
        <w:spacing w:after="0" w:line="263" w:lineRule="auto"/>
        <w:rPr>
          <w:sz w:val="20"/>
          <w:szCs w:val="20"/>
          <w:color w:val="auto"/>
        </w:rPr>
      </w:pPr>
      <w:r>
        <w:rPr>
          <w:rFonts w:ascii="Arial" w:cs="Arial" w:eastAsia="Arial" w:hAnsi="Arial"/>
          <w:sz w:val="18"/>
          <w:szCs w:val="18"/>
          <w:color w:val="auto"/>
        </w:rPr>
        <w:t>Changes to net cash used in financing activities were primarily due to: Increase in repurchase of common stock under the Repurchase Program Increase in cash used for taxes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134860" cy="14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7134860" cy="142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1560"/>
        <w:spacing w:after="0" w:line="281" w:lineRule="auto"/>
        <w:rPr>
          <w:sz w:val="20"/>
          <w:szCs w:val="20"/>
          <w:color w:val="auto"/>
        </w:rPr>
      </w:pPr>
      <w:r>
        <w:rPr>
          <w:rFonts w:ascii="Arial" w:cs="Arial" w:eastAsia="Arial" w:hAnsi="Arial"/>
          <w:sz w:val="18"/>
          <w:szCs w:val="18"/>
          <w:color w:val="auto"/>
        </w:rPr>
        <w:t>Increase in borrowings by the Credit Card Funding Trust to purchase credit card receivables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4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0" w:hanging="103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1,068</w:t>
      </w:r>
    </w:p>
    <w:p>
      <w:pPr>
        <w:spacing w:after="0" w:line="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298</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(563)</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(265)</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(243)</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1000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5" w:lineRule="exact"/>
        <w:rPr>
          <w:sz w:val="20"/>
          <w:szCs w:val="20"/>
          <w:color w:val="auto"/>
        </w:rPr>
      </w:pPr>
    </w:p>
    <w:p>
      <w:pPr>
        <w:ind w:left="1200" w:hanging="1195"/>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1000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1000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120" w:hanging="1115"/>
        <w:spacing w:after="0"/>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(396)</w:t>
      </w:r>
    </w:p>
    <w:p>
      <w:pPr>
        <w:spacing w:after="0" w:line="36"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(193)</w:t>
      </w:r>
    </w:p>
    <w:p>
      <w:pPr>
        <w:spacing w:after="0" w:line="29"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336</w:t>
      </w:r>
    </w:p>
    <w:p>
      <w:pPr>
        <w:spacing w:after="0" w:line="18"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1000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5" w:lineRule="exact"/>
        <w:rPr>
          <w:sz w:val="20"/>
          <w:szCs w:val="20"/>
          <w:color w:val="auto"/>
        </w:rPr>
      </w:pPr>
    </w:p>
    <w:p>
      <w:pPr>
        <w:ind w:left="1120" w:hanging="1115"/>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000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1000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estimates addressed below. We also have other key accounting policies, which involve the use of estimates, judgments, and assumptions that are significant to understanding our results. For additional information, refer to Note 1 - Description of Business and Summary of Significant Accounting Policies to our consolidated financial statements in this Annual Report.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1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 of the allowance for credit losses represents management’s estimate of expected credit losses over the remaining expected life of our financial assets measured at amortized cost considering available information from internal and external sources. The allowance for credit losses provides for unsecured balances of receivables from users due to Fraudulent Deposit Transactions, losses on margin lending, purchased credit card receivables, and reserves on proxy revenue receivables. The allowance for credit losses takes into account relevant available information including the nature of the collateral, potential future changes in collateral values, and historical credit loss information.</w:t>
      </w:r>
    </w:p>
    <w:p>
      <w:pPr>
        <w:spacing w:after="0" w:line="1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amount of the allowance for credit losses represents management’s estimate of expected credit losses from off-balance sheet credit exposure over the remaining expected life of credit card receivables originated under an arrangement with Coastal Bank. Coastal Bank is the legal lender and originator, the party to which the customer has a credit-borrower relationship, and the legal owner of the credit card receivables. We are responsible to pay Coastal Bank customer balances that are ultimately charged off or deemed uncollectible, generally when balances become outstanding for over 180 days. Allowance for credit losses takes into account information from internal and external sources and market data, which is estimated based on outstanding customer credit card principal balances owned by Coastal Bank and anticipated future customer payment rates based on past portfolio performance, both of which are unobservable inputs. The measurement of this liability using this method approximates fair value. For additional information, refer to Note 11 - Financing Activities and Off-Balance Sheet Risk to our consolidated financial statements in this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allocate the fair value of the purchase price to the tangible assets acquired, liabilities assumed, and intangible assets acquired based on their estimated fair values. The excess of the fair value of the purchase price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contracts, acquired technology, and trade names, based on expected future growth rates and margins, attrition rates, future changes in technology and royalty for similar brand licenses, useful lives, and discount rates. Management's estimates of fair value are based upon assumptions believed to be reasonable, but which are inherently uncertain and unpredictable and, as a result, actual results might differ from estimates.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will be recognized in an amount equal to that excess, limited to the total amount of goodwill allocated to that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significant judgments and estimates to determine any valuation allowance recorded against deferred tax assets.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is generally satisfied over six years. The performance-based conditions were satisfied upon the occurrence of an IPO. The market-based conditions are satisfied upon our achievement of specified share prices. As of December 31, 2024, SBC expense related to the Market-Based RSUs was fully recognized and as of December 31, 2025, all Market-Based RSUs were fully vested.</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and risk-free interest rates.</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 SBC expense for market-based equity awards on an accelerated attribution method over the requisite service period, and only if performance-based conditions are considered probable to be satisfied. We determined the requisite service period by comparing the derived service period to achieve the market-based condition and the explicit time-based service period, using the longer of the two service periods as the requisite service period.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2 - Recent Accounting Pronouncements to our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7A. QUANTITATIVE AND QUALITATIVE DISCLOSURES ABOUT MARKET RISK</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Risk</w:t>
      </w:r>
    </w:p>
    <w:p>
      <w:pPr>
        <w:spacing w:after="0" w:line="17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(loss), and cash flows, prior to any income tax effects, over the next 12 months.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09"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color w:val="auto"/>
        </w:rPr>
        <w:t>The impact to total net revenues, net income (loss), and cash flows, prior to any income tax effects, as a result of a hypothetical interest rate change at the end of each reporting period would be: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100 basis point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bl>
    <w:p>
      <w:pPr>
        <w:spacing w:after="0" w:line="31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The change to total net revenues, net income (loss),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December 31, 2025, a hypothetical 100 basis point increase in interest rates across all maturities would not be significant. Any losses would only be realized if we sold the investments prior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have exposure to changes in interest rates related to our variable-rate credit facilities. Refer to Note 11 - Financing Activities and Off-Balance Sheet Risk to our consolidated financial statements in this Annual Report for further information. However, as there were no outstanding borrowings under our uncommitted revolving credit facilities as of December 31, 2024 and 2025, we had limited financial exposure associated with changes in interest rates as of such dates.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2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Market-Related Credit Risk</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INDEX TO THE CONSOLIDATED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PAGE</w:t>
            </w: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127</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3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Consolidated Balance Sheets</w:t>
            </w:r>
          </w:p>
        </w:tc>
        <w:tc>
          <w:tcPr>
            <w:tcW w:w="2200" w:type="dxa"/>
            <w:vAlign w:val="bottom"/>
            <w:gridSpan w:val="10"/>
            <w:shd w:val="clear" w:color="auto" w:fill="CCEEFF"/>
          </w:tcPr>
          <w:p>
            <w:pPr>
              <w:spacing w:after="0"/>
              <w:rPr>
                <w:sz w:val="16"/>
                <w:szCs w:val="16"/>
                <w:color w:val="auto"/>
              </w:rPr>
            </w:pPr>
          </w:p>
        </w:tc>
        <w:tc>
          <w:tcPr>
            <w:tcW w:w="3940" w:type="dxa"/>
            <w:vAlign w:val="bottom"/>
            <w:gridSpan w:val="4"/>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129</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Consolidated Statements of Operations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130</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8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Comprehensive Income (Loss)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131</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620" w:type="dxa"/>
            <w:vAlign w:val="bottom"/>
            <w:gridSpan w:val="16"/>
          </w:tcPr>
          <w:p>
            <w:pPr>
              <w:spacing w:after="0" w:line="185" w:lineRule="exact"/>
              <w:rPr>
                <w:sz w:val="20"/>
                <w:szCs w:val="20"/>
                <w:color w:val="auto"/>
              </w:rPr>
            </w:pPr>
            <w:r>
              <w:rPr>
                <w:rFonts w:ascii="Arial" w:cs="Arial" w:eastAsia="Arial" w:hAnsi="Arial"/>
                <w:sz w:val="18"/>
                <w:szCs w:val="18"/>
                <w:color w:val="0000FF"/>
              </w:rPr>
              <w:t>Consolidated Statements of Cash Flows</w:t>
            </w:r>
          </w:p>
        </w:tc>
        <w:tc>
          <w:tcPr>
            <w:tcW w:w="3840" w:type="dxa"/>
            <w:vAlign w:val="bottom"/>
            <w:gridSpan w:val="3"/>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132</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3860" w:type="dxa"/>
            <w:vAlign w:val="bottom"/>
            <w:tcBorders>
              <w:right w:val="single" w:sz="8" w:color="CCEEFF"/>
            </w:tcBorders>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8"/>
              </w:rPr>
              <w:t>Consolidated Statements of Stockholders’ Equity</w:t>
            </w:r>
          </w:p>
        </w:tc>
        <w:tc>
          <w:tcPr>
            <w:tcW w:w="4600" w:type="dxa"/>
            <w:vAlign w:val="bottom"/>
            <w:gridSpan w:val="7"/>
            <w:shd w:val="clear" w:color="auto" w:fill="CCEEFF"/>
          </w:tcPr>
          <w:p>
            <w:pPr>
              <w:spacing w:after="0"/>
              <w:rPr>
                <w:sz w:val="18"/>
                <w:szCs w:val="18"/>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134</w:t>
            </w:r>
          </w:p>
        </w:tc>
      </w:tr>
      <w:tr>
        <w:trPr>
          <w:trHeight w:val="185"/>
        </w:trPr>
        <w:tc>
          <w:tcPr>
            <w:tcW w:w="20" w:type="dxa"/>
            <w:vAlign w:val="bottom"/>
            <w:tcBorders>
              <w:top w:val="single" w:sz="8" w:color="CCEEFF"/>
            </w:tcBorders>
          </w:tcPr>
          <w:p>
            <w:pPr>
              <w:spacing w:after="0"/>
              <w:rPr>
                <w:sz w:val="16"/>
                <w:szCs w:val="16"/>
                <w:color w:val="auto"/>
              </w:rPr>
            </w:pPr>
          </w:p>
        </w:tc>
        <w:tc>
          <w:tcPr>
            <w:tcW w:w="3860" w:type="dxa"/>
            <w:vAlign w:val="bottom"/>
            <w:tcBorders>
              <w:top w:val="single" w:sz="8" w:color="0000FF"/>
            </w:tcBorders>
            <w:gridSpan w:val="12"/>
          </w:tcPr>
          <w:p>
            <w:pPr>
              <w:spacing w:after="0" w:line="185" w:lineRule="exact"/>
              <w:rPr>
                <w:sz w:val="20"/>
                <w:szCs w:val="20"/>
                <w:color w:val="auto"/>
              </w:rPr>
            </w:pPr>
            <w:r>
              <w:rPr>
                <w:rFonts w:ascii="Arial" w:cs="Arial" w:eastAsia="Arial" w:hAnsi="Arial"/>
                <w:sz w:val="18"/>
                <w:szCs w:val="18"/>
                <w:color w:val="0000FF"/>
              </w:rPr>
              <w:t>Notes to the Consolidated Financial Statements</w:t>
            </w:r>
          </w:p>
        </w:tc>
        <w:tc>
          <w:tcPr>
            <w:tcW w:w="4600" w:type="dxa"/>
            <w:vAlign w:val="bottom"/>
            <w:tcBorders>
              <w:top w:val="single" w:sz="8" w:color="CCEEFF"/>
            </w:tcBorders>
            <w:gridSpan w:val="7"/>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Note 1 - Description of Business and Summary of Significant Accounting Policies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137</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00" w:type="dxa"/>
            <w:vAlign w:val="bottom"/>
            <w:gridSpan w:val="17"/>
          </w:tcPr>
          <w:p>
            <w:pPr>
              <w:spacing w:after="0" w:line="185" w:lineRule="exact"/>
              <w:rPr>
                <w:sz w:val="20"/>
                <w:szCs w:val="20"/>
                <w:color w:val="auto"/>
              </w:rPr>
            </w:pPr>
            <w:r>
              <w:rPr>
                <w:rFonts w:ascii="Arial" w:cs="Arial" w:eastAsia="Arial" w:hAnsi="Arial"/>
                <w:sz w:val="18"/>
                <w:szCs w:val="18"/>
                <w:color w:val="0000FF"/>
              </w:rPr>
              <w:t>Note 2 - Recent Accounting Pronouncements</w:t>
            </w:r>
          </w:p>
        </w:tc>
        <w:tc>
          <w:tcPr>
            <w:tcW w:w="1840" w:type="dxa"/>
            <w:vAlign w:val="bottom"/>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151</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40" w:type="dxa"/>
            <w:vAlign w:val="bottom"/>
            <w:tcBorders>
              <w:right w:val="single" w:sz="8" w:color="CCEEFF"/>
            </w:tcBorders>
            <w:gridSpan w:val="11"/>
            <w:shd w:val="clear" w:color="auto" w:fill="CCEEFF"/>
          </w:tcPr>
          <w:p>
            <w:pPr>
              <w:spacing w:after="0" w:line="195" w:lineRule="exact"/>
              <w:rPr>
                <w:sz w:val="20"/>
                <w:szCs w:val="20"/>
                <w:color w:val="auto"/>
              </w:rPr>
            </w:pPr>
            <w:r>
              <w:rPr>
                <w:rFonts w:ascii="Arial" w:cs="Arial" w:eastAsia="Arial" w:hAnsi="Arial"/>
                <w:sz w:val="18"/>
                <w:szCs w:val="18"/>
                <w:color w:val="0000FF"/>
              </w:rPr>
              <w:t>Note 3 - Business Combinations</w:t>
            </w:r>
          </w:p>
        </w:tc>
        <w:tc>
          <w:tcPr>
            <w:tcW w:w="4600" w:type="dxa"/>
            <w:vAlign w:val="bottom"/>
            <w:gridSpan w:val="7"/>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152</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4 - Goodwill and Intangible Assets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w w:val="97"/>
              </w:rPr>
              <w:t>Note 5 - Revenues</w:t>
            </w:r>
          </w:p>
        </w:tc>
        <w:tc>
          <w:tcPr>
            <w:tcW w:w="1600" w:type="dxa"/>
            <w:vAlign w:val="bottom"/>
            <w:tcBorders>
              <w:right w:val="single" w:sz="8" w:color="CCEEFF"/>
            </w:tcBorders>
            <w:gridSpan w:val="6"/>
            <w:shd w:val="clear" w:color="auto" w:fill="CCEEFF"/>
          </w:tcPr>
          <w:p>
            <w:pPr>
              <w:spacing w:after="0"/>
              <w:rPr>
                <w:sz w:val="16"/>
                <w:szCs w:val="16"/>
                <w:color w:val="auto"/>
              </w:rPr>
            </w:pPr>
          </w:p>
        </w:tc>
        <w:tc>
          <w:tcPr>
            <w:tcW w:w="5060" w:type="dxa"/>
            <w:vAlign w:val="bottom"/>
            <w:gridSpan w:val="10"/>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157</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6 - Allowance for Credit Losses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158</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960" w:type="dxa"/>
            <w:vAlign w:val="bottom"/>
            <w:tcBorders>
              <w:right w:val="single" w:sz="8" w:color="CCEE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7"/>
              </w:rPr>
              <w:t>Note 7 - Investments and Fair Value Measurement</w:t>
            </w:r>
          </w:p>
        </w:tc>
        <w:tc>
          <w:tcPr>
            <w:tcW w:w="4180" w:type="dxa"/>
            <w:vAlign w:val="bottom"/>
            <w:gridSpan w:val="5"/>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60" w:type="dxa"/>
            <w:vAlign w:val="bottom"/>
            <w:gridSpan w:val="13"/>
          </w:tcPr>
          <w:p>
            <w:pPr>
              <w:spacing w:after="0" w:line="185" w:lineRule="exact"/>
              <w:rPr>
                <w:sz w:val="20"/>
                <w:szCs w:val="20"/>
                <w:color w:val="auto"/>
              </w:rPr>
            </w:pPr>
            <w:r>
              <w:rPr>
                <w:rFonts w:ascii="Arial" w:cs="Arial" w:eastAsia="Arial" w:hAnsi="Arial"/>
                <w:sz w:val="18"/>
                <w:szCs w:val="18"/>
                <w:color w:val="0000FF"/>
              </w:rPr>
              <w:t>Note 8 - Income Taxes</w:t>
            </w:r>
          </w:p>
        </w:tc>
        <w:tc>
          <w:tcPr>
            <w:tcW w:w="4180" w:type="dxa"/>
            <w:vAlign w:val="bottom"/>
            <w:gridSpan w:val="5"/>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60" w:type="dxa"/>
            <w:vAlign w:val="bottom"/>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7"/>
              </w:rPr>
              <w:t>Note 9 - Property, Software, and Equipment, net</w:t>
            </w:r>
          </w:p>
        </w:tc>
        <w:tc>
          <w:tcPr>
            <w:tcW w:w="4380" w:type="dxa"/>
            <w:vAlign w:val="bottom"/>
            <w:gridSpan w:val="6"/>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168</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10"/>
          </w:tcPr>
          <w:p>
            <w:pPr>
              <w:spacing w:after="0" w:line="185" w:lineRule="exact"/>
              <w:rPr>
                <w:sz w:val="20"/>
                <w:szCs w:val="20"/>
                <w:color w:val="auto"/>
              </w:rPr>
            </w:pPr>
            <w:r>
              <w:rPr>
                <w:rFonts w:ascii="Arial" w:cs="Arial" w:eastAsia="Arial" w:hAnsi="Arial"/>
                <w:sz w:val="18"/>
                <w:szCs w:val="18"/>
                <w:color w:val="0000FF"/>
                <w:w w:val="96"/>
              </w:rPr>
              <w:t>Note 10 - Securities Borrowing and Lending</w:t>
            </w:r>
          </w:p>
        </w:tc>
        <w:tc>
          <w:tcPr>
            <w:tcW w:w="360" w:type="dxa"/>
            <w:vAlign w:val="bottom"/>
            <w:gridSpan w:val="2"/>
          </w:tcPr>
          <w:p>
            <w:pPr>
              <w:spacing w:after="0"/>
              <w:rPr>
                <w:sz w:val="16"/>
                <w:szCs w:val="16"/>
                <w:color w:val="auto"/>
              </w:rPr>
            </w:pPr>
          </w:p>
        </w:tc>
        <w:tc>
          <w:tcPr>
            <w:tcW w:w="4380" w:type="dxa"/>
            <w:vAlign w:val="bottom"/>
            <w:gridSpan w:val="6"/>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169</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Note 11 - Financing Activities and Off-Balance Sheet Risk</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170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gridSpan w:val="16"/>
          </w:tcPr>
          <w:p>
            <w:pPr>
              <w:spacing w:after="0" w:line="185" w:lineRule="exact"/>
              <w:rPr>
                <w:sz w:val="20"/>
                <w:szCs w:val="20"/>
                <w:color w:val="auto"/>
              </w:rPr>
            </w:pPr>
            <w:r>
              <w:rPr>
                <w:rFonts w:ascii="Arial" w:cs="Arial" w:eastAsia="Arial" w:hAnsi="Arial"/>
                <w:sz w:val="18"/>
                <w:szCs w:val="18"/>
                <w:color w:val="0000FF"/>
              </w:rPr>
              <w:t>Note 12 - Common Stock and Stockholders' Equity</w:t>
            </w:r>
          </w:p>
        </w:tc>
        <w:tc>
          <w:tcPr>
            <w:tcW w:w="3640" w:type="dxa"/>
            <w:vAlign w:val="bottom"/>
            <w:gridSpan w:val="2"/>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173</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960" w:type="dxa"/>
            <w:vAlign w:val="bottom"/>
            <w:tcBorders>
              <w:right w:val="single" w:sz="8" w:color="CCEE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rPr>
              <w:t>Note 13 - Net Income (Loss) per Share</w:t>
            </w:r>
          </w:p>
        </w:tc>
        <w:tc>
          <w:tcPr>
            <w:tcW w:w="4180" w:type="dxa"/>
            <w:vAlign w:val="bottom"/>
            <w:gridSpan w:val="5"/>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178</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8"/>
          </w:tcPr>
          <w:p>
            <w:pPr>
              <w:spacing w:after="0" w:line="185" w:lineRule="exact"/>
              <w:rPr>
                <w:sz w:val="20"/>
                <w:szCs w:val="20"/>
                <w:color w:val="auto"/>
              </w:rPr>
            </w:pPr>
            <w:r>
              <w:rPr>
                <w:rFonts w:ascii="Arial" w:cs="Arial" w:eastAsia="Arial" w:hAnsi="Arial"/>
                <w:sz w:val="18"/>
                <w:szCs w:val="18"/>
                <w:color w:val="0000FF"/>
              </w:rPr>
              <w:t>Note 14 - Leases</w:t>
            </w:r>
          </w:p>
        </w:tc>
        <w:tc>
          <w:tcPr>
            <w:tcW w:w="5060" w:type="dxa"/>
            <w:vAlign w:val="bottom"/>
            <w:gridSpan w:val="10"/>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179</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0000FF"/>
                <w:w w:val="97"/>
              </w:rPr>
              <w:t>Note 15 - Commitments &amp; Contingencies</w:t>
            </w:r>
          </w:p>
        </w:tc>
        <w:tc>
          <w:tcPr>
            <w:tcW w:w="4940" w:type="dxa"/>
            <w:vAlign w:val="bottom"/>
            <w:gridSpan w:val="9"/>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180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060" w:firstLine="3060"/>
        <w:spacing w:after="0" w:line="277"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Shareholders and the Board of Directors of Robinhood Markets, Inc.</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have audited the accompanying consolidated balance sheets of Robinhood Markets, Inc.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2025, based on criteria established in Internal Control— Integrated Framework issued by the Committee of Sponsoring Organizations of the Treadway Commission (2013 framework), and our report dated February 18, 2026 expressed an unqualified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b w:val="1"/>
          <w:bCs w:val="1"/>
          <w:i w:val="1"/>
          <w:iCs w:val="1"/>
          <w:color w:val="auto"/>
        </w:rPr>
        <w:t>Transaction-based revenues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17" w:lineRule="exact"/>
        <w:rPr>
          <w:sz w:val="20"/>
          <w:szCs w:val="20"/>
          <w:color w:val="auto"/>
        </w:rPr>
      </w:pPr>
    </w:p>
    <w:p>
      <w:pPr>
        <w:spacing w:after="0" w:line="434" w:lineRule="auto"/>
        <w:rPr>
          <w:sz w:val="20"/>
          <w:szCs w:val="20"/>
          <w:color w:val="auto"/>
        </w:rPr>
      </w:pPr>
      <w:r>
        <w:rPr>
          <w:rFonts w:ascii="Arial" w:cs="Arial" w:eastAsia="Arial" w:hAnsi="Arial"/>
          <w:sz w:val="19"/>
          <w:szCs w:val="19"/>
          <w:color w:val="auto"/>
        </w:rPr>
        <w:t>We have served as the Company’s auditor since 2017. San Francisco,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discussed in Note 1 and Note 5 to the consolidated financial statements, the Company recognized transaction-based revenues of $2,628 million for the year ended December 31, 2025, of which $2,326 million is comprised of revenues earned from routing user orders to market makers when the performance obligation is satisfied, which is at the point in time when a routed order is executed by the market maker. The Company’s transaction-based revenues from routing user orders are earned from various market makers, and involve several inputs from the Company’s information technology environment to calculate the revenue recognized.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Auditing transaction-based revenues from routing user orders was complex and involved significant audit effort to identify, test, and evaluate the inputs to record transaction-based revenues from routing user orders.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revenue recognition process for transaction-based revenues from routing user orders. With the involvement of our information technology professionals, we identified and tested the relevant inputs from the information technology environment used to process and record transaction-based revenues earned from routing user orders and tested the relevant information technology general controls over the Company’s information technology environment.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 procedures included, among others, testing on a sample basis the completeness and accuracy of the underlying data and calculations used to record transaction-based revenues from routing user orders, obtaining external confirmation of revenue recognized and transaction price from market makers, and comparing revenue recognized to cash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177800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4480" w:space="400"/>
            <w:col w:w="6300"/>
          </w:cols>
          <w:pgMar w:left="320" w:top="121" w:right="399" w:bottom="1440" w:gutter="0" w:footer="0" w:header="0"/>
          <w:type w:val="continuous"/>
        </w:sectPr>
      </w:pPr>
    </w:p>
    <w:bookmarkStart w:id="128" w:name="page129"/>
    <w:bookmarkEnd w:id="128"/>
    <w:p>
      <w:pPr>
        <w:spacing w:after="0" w:line="116" w:lineRule="exact"/>
        <w:rPr>
          <w:sz w:val="20"/>
          <w:szCs w:val="20"/>
          <w:color w:val="auto"/>
        </w:rPr>
      </w:pPr>
    </w:p>
    <w:p>
      <w:pPr>
        <w:ind w:right="3060" w:firstLine="3060"/>
        <w:spacing w:after="0" w:line="445"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Robinhood Markets, Inc. </w:t>
      </w:r>
      <w:r>
        <w:rPr>
          <w:rFonts w:ascii="Arial" w:cs="Arial" w:eastAsia="Arial" w:hAnsi="Arial"/>
          <w:sz w:val="19"/>
          <w:szCs w:val="19"/>
          <w:b w:val="1"/>
          <w:bCs w:val="1"/>
          <w:color w:val="auto"/>
        </w:rPr>
        <w:t>Opinion on Internal Control Over Financial Reporting</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We have audited Robinhood Markets, Inc.’s internal control over financial reporting as of December 31, 2025, based on criteria established in Internal Control—Integrated Framework issued by the Committee of Sponsoring Organizations of the Treadway Commission (2013 framework) (the COSO criteria). In our opinion, </w:t>
      </w:r>
      <w:r>
        <w:rPr>
          <w:rFonts w:ascii="Arial" w:cs="Arial" w:eastAsia="Arial" w:hAnsi="Arial"/>
          <w:sz w:val="19"/>
          <w:szCs w:val="19"/>
          <w:color w:val="333333"/>
        </w:rPr>
        <w:t>Robinhood Markets, Inc.</w:t>
      </w:r>
      <w:r>
        <w:rPr>
          <w:rFonts w:ascii="Arial" w:cs="Arial" w:eastAsia="Arial" w:hAnsi="Arial"/>
          <w:sz w:val="19"/>
          <w:szCs w:val="19"/>
          <w:color w:val="auto"/>
        </w:rPr>
        <w:t xml:space="preserve"> (the Company) maintained, in all material respects, effective internal control over financial reporting as of December 31, 2025, based on the COSO criteria.</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As indicated in the accompanying Management’s Report on Internal Control over Financial Reporting, management’s assessment of and conclusion on the effectiveness of internal control over financial reporting did not include the internal controls of TradePMR and Bitstamp, which are included in the 2025 consolidated financial statements of the Company. TradePMR constituted less than one percent of total assets as of December 31, 2025 and less than one percent of consolidated total net revenues for the year then ended. Bitstamp constituted four percent of total assets as of December 31, 2025 and one percent of consolidated total net revenues for the year then ended. Our audit of internal control over financial reporting of the Company also did not include an evaluation of the internal control over financial reporting of TradePMR and Bitstamp.</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equity and cash flows for each of the three years in the period ended December 31, 2025, and the related notes and our report dated February 18, 2026 expressed an unqualified opinion thereon.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2"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857250</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92"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5,749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Receivables from brokers, dealers, and clearing organizations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Receivables from users,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17,994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User-held fractional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Held-to-maturity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customer match incentives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current assets, including current prepaid expenses of $75 as of December 31, 2024 and $127 as of December 31, 2025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36,305</w:t>
            </w:r>
          </w:p>
        </w:tc>
        <w:tc>
          <w:tcPr>
            <w:tcW w:w="0" w:type="dxa"/>
            <w:vAlign w:val="bottom"/>
          </w:tcPr>
          <w:p>
            <w:pPr>
              <w:spacing w:after="0"/>
              <w:rPr>
                <w:sz w:val="1"/>
                <w:szCs w:val="1"/>
                <w:color w:val="auto"/>
              </w:rPr>
            </w:pPr>
          </w:p>
        </w:tc>
      </w:tr>
      <w:tr>
        <w:trPr>
          <w:trHeight w:val="187"/>
        </w:trPr>
        <w:tc>
          <w:tcPr>
            <w:tcW w:w="8420" w:type="dxa"/>
            <w:vAlign w:val="bottom"/>
          </w:tcPr>
          <w:p>
            <w:pPr>
              <w:ind w:left="260"/>
              <w:spacing w:after="0"/>
              <w:rPr>
                <w:sz w:val="20"/>
                <w:szCs w:val="20"/>
                <w:color w:val="auto"/>
              </w:rPr>
            </w:pPr>
            <w:r>
              <w:rPr>
                <w:rFonts w:ascii="Arial" w:cs="Arial" w:eastAsia="Arial" w:hAnsi="Arial"/>
                <w:sz w:val="14"/>
                <w:szCs w:val="14"/>
                <w:color w:val="auto"/>
              </w:rPr>
              <w:t>Property, software, and equipment,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Non-current deferred customer match incentives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Other non-current assets, including non-current prepaid expenses of $17 as of December 31, 2024 and $11 as of December 31,</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81"/>
        </w:trPr>
        <w:tc>
          <w:tcPr>
            <w:tcW w:w="84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Payables to users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11,986</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Securities loaned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11,626</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Fractional shares repurchase obligation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28,771</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28,986</w:t>
            </w:r>
          </w:p>
        </w:tc>
        <w:tc>
          <w:tcPr>
            <w:tcW w:w="0" w:type="dxa"/>
            <w:vAlign w:val="bottom"/>
          </w:tcPr>
          <w:p>
            <w:pPr>
              <w:spacing w:after="0"/>
              <w:rPr>
                <w:sz w:val="1"/>
                <w:szCs w:val="1"/>
                <w:color w:val="auto"/>
              </w:rPr>
            </w:pPr>
          </w:p>
        </w:tc>
      </w:tr>
      <w:tr>
        <w:trPr>
          <w:trHeight w:val="174"/>
        </w:trPr>
        <w:tc>
          <w:tcPr>
            <w:tcW w:w="842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 31, 2024</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and December 31, 2025.</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A common stock, $0.0001 par value. 21,000,000,000 shares authorized, 764,903,997 shares issued and outstanding as of</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2024; 21,000,000,000 shares authorized, 790,331,696 shares issued and outstanding as of December 31, 2025.</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Class B common stock, $0.0001 par value. 700,000,000 shares authorized, 119,588,986 shares issued and outstanding as of</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December 31, 2024; 700,000,000 shares authorized, 110,996,736 shares issued and outstanding as of December 31, 2025.</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 December</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31, 2024 and December 31, 2025.</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11,284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Non-controlling interest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7,972</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5"/>
        </w:trPr>
        <w:tc>
          <w:tcPr>
            <w:tcW w:w="6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45"/>
        </w:trPr>
        <w:tc>
          <w:tcPr>
            <w:tcW w:w="6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Robinhood</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Net income (loss) attributable to Robinhood common stockholders: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tcPr>
          <w:p>
            <w:pPr>
              <w:ind w:left="240"/>
              <w:spacing w:after="0" w:line="198"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1,411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income (loss) per share attributable to Robinhood common stockholders: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rPr>
              <w:t>Weighted-average shares used to compute net income (loss) per share attributable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920" w:type="dxa"/>
            <w:vAlign w:val="bottom"/>
          </w:tcPr>
          <w:p>
            <w:pPr>
              <w:ind w:left="180"/>
              <w:spacing w:after="0"/>
              <w:rPr>
                <w:sz w:val="20"/>
                <w:szCs w:val="20"/>
                <w:color w:val="auto"/>
              </w:rPr>
            </w:pPr>
            <w:r>
              <w:rPr>
                <w:rFonts w:ascii="Arial" w:cs="Arial" w:eastAsia="Arial" w:hAnsi="Arial"/>
                <w:sz w:val="18"/>
                <w:szCs w:val="18"/>
                <w:color w:val="auto"/>
              </w:rPr>
              <w:t>Robinhood common stockholders: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890,857,659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881,113,156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888,504,958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890,857,659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906,171,504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918,781,846</w:t>
            </w:r>
          </w:p>
        </w:tc>
        <w:tc>
          <w:tcPr>
            <w:tcW w:w="0" w:type="dxa"/>
            <w:vAlign w:val="bottom"/>
          </w:tcPr>
          <w:p>
            <w:pPr>
              <w:spacing w:after="0"/>
              <w:rPr>
                <w:sz w:val="1"/>
                <w:szCs w:val="1"/>
                <w:color w:val="auto"/>
              </w:rPr>
            </w:pPr>
          </w:p>
        </w:tc>
      </w:tr>
      <w:tr>
        <w:trPr>
          <w:trHeight w:val="195"/>
        </w:trPr>
        <w:tc>
          <w:tcPr>
            <w:tcW w:w="69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6960" w:type="dxa"/>
            <w:vAlign w:val="bottom"/>
          </w:tcPr>
          <w:p>
            <w:pPr>
              <w:ind w:left="240"/>
              <w:spacing w:after="0"/>
              <w:rPr>
                <w:sz w:val="20"/>
                <w:szCs w:val="20"/>
                <w:color w:val="auto"/>
              </w:rPr>
            </w:pPr>
            <w:r>
              <w:rPr>
                <w:rFonts w:ascii="Arial" w:cs="Arial" w:eastAsia="Arial" w:hAnsi="Arial"/>
                <w:sz w:val="18"/>
                <w:szCs w:val="18"/>
                <w:color w:val="auto"/>
              </w:rPr>
              <w:t>Net losses on hedging instruments: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hedging instruments during the period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Reclassification adjustment for net losses included in 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(loss) on hedging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comprehensive income (loss) attributable to non-controlling interest</w:t>
            </w: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tcBorders>
              <w:top w:val="single" w:sz="8" w:color="CCEEFF"/>
              <w:bottom w:val="single" w:sz="8" w:color="CCEEFF"/>
            </w:tcBorders>
            <w:vMerge w:val="continue"/>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Robinhood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92"/>
        </w:trPr>
        <w:tc>
          <w:tcPr>
            <w:tcW w:w="68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2025</w:t>
            </w:r>
          </w:p>
        </w:tc>
      </w:tr>
      <w:tr>
        <w:trPr>
          <w:trHeight w:val="153"/>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Arial" w:cs="Arial" w:eastAsia="Arial" w:hAnsi="Arial"/>
                <w:sz w:val="12"/>
                <w:szCs w:val="12"/>
                <w:color w:val="auto"/>
              </w:rPr>
              <w:t>Net income (loss)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(541)</w:t>
            </w:r>
          </w:p>
        </w:tc>
        <w:tc>
          <w:tcPr>
            <w:tcW w:w="80" w:type="dxa"/>
            <w:vAlign w:val="bottom"/>
          </w:tcPr>
          <w:p>
            <w:pPr>
              <w:spacing w:after="0"/>
              <w:rPr>
                <w:sz w:val="14"/>
                <w:szCs w:val="14"/>
                <w:color w:val="auto"/>
              </w:rPr>
            </w:pPr>
          </w:p>
        </w:tc>
        <w:tc>
          <w:tcPr>
            <w:tcW w:w="2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1,411</w:t>
            </w:r>
          </w:p>
        </w:tc>
        <w:tc>
          <w:tcPr>
            <w:tcW w:w="100" w:type="dxa"/>
            <w:vAlign w:val="bottom"/>
          </w:tcPr>
          <w:p>
            <w:pPr>
              <w:spacing w:after="0"/>
              <w:rPr>
                <w:sz w:val="14"/>
                <w:szCs w:val="14"/>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1,883</w:t>
            </w: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Provision for credit losses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181</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Securities segregated under federal and other regulations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Receivables from brokers, dealers, and clearing organizations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Receivables from users, net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(4,592)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(9,106)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Securities borrowed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Deposits with clearing organizations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(213)</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and non-current prepaid expenses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Current and non-current deferred customer match incentives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and non-current 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Payables to users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Securities loaned</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4,163</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and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w:t>
            </w:r>
          </w:p>
        </w:tc>
      </w:tr>
      <w:tr>
        <w:trPr>
          <w:trHeight w:val="156"/>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Purchases of property, software, and equipment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Capitalization of internally developed software</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Consideration transferred for business acquisitions and asset acquisitions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cash equivalents, and segregated cash acquired in business acquisitions and asset acquisitions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Purchases of non-marketable securities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held-to-maturity investments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maturities of held-to-maturity investments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Collections of purchased credit card receivables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4,440</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provided by (used in) investing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r>
      <w:tr>
        <w:trPr>
          <w:trHeight w:val="156"/>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exercise of stock options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issuance of common stock under the Employee Share Purchase Plan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Taxes paid related to net share settlement of equity awards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 of Class A common stock</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Draws on credit facilities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4,752</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credit facilities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Borrowings by the Credit Card Funding Trust</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468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borrowings by the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Change in principal collected from customers due to Coastal Bank</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Payments of debt issuance costs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Contributions from noncontrolling interests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9"/>
        </w:trPr>
        <w:tc>
          <w:tcPr>
            <w:tcW w:w="6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(590)</w:t>
            </w:r>
          </w:p>
        </w:tc>
      </w:tr>
      <w:tr>
        <w:trPr>
          <w:trHeight w:val="161"/>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increase (decrease) in cash, cash equivalents, segregated cash, and restricted cash</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w:t>
            </w:r>
          </w:p>
        </w:tc>
      </w:tr>
      <w:tr>
        <w:trPr>
          <w:trHeight w:val="168"/>
        </w:trPr>
        <w:tc>
          <w:tcPr>
            <w:tcW w:w="6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9,357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9,346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8,695</w:t>
            </w:r>
          </w:p>
        </w:tc>
      </w:tr>
      <w:tr>
        <w:trPr>
          <w:trHeight w:val="19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6840" w:type="dxa"/>
            <w:vAlign w:val="bottom"/>
          </w:tcPr>
          <w:p>
            <w:pPr>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4,261</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Segregated cash and cash equivalents, end of the period</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4,448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5,549</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Restricted cash in other current assets, end of the period</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r>
      <w:tr>
        <w:trPr>
          <w:trHeight w:val="168"/>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Restricted cash in other non-current assets, end of the period</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9,893</w:t>
            </w:r>
          </w:p>
        </w:tc>
      </w:tr>
      <w:tr>
        <w:trPr>
          <w:trHeight w:val="171"/>
        </w:trPr>
        <w:tc>
          <w:tcPr>
            <w:tcW w:w="6840" w:type="dxa"/>
            <w:vAlign w:val="bottom"/>
          </w:tcPr>
          <w:p>
            <w:pPr>
              <w:spacing w:after="0"/>
              <w:rPr>
                <w:sz w:val="20"/>
                <w:szCs w:val="20"/>
                <w:color w:val="auto"/>
              </w:rPr>
            </w:pPr>
            <w:r>
              <w:rPr>
                <w:rFonts w:ascii="Arial" w:cs="Arial" w:eastAsia="Arial" w:hAnsi="Arial"/>
                <w:sz w:val="12"/>
                <w:szCs w:val="12"/>
                <w:b w:val="1"/>
                <w:bCs w:val="1"/>
                <w:color w:val="auto"/>
              </w:rPr>
              <w:t>Supplemental disclosures: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interest</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4"/>
        </w:trPr>
        <w:tc>
          <w:tcPr>
            <w:tcW w:w="6840" w:type="dxa"/>
            <w:vAlign w:val="bottom"/>
          </w:tcPr>
          <w:p>
            <w:pPr>
              <w:ind w:left="220"/>
              <w:spacing w:after="0"/>
              <w:rPr>
                <w:sz w:val="20"/>
                <w:szCs w:val="20"/>
                <w:color w:val="auto"/>
              </w:rPr>
            </w:pPr>
            <w:r>
              <w:rPr>
                <w:rFonts w:ascii="Arial" w:cs="Arial" w:eastAsia="Arial" w:hAnsi="Arial"/>
                <w:sz w:val="12"/>
                <w:szCs w:val="12"/>
                <w:color w:val="auto"/>
              </w:rPr>
              <w:t>Cash paid for income taxes, net of refund received</w:t>
            </w: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5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95</w:t>
            </w:r>
          </w:p>
        </w:tc>
      </w:tr>
    </w:tbl>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840" w:type="dxa"/>
            <w:vAlign w:val="bottom"/>
            <w:gridSpan w:val="3"/>
          </w:tcPr>
          <w:p>
            <w:pPr>
              <w:jc w:val="right"/>
              <w:ind w:right="232"/>
              <w:spacing w:after="0" w:line="164"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8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892,751,571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2,449,169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1,968,081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484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30,267,312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(55,273,469)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40" w:type="dxa"/>
            <w:vAlign w:val="bottom"/>
            <w:gridSpan w:val="3"/>
          </w:tcPr>
          <w:p>
            <w:pPr>
              <w:jc w:val="right"/>
              <w:ind w:right="232"/>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3,954,721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2,275,623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15,999,321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warrants exercises, net of</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456,764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(10,356,110)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00" w:type="dxa"/>
            <w:vAlign w:val="bottom"/>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tcPr>
          <w:p>
            <w:pPr>
              <w:spacing w:after="0"/>
              <w:rPr>
                <w:sz w:val="17"/>
                <w:szCs w:val="17"/>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(4,035)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00" w:type="dxa"/>
            <w:vAlign w:val="bottom"/>
            <w:gridSpan w:val="5"/>
          </w:tcPr>
          <w:p>
            <w:pPr>
              <w:ind w:left="460"/>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Non-</w:t>
            </w:r>
          </w:p>
        </w:tc>
        <w:tc>
          <w:tcPr>
            <w:tcW w:w="200" w:type="dxa"/>
            <w:vAlign w:val="bottom"/>
          </w:tcPr>
          <w:p>
            <w:pPr>
              <w:spacing w:after="0"/>
              <w:rPr>
                <w:sz w:val="14"/>
                <w:szCs w:val="14"/>
                <w:color w:val="auto"/>
              </w:rPr>
            </w:pPr>
          </w:p>
        </w:tc>
        <w:tc>
          <w:tcPr>
            <w:tcW w:w="760" w:type="dxa"/>
            <w:vAlign w:val="bottom"/>
          </w:tcPr>
          <w:p>
            <w:pPr>
              <w:jc w:val="center"/>
              <w:ind w:right="13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40" w:type="dxa"/>
            <w:vAlign w:val="bottom"/>
            <w:gridSpan w:val="3"/>
          </w:tcPr>
          <w:p>
            <w:pPr>
              <w:ind w:left="100"/>
              <w:spacing w:after="0" w:line="53"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0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controlling</w:t>
            </w:r>
          </w:p>
        </w:tc>
        <w:tc>
          <w:tcPr>
            <w:tcW w:w="96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54"/>
        </w:trPr>
        <w:tc>
          <w:tcPr>
            <w:tcW w:w="41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Issuance of common stock in connection with stock option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4,206,007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exercises</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warrants</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2,816,093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00" w:type="dxa"/>
            <w:vAlign w:val="bottom"/>
          </w:tcPr>
          <w:p>
            <w:pPr>
              <w:ind w:left="180"/>
              <w:spacing w:after="0"/>
              <w:rPr>
                <w:sz w:val="20"/>
                <w:szCs w:val="20"/>
                <w:color w:val="auto"/>
              </w:rPr>
            </w:pPr>
            <w:r>
              <w:rPr>
                <w:rFonts w:ascii="Arial" w:cs="Arial" w:eastAsia="Arial" w:hAnsi="Arial"/>
                <w:sz w:val="14"/>
                <w:szCs w:val="14"/>
                <w:color w:val="auto"/>
              </w:rPr>
              <w:t>exercises, net of shares withheld</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765,702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business</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2,049,711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00" w:type="dxa"/>
            <w:vAlign w:val="bottom"/>
          </w:tcPr>
          <w:p>
            <w:pPr>
              <w:ind w:left="180"/>
              <w:spacing w:after="0"/>
              <w:rPr>
                <w:sz w:val="20"/>
                <w:szCs w:val="20"/>
                <w:color w:val="auto"/>
              </w:rPr>
            </w:pPr>
            <w:r>
              <w:rPr>
                <w:rFonts w:ascii="Arial" w:cs="Arial" w:eastAsia="Arial" w:hAnsi="Arial"/>
                <w:sz w:val="14"/>
                <w:szCs w:val="14"/>
                <w:color w:val="auto"/>
              </w:rPr>
              <w:t>combination</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19,016,398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shares withheld</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(12,018,462)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a partner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960" w:type="dxa"/>
            <w:vAlign w:val="bottom"/>
          </w:tcPr>
          <w:p>
            <w:pPr>
              <w:jc w:val="right"/>
              <w:spacing w:after="0"/>
              <w:rPr>
                <w:sz w:val="20"/>
                <w:szCs w:val="20"/>
                <w:color w:val="auto"/>
              </w:rPr>
            </w:pPr>
            <w:r>
              <w:rPr>
                <w:rFonts w:ascii="Arial" w:cs="Arial" w:eastAsia="Arial" w:hAnsi="Arial"/>
                <w:sz w:val="14"/>
                <w:szCs w:val="14"/>
                <w:color w:val="auto"/>
              </w:rPr>
              <w:t>901,328,432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11,284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28" w:lineRule="auto"/>
        <w:tabs>
          <w:tab w:leader="none" w:pos="1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share amounts listed above combine Class A common stock and Class B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100"/>
        <w:spacing w:after="0" w:line="287"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was founded in 2013 and our mission is to democratize finance for all. Our platforms enable customers to buy, sell, and trade equities, options, event contracts,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continuously introducing new products and diversifying our services that further expand access to the financial system. In February 2025, we acquired TradePMR, a custodial and portfolio management platform for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 In September 2025, we launched Robinhood Ventures Fund I, a closed-end fund that aims to offer retail investors exposure to private companies at the frontiers of their respective industries.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Basis of Presentation</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GAAP. The consolidated financial statements include the accounts of RHM and its wholly-owned direct and indirect subsidiaries. All intercompany balances and transactions have been eliminated.</w:t>
      </w:r>
    </w:p>
    <w:p>
      <w:pPr>
        <w:spacing w:after="0" w:line="13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The impact of these reclassifications is immaterial to the presentation of the consolidated financial statements taken as a whole and had no impact on previously reported total assets, total liabilities and net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Principles of Consolidation</w:t>
      </w:r>
    </w:p>
    <w:p>
      <w:pPr>
        <w:spacing w:after="0" w:line="17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consolidate entities in which we have a controlling financial interest. We first evaluate whether the entity is a voting interest entity or a VIE. 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 and</w:t>
      </w:r>
    </w:p>
    <w:p>
      <w:pPr>
        <w:spacing w:after="0" w:line="1" w:lineRule="exact"/>
        <w:rPr>
          <w:sz w:val="20"/>
          <w:szCs w:val="20"/>
          <w:color w:val="auto"/>
        </w:rPr>
      </w:pPr>
    </w:p>
    <w:p>
      <w:pPr>
        <w:jc w:val="both"/>
        <w:ind w:firstLine="6"/>
        <w:spacing w:after="0" w:line="247" w:lineRule="auto"/>
        <w:tabs>
          <w:tab w:leader="none" w:pos="3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 We consolidate a voting interest entity if we can exert control over the financial and operating policies of an investee. Other parties’ equity investment are reported as non-controlling interest. In November 2025, we established a joint venture, Rothera, in partnership with SIG. We will consolidate the financial results into our consolidated financial statements due to our ability to exert control over the financial and operating policies of the joint venture.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Use of Estimates</w:t>
      </w:r>
    </w:p>
    <w:p>
      <w:pPr>
        <w:spacing w:after="0" w:line="19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in the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statements and accompanying notes. We base our estimates on historical experience, and other assumptions we believe to be reasonable under the circumstances. Assumptions and estimates used in preparing our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Segment Information</w:t>
      </w:r>
    </w:p>
    <w:p>
      <w:pPr>
        <w:spacing w:after="0" w:line="19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evaluated regularly by the CODM in deciding how to allocate resources and assess performance. Our CODM is our CEO and President, Vladimir Tenev. We operate and report financial information in one operating segment. This is because our CODM utilizes consolidated net income (loss) and company-wide key performance metrics (as defined in Part II, Item 7 of this Annual Report, “Key Performance Metrics”) to allocate resources and determine performance. The measure of segment assets is not regularly presented to the CODM. Consolidated net income (loss) is also used by the CODM to monitor budgeted versus actual results. The monitoring of budgeted versus actual results is used by the CODM to assess performance of the business and in establishing company-wide’s objectives and key results. Substantially all of our revenues and assets are attributed to or located in the United States. Significant segment expenses required to be disclosed as part of the segment disclosure of a single segment entity under ASC 280 are presented throughout the consolidated financial statements including the consolidated statements of operations, consolidated statements of cash flows, and Note 5 - Revenues.</w:t>
      </w:r>
    </w:p>
    <w:p>
      <w:pPr>
        <w:spacing w:after="0" w:line="15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are organized in a GM structure under which GMs have broad responsibility for our individual businesses. We have processes that enable us to produce sufficiently precise and timely business level financial information. GM level financial information is not currently shared with and used by the CODM to allocate resources and determine performance, and there are no plans to do so in the near future.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 Recognition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primarily earn transaction-based revenues from routing user orders for options, cryptocurrencies, and equities to market makers when the performance obligation is satisfied, which is at the point in time when a routed order is executed by the market maker.</w:t>
      </w:r>
    </w:p>
    <w:p>
      <w:pPr>
        <w:spacing w:after="0" w:line="13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Acting as the agent of the user, we facilitate the purchase and sale of options, cryptocurrencies, and equities through our platforms. Options, cryptocurrencies, and equities transactions are primarily routed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transaction price for options is on a per contract basis, while for equities it is primarily based on the bid-ask spread of the underlying trading activity. For cryptocurrencies, the transaction price is a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percentage of the notional order value. For each trade type, all market makers pay the same transaction price. Payments are collected monthly in arrears from each market maker.</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also earn transaction-based revenues from commissions. Acting as an agent, we facilitate purchases and sales of event contracts and futures on behalf of users. Commissions are recognized on a trade-date basis as this is when the performance obligation is satisfied.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revenues primarily consist of Robinhood Gold subscription fees, which is a flat recurring rate. Subscription revenue is recognized ratably over the subscription period as the performance obligation is satisfied. Other revenues also consist of proxy revenues, selling concession revenues, advertising revenues and ACATS fees charged to users. We earn proxy revenue directly from issuers through Say Technologies, a wholly-owned subsidiary. Proxy services are made up of two performance obligations, (i) distribution of proxy materials to shareholders and (ii) collection, tallying, and reporting of shareholder response during a voting event. Revenue is recognized at a point in time upon satisfaction of these performance obligations.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Selling concession revenue, generated from IPO activities, is recognized at a point in time when our performance obligation related to the distribution activity is satisfied. Advertising revenue, generated from sales of advertising services on Sherwood Media is recognized as advertisements are delivered. ACATS fees are charged to users for facilitating the transfer of part or all of their accounts to another broker-dealer. We recognize revenue when our performance obligation of administering the transfer is satisfied.</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Robinhood Match Incentives</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The match on retirement contributions and asset transfers are paid upfront and are subject to forfeiture if the recipient does not hold the contributed funds or transferred assets in their account for a specified period of time. These incentives are deferred and recognized over the specified holding period.</w:t>
      </w:r>
    </w:p>
    <w:p>
      <w:pPr>
        <w:spacing w:after="0" w:line="20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a limited time during 2024, we provided a match on eligible cash deposits made by Robinhood Gold subscribers. Matches on these cash deposits are paid out on a monthly basis ratably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specified earning period. Future match payments are forfeited if deposits are not held on the platform over the specified earning period.</w:t>
      </w:r>
    </w:p>
    <w:p>
      <w:pPr>
        <w:spacing w:after="0" w:line="24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All match incentives are recognized as a reduction to revenue when earned. The matches are allocated to certain revenue categories on a proportional basis. For the years ended December 31, 2024, and 2025, no impairments of the deferred customer match incentive were recognized.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Concentrations of Revenue and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derived transaction-based revenues from individual market makers and exchanges in excess of 10% of total net revenues, as follows:</w:t>
      </w:r>
    </w:p>
    <w:p>
      <w:pPr>
        <w:spacing w:after="0" w:line="24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05"/>
        </w:trPr>
        <w:tc>
          <w:tcPr>
            <w:tcW w:w="6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Market makers:</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Citadel Securities, LLC</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Wintermute Trading Ltd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5"/>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others individually less than 10%</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38"/>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net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primarily consist of compensation and employee benefits, as well as allocated overhead for employees engaged in clearing and brokerage functions, market data expenses, expenses related to our instant withdrawals feature, and other brokerage and transaction costs such as costs related to our Cash Sweep and securities lending programs, customer statement-related costs, regulatory fees and fees paid to centralized clearinghouses. A large portion of our brokerage and transaction costs are variable and tied to trading and transaction volumes on our platforms.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related to compensation and benefits, for engineering, data science, and design personnel, as well as allocated overhead, costs incurred to support and improve our platforms and develop new products, and costs associated with computer hardware and software, including amortization of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compensation and employee benefits, as well as allocated overhead for employees engaged in customer support, and costs incurred to support and improve customer experience (such as third-party customer service vendors).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compensation and employee benefits, and allocated overhead for employees engaged in the marketing function and other marketing costs such as costs related to our keynote events. Advertising costs are expensed as incurred and were $74 million, $179 million, and $274 million in the years ended December 31, 2023, 2024, and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General and administrative costs primarily consist of compensation and employee benefits, as well as allocated overhead for certain executives and employees engaged in legal, finance, human resources, risk, and compliance. General and administrative costs also include legal expenses, other professional fees, as well as other general and administrative costs such as costs related to business insurance, and real estate charges including impairments on our operating leases and leasehold improvements, lease terminations, and settlements and penalties. For the year ended December 31, 2023, general and administrative costs included a $485 million SBC charge related to the 2021 Founders Award Cancellation.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Employee Retirement Benefits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offer a defined contribution 401(k) plan to full-time employees. Employees may elect to contribute to a traditional 401(k) plan, which qualifies as a deferred compensation arrangement under Section 401 of the Code. In this case, participating employees defer a portion of their pre-tax earnings. Employees may also contribute to a Roth 401(k) plan using post-tax dollars. We match employee contributions up to 3%, and have incurred $12 million, $12 million, and $17 million of expense related to matching for the years ended December 31, 2023, 2024, and 2025.</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 Costs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costs described in ASC 730, Research and Development, are expensed as incurred. Our research and development costs consist primarily of employee compensation and benefits for our engineering and research teams, including SBC. Research and development costs recorded in operating expenses under ASC 730 were $349 million, $323 million, and $355 million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Fair Value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our common stock is determined on the grant date using the closing price of our common stock, which is traded on the Nasdaq Global Select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have granted stock options and we estimate the fair value of stock options granted to employees using the Black-Scholes option-pricing model. The fair value of stock options is recognized as compensation on a straight-line basis over the requisite service period. Forfeitures are accounted for when they occur. No options were granted during 2023, 2024, and 2025.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have granted Time-Based RSUs and record SBC expense on a straight-line basis over the requisite service period, which is generally satisfied over one, two or four years. We have elected to account for forfeitures as they occur, with previously recognized SBC reversed in the period that the awards are forfeited.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is generally satisfied over six years. The performance-based conditions were satisfied upon the occurrence of an IPO. The market-based conditions are satisfied upon our achievement of specified share prices. As of December 31, 2024, SBC expense related to the Market-Based RSUs was fully recognized and as of December 31, 2025, all Market-Based RSUs were fully vested.</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and risk-free interest rates.</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recorded SBC expense for market-based equity awards on an accelerated attribution method over the requisite service period, and only if performance-based conditions are considered probable to be satisfied. We determined the requisite service period by comparing the derived service period to achieve the market-based condition and the explicit time-based service period, using the longer of the two service periods as the requisite service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SBC Expense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SBC expense is part of employee compensation, benefits, and overhead in each of the expense financial statement line items in the consolidated statements of operations except for provision for credit losses.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Net Income (Loss) per Share</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present net income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income (loss) per share will, therefore, be the same for both Class A common stock and Class B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Basic earnings per share is computed by dividing net income (loss)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 The computation of the diluted earnings per share of Class A common stock assumes the conversion of our Class B common stock to Class A common stock, while the diluted EPS of Class B common stock does not assume the conversion of those shares to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and Cash Equivalents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Cash and cash equivalents include deposits with banks and money market funds or highly liquid financial instruments with maturities of three months or less at the time of purchase.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material losses in such accounts and we believe that we have placed our cash on deposit with financial institutions which are financially stable, we do not have an expectation of credit losses for these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Cash Equivalents, and Securities Segregated Under Federal and Other Regulations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segregate cash, cash equivalents, and securities for the exclusive benefit of customers and proprietary accounts of brokers in accordance with the provision of Rule 15c3-3 under the Exchange Act. We continually review the credit quality of our counterparties and have not experienced a default. As a result, we do not have an expectation of credit losses for these arrangements. Segregated cash also includes certain customer funds for which we are an agent and custodian on behalf of our customers that are reflected on our consolidated balance sheets, and for which we follow statutory requirements to keep these funds segregated.</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Restricted Cash</w:t>
      </w:r>
    </w:p>
    <w:p>
      <w:pPr>
        <w:spacing w:after="0" w:line="1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We have no ability to draw on such funds as long as they remain restricted under the applicable agreements. Restricted cash also includes customers’ credit card payments that we collect on behalf of other financial institutions that are pending remittance. Cash subject to restrictions that expire within one year is included in other current assets in our consolidated balance sheets. For the years ended December 31, 2024 and 2025, current restricted cash balances included in other current assets in our consolidated balance sheets were $18 million and $66 million. Cash subject to restrictions that exceed one year is included in other non-current assets in our consolidated balance sheets. For the years ended December 31, 2024 and 2025, non-current restricted cash balances were $18 million and $17 million.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Securities Borrowing and Lending</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operate a securities lending program under which shares that users have pledged to us to collateralize their margin borrowing are lent by us to third parties and a Fully-Paid Securities Lending program under which we borrow fully-paid shares from participating users and lend them to third parties. We also borrow securities from third parties for operational purposes or to facilitate user short sales, and we lend securities to third parties and users that we hold for our own account (such as our holdings to support fractional share and user short sales operations).</w:t>
      </w:r>
    </w:p>
    <w:p>
      <w:pPr>
        <w:spacing w:after="0" w:line="126"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When we lend securities to third parties and users, the borrower provides cash as collateral. We earn interest revenue on cash collateral deposited by borrowers, and we can also earn additional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lending certain securities based on demand for those securities. For our Fully-Paid Securities Lending, portions of such revenues are paid to participating users, and those payments are recorded as interest expense.</w:t>
      </w:r>
    </w:p>
    <w:p>
      <w:pPr>
        <w:spacing w:after="0" w:line="13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as collateral and we record a receivable representing our right to the return of that collateral. The amount of that receivable is presented in “securities borrowed” on our consolidated balance sheets. In the case of our Fully-Paid Securities Lending program, the cash collateral is held by a third-party bank in a deposit account pledged to the user, which we administer as the user’s agent. Users are not entitled to interest on such account, and any interest earned is for our benefit.</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authorization from users to lend shares that collateralize their margin borrowing is found in our margin account agreement, our borrowing of fully-paid shares from users is conducted under the terms of our Fully-Paid Securities Lending program to which users consent when they enroll in that program, and substantially all of our securities lending and borrowing transactions with third parties are conducted under terms based on an industry-standard MSLA, which has an open contractual term and may be terminated upon notice by either party. We have also entered into fixed-term securities lending agreements with two financial institution counterparties (the “Fixed-Term Securities Lending Agreements”). One of these agreements has a contractual term of 30 days per lending transaction with a daily minimum commitment of $25 million and the other has a contractual term of 21 days per lending transaction with a daily minimum commitment of $35 million. Under these two agreements we lend to the counterparties (for a fixed term) securities that collateralize users’ margin borrowing, and we obtain cash collateral from the counterparties that we use to provide liquidity support for our margin lending to users.</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the MSLAs and Fixed-Term Securities Lending Agreements establishes a master netting arrangement between the lender and the borrower. A master netting arrangement is an agreement between two counterparties that creates a right of set-off for amounts due to and from that same counterparty that is enforceable in the event of a default or bankruptcy. In connection with our securities borrowing and lending activities, however, our policy is to recognize all amounts that are subject to master netting arrangements on a gross basis in our consolidated balance sheets even though some of those amounts may be eligible for offset (i.e., to be presented on a net basis) under GAAP.</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Sweep</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users may elect to participate in Cash Sweep, which allows them to earn interest on their uninvested brokerage cash. These balances are automatically swept to our partner banks, and are not reflected on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Cryptocurrencies</w:t>
      </w:r>
    </w:p>
    <w:p>
      <w:pPr>
        <w:spacing w:after="0" w:line="19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act as an agent in the cryptocurrency transactions that users initiate on our platforms. We have determined we are an agent, for accounting purposes, because we do not control the cryptocurrency before delivery to the user, we are not primarily responsible for the delivery of cryptocurrency to our users, we are not exposed to risks arising from fluctuations of the market price of cryptocurrency before delivery to the user, and we do not set the prices charged to users. After purchasing cryptocurrency on the platform, users are the legal owners of cryptocurrency held under custody by us and users have all the rights and benefits of ownership, including the rights to appreciation and depreciation of the cryptocurrency. We do not allow users to purchase cryptocurrency on margin and cryptocurrency does not serve as collateral for margin loans. As a result, user-held cryptocurrencies are not presented on our consolidated balance sheets. We hold cryptocurrency in custody for users in one or more omnibus cryptocurrency wallets. With the exception of Bitstamp, we do not utilize third-party custodians for settled cryptocurrencies. We hold cryptographic key information and maintain internal record keeping for the cryptocurrencies we hold in custody for users, and we are obligated to secure such assets from loss or theft. Based on the terms of our user agreement, the structure of our crypto offerings,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although we have not obtained a formal legal opinion on this matter, after consultation with internal and external legal counsel, we believe the cryptocurrency we hold in custody for users of our platforms should be respected as users’ property (and should not be available to satisfy the claims of our general creditors) in the event we were to enter bankruptcy. For additional information relating to platform bankruptcy generally, see Part I, Item 1A of this Annual Report, “Risk Factors—Risks Related to Cryptocurrency Products and Services—Cryptocurrency</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laws, regulations, and accounting standards are often difficult to interpret and are rapidly evolving in ways that are difficult to predict. Changes in these laws and regulations, or our failure to comply with them, could negatively impact cryptocurrency trading on our platform.</w:t>
      </w:r>
      <w:r>
        <w:rPr>
          <w:rFonts w:ascii="Arial" w:cs="Arial" w:eastAsia="Arial" w:hAnsi="Arial"/>
          <w:sz w:val="21"/>
          <w:szCs w:val="2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invest in marketable debt securities and determine the classification at the time of purchase.</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Available-for-sale investments are recorded at fair value. We have elected the fair value option for our available-for-sale investments as we believe carrying these investments at fair value and taking changes in fair value through earnings best reflects their underlying economics. Fair value adjustments are presented in other (income) expense, net and interest earned on the debt securities as net interest revenues in our consolidated statements of operations.</w:t>
      </w:r>
    </w:p>
    <w:p>
      <w:pPr>
        <w:spacing w:after="0" w:line="1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Held-to-maturity investments are securities that we have both the ability and positive intent to hold until maturity and are recorded at amortized cost. Interest income is calculated using the effective interest method, adjusted for deferred fees or costs, premium, or discount existing at the date of purchase. Interest earned is included in net interest revenues in our consolidated statements of operations. We evaluate held-to-maturity investment for credit losses on a quarterly basis. We do not expect credit losses for our held-to-maturity investments that are obligations of states and political subdivisions and securities issued by U.S. government sponsored agencies. We monitor remaining securities by type and standard credit rating.</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77"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The carrying amounts of certain financial instruments approximate their fair value due to the short-term nature, which include cash and cash equivalents,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segregated under federal and other regulations, receivables from brokers, dealers, and clearing organizations, receivables from users, net, deposits with clearing organizations, other current assets, accounts payable and accrued expenses, payable to users, securities loaned, and other current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Program</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Robinhood Credit Card program is funded under the Program Agreement between Robinhood Credit and Coastal Bank, where Coastal Bank is the legal lender and originator, the party to which the customer has a creditor-borrower relationship, and the legal owner of the receivables. Robinhood Credit is responsible for administering the credit card program on a mobile app, including, (i) setting customer credit limits within Coastal Bank’s underwriting standards, (ii) loan servicing, (iii) remitting collected principal from customers to Coastal Bank, and (iv) offering and maintaining the customer rewards program. Coastal Bank is responsible for (i) funding the customer credit, (ii) reporting customer credit activities, and (iii) holding customer receivables.</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Program Agreement, Robinhood Credit collects interest from customers that carry a balance and pays interest on the amount funded by Coastal Bank, with the difference between those amounts resulting in net interest revenue. The interest collections and payments are indexed to the Federal Funds Rate and are settled monthly based on a notional of the outstanding principal balances at period end which are revolving with no fixed term. In addition, Robinhood Credit earns revenue from interchange fees from each credit card transaction. Robinhood Credit recognizes interchange revenue net of rewards paid to customers.</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terms of the Program Agreement, Robinhood Credit has the ability to purchase credit card receivables originated and held for a period of time by Coastal Bank. Prior to the purchase of the credit card receivables, the customer balances are off-balance sheet. Once purchased, the customer balances are shown on-balance sheet. Robinhood Credit continues to earn interest from customers and uses these purchased credit card receivables as collateral under a trust structure to access debt financing in the ordinary course of business. To help facilitate these transactions, we created a variable interest entity known as the Credit Card Funding Trust.</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credit exposure related to outstanding principal balances of customer credit cards whether they are owned by Coastal Bank or the Credit Card Funding Trust. We guarantee payment to Coastal Bank in the event Coastal experiences a loss due to a failure by the customer to pay. Robinhood Credit is responsible to pay Coastal Bank customer balances that are ultimately charged off or deemed uncollectible, generally when balances become outstanding for over 180 days.</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Robinhood Credit estimates the related allowance for credit card loss based on outstanding customer credit card principal balances and anticipated future customer payment rates based on past portfolio performance, both of which are unobservable inputs. The measurement of this allowance using this method approximates fair value.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Brokers, Dealers, and Clearing Organizations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These receivables are short term and settle within 30 days. We continually review the credit quality of our counterparties and have not experienced a default. As a result, we do not have an expectation of credit losses for these arrangements.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Users, Net</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Receivables from users, net are primarily made up of margin receivables. Margin receivables are adequately collateralized by users’ securities balances and are reported at their outstanding principal balance, net of an allowance for credit losses. We monitor margin levels and require users to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additional collateral, or reduce margin positions, to meet minimum collateral requirements and to avoid automatic liquidation of their positions.</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receivables from users. We have no expectation of credit losses for receivables from users that are fully secured, where the fair value of the collateral securing the balance is equal to or in excess of the receivable amount. This is based on our assessment of the nature of the collateral, potential future changes in collateral values, and historical credit loss information relating to fully secured receivables. In cases where the fair value of the collateral is less than the outstanding receivable balance from a user, we recognize an allowance for credit losses in the amount of the difference, or unsecured balance, immediately.</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write-off unsecured balances when the balance becomes outstanding for over 180 days or when we otherwise deem the balance to be uncollectible.</w:t>
      </w:r>
    </w:p>
    <w:p>
      <w:pPr>
        <w:spacing w:after="0" w:line="1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Receivables from users, net also consists of credit card receivables purchased from Coastal Bank. From time to time, purchased credit card receivables may be considered pledged under secured borrowings with Coastal Bank. As of December 31, 2024 and 2025, none of the balance of the purchased credit card receivables was considered pledged. We record an allowance for credit losses related to purchased credit card principal balances receivable and credit card interest receivable from customers, shown as a reduction of receivables from users, net on the consolidated balance sheet. This represents management’s estimate of expected credit losses from credit exposure over the remaining expected life of credit card receivables, and takes into account information from internal and external sources, including historical collection data, charge off trends by FICO cohort, and market data. We write-off balances outstanding over 180 days or when we otherwise deem the balance to be uncollectible. The accrual of interest revenue is suspended for aged credit card receivables past 90 days. Interest payments on such non-accrual receivables are recorded as interest revenue on a cash basis. Once the balance is satisfied and brought current, the receivable returns to accrual status.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Deposits With Clearing Organizations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maintain collateral deposits with clearing organizations such as Depository Trust &amp; Clearing Corporation and Options Clearing Corporation which allow us to use their security transactions services for trade comparison, clearance, and settlement. The clearing organizations establish financial requirements, including deposit requirements, to reduce their risk. The required level of deposits may fluctuate significantly from time to time based upon the nature, size of users’ trading activity, and market volatility. As we have not experienced historic defaults, we do not have an expectation of credit losses for these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Fractional Share Program</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and an offsetting liability to repurchase the shares as we concluded that we did not meet the criteria for derecognition under the accounting guidance. We measure our inventory of securities, user-held fractional shares and our repurchase obligation at fair value at each reporting period via the election of the fair value option, with realized and unrealized gains and losses recorded in brokerage and transaction expenses in our consolidated statement of operations. We do not earn revenue from our users when they purchase or sell fractional shares from us. We earn transaction-based revenue when shares are purchased from or routed to market makers to fulfill fractional share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Current Assets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current assets include stablecoin assets owned by us that are considered financial assets, restricted cash subject to restrictions that expire within one year, other receivables, deferred costs of Robinhood Match Incentive Program (defined below), interest and dividends receivable, and securities owned by us used for the fractional share program.</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Property, Software, and Equipment</w:t>
      </w:r>
    </w:p>
    <w:p>
      <w:pPr>
        <w:spacing w:after="0" w:line="192"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80" w:type="dxa"/>
            <w:vAlign w:val="bottom"/>
            <w:gridSpan w:val="2"/>
          </w:tcPr>
          <w:p>
            <w:pPr>
              <w:ind w:left="1220"/>
              <w:spacing w:after="0"/>
              <w:rPr>
                <w:sz w:val="20"/>
                <w:szCs w:val="20"/>
                <w:color w:val="auto"/>
              </w:rPr>
            </w:pPr>
            <w:r>
              <w:rPr>
                <w:rFonts w:ascii="Arial" w:cs="Arial" w:eastAsia="Arial" w:hAnsi="Arial"/>
                <w:sz w:val="18"/>
                <w:szCs w:val="18"/>
                <w:b w:val="1"/>
                <w:bCs w:val="1"/>
                <w:color w:val="FFFFFF"/>
              </w:rPr>
              <w:t>Property, Software, and Equipment</w:t>
            </w:r>
          </w:p>
        </w:tc>
        <w:tc>
          <w:tcPr>
            <w:tcW w:w="5760" w:type="dxa"/>
            <w:vAlign w:val="bottom"/>
          </w:tcPr>
          <w:p>
            <w:pPr>
              <w:ind w:left="2420"/>
              <w:spacing w:after="0"/>
              <w:rPr>
                <w:sz w:val="20"/>
                <w:szCs w:val="20"/>
                <w:color w:val="auto"/>
              </w:rPr>
            </w:pPr>
            <w:r>
              <w:rPr>
                <w:rFonts w:ascii="Arial" w:cs="Arial" w:eastAsia="Arial" w:hAnsi="Arial"/>
                <w:sz w:val="18"/>
                <w:szCs w:val="18"/>
                <w:b w:val="1"/>
                <w:bCs w:val="1"/>
                <w:color w:val="FFFFFF"/>
              </w:rPr>
              <w:t>Useful Life</w:t>
            </w:r>
          </w:p>
        </w:tc>
      </w:tr>
      <w:tr>
        <w:trPr>
          <w:trHeight w:val="218"/>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years</w:t>
            </w:r>
          </w:p>
        </w:tc>
      </w:tr>
      <w:tr>
        <w:trPr>
          <w:trHeight w:val="225"/>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Fixture and furniture</w:t>
            </w:r>
          </w:p>
        </w:tc>
        <w:tc>
          <w:tcPr>
            <w:tcW w:w="5760" w:type="dxa"/>
            <w:vAlign w:val="bottom"/>
          </w:tcPr>
          <w:p>
            <w:pPr>
              <w:spacing w:after="0"/>
              <w:rPr>
                <w:sz w:val="20"/>
                <w:szCs w:val="20"/>
                <w:color w:val="auto"/>
              </w:rPr>
            </w:pPr>
            <w:r>
              <w:rPr>
                <w:rFonts w:ascii="Arial" w:cs="Arial" w:eastAsia="Arial" w:hAnsi="Arial"/>
                <w:sz w:val="18"/>
                <w:szCs w:val="18"/>
                <w:color w:val="auto"/>
              </w:rPr>
              <w:t>7 years</w:t>
            </w:r>
          </w:p>
        </w:tc>
      </w:tr>
      <w:tr>
        <w:trPr>
          <w:trHeight w:val="225"/>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Shorter of estimated useful life or lease term</w:t>
            </w:r>
          </w:p>
        </w:tc>
      </w:tr>
      <w:tr>
        <w:trPr>
          <w:trHeight w:val="232"/>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760" w:type="dxa"/>
            <w:vAlign w:val="bottom"/>
          </w:tcPr>
          <w:p>
            <w:pPr>
              <w:spacing w:after="0"/>
              <w:rPr>
                <w:sz w:val="20"/>
                <w:szCs w:val="20"/>
                <w:color w:val="auto"/>
              </w:rPr>
            </w:pPr>
            <w:r>
              <w:rPr>
                <w:rFonts w:ascii="Arial" w:cs="Arial" w:eastAsia="Arial" w:hAnsi="Arial"/>
                <w:sz w:val="18"/>
                <w:szCs w:val="18"/>
                <w:color w:val="auto"/>
              </w:rPr>
              <w:t>3 years</w:t>
            </w:r>
          </w:p>
        </w:tc>
      </w:tr>
    </w:tbl>
    <w:p>
      <w:pPr>
        <w:spacing w:after="0" w:line="24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SBC,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Non-Marketable Equity Securities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hold two categories of non-marketable equity securities: (i) corporate-held non-marketable equity securities and (ii) Robinhood Ventures Fund I held non-marketable equity investments.</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Corporate-held non-marketable equity securities do not have readily determinable fair values and are initially recorded at cost and are subsequently adjusted for impairments and for observable price changes in orderly transactions for the same or a similar security of the same issuer. These securities are included in other non-current assets on the consolidated balance sheets. The related balances were not material for the periods presented.</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Ventures Fund I held non-marketable equity investments are measured at estimated fair value upon initial recognition and are subsequently remeasured at fair value as of each reporting date. These investments are classified within Level 3 of the fair value hierarchy due to the use of significant unobservable inputs in determining fair value. These securities are included in other non-current assets on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Leases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right-of-use asset and the accretion of lease liability as rent expense and allocate it as overhead in the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 and Asset Acquisitions</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account for acquisitions of entities or asset groups that qualify as businesses using the acquisition method of accounting. The purchase price of the acquisition is allocated to the tangible and intangible assets acquired and liabilities assumed based on their estimated fair values at the acquisition date. The excess of the purchase price over those fair values is recorded as goodwill.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spacing w:after="0" w:line="14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 Net</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We evaluate the remaining estimated useful life of its intangible assets being amortized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ongoing basis to determine whether events and circumstances warrant a revision to the remaining period of amortization.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Impairment of Long-lived Assets</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evaluate the recoverability of long-lived assets, including property, software, and equipment, leases, and finite-lived intangible assets whenever events or circumstances indicate that the carrying amounts of such assets may not be recoverable compared to the undiscounted future net cash flows the assets are expected to generate. The impairment test is performed at the asset group level for which identifiable cash flows are largely independent of the cash flows of other assets and liabilities. When the test results indicate that the carrying amount of long-lived assets is not recoverable, the carrying amount of such assets is reduced to fair value. Fair value is determined through various valuation techniques including discounted cash flow models, quoted market values, and third–party independent appraisals, as considered necessary.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Payables to Users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Loss Contingencies</w:t>
      </w:r>
    </w:p>
    <w:p>
      <w:pPr>
        <w:spacing w:after="0" w:line="19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account for income taxes under the asset and liability method,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Related Parties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defined related parties as members of our board of directors, executive officers, principal owners of our outstanding stock, and any immediate family members of each such related party, as well as any other person or entity with significant influence over our management or operations and any other affiliates. Related party transactions may include any transaction between entities under common control or with a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Adopted Accounting Pronouncements</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December 2023, the FASB issued Accounting Standards Update 2023-09, “Income taxes (Topic 740): Improvements to Income Taxes Disclosures.” This guidance requires annual disclosure of specific categories in the rate reconciliation and provides additional information for reconciling items that meet a quantitative threshold. The guidance is effective for annual periods beginning after December 15, 2024. We adopted this guidance effective January 1, 2025 on a prospective basis. The adoption of this guidance did not have a material impact on our consolidated financial statements and related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Issued Accounting Pronouncements Not Yet Adopted</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in March 2025 the SEC voted to end its defense of the climate disclosure rules. We continue to monitor the status of the Final Rules and evaluate the potential impact of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pacing w:after="0" w:line="15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September 2025, the FASB issued Accounting Standards Update 2025-06,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350-40. This guidance is effective for annual reporting periods beginning after December 15, 2027 and interim reporting periods within those annual reporting periods. Early adoption is permitted. The guidance can be applied prospectively, retrospectively or under a modified transition approach. We are currently evaluating the impacts of the amendments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TradePMR</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acquisition date fair value of the consideration transferred for TradePMR was approximately $ 175 million following customary purchase price adjustments and was entirely paid in cash. The post-close compensation consisted of 2,049,711 unvested shares of the Company’s Class A common stock, valued at approximately $ 100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12 - Common Stock and Stockholders’ Equity.</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 one year from the acquisition date). The following table summarizes the preliminary fair value of assets acquired and liabilities assumed as of the date of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Receivable from users,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Useful Life</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8"/>
        </w:trPr>
        <w:tc>
          <w:tcPr>
            <w:tcW w:w="79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9.76 years. The estimated fair value of the intangible assets acquired approximate the amounts a market participant would pay for these intangible assets as of the acquisition date. We used a multi-period excess earnings method to estimate the fair value of customer relationships and the relief from royalty method to estimate the fair value of developed technology and trade name.</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 forma results of operations for TradePMR have not been presented as the effect of this acquisition was not material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Bitstamp</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June 2, 2025, we acquired all outstanding equity of Bitstamp, a globally-scaled cryptocurrency exchange with retail and institutional customers. This acquisition of Bitstamp accelerates our expansion worldwide, including across the EU, the U.K., and Asia. The acquisition date fair value of the consideration transferred for Bitstamp was approximately $224 million following customary purchase price adjustments and was entirely paid in cash.</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becomes available, including certain tax matters, during the measurement period (up to one year from the acquisition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 of assets acquired and liabilities assumed as of the date of acquisition: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users,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Payable to users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Useful Life</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Licenses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79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7.08 years. The estimated fair value of the intangible assets acquired approximate the amounts a market participant would pay for these intangible assets as of the acquisition date. We used a multi-period excess earnings method to estimate the fair value of developed technology, the distributor method to estimate the fair value of customer relationships, the cost approach to estimate the fair value of licenses, and the relief from royalty method to estimate the fair value of trade names.</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 forma results of operations for Bitstamp have not been presented as the effect of this acquisition was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MIAXdx</w:t>
      </w:r>
    </w:p>
    <w:p>
      <w:pPr>
        <w:spacing w:after="0" w:line="192" w:lineRule="exact"/>
        <w:rPr>
          <w:sz w:val="20"/>
          <w:szCs w:val="20"/>
          <w:color w:val="auto"/>
        </w:rPr>
      </w:pPr>
    </w:p>
    <w:p>
      <w:pPr>
        <w:jc w:val="both"/>
        <w:ind w:firstLine="238"/>
        <w:spacing w:after="0" w:line="274"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Pending Acquisitions</w:t>
      </w:r>
    </w:p>
    <w:p>
      <w:pPr>
        <w:spacing w:after="0" w:line="192" w:lineRule="exact"/>
        <w:rPr>
          <w:sz w:val="20"/>
          <w:szCs w:val="20"/>
          <w:color w:val="auto"/>
        </w:rPr>
      </w:pPr>
    </w:p>
    <w:p>
      <w:pPr>
        <w:jc w:val="both"/>
        <w:ind w:firstLine="238"/>
        <w:spacing w:after="0" w:line="259" w:lineRule="auto"/>
        <w:rPr>
          <w:sz w:val="20"/>
          <w:szCs w:val="20"/>
          <w:color w:val="auto"/>
        </w:rPr>
      </w:pPr>
      <w:r>
        <w:rPr>
          <w:rFonts w:ascii="Arial" w:cs="Arial" w:eastAsia="Arial" w:hAnsi="Arial"/>
          <w:sz w:val="18"/>
          <w:szCs w:val="18"/>
          <w:color w:val="auto"/>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4: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carrying amount of goodwill: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5"/>
        </w:trPr>
        <w:tc>
          <w:tcPr>
            <w:tcW w:w="7980" w:type="dxa"/>
            <w:vAlign w:val="bottom"/>
          </w:tcPr>
          <w:p>
            <w:pPr>
              <w:ind w:left="260"/>
              <w:spacing w:after="0"/>
              <w:rPr>
                <w:sz w:val="20"/>
                <w:szCs w:val="20"/>
                <w:color w:val="auto"/>
              </w:rPr>
            </w:pPr>
            <w:r>
              <w:rPr>
                <w:rFonts w:ascii="Arial" w:cs="Arial" w:eastAsia="Arial" w:hAnsi="Arial"/>
                <w:sz w:val="18"/>
                <w:szCs w:val="18"/>
                <w:color w:val="auto"/>
              </w:rPr>
              <w:t>Less: Accumulated impairment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5"/>
        </w:trPr>
        <w:tc>
          <w:tcPr>
            <w:tcW w:w="7980" w:type="dxa"/>
            <w:vAlign w:val="bottom"/>
          </w:tcPr>
          <w:p>
            <w:pPr>
              <w:ind w:left="260"/>
              <w:spacing w:after="0" w:line="225" w:lineRule="exact"/>
              <w:rPr>
                <w:sz w:val="20"/>
                <w:szCs w:val="20"/>
                <w:color w:val="auto"/>
              </w:rPr>
            </w:pPr>
            <w:r>
              <w:rPr>
                <w:rFonts w:ascii="Arial" w:cs="Arial" w:eastAsia="Arial" w:hAnsi="Arial"/>
                <w:sz w:val="18"/>
                <w:szCs w:val="18"/>
                <w:color w:val="auto"/>
              </w:rPr>
              <w:t>Additions due to business combinations</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8" w:lineRule="exact"/>
        <w:rPr>
          <w:sz w:val="20"/>
          <w:szCs w:val="20"/>
          <w:color w:val="auto"/>
        </w:rPr>
      </w:pPr>
    </w:p>
    <w:p>
      <w:pPr>
        <w:ind w:left="140" w:hanging="134"/>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2025, additions are related to the acquisition of TradePMR and Bitstamp as disclosed in Note 3 - Business Combinations</w:t>
      </w:r>
    </w:p>
    <w:p>
      <w:pPr>
        <w:ind w:left="640"/>
        <w:spacing w:after="0"/>
        <w:rPr>
          <w:sz w:val="20"/>
          <w:szCs w:val="20"/>
          <w:color w:val="auto"/>
        </w:rPr>
      </w:pPr>
      <w:r>
        <w:rPr>
          <w:rFonts w:ascii="Arial" w:cs="Arial" w:eastAsia="Arial" w:hAnsi="Arial"/>
          <w:sz w:val="18"/>
          <w:szCs w:val="18"/>
          <w:color w:val="auto"/>
        </w:rPr>
        <w:t>There was no impairment of goodwill for the years ended December 31, 2024 and 2025.</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the components of intangible assets: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2024</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5"/>
        </w:trPr>
        <w:tc>
          <w:tcPr>
            <w:tcW w:w="446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879"/>
              <w:spacing w:after="0"/>
              <w:rPr>
                <w:sz w:val="20"/>
                <w:szCs w:val="20"/>
                <w:color w:val="auto"/>
              </w:rPr>
            </w:pPr>
            <w:r>
              <w:rPr>
                <w:rFonts w:ascii="Arial" w:cs="Arial" w:eastAsia="Arial" w:hAnsi="Arial"/>
                <w:sz w:val="18"/>
                <w:szCs w:val="18"/>
                <w:color w:val="auto"/>
                <w:w w:val="93"/>
              </w:rPr>
              <w:t>(33)</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9"/>
              <w:spacing w:after="0"/>
              <w:rPr>
                <w:sz w:val="20"/>
                <w:szCs w:val="20"/>
                <w:color w:val="auto"/>
              </w:rPr>
            </w:pPr>
            <w:r>
              <w:rPr>
                <w:rFonts w:ascii="Arial" w:cs="Arial" w:eastAsia="Arial" w:hAnsi="Arial"/>
                <w:sz w:val="18"/>
                <w:szCs w:val="18"/>
                <w:color w:val="auto"/>
                <w:w w:val="93"/>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left="83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Arial" w:cs="Arial" w:eastAsia="Arial" w:hAnsi="Arial"/>
                <w:sz w:val="18"/>
                <w:szCs w:val="18"/>
                <w:color w:val="auto"/>
                <w:w w:val="93"/>
              </w:rPr>
              <w:t>(46)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1"/>
        </w:trPr>
        <w:tc>
          <w:tcPr>
            <w:tcW w:w="4460" w:type="dxa"/>
            <w:vAlign w:val="bottom"/>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Amortization expense of intangible assets was $ 14 million, $ 20 million, and $23 million for the years ended December 31, 2023, 2024 and 2025. There was no impairment of intangible assets for the year ended December 31, 2024 and an immaterial impairment of intangible assets for the year ended 2025.</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the estimated future amortization expense of finite-lived intangible assets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1"/>
        </w:trPr>
        <w:tc>
          <w:tcPr>
            <w:tcW w:w="94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5: REVENUES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Disaggregation of Revenues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05"/>
        </w:trPr>
        <w:tc>
          <w:tcPr>
            <w:tcW w:w="6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1,123</w:t>
            </w: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Equities</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302</w:t>
            </w: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r>
      <w:tr>
        <w:trPr>
          <w:trHeight w:val="218"/>
        </w:trPr>
        <w:tc>
          <w:tcPr>
            <w:tcW w:w="6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1,647</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2,628</w:t>
            </w:r>
          </w:p>
        </w:tc>
      </w:tr>
      <w:tr>
        <w:trPr>
          <w:trHeight w:val="231"/>
        </w:trPr>
        <w:tc>
          <w:tcPr>
            <w:tcW w:w="6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Margin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573</w:t>
            </w:r>
          </w:p>
        </w:tc>
      </w:tr>
      <w:tr>
        <w:trPr>
          <w:trHeight w:val="225"/>
        </w:trPr>
        <w:tc>
          <w:tcPr>
            <w:tcW w:w="6260" w:type="dxa"/>
            <w:vAlign w:val="bottom"/>
          </w:tcPr>
          <w:p>
            <w:pPr>
              <w:ind w:left="280"/>
              <w:spacing w:after="0"/>
              <w:rPr>
                <w:sz w:val="20"/>
                <w:szCs w:val="20"/>
                <w:color w:val="auto"/>
              </w:rPr>
            </w:pPr>
            <w:r>
              <w:rPr>
                <w:rFonts w:ascii="Arial" w:cs="Arial" w:eastAsia="Arial" w:hAnsi="Arial"/>
                <w:sz w:val="18"/>
                <w:szCs w:val="18"/>
                <w:color w:val="auto"/>
              </w:rPr>
              <w:t>Interest on segregated cash, cash equivalents, securities, and deposits</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319</w:t>
            </w: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Sweep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Securities lending, net</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190</w:t>
            </w:r>
          </w:p>
        </w:tc>
      </w:tr>
      <w:tr>
        <w:trPr>
          <w:trHeight w:val="225"/>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corporate cash and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Credit card, net</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w:t>
            </w: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18"/>
        </w:trPr>
        <w:tc>
          <w:tcPr>
            <w:tcW w:w="6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1,514</w:t>
            </w:r>
          </w:p>
        </w:tc>
      </w:tr>
      <w:tr>
        <w:trPr>
          <w:trHeight w:val="245"/>
        </w:trPr>
        <w:tc>
          <w:tcPr>
            <w:tcW w:w="6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260" w:type="dxa"/>
            <w:vAlign w:val="bottom"/>
          </w:tcPr>
          <w:p>
            <w:pPr>
              <w:ind w:left="260"/>
              <w:spacing w:after="0"/>
              <w:rPr>
                <w:sz w:val="20"/>
                <w:szCs w:val="20"/>
                <w:color w:val="auto"/>
              </w:rPr>
            </w:pPr>
            <w:r>
              <w:rPr>
                <w:rFonts w:ascii="Arial" w:cs="Arial" w:eastAsia="Arial" w:hAnsi="Arial"/>
                <w:sz w:val="18"/>
                <w:szCs w:val="18"/>
                <w:color w:val="auto"/>
              </w:rPr>
              <w:t>Gold subscription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179</w:t>
            </w:r>
          </w:p>
        </w:tc>
      </w:tr>
      <w:tr>
        <w:trPr>
          <w:trHeight w:val="225"/>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Proxy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r>
      <w:tr>
        <w:trPr>
          <w:trHeight w:val="225"/>
        </w:trPr>
        <w:tc>
          <w:tcPr>
            <w:tcW w:w="6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w:t>
            </w:r>
          </w:p>
        </w:tc>
      </w:tr>
      <w:tr>
        <w:trPr>
          <w:trHeight w:val="218"/>
        </w:trPr>
        <w:tc>
          <w:tcPr>
            <w:tcW w:w="6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revenues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5"/>
        </w:trPr>
        <w:tc>
          <w:tcPr>
            <w:tcW w:w="6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3"/>
        </w:trPr>
        <w:tc>
          <w:tcPr>
            <w:tcW w:w="6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2,951</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interest revenue earned and interest expense paid from securities lending: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3"/>
              </w:rPr>
              <w:t>604</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w w:val="99"/>
              </w:rPr>
              <w:t>(414)</w:t>
            </w:r>
          </w:p>
        </w:tc>
      </w:tr>
      <w:tr>
        <w:trPr>
          <w:trHeight w:val="243"/>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lending,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3"/>
              </w:rPr>
              <w:t>190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organizations while other revenue receivables related to proxy revenues due from issuers are reported in other current assets on the consolidated balance sheets.</w:t>
      </w:r>
    </w:p>
    <w:p>
      <w:pPr>
        <w:spacing w:after="0" w:line="13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2025, contract liabilities include $39 million of unearned subscription revenue for Robinhood Gold and Robinhood Gold Card, recognized when users remit cash payments in advance of the time we satisfy our performance obligations. The unearned subscription revenue was recorded as other current liabilities on the consolidated balance sheets. Contract liabilities also include $17 million of TradePMR performance obligations acquired as part of the TradePMR acquisition, with $8 million recorded in other current liabilities and $9 million in other non-current liabilities which was recorded on the consolidated balance sheets. This liability represents consideration received in advance of satisfying the related performance obligations and is subject to repayment if certain contractual conditions are not met.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contract receivables and liabilities balances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2024</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2024</w:t>
            </w: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2024</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2"/>
        </w:trPr>
        <w:tc>
          <w:tcPr>
            <w:tcW w:w="7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2025</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2025</w:t>
            </w: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difference between the opening and ending balances of our contract receivables was primarily driven by lower cryptocurrency transaction-based revenues due to decreased trading volumes as well as number of traders and timing differences between our performance and counterparty payments, partially offset by higher options and equities transaction-based revenues.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difference between the opening and ending balances of our contract liabilities was primarily driven by an increase in Robinhood Gold Subscribers, Robinhood Gold Card users, and TradePMR performance obligations, and timing differences between our performance and customer billing. We recognized all revenue from amounts included in the opening contract liabilities balance for the year end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6: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Brokerage Related</w:t>
      </w:r>
    </w:p>
    <w:p>
      <w:pPr>
        <w:spacing w:after="0" w:line="192" w:lineRule="exact"/>
        <w:rPr>
          <w:sz w:val="20"/>
          <w:szCs w:val="20"/>
          <w:color w:val="auto"/>
        </w:rPr>
      </w:pPr>
    </w:p>
    <w:p>
      <w:pPr>
        <w:ind w:right="120" w:firstLine="318"/>
        <w:spacing w:after="0" w:line="258" w:lineRule="auto"/>
        <w:rPr>
          <w:sz w:val="20"/>
          <w:szCs w:val="20"/>
          <w:color w:val="auto"/>
        </w:rPr>
      </w:pPr>
      <w:r>
        <w:rPr>
          <w:rFonts w:ascii="Arial" w:cs="Arial" w:eastAsia="Arial" w:hAnsi="Arial"/>
          <w:sz w:val="18"/>
          <w:szCs w:val="18"/>
          <w:color w:val="auto"/>
        </w:rPr>
        <w:t>The following table summarizes the brokerage related allowance for credit losses which is primarily related to fraudulent activities, included in receivables from users, net on the consolidated balance sheet: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Credit Card Related</w:t>
      </w:r>
    </w:p>
    <w:p>
      <w:pPr>
        <w:spacing w:after="0" w:line="192"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have two types of allowance for credit losses related to credit cards: i) an allowance related to off-balance sheet credit card receivables, shown as part of accounts payable and accrued expenses on the consolidated balance sheet, and ii) an allowance related to purchased credit card receivables and interest receivable from customers, included in receivables from users, net on the consolidated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ind w:left="320"/>
              <w:spacing w:after="0"/>
              <w:rPr>
                <w:sz w:val="20"/>
                <w:szCs w:val="20"/>
                <w:color w:val="auto"/>
              </w:rPr>
            </w:pPr>
            <w:r>
              <w:rPr>
                <w:rFonts w:ascii="Arial" w:cs="Arial" w:eastAsia="Arial" w:hAnsi="Arial"/>
                <w:sz w:val="18"/>
                <w:szCs w:val="18"/>
                <w:color w:val="auto"/>
              </w:rPr>
              <w:t>The</w:t>
            </w:r>
          </w:p>
        </w:tc>
        <w:tc>
          <w:tcPr>
            <w:tcW w:w="880" w:type="dxa"/>
            <w:vAlign w:val="bottom"/>
          </w:tcPr>
          <w:p>
            <w:pPr>
              <w:ind w:left="20"/>
              <w:spacing w:after="0"/>
              <w:rPr>
                <w:sz w:val="20"/>
                <w:szCs w:val="20"/>
                <w:color w:val="auto"/>
              </w:rPr>
            </w:pPr>
            <w:r>
              <w:rPr>
                <w:rFonts w:ascii="Arial" w:cs="Arial" w:eastAsia="Arial" w:hAnsi="Arial"/>
                <w:sz w:val="18"/>
                <w:szCs w:val="18"/>
                <w:color w:val="auto"/>
              </w:rPr>
              <w:t>following</w:t>
            </w:r>
          </w:p>
        </w:tc>
        <w:tc>
          <w:tcPr>
            <w:tcW w:w="700" w:type="dxa"/>
            <w:vAlign w:val="bottom"/>
          </w:tcPr>
          <w:p>
            <w:pPr>
              <w:ind w:left="160"/>
              <w:spacing w:after="0"/>
              <w:rPr>
                <w:sz w:val="20"/>
                <w:szCs w:val="20"/>
                <w:color w:val="auto"/>
              </w:rPr>
            </w:pPr>
            <w:r>
              <w:rPr>
                <w:rFonts w:ascii="Arial" w:cs="Arial" w:eastAsia="Arial" w:hAnsi="Arial"/>
                <w:sz w:val="18"/>
                <w:szCs w:val="18"/>
                <w:color w:val="auto"/>
              </w:rPr>
              <w:t>table</w:t>
            </w:r>
          </w:p>
        </w:tc>
        <w:tc>
          <w:tcPr>
            <w:tcW w:w="1280" w:type="dxa"/>
            <w:vAlign w:val="bottom"/>
          </w:tcPr>
          <w:p>
            <w:pPr>
              <w:ind w:left="160"/>
              <w:spacing w:after="0"/>
              <w:rPr>
                <w:sz w:val="20"/>
                <w:szCs w:val="20"/>
                <w:color w:val="auto"/>
              </w:rPr>
            </w:pPr>
            <w:r>
              <w:rPr>
                <w:rFonts w:ascii="Arial" w:cs="Arial" w:eastAsia="Arial" w:hAnsi="Arial"/>
                <w:sz w:val="18"/>
                <w:szCs w:val="18"/>
                <w:color w:val="auto"/>
              </w:rPr>
              <w:t>summarizes</w:t>
            </w:r>
          </w:p>
        </w:tc>
        <w:tc>
          <w:tcPr>
            <w:tcW w:w="600" w:type="dxa"/>
            <w:vAlign w:val="bottom"/>
          </w:tcPr>
          <w:p>
            <w:pPr>
              <w:ind w:left="160"/>
              <w:spacing w:after="0"/>
              <w:rPr>
                <w:sz w:val="20"/>
                <w:szCs w:val="20"/>
                <w:color w:val="auto"/>
              </w:rPr>
            </w:pPr>
            <w:r>
              <w:rPr>
                <w:rFonts w:ascii="Arial" w:cs="Arial" w:eastAsia="Arial" w:hAnsi="Arial"/>
                <w:sz w:val="18"/>
                <w:szCs w:val="18"/>
                <w:color w:val="auto"/>
              </w:rPr>
              <w:t>the</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allowance</w:t>
            </w:r>
          </w:p>
        </w:tc>
        <w:tc>
          <w:tcPr>
            <w:tcW w:w="920" w:type="dxa"/>
            <w:vAlign w:val="bottom"/>
          </w:tcPr>
          <w:p>
            <w:pPr>
              <w:jc w:val="right"/>
              <w:ind w:right="141"/>
              <w:spacing w:after="0"/>
              <w:rPr>
                <w:sz w:val="20"/>
                <w:szCs w:val="20"/>
                <w:color w:val="auto"/>
              </w:rPr>
            </w:pPr>
            <w:r>
              <w:rPr>
                <w:rFonts w:ascii="Arial" w:cs="Arial" w:eastAsia="Arial" w:hAnsi="Arial"/>
                <w:sz w:val="18"/>
                <w:szCs w:val="18"/>
                <w:color w:val="auto"/>
              </w:rPr>
              <w:t>related</w:t>
            </w:r>
          </w:p>
        </w:tc>
        <w:tc>
          <w:tcPr>
            <w:tcW w:w="320" w:type="dxa"/>
            <w:vAlign w:val="bottom"/>
          </w:tcPr>
          <w:p>
            <w:pPr>
              <w:ind w:left="100"/>
              <w:spacing w:after="0"/>
              <w:rPr>
                <w:sz w:val="20"/>
                <w:szCs w:val="20"/>
                <w:color w:val="auto"/>
              </w:rPr>
            </w:pPr>
            <w:r>
              <w:rPr>
                <w:rFonts w:ascii="Arial" w:cs="Arial" w:eastAsia="Arial" w:hAnsi="Arial"/>
                <w:sz w:val="18"/>
                <w:szCs w:val="18"/>
                <w:color w:val="auto"/>
              </w:rPr>
              <w:t>to</w:t>
            </w:r>
          </w:p>
        </w:tc>
        <w:tc>
          <w:tcPr>
            <w:tcW w:w="1220" w:type="dxa"/>
            <w:vAlign w:val="bottom"/>
            <w:gridSpan w:val="3"/>
          </w:tcPr>
          <w:p>
            <w:pPr>
              <w:jc w:val="right"/>
              <w:ind w:right="18"/>
              <w:spacing w:after="0"/>
              <w:rPr>
                <w:sz w:val="20"/>
                <w:szCs w:val="20"/>
                <w:color w:val="auto"/>
              </w:rPr>
            </w:pPr>
            <w:r>
              <w:rPr>
                <w:rFonts w:ascii="Arial" w:cs="Arial" w:eastAsia="Arial" w:hAnsi="Arial"/>
                <w:sz w:val="18"/>
                <w:szCs w:val="18"/>
                <w:color w:val="auto"/>
              </w:rPr>
              <w:t>off-balance</w:t>
            </w:r>
          </w:p>
        </w:tc>
        <w:tc>
          <w:tcPr>
            <w:tcW w:w="800" w:type="dxa"/>
            <w:vAlign w:val="bottom"/>
          </w:tcPr>
          <w:p>
            <w:pPr>
              <w:ind w:left="220"/>
              <w:spacing w:after="0"/>
              <w:rPr>
                <w:sz w:val="20"/>
                <w:szCs w:val="20"/>
                <w:color w:val="auto"/>
              </w:rPr>
            </w:pPr>
            <w:r>
              <w:rPr>
                <w:rFonts w:ascii="Arial" w:cs="Arial" w:eastAsia="Arial" w:hAnsi="Arial"/>
                <w:sz w:val="18"/>
                <w:szCs w:val="18"/>
                <w:color w:val="auto"/>
              </w:rPr>
              <w:t>sheet</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credit</w:t>
            </w:r>
          </w:p>
        </w:tc>
        <w:tc>
          <w:tcPr>
            <w:tcW w:w="540" w:type="dxa"/>
            <w:vAlign w:val="bottom"/>
          </w:tcPr>
          <w:p>
            <w:pPr>
              <w:ind w:left="140"/>
              <w:spacing w:after="0"/>
              <w:rPr>
                <w:sz w:val="20"/>
                <w:szCs w:val="20"/>
                <w:color w:val="auto"/>
              </w:rPr>
            </w:pPr>
            <w:r>
              <w:rPr>
                <w:rFonts w:ascii="Arial" w:cs="Arial" w:eastAsia="Arial" w:hAnsi="Arial"/>
                <w:sz w:val="18"/>
                <w:szCs w:val="18"/>
                <w:color w:val="auto"/>
              </w:rPr>
              <w:t>card</w:t>
            </w:r>
          </w:p>
        </w:tc>
        <w:tc>
          <w:tcPr>
            <w:tcW w:w="1200" w:type="dxa"/>
            <w:vAlign w:val="bottom"/>
          </w:tcPr>
          <w:p>
            <w:pPr>
              <w:jc w:val="right"/>
              <w:spacing w:after="0"/>
              <w:rPr>
                <w:sz w:val="20"/>
                <w:szCs w:val="20"/>
                <w:color w:val="auto"/>
              </w:rPr>
            </w:pPr>
            <w:r>
              <w:rPr>
                <w:rFonts w:ascii="Arial" w:cs="Arial" w:eastAsia="Arial" w:hAnsi="Arial"/>
                <w:sz w:val="18"/>
                <w:szCs w:val="18"/>
                <w:color w:val="auto"/>
              </w:rPr>
              <w:t>receivables:</w:t>
            </w:r>
          </w:p>
        </w:tc>
      </w:tr>
      <w:tr>
        <w:trPr>
          <w:trHeight w:val="221"/>
        </w:trPr>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2"/>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2025</w:t>
            </w:r>
          </w:p>
        </w:tc>
      </w:tr>
      <w:tr>
        <w:trPr>
          <w:trHeight w:val="21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4380" w:type="dxa"/>
            <w:vAlign w:val="bottom"/>
            <w:gridSpan w:val="5"/>
          </w:tcPr>
          <w:p>
            <w:pPr>
              <w:ind w:left="20"/>
              <w:spacing w:after="0"/>
              <w:rPr>
                <w:sz w:val="20"/>
                <w:szCs w:val="20"/>
                <w:color w:val="auto"/>
              </w:rPr>
            </w:pPr>
            <w:r>
              <w:rPr>
                <w:rFonts w:ascii="Arial" w:cs="Arial" w:eastAsia="Arial" w:hAnsi="Arial"/>
                <w:sz w:val="18"/>
                <w:szCs w:val="18"/>
                <w:color w:val="auto"/>
              </w:rPr>
              <w:t>Opening balance from acquisition of Robinhood Credit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Payments to Coastal Bank</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Recoveries</w:t>
            </w: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9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2025</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following tables present the aging analysis of our credit card receivables for the periods presented and the delinquency aging includes all past due principal on loans. Accrued interest receivable of $3 million and $9 million as of December 31, 2024 and 2025 were not included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December 31, 2024</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Total Past due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200"/>
              <w:spacing w:after="0"/>
              <w:rPr>
                <w:sz w:val="20"/>
                <w:szCs w:val="20"/>
                <w:color w:val="auto"/>
              </w:rPr>
            </w:pPr>
            <w:r>
              <w:rPr>
                <w:rFonts w:ascii="Arial" w:cs="Arial" w:eastAsia="Arial" w:hAnsi="Arial"/>
                <w:sz w:val="14"/>
                <w:szCs w:val="14"/>
                <w:b w:val="1"/>
                <w:bCs w:val="1"/>
                <w:color w:val="auto"/>
              </w:rPr>
              <w:t>receivables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1120" w:type="dxa"/>
            <w:vAlign w:val="bottom"/>
            <w:tcBorders>
              <w:top w:val="single" w:sz="8" w:color="auto"/>
            </w:tcBorders>
            <w:gridSpan w:val="2"/>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1120" w:type="dxa"/>
            <w:vAlign w:val="bottom"/>
            <w:tcBorders>
              <w:bottom w:val="single" w:sz="8" w:color="auto"/>
            </w:tcBorders>
            <w:gridSpan w:val="2"/>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391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ind w:left="60"/>
              <w:spacing w:after="0" w:line="205" w:lineRule="exact"/>
              <w:rPr>
                <w:sz w:val="20"/>
                <w:szCs w:val="20"/>
                <w:color w:val="auto"/>
              </w:rPr>
            </w:pPr>
            <w:r>
              <w:rPr>
                <w:rFonts w:ascii="Arial" w:cs="Arial" w:eastAsia="Arial" w:hAnsi="Arial"/>
                <w:sz w:val="18"/>
                <w:szCs w:val="18"/>
                <w:color w:val="auto"/>
                <w:w w:val="97"/>
              </w:rPr>
              <w:t>93 %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5"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ind w:left="1080"/>
              <w:spacing w:after="0" w:line="205" w:lineRule="exact"/>
              <w:rPr>
                <w:sz w:val="20"/>
                <w:szCs w:val="20"/>
                <w:color w:val="auto"/>
              </w:rPr>
            </w:pPr>
            <w:r>
              <w:rPr>
                <w:rFonts w:ascii="Arial" w:cs="Arial" w:eastAsia="Arial" w:hAnsi="Arial"/>
                <w:sz w:val="18"/>
                <w:szCs w:val="18"/>
                <w:color w:val="auto"/>
              </w:rPr>
              <w:t>7 %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left="83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r>
        <w:trPr>
          <w:trHeight w:val="48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Total Past due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receivables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814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840</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991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ind w:left="60"/>
              <w:spacing w:after="0" w:line="205" w:lineRule="exact"/>
              <w:rPr>
                <w:sz w:val="20"/>
                <w:szCs w:val="20"/>
                <w:color w:val="auto"/>
              </w:rPr>
            </w:pPr>
            <w:r>
              <w:rPr>
                <w:rFonts w:ascii="Arial" w:cs="Arial" w:eastAsia="Arial" w:hAnsi="Arial"/>
                <w:sz w:val="18"/>
                <w:szCs w:val="18"/>
                <w:color w:val="auto"/>
                <w:w w:val="97"/>
              </w:rPr>
              <w:t>95 %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960"/>
              <w:spacing w:after="0" w:line="205" w:lineRule="exact"/>
              <w:rPr>
                <w:sz w:val="20"/>
                <w:szCs w:val="20"/>
                <w:color w:val="auto"/>
              </w:rPr>
            </w:pPr>
            <w:r>
              <w:rPr>
                <w:rFonts w:ascii="Arial" w:cs="Arial" w:eastAsia="Arial" w:hAnsi="Arial"/>
                <w:sz w:val="18"/>
                <w:szCs w:val="18"/>
                <w:color w:val="auto"/>
                <w:w w:val="96"/>
              </w:rPr>
              <w:t>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100"/>
              <w:spacing w:after="0" w:line="205"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left="83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2024 and 2025. We present our receivables by FICO scores.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December 31,</w:t>
            </w:r>
          </w:p>
        </w:tc>
        <w:tc>
          <w:tcPr>
            <w:tcW w:w="1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Pr>
          <w:p>
            <w:pPr>
              <w:spacing w:after="0"/>
              <w:rPr>
                <w:sz w:val="16"/>
                <w:szCs w:val="16"/>
                <w:color w:val="auto"/>
              </w:rPr>
            </w:pPr>
          </w:p>
        </w:tc>
      </w:tr>
      <w:tr>
        <w:trPr>
          <w:trHeight w:val="19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FICO scores)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980" w:type="dxa"/>
            <w:vAlign w:val="bottom"/>
            <w:tcBorders>
              <w:bottom w:val="single" w:sz="8" w:color="CCEEFF"/>
            </w:tcBorders>
          </w:tcPr>
          <w:p>
            <w:pPr>
              <w:jc w:val="right"/>
              <w:ind w:right="355"/>
              <w:spacing w:after="0"/>
              <w:rPr>
                <w:sz w:val="20"/>
                <w:szCs w:val="20"/>
                <w:color w:val="auto"/>
              </w:rPr>
            </w:pPr>
            <w:r>
              <w:rPr>
                <w:rFonts w:ascii="Arial" w:cs="Arial" w:eastAsia="Arial" w:hAnsi="Arial"/>
                <w:sz w:val="14"/>
                <w:szCs w:val="14"/>
                <w:b w:val="1"/>
                <w:bCs w:val="1"/>
                <w:color w:val="auto"/>
              </w:rPr>
              <w:t>% of Total Loans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860" w:type="dxa"/>
            <w:vAlign w:val="bottom"/>
            <w:tcBorders>
              <w:bottom w:val="single" w:sz="8" w:color="CCEEFF"/>
            </w:tcBorders>
          </w:tcPr>
          <w:p>
            <w:pPr>
              <w:jc w:val="right"/>
              <w:ind w:right="235"/>
              <w:spacing w:after="0"/>
              <w:rPr>
                <w:sz w:val="20"/>
                <w:szCs w:val="20"/>
                <w:color w:val="auto"/>
              </w:rPr>
            </w:pPr>
            <w:r>
              <w:rPr>
                <w:rFonts w:ascii="Arial" w:cs="Arial" w:eastAsia="Arial" w:hAnsi="Arial"/>
                <w:sz w:val="14"/>
                <w:szCs w:val="14"/>
                <w:b w:val="1"/>
                <w:bCs w:val="1"/>
                <w:color w:val="auto"/>
              </w:rPr>
              <w:t>% of Total Loans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640</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5"/>
        </w:trPr>
        <w:tc>
          <w:tcPr>
            <w:tcW w:w="4400" w:type="dxa"/>
            <w:vAlign w:val="bottom"/>
          </w:tcPr>
          <w:p>
            <w:pPr>
              <w:ind w:left="20"/>
              <w:spacing w:after="0"/>
              <w:rPr>
                <w:sz w:val="20"/>
                <w:szCs w:val="20"/>
                <w:color w:val="auto"/>
              </w:rPr>
            </w:pPr>
            <w:r>
              <w:rPr>
                <w:rFonts w:ascii="Arial" w:cs="Arial" w:eastAsia="Arial" w:hAnsi="Arial"/>
                <w:sz w:val="18"/>
                <w:szCs w:val="18"/>
                <w:color w:val="auto"/>
              </w:rPr>
              <w:t>640-690</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26 %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8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690</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58 %</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18"/>
        </w:trPr>
        <w:tc>
          <w:tcPr>
            <w:tcW w:w="4400" w:type="dxa"/>
            <w:vAlign w:val="bottom"/>
          </w:tcPr>
          <w:p>
            <w:pPr>
              <w:ind w:left="260"/>
              <w:spacing w:after="0"/>
              <w:rPr>
                <w:sz w:val="20"/>
                <w:szCs w:val="20"/>
                <w:color w:val="auto"/>
              </w:rPr>
            </w:pPr>
            <w:r>
              <w:rPr>
                <w:rFonts w:ascii="Arial" w:cs="Arial" w:eastAsia="Arial" w:hAnsi="Arial"/>
                <w:sz w:val="18"/>
                <w:szCs w:val="18"/>
                <w:color w:val="auto"/>
              </w:rPr>
              <w:t>Total credit card loans</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7: INVESTMENTS AND 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7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 xml:space="preserve">As of December 31, 2024 we had $750 million of available-for-sale time deposits classified as cash equivalents on the consolidated balance sheets. As of December 31, 2025, we had no available-for-sale time deposits. These investments had a maturity of three months or less at the time of purchase, and an aggregate market value equal to amortized cost. Refer to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our held-to-maturity investments: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2024</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Debt securities: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306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Total held-to-maturity investments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were no held to maturity investments as of December 31, 2025 and no sales of held-to-maturity investments during the year ended December 31, 2025.</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the amortized cost and fair value of held-to-maturity investments by contractual maturity: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4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1 to 2 Years</w:t>
            </w:r>
          </w:p>
        </w:tc>
        <w:tc>
          <w:tcPr>
            <w:tcW w:w="380" w:type="dxa"/>
            <w:vAlign w:val="bottom"/>
          </w:tcPr>
          <w:p>
            <w:pPr>
              <w:spacing w:after="0"/>
              <w:rPr>
                <w:sz w:val="17"/>
                <w:szCs w:val="17"/>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Amortized cost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340" w:type="dxa"/>
            <w:vAlign w:val="bottom"/>
          </w:tcPr>
          <w:p>
            <w:pPr>
              <w:ind w:left="42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assets and liabilities measured at fair value on a recurring basis were presented on our consolidated balance sheets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5"/>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2"/>
        </w:trPr>
        <w:tc>
          <w:tcPr>
            <w:tcW w:w="4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cash equivalents, and securities segregated under</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other regulations: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 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2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82"/>
        </w:trPr>
        <w:tc>
          <w:tcPr>
            <w:tcW w:w="4660" w:type="dxa"/>
            <w:vAlign w:val="bottom"/>
          </w:tcPr>
          <w:p>
            <w:pPr>
              <w:ind w:left="20"/>
              <w:spacing w:after="0" w:line="182" w:lineRule="exact"/>
              <w:rPr>
                <w:sz w:val="20"/>
                <w:szCs w:val="20"/>
                <w:color w:val="auto"/>
              </w:rPr>
            </w:pPr>
            <w:r>
              <w:rPr>
                <w:rFonts w:ascii="Arial" w:cs="Arial" w:eastAsia="Arial" w:hAnsi="Arial"/>
                <w:sz w:val="18"/>
                <w:szCs w:val="18"/>
                <w:color w:val="auto"/>
              </w:rPr>
              <w:t>Cash, cash equivalents, and securities segregated under</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federal and other regulations: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Foreign Treasury securities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line="225"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line="225"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0"/>
              <w:spacing w:after="0" w:line="225" w:lineRule="exact"/>
              <w:rPr>
                <w:sz w:val="20"/>
                <w:szCs w:val="20"/>
                <w:color w:val="auto"/>
              </w:rPr>
            </w:pPr>
            <w:r>
              <w:rPr>
                <w:rFonts w:ascii="Arial" w:cs="Arial" w:eastAsia="Arial" w:hAnsi="Arial"/>
                <w:sz w:val="18"/>
                <w:szCs w:val="18"/>
                <w:color w:val="auto"/>
              </w:rPr>
              <w:t xml:space="preserve">Non-marketable securities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5"/>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ind w:left="180" w:hanging="174"/>
        <w:spacing w:after="0" w:line="209" w:lineRule="auto"/>
        <w:tabs>
          <w:tab w:leader="none" w:pos="18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As of December 31, 2025, $1 million of our U.S. Treasury securities are deposited with an exchange to enable the execution, clearing, and settlement of event contracts.</w:t>
      </w:r>
    </w:p>
    <w:p>
      <w:pPr>
        <w:spacing w:after="0" w:line="14" w:lineRule="exact"/>
        <w:rPr>
          <w:rFonts w:ascii="Arial" w:cs="Arial" w:eastAsia="Arial" w:hAnsi="Arial"/>
          <w:sz w:val="21"/>
          <w:szCs w:val="21"/>
          <w:color w:val="auto"/>
          <w:vertAlign w:val="superscript"/>
        </w:rPr>
      </w:pPr>
    </w:p>
    <w:p>
      <w:pPr>
        <w:ind w:left="180" w:hanging="174"/>
        <w:spacing w:after="0" w:line="188" w:lineRule="auto"/>
        <w:tabs>
          <w:tab w:leader="none" w:pos="180"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Classified as trading securities in which the amortized cost approximates fair value as of December 31, 2025.</w:t>
      </w:r>
    </w:p>
    <w:p>
      <w:pPr>
        <w:spacing w:after="0" w:line="27" w:lineRule="exact"/>
        <w:rPr>
          <w:rFonts w:ascii="Arial" w:cs="Arial" w:eastAsia="Arial" w:hAnsi="Arial"/>
          <w:sz w:val="19"/>
          <w:szCs w:val="19"/>
          <w:color w:val="auto"/>
          <w:vertAlign w:val="superscript"/>
        </w:rPr>
      </w:pPr>
    </w:p>
    <w:p>
      <w:pPr>
        <w:ind w:left="180" w:hanging="174"/>
        <w:spacing w:after="0" w:line="188" w:lineRule="auto"/>
        <w:tabs>
          <w:tab w:leader="none" w:pos="180"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Represents non-marketable equity securities held by Robinhood Ventures Fund I.</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Ventures Fund I investments in non-marketable equity securities</w:t>
      </w:r>
    </w:p>
    <w:p>
      <w:pPr>
        <w:spacing w:after="0" w:line="177"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 following table sets forth a summary of the changes in the estimated fair value of Robinhood Ventures Fund I investments in non-marketable equity securities classified as a Level 3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58"/>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Purchases during the period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End of period, December 31, 2025</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9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2025, we did not have any transfers in or out of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Robinhood Ventures Fund I investments measured using Level 3 inputs primarily consist of investments in privately-held investments. Recent financing transactions in the investee are generally considered the best indication of the enterprise value and therefore used as a basis to estimate fair value. When a recent financing transaction occurs and represents fair value, the Company also uses the calibration process, as appropriate, when estimating fair value on subsequent measurement dates. Calibration is the process of using observed transactions in the investee company’s own instruments to ensure that the valuation techniques that will be employed to value the investee company investment on subsequent measurement dates begin with assumptions that are consistent with the original observed transaction and any more recent observed transactions in the instruments issued by the investee company as well as any updates regarding the investee company’s performance. As of December 31, 2025, the Company determined the fair value of investments held by Robinhood Ventures Fund I based on recent financing transactions of each of the investees.</w:t>
      </w:r>
    </w:p>
    <w:p>
      <w:pPr>
        <w:spacing w:after="0" w:line="15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fair value for certain financial instruments that are not required to be measured or reported at fair value was presented on our consolidated balance sheets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7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68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Total held-to-maturity investments</w:t>
            </w:r>
          </w:p>
        </w:tc>
        <w:tc>
          <w:tcPr>
            <w:tcW w:w="1100" w:type="dxa"/>
            <w:vAlign w:val="bottom"/>
          </w:tcPr>
          <w:p>
            <w:pPr>
              <w:jc w:val="right"/>
              <w:ind w:right="89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8: INCOME TAXES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05"/>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8"/>
        </w:trPr>
        <w:tc>
          <w:tcPr>
            <w:tcW w:w="6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6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8"/>
          <w:szCs w:val="18"/>
          <w:color w:val="auto"/>
        </w:rPr>
        <w:t>The table below provides the updated requirements of ASU 2023-09 for 2025. See Note 2 - Recent Accounting Pronouncements for additional details on the adoption of ASU 2023-09.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The reconciliation of statutory federal income tax rate and our effective income tax rate was as follows (in millions, except for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Year Ended December 31, 2025</w:t>
            </w:r>
          </w:p>
        </w:tc>
        <w:tc>
          <w:tcPr>
            <w:tcW w:w="580" w:type="dxa"/>
            <w:vAlign w:val="bottom"/>
            <w:tcBorders>
              <w:bottom w:val="single" w:sz="8" w:color="auto"/>
            </w:tcBorders>
          </w:tcPr>
          <w:p>
            <w:pPr>
              <w:spacing w:after="0"/>
              <w:rPr>
                <w:sz w:val="16"/>
                <w:szCs w:val="16"/>
                <w:color w:val="auto"/>
              </w:rPr>
            </w:pPr>
          </w:p>
        </w:tc>
      </w:tr>
      <w:tr>
        <w:trPr>
          <w:trHeight w:val="192"/>
        </w:trPr>
        <w:tc>
          <w:tcPr>
            <w:tcW w:w="7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Percent</w:t>
            </w:r>
          </w:p>
        </w:tc>
        <w:tc>
          <w:tcPr>
            <w:tcW w:w="580" w:type="dxa"/>
            <w:vAlign w:val="bottom"/>
            <w:tcBorders>
              <w:bottom w:val="single" w:sz="8" w:color="auto"/>
            </w:tcBorders>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r>
      <w:tr>
        <w:trPr>
          <w:trHeight w:val="225"/>
        </w:trPr>
        <w:tc>
          <w:tcPr>
            <w:tcW w:w="7860" w:type="dxa"/>
            <w:vAlign w:val="bottom"/>
          </w:tcPr>
          <w:p>
            <w:pPr>
              <w:ind w:left="20"/>
              <w:spacing w:after="0" w:line="225" w:lineRule="exact"/>
              <w:rPr>
                <w:sz w:val="20"/>
                <w:szCs w:val="20"/>
                <w:color w:val="auto"/>
              </w:rPr>
            </w:pPr>
            <w:r>
              <w:rPr>
                <w:rFonts w:ascii="Arial" w:cs="Arial" w:eastAsia="Arial" w:hAnsi="Arial"/>
                <w:sz w:val="18"/>
                <w:szCs w:val="18"/>
                <w:color w:val="auto"/>
              </w:rPr>
              <w:t>State tax (benefit), net of federal benefit</w:t>
            </w:r>
            <w:r>
              <w:rPr>
                <w:rFonts w:ascii="Arial" w:cs="Arial" w:eastAsia="Arial" w:hAnsi="Arial"/>
                <w:sz w:val="22"/>
                <w:szCs w:val="22"/>
                <w:color w:val="auto"/>
                <w:vertAlign w:val="superscript"/>
              </w:rPr>
              <w:t>(1)</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1.6</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Effect of cross-border tax laws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0.1</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5"/>
        </w:trPr>
        <w:tc>
          <w:tcPr>
            <w:tcW w:w="786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(8.7)</w:t>
            </w:r>
          </w:p>
        </w:tc>
      </w:tr>
      <w:tr>
        <w:trPr>
          <w:trHeight w:val="225"/>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Changes in unrecognized tax benefits</w:t>
            </w:r>
          </w:p>
        </w:tc>
        <w:tc>
          <w:tcPr>
            <w:tcW w:w="1080" w:type="dxa"/>
            <w:vAlign w:val="bottom"/>
          </w:tcPr>
          <w:p>
            <w:pPr>
              <w:spacing w:after="0"/>
              <w:rPr>
                <w:sz w:val="19"/>
                <w:szCs w:val="19"/>
                <w:color w:val="auto"/>
              </w:rPr>
            </w:pPr>
          </w:p>
        </w:tc>
        <w:tc>
          <w:tcPr>
            <w:tcW w:w="1720" w:type="dxa"/>
            <w:vAlign w:val="bottom"/>
            <w:gridSpan w:val="3"/>
          </w:tcPr>
          <w:p>
            <w:pPr>
              <w:jc w:val="right"/>
              <w:ind w:right="122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80" w:hanging="174"/>
        <w:spacing w:after="0"/>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3"/>
          <w:szCs w:val="13"/>
          <w:color w:val="auto"/>
        </w:rPr>
        <w:t>State and local taxes in New York, New Jersey, Pennsylvania and Illinois made up the majority (greater than 50 percent) of the tax effect in this category.</w:t>
      </w:r>
    </w:p>
    <w:p>
      <w:pPr>
        <w:spacing w:after="0" w:line="15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For the years ended December 31, 2024 and 2023, prior to the adoption of ASU 2023-09, the reconciliation of statutory federal income tax rate and our effective income tax rate was as follows (in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3500" w:type="dxa"/>
            <w:vAlign w:val="bottom"/>
            <w:tcBorders>
              <w:bottom w:val="single" w:sz="8" w:color="auto"/>
            </w:tcBorders>
            <w:gridSpan w:val="6"/>
          </w:tcPr>
          <w:p>
            <w:pPr>
              <w:jc w:val="right"/>
              <w:ind w:right="79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170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7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5"/>
        </w:trPr>
        <w:tc>
          <w:tcPr>
            <w:tcW w:w="7740" w:type="dxa"/>
            <w:vAlign w:val="bottom"/>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17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8"/>
        </w:trPr>
        <w:tc>
          <w:tcPr>
            <w:tcW w:w="774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9540" w:type="dxa"/>
            <w:vAlign w:val="bottom"/>
            <w:gridSpan w:val="3"/>
          </w:tcPr>
          <w:p>
            <w:pPr>
              <w:ind w:left="320"/>
              <w:spacing w:after="0"/>
              <w:rPr>
                <w:sz w:val="20"/>
                <w:szCs w:val="20"/>
                <w:color w:val="auto"/>
              </w:rPr>
            </w:pPr>
            <w:r>
              <w:rPr>
                <w:rFonts w:ascii="Arial" w:cs="Arial" w:eastAsia="Arial" w:hAnsi="Arial"/>
                <w:sz w:val="18"/>
                <w:szCs w:val="18"/>
                <w:color w:val="auto"/>
              </w:rPr>
              <w:t>For the year ended December 31, 2025, total income taxes paid (net of refunds)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1"/>
        </w:trPr>
        <w:tc>
          <w:tcPr>
            <w:tcW w:w="7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Individual jurisdictions equaling 5% or more of the total income taxes paid (net of refunds) for the year ended December 31, 2025 include U.S. federal at $49 million, California at $15 million, and New York at $6 million.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our deferred tax assets and liabilities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r>
      <w:tr>
        <w:trPr>
          <w:trHeight w:val="205"/>
        </w:trPr>
        <w:tc>
          <w:tcPr>
            <w:tcW w:w="79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experimentation expenditure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Accruals and 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8"/>
        </w:trPr>
        <w:tc>
          <w:tcPr>
            <w:tcW w:w="7980" w:type="dxa"/>
            <w:vAlign w:val="bottom"/>
          </w:tcPr>
          <w:p>
            <w:pPr>
              <w:ind w:left="44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Deferred customer match incentives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8"/>
        </w:trPr>
        <w:tc>
          <w:tcPr>
            <w:tcW w:w="7980" w:type="dxa"/>
            <w:vAlign w:val="bottom"/>
          </w:tcPr>
          <w:p>
            <w:pPr>
              <w:ind w:left="4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beginning and ending amount of the deferred tax asset valuation allowance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Charged/(credited) to 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utilized/(write-offs)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Additions due to acquisition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our analysis of all positive and negative evidence available for the year ended December 31, 2025, we continue to maintain a valuation allowance for our California, and certain other U.S. states and certain foreign net deferred tax assets, as we believe it is more likely than not that the tax benefits of these jurisdictions’ net deferred tax assets may not be realized. The valuation allowance for California, and certain other U.S. states and certain foreign net deferred tax assets increased by approximately $17 million for the year ended December 31, 2025.</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2025, we have $44 million of U.S. federal, $297 million of state, and $11 million of non-U.S. net operating loss carryforwards available to reduce future taxable income. Our U.S. federal net operating loss will carryforward indefinitely. Our state net operating losses begin to expire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while our non-U.S. net operating losses begin to expire in 2029. We have U.S. federal tax credit carryforwards of $191 million that will begin to expire in 2043, if not utilized, and state tax credit carryforwards of $158 million that will begin to expire in 2026.</w:t>
      </w:r>
    </w:p>
    <w:p>
      <w:pPr>
        <w:spacing w:after="0" w:line="13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Code, and similar state provisions. The annual limitation may result in the expiration of net operating losses and tax credits before utilization.</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had unrecognized tax benefits of approximately $134 million of which $88 million would affect our effective tax rate if recognized as of December 31, 2025. The remaining $46 million of unrecognized tax benefits would not impact the effective tax rate due to realizability of those deferred tax assets. We record interest and penalties related to unrecognized tax benefits in income tax expenses. There were no interest or penalties accrued during the year ended December 31, 2024. Interest accrued during the year ended December 31, 2025 was immaterial.</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beginning and ending amount of unrecognized tax benefits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Gross increases - current year tax positions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 prior year tax positions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Gross decreases - prior year tax positions</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benefit - end of period</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 over of unused net operating losses and tax credits. The tax years from 2022 remain open for the most significant foreign jurisdiction.</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9: PROPERTY, SOFTWARE, AND EQUIPMENT, NET</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software, and equipment are presented net of accumulated depreciation and amortization and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Depreciation expense of property and equipment was $16 million, $14 million, and $14 million for the years ended December 31, 2023, 2024 and 2025.</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Amortization expense of internally developed software was $41 million, $43 million, and $49 million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10: SECURITIES BORROWING AND LENDING</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consolidated balance sheets.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collateral to our users or third parties, which is recorded on our consolidated balance sheets as “securities borrowed”, an asset, representing our rights to the return of that collateral. When we lend securities to third parties and users, we receive cash as collateral, which is recorded on our consolidated balance sheets as “securities loaned”, a liability, representing our obligation to return the collateral.</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certain balances related to our securities borrowing and lending activities: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134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43" w:lineRule="exact"/>
        <w:rPr>
          <w:sz w:val="20"/>
          <w:szCs w:val="20"/>
          <w:color w:val="auto"/>
        </w:rPr>
      </w:pPr>
    </w:p>
    <w:p>
      <w:pPr>
        <w:ind w:left="20" w:right="680"/>
        <w:spacing w:after="0" w:line="268"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42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18" w:lineRule="exact"/>
        <w:rPr>
          <w:sz w:val="20"/>
          <w:szCs w:val="20"/>
          <w:color w:val="auto"/>
        </w:rPr>
      </w:pPr>
    </w:p>
    <w:p>
      <w:pPr>
        <w:ind w:left="260" w:right="440"/>
        <w:spacing w:after="0" w:line="280"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34860" cy="142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7134860" cy="1263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43"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18" w:lineRule="exact"/>
        <w:rPr>
          <w:sz w:val="20"/>
          <w:szCs w:val="20"/>
          <w:color w:val="auto"/>
        </w:rPr>
      </w:pPr>
    </w:p>
    <w:p>
      <w:pPr>
        <w:ind w:left="260" w:right="1080"/>
        <w:spacing w:after="0" w:line="280"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34860" cy="142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2025</w:t>
            </w:r>
          </w:p>
        </w:tc>
      </w:tr>
      <w:tr>
        <w:trPr>
          <w:trHeight w:val="191"/>
        </w:trPr>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borrowed</w:t>
            </w:r>
          </w:p>
        </w:tc>
        <w:tc>
          <w:tcPr>
            <w:tcW w:w="960" w:type="dxa"/>
            <w:vAlign w:val="bottom"/>
            <w:tcBorders>
              <w:bottom w:val="single" w:sz="8" w:color="auto"/>
            </w:tcBorders>
          </w:tcPr>
          <w:p>
            <w:pPr>
              <w:spacing w:after="0"/>
              <w:rPr>
                <w:sz w:val="16"/>
                <w:szCs w:val="16"/>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9"/>
        </w:trPr>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loaned</w:t>
            </w:r>
          </w:p>
        </w:tc>
        <w:tc>
          <w:tcPr>
            <w:tcW w:w="960" w:type="dxa"/>
            <w:vAlign w:val="bottom"/>
            <w:tcBorders>
              <w:bottom w:val="single" w:sz="8" w:color="auto"/>
            </w:tcBorders>
          </w:tcPr>
          <w:p>
            <w:pPr>
              <w:spacing w:after="0"/>
              <w:rPr>
                <w:sz w:val="24"/>
                <w:szCs w:val="24"/>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11,626</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11,626</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11,626</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520"/>
            <w:col w:w="3260"/>
          </w:cols>
          <w:pgMar w:left="320" w:top="1440" w:right="339" w:bottom="1440" w:gutter="0" w:footer="0" w:header="0"/>
          <w:type w:val="continuous"/>
        </w:sectPr>
      </w:pPr>
    </w:p>
    <w:p>
      <w:pPr>
        <w:spacing w:after="0" w:line="1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described in Note 1 - Description of Business and Summary of Significant Accounting Policies, we obtain securities on terms that permit us to pledge and/or transfer securities to others. As of December 31, 2024 and 2025, we were permitted to re-pledge securities with a fair value of $11.04 billion and $23.62 billion under margin account agreements with users, and securities with insignificant fair value that we borrowed under MSLAs with third parties for fiscal years 2024 and 2025. Under the Fully-Paid Securities Lending program, as of December 31, 2024 and 2025, we were permitted to borrow securities with a fair value of $38.70 billion and $75.88 billion including securities with a fair value of $$3.12 billion and $2.35 billion that we had borrowed from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2024 and 2025, we had re-pledged securities with a fair value of $6.89 billion and $10.90 billion, in each case under MSLAs and Fixed-Term Securities Lending Agreements with third parties. In addition, as of December 31, 2024 and 2025, we had re-pledged $1.60 billion and $2.83 billion of the permitted amounts under the margin account agreements with clearing organizations to meet deposit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NOTE 11: FINANCING ACTIVITIES AND OFF-BALANCE SHEET RISK</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Revolving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2025 Credit Agreement</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March 21, 2025, RHM entered into the RHM March 2025 Credit Agreement, amending and restating the unsecured revolving line of credit entered into in March 2024 (refer to Note 12 - Financing Activities and Off-Balance Sheet Risk, of the 2024 Form 10-K for more information). The RHM March 2025 Credit Agreement has an initial commitment of $1 billion with a maturity date of March 21, 2028. Under circumstances described in the RHM March 2025 Credit Agreement, the aggregate commitments may be increased from time to time by up to $250 million in the aggregate (the “Accordion”), for a total commitment of up to $1.25 billion. On June 12, 2025, we increased the commitment from $1 billion to $1.125 billion pursuant to the Accordion and as a result reduced the available incremental commitment available pursuant to the Accordion by a corresponding amount. Borrowings under the RHM March 2025 Credit Agreement will bear interest at a rate per annum equal to the Alternate Base Rate or Adjusted Term SOFR plus an applicable margin rate of 1.50%. For purposes of the RHM March 2025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2025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2025 Credit Agreement</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21, 2025, RHS, our wholly-owned subsidiary, entered into the RHS March 2025 Credit Agreement among RHS, as borrower, the lenders party thereto, and JPMorgan Chase Bank, N.A., as administrative agent, amending and restating the $2.25 billion 364-day senior secured revolving credit facility entered into in March 2024 (refer to Note 12 - Financing Activities and Off-Balance Sheet Risk, of the 2024 Form 10-K for more information).</w:t>
      </w:r>
    </w:p>
    <w:p>
      <w:pPr>
        <w:spacing w:after="0" w:line="1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RHS March 2025 Credit Agreement provides for a 364-day senior secured revolving credit facility with a total commitment of $2.65 billion. Under circumstances described in the RHS March 2025 Credit Agreement, the aggregate commitments may be increased by up to $1.325 billion via an accordion feature, for a total commitment of $3.975 billion. Borrowings under the credit facility must be specified to be Tranche A, Tranche B, Tranche C or a combination thereof, with each tranche being secured by different assets of RHS as set forth in the RHS March 2025 Credit Agreement. Borrowings under the RHS March 2025 Credit Agreement will bear interest at a rate per annum equal to the greatest of (i) Daily Simple SOFR (as defined in the RHS March 2025 Credit Agreement) plus 0.10% , (ii) the Federal Funds Effective Rate (as defined in the RHS March 2025 Credit Agreement) and (iii) the Overnight Bank Funding Rate (as defined in the RHS March 2025 Credit Agreement), in each case, as of the day the loan is initiated, plus an applicable margin rate. The applicable margin rate is 1.25% for Tranche A loans and 2.50% for Tranche B and Tranche C loans. Undrawn commitments will accrue commitment fees at a rate per annum equal to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RHS March 2025 Credit Agreement requires RHS to maintain a minimum consolidated tangible net worth and a minimum excess net capital, and subjects RHS to a specified limit on minimum net capital to aggregate debit items. In addition, the RHS March 2025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2025 Credit Agreement may be accelerated upon an “event of default,” as defined in the RHS March 2025 Credit Agreement, such as failure to pay amounts owed thereunder when due, breach of a covenant, material inaccuracy of a representation, or occurrence of bankruptcy or insolvency, subject in some cases to cure periods.</w:t>
      </w:r>
    </w:p>
    <w:p>
      <w:pPr>
        <w:spacing w:after="0" w:line="15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2024 and December 31, 2025, there were no borrowings outstanding and we were in compliance with all covenants, as applicable, under our revolving credit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Funding Trust</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Credit Card Funding Trust (the “Trust”).</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consolidated financial statements. Substantially all of the Trust’s assets and liabilities are the purchased credit card receivables, included in receivables from users, net, and the outstanding borrowing, included in other current liabilities, on the consolidated balance sheets.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the Trust had four arrangements in place: (1) to borrow up to $200 million from Barclays, (2) to borrow up to $150 million from SVB, which was amended on September 26, 2025 to decrease the borrowing capacity and the pricing, (3) to borrow up to $300 million from WF, which was a new borrowing agreement entered into on August 1, 2025, and (4) to borrow up to $300 million from Truist Bank, which was a new borrowing agreement entered into on November 7, 2025.</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the Barclays arrangement, the Trust may borrow, repay, and re-borrow up to a committed amount of $200 million during the revolving period, which ends in November 2026. During this period, borrowings bear interest at Barclays’ commercial paper rate plus 1.75% and undrawn amounts accrue an undrawn fee at rates between 0.25% and 0.35%, depending on utilization. After the revolving period ends, the facility enters an amortization period during which no new borrowings are permitted, and the Trust repays the outstanding balance. The interest margin increases during this amortization phase. In November 2025, the interest rate was renegotiated to Barclays’ commercial paper rate plus 1.3%, and undrawn amounts accrue an undrawn fee at rates between 0.275% and 0.325%,</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Under the SVB arrangement, the Trust may borrow, repay, and re-borrow up to a committed amount of $150 million during the revolving period, which ends in April 2027. During this period, borrowings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interest at a rate equal to the one-month Term SOFR plus 1.50%, and undrawn amounts accrue at a rate of 0.25%.</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WF arrangement, the Trust may borrow, repay and re-borrow up to a committed amount of $300 million during the revolving period, which ends in August 2028. During this period, borrowings bear interest at a rate equal to the Daily Simple SOFR (as defined in the WF arrangement) plus 1.40%. After the revolving period ends, the facility enters a controlled amortization period where interest increases to a rate equal to the Daily Simple SOFR plus 2.0%, and undrawn amounts accrue an undrawn fee at rates between 0.275% and 0.325%, depending on utilization.</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Truist Bank arrangement, the Trust may borrow, repay and re-borrow up to a committed amount of $300 million during the revolving period, which ends in November 2028. During this period, borrowings bear interest at a rate equal to the Daily Simple SOFR (as defined in the Truist Bank arrangement) plus 1.40%. After the revolving period ends, the facility enters a controlled amortization period where interest increases to a rate equal to the Daily Simple SOFR plus 2.0%. Undrawn amounts accrue an undrawn fee at rates between 0.275% and 0.325%, depending on utilization.</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year ended December 31, 2024, the weighted average interest rate of the SVB and Barclays arrangements was 7.81%. For the year ended December 31, 2025, the weighted average interest rate of the SVB, Barclays, WF, and Truist Bank arrangements was 6.16%. During the years ended December 31, 2024 and 2025, the Trust purchased $748 million and $5.2 billion of credit card receivables. As of December 31, 2024 and 2025, the carrying value of purchased credit card receivables that had not been collected, net of provision for credit losses, was $179 million and $786 million, and the outstanding balance of borrowing principal and interest was $131 million and $602 million. For the years ended December 31, 2024 and 2025, the net interest revenue of the Trust was $5 million and $45 million.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Off-Balance Sheet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7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Under a program agreement between us and Coastal Bank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w:t>
      </w:r>
    </w:p>
    <w:p>
      <w:pPr>
        <w:spacing w:after="0" w:line="21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December 31, 2025, the off-balance sheet credit card receivables funded under the Program Agreement was $200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users have ownership of the securities they transact on our platforms, including those that collateralize margin loans, and, as a result, such securities are not presented on our consolidated balance sheets. In the normal course of business, we engage in activities involving settlement and financing of securities transactions. User securities transactions are recorded on a settlement date basis. The settlement date for equities and options is one business day after the trade date. These activities may expose us to off-balance sheet risk in the event that the other party to the transaction is unable to fulfill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contractual obligations. In such events, we may be required to purchase financial instruments at prevailing market prices in order to fulfill our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Held in Custody on Behalf of Users</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hold cryptocurrencies in custody on behalf of our users which includes staked assets on our platform, totaling $35.2 billion and $38.2 billion at fair value at December 31, 2024 and 2025, and these assets were not recorded on our consolidated balance sheets. The fair value was determined based on observed market pricing representing the last price executed for trades of each cryptocurrency at period ends. We also considered whether a liability representing anticipated losses from crypto assets which we hold in custody on behalf of users should be recognized and determined the likelihood of such losses was remote. As such, we did not record a liability at December 31, 2024 and 2025.</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12: COMMON STOCK AND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Preferred Stock</w:t>
      </w:r>
    </w:p>
    <w:p>
      <w:pPr>
        <w:spacing w:after="0" w:line="19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 As of December 31, 2025, no terms of the preferred stock were designated, and no shares of preferred stock were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All Class B common stock will automatically convert (as a class) into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nine months after the death or total disability of both founders (subject to a delay of up to 18 months as may be approved by a majority of our independent directors), or (v) August 2, 2036, the date that is 15 years from the completion of our IPO.</w:t>
      </w:r>
    </w:p>
    <w:p>
      <w:pPr>
        <w:spacing w:after="0" w:line="162" w:lineRule="exact"/>
        <w:rPr>
          <w:sz w:val="20"/>
          <w:szCs w:val="20"/>
          <w:color w:val="auto"/>
        </w:rPr>
      </w:pPr>
    </w:p>
    <w:p>
      <w:pPr>
        <w:jc w:val="both"/>
        <w:ind w:firstLine="238"/>
        <w:spacing w:after="0" w:line="258" w:lineRule="auto"/>
        <w:rPr>
          <w:sz w:val="20"/>
          <w:szCs w:val="20"/>
          <w:color w:val="auto"/>
        </w:rPr>
      </w:pPr>
      <w:r>
        <w:rPr>
          <w:rFonts w:ascii="Arial" w:cs="Arial" w:eastAsia="Arial" w:hAnsi="Arial"/>
          <w:sz w:val="18"/>
          <w:szCs w:val="18"/>
          <w:color w:val="auto"/>
        </w:rPr>
        <w:t>Shares of Class B common stock will also automatically convert into shares of Class A common stock upon sale or transfer except for certain permitted transfers described in our Charter. In addition,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total disability of such natural person (subject to a delay of up to 18 months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total disability.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ratable dividends, if any, as may be declared from time to time by our board of directors out of funds legally available for the payment of dividends.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common stock has no preemptive or conversion rights or other subscription rights. No redemption or sinking fund provisions are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Warrants</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we had outstanding warrants with a strike price of $26.60 that can be exercised to purchase 8.74 million shares of Class A common stock. The warrants expire on February 12, 2031 and can be exercised with cash or net shares settled at the holder’s option. For the year ended December 31, 2025, 4.13 million warrants had been exercised via net settlement, resulting in 2.82 million shares of Class A common stock issued, and the maximum purchase amount of all remaining outstanding warrants was $232 million.</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 Repurchases</w:t>
      </w:r>
    </w:p>
    <w:p>
      <w:pPr>
        <w:spacing w:after="0" w:line="192"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7"/>
          <w:szCs w:val="17"/>
          <w:color w:val="auto"/>
        </w:rPr>
        <w:t>On May 28, 2024, we announced that our board of directors approved the Repurchase Program authorizing the Company to repurchase up to $1 billion of its outstanding Class A common stock. On April 30, 2025, we announced that our board of directors has authorized an additional $500 million, bringing the Repurchase Program authorization to a total of $1.5 billion. While the Repurchase Program does not have an expiration date, we expect to execute over the next roughly two years with flexibility to accelerate if market conditions warrant. The timing and amount of repurchase transactions will be determined by us from time to time at our discretion based on our evaluation of market conditions, share price, and other factors. Repurchase transactions may be made using a variety of methods, such as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For the year ended December 31, 2025, we repurchased approximately 12 million shares of our Class A common stock for $653 million.</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Equity Incentive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2021 Plan became effective on July 27, 2021, and provides for the grant of share-based awards (such as options, including ISOs, NSOs, SARs, RSAs, RSUs, performance units, and other equity-based awards) and cash-based awards. Under the 2021 Plan, options could be granted with an exercise price per share not less than the fair market value at the date of grant. Options granted generally vest over a four-year term from the date of grant, at a rate of 25% after one year, then quarterly on a straight-line basis thereafter. Generally, options granted are exercisable for up to seven years from the date of grant. RSUs granted mostly vest quarterly on a straight-line basis and expire ten years from the date of grant.</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an aggregate of 492 million shares had been authorized for issuance under the 2013 Plan, 2020 Plan, and 2021 Plan, of which 174 million shares had been issued under the plans, 11 million shares were reserved for issuance upon the exercise or settlement of outstanding equity awards under the plans, and 307 million shares remained available for new grants under the 2021 Plan. On January 1, 2026, an additional 45 million shares became available for grant under the 2021 Plan pursuant to its annual evergreen feature.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 Average</w:t>
            </w:r>
          </w:p>
        </w:tc>
        <w:tc>
          <w:tcPr>
            <w:tcW w:w="120" w:type="dxa"/>
            <w:vAlign w:val="bottom"/>
          </w:tcPr>
          <w:p>
            <w:pPr>
              <w:spacing w:after="0"/>
              <w:rPr>
                <w:sz w:val="14"/>
                <w:szCs w:val="14"/>
                <w:color w:val="auto"/>
              </w:rPr>
            </w:pPr>
          </w:p>
        </w:tc>
        <w:tc>
          <w:tcPr>
            <w:tcW w:w="1460" w:type="dxa"/>
            <w:vAlign w:val="bottom"/>
          </w:tcPr>
          <w:p>
            <w:pPr>
              <w:jc w:val="right"/>
              <w:ind w:right="38"/>
              <w:spacing w:after="0"/>
              <w:rPr>
                <w:sz w:val="20"/>
                <w:szCs w:val="20"/>
                <w:color w:val="auto"/>
              </w:rPr>
            </w:pPr>
            <w:r>
              <w:rPr>
                <w:rFonts w:ascii="Arial" w:cs="Arial" w:eastAsia="Arial" w:hAnsi="Arial"/>
                <w:sz w:val="14"/>
                <w:szCs w:val="14"/>
                <w:b w:val="1"/>
                <w:bCs w:val="1"/>
                <w:color w:val="auto"/>
                <w:w w:val="99"/>
              </w:rPr>
              <w:t>Total Intrinsic Value</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c>
          <w:tcPr>
            <w:tcW w:w="120" w:type="dxa"/>
            <w:vAlign w:val="bottom"/>
          </w:tcPr>
          <w:p>
            <w:pPr>
              <w:spacing w:after="0"/>
              <w:rPr>
                <w:sz w:val="16"/>
                <w:szCs w:val="16"/>
                <w:color w:val="auto"/>
              </w:rPr>
            </w:pPr>
          </w:p>
        </w:tc>
        <w:tc>
          <w:tcPr>
            <w:tcW w:w="1460" w:type="dxa"/>
            <w:vAlign w:val="bottom"/>
          </w:tcPr>
          <w:p>
            <w:pPr>
              <w:jc w:val="right"/>
              <w:ind w:right="298"/>
              <w:spacing w:after="0"/>
              <w:rPr>
                <w:sz w:val="20"/>
                <w:szCs w:val="20"/>
                <w:color w:val="auto"/>
              </w:rPr>
            </w:pPr>
            <w:r>
              <w:rPr>
                <w:rFonts w:ascii="Arial" w:cs="Arial" w:eastAsia="Arial" w:hAnsi="Arial"/>
                <w:sz w:val="14"/>
                <w:szCs w:val="14"/>
                <w:b w:val="1"/>
                <w:bCs w:val="1"/>
                <w:i w:val="1"/>
                <w:iCs w:val="1"/>
                <w:color w:val="auto"/>
              </w:rPr>
              <w:t>(in millions)</w:t>
            </w:r>
          </w:p>
        </w:tc>
        <w:tc>
          <w:tcPr>
            <w:tcW w:w="0" w:type="dxa"/>
            <w:vAlign w:val="bottom"/>
          </w:tcPr>
          <w:p>
            <w:pPr>
              <w:spacing w:after="0"/>
              <w:rPr>
                <w:sz w:val="1"/>
                <w:szCs w:val="1"/>
                <w:color w:val="auto"/>
              </w:rPr>
            </w:pPr>
          </w:p>
        </w:tc>
      </w:tr>
      <w:tr>
        <w:trPr>
          <w:trHeight w:val="218"/>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7,843,554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Granted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Expired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(538,191)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during the period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Arial" w:cs="Arial" w:eastAsia="Arial" w:hAnsi="Arial"/>
                <w:sz w:val="18"/>
                <w:szCs w:val="18"/>
                <w:color w:val="auto"/>
              </w:rPr>
              <w:t>Balance at December 31, 2025</w:t>
            </w:r>
          </w:p>
        </w:tc>
        <w:tc>
          <w:tcPr>
            <w:tcW w:w="1580" w:type="dxa"/>
            <w:vAlign w:val="bottom"/>
          </w:tcPr>
          <w:p>
            <w:pPr>
              <w:jc w:val="right"/>
              <w:spacing w:after="0"/>
              <w:rPr>
                <w:sz w:val="20"/>
                <w:szCs w:val="20"/>
                <w:color w:val="auto"/>
              </w:rPr>
            </w:pPr>
            <w:r>
              <w:rPr>
                <w:rFonts w:ascii="Arial" w:cs="Arial" w:eastAsia="Arial" w:hAnsi="Arial"/>
                <w:sz w:val="18"/>
                <w:szCs w:val="18"/>
                <w:color w:val="auto"/>
              </w:rPr>
              <w:t>3,033,979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Options vested and expected to vest at December 31,</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3,033,979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Arial" w:cs="Arial" w:eastAsia="Arial" w:hAnsi="Arial"/>
                <w:sz w:val="18"/>
                <w:szCs w:val="18"/>
                <w:color w:val="auto"/>
              </w:rPr>
              <w:t>Options exercisable at December 31, 2025</w:t>
            </w:r>
          </w:p>
        </w:tc>
        <w:tc>
          <w:tcPr>
            <w:tcW w:w="15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2,945,987</w:t>
            </w:r>
          </w:p>
        </w:tc>
        <w:tc>
          <w:tcPr>
            <w:tcW w:w="2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5.88</w:t>
            </w:r>
          </w:p>
        </w:tc>
        <w:tc>
          <w:tcPr>
            <w:tcW w:w="100" w:type="dxa"/>
            <w:vAlign w:val="bottom"/>
          </w:tcPr>
          <w:p>
            <w:pPr>
              <w:spacing w:after="0"/>
              <w:rPr>
                <w:sz w:val="17"/>
                <w:szCs w:val="17"/>
                <w:color w:val="auto"/>
              </w:rPr>
            </w:pPr>
          </w:p>
        </w:tc>
        <w:tc>
          <w:tcPr>
            <w:tcW w:w="1560" w:type="dxa"/>
            <w:vAlign w:val="bottom"/>
          </w:tcPr>
          <w:p>
            <w:pPr>
              <w:jc w:val="right"/>
              <w:spacing w:after="0" w:line="198"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98"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18"/>
          <w:szCs w:val="18"/>
          <w:color w:val="auto"/>
        </w:rPr>
        <w:t>No options were granted during 2023, 2024 and 2025. The total intrinsic value of options exercised during 2023, 2024 and 2025 was $20 million, $ 74 million, and $304 million. The intrinsic value is calculated as the difference between the exercise price of the underlying stock option award and the market value of the stock at the time of exercise. The total grant date fair value of options that vested during 2023, 2024 and 2025 was $7 million, $3 million, and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grant RSUs that vest upon the satisfaction of a time-based service condition. The following table summarizes the activity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Time-Based RSUs for the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18,233,088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6,192,563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(2,230,494)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540" w:firstLine="318"/>
        <w:spacing w:after="0" w:line="452" w:lineRule="auto"/>
        <w:rPr>
          <w:sz w:val="20"/>
          <w:szCs w:val="20"/>
          <w:color w:val="auto"/>
        </w:rPr>
      </w:pPr>
      <w:r>
        <w:rPr>
          <w:rFonts w:ascii="Arial" w:cs="Arial" w:eastAsia="Arial" w:hAnsi="Arial"/>
          <w:sz w:val="18"/>
          <w:szCs w:val="18"/>
          <w:color w:val="auto"/>
        </w:rPr>
        <w:t xml:space="preserve">The fair value of Time-Based RSUs vested during 2023, 2024, and 2025 was $490 million, $439 million, and $1.1 billion, respectively. </w:t>
      </w:r>
      <w:r>
        <w:rPr>
          <w:rFonts w:ascii="Arial" w:cs="Arial" w:eastAsia="Arial" w:hAnsi="Arial"/>
          <w:sz w:val="18"/>
          <w:szCs w:val="18"/>
          <w:i w:val="1"/>
          <w:iCs w:val="1"/>
          <w:color w:val="auto"/>
        </w:rPr>
        <w:t>Market-Based RSUs</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2019 and 2021, we granted RSUs to our founders under which vesting is conditioned upon both the achievement of share price targets and the continued employment by each recipient over defined service periods. There were no Market-Based RSUs granted during 2023 and 2024. As of December 31, 2024, SBC expense related to the Market-Based RSUs was fully recognized and as of December 31, 2025, all Market-Based RSUs were fully vested.</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February 2023, we cancelled the 2021 Market-Based RSUs of 35.5 million unvested shares. We recognized $485 million SBC expense related to the cancellation during the year ended December 31, 2023, which was included in the general and administrative expense in our consolidated statements of operations. No further expense associated with these awards was recognized after the cancellation. No other payments, replacement equity awards or benefits were granted in connection with the cancellation.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Market-Based RSUs that vested during 2023, 2024 and 2025 was $5 million,$4 million and $1.1 billion.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2021 Employee Share Purchase Plan</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ESPP became effective on July 27, 2021 and enables eligible employees to purchase shares of our common stock at a discount through payroll deductions of up to 15% of their eligible compensation up to the statutory maximum. The purchase price is equal to 85% of the fair market value of a share of our common stock on the first date of an offering or the date of purchase, whichever is lower. The ESPP has an automatic rollover feature, whereby employees begin a new 12-month offering period if the fair value of the Company’s common stock on a purchase date is less than that on the original offering date.</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number of shares reserved for issuance under the ESPP will automatically increase on the first day of each calendar year beginning on January 1, 2022 and ending with (and including) January 1, 2031. Such annual increase will be equal to the lesser of (i) 1% of the outstanding shares of all classes of our common stock on the last day of the immediately preceding calendar year and (ii) such number of shares determined by the board of directors. No more than 200 million shares of common stock may be issued under our ESPP.</w:t>
      </w:r>
    </w:p>
    <w:p>
      <w:pPr>
        <w:spacing w:after="0" w:line="139"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the year ended December 31, 2025, 0.8 million shares were purchased under the ESPP at a weighted-average price of $29.85. The fair value of shares to be issued under our ESPP was estimated on the grant date using the Black-Scholes option pricing model. As of December 31, 2025, approximately 44.9 million shares remained available for issuance under the ESPP. On January 1, 2026,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9.0 million shares became authorized for issuance under the ESPP pursuant to its annual evergreen feature.</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TradePMR</w:t>
      </w:r>
    </w:p>
    <w:p>
      <w:pPr>
        <w:spacing w:after="0" w:line="19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year ended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Issued</w:t>
            </w:r>
          </w:p>
        </w:tc>
        <w:tc>
          <w:tcPr>
            <w:tcW w:w="1580" w:type="dxa"/>
            <w:vAlign w:val="bottom"/>
          </w:tcPr>
          <w:p>
            <w:pPr>
              <w:jc w:val="right"/>
              <w:spacing w:after="0"/>
              <w:rPr>
                <w:sz w:val="20"/>
                <w:szCs w:val="20"/>
                <w:color w:val="auto"/>
              </w:rPr>
            </w:pPr>
            <w:r>
              <w:rPr>
                <w:rFonts w:ascii="Arial" w:cs="Arial" w:eastAsia="Arial" w:hAnsi="Arial"/>
                <w:sz w:val="18"/>
                <w:szCs w:val="18"/>
                <w:color w:val="auto"/>
              </w:rPr>
              <w:t>2,049,711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SBC is part of employee compensation, benefits, and overhead in each of the financial statement line items in the consolidated statements of operations except for provision for credit losses. The following table presents SBC in our consolidated statements of operations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8"/>
        </w:trPr>
        <w:tc>
          <w:tcPr>
            <w:tcW w:w="63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jc w:val="both"/>
        <w:ind w:left="160" w:hanging="158"/>
        <w:spacing w:after="0" w:line="233"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For the year ended December 31, 2023 and 2024, SBC expense primarily consisted of $292 million and $300 million related to Time-Based RSUs. For the same periods, SBC expense also consisted of $567 million and negative $8 million related to Market-Based RSUs as a result of a reversal of $11 million of previously recognized expense related to unvested awards that were forfeited upon the resignation of our co-founder and former Chief Creative Officer during the first quarter of 2024. For the year ended 2025, SBC expense primarily consisted of $293 million related to Time-Based RSUs.</w:t>
      </w:r>
    </w:p>
    <w:p>
      <w:pPr>
        <w:spacing w:after="0" w:line="15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tax benefits recognized in the consolidated statements of operations for SBC were $73 million, $154 million, and $307 million for year ended December 31, 2023, 2024 and 2025.</w:t>
      </w:r>
    </w:p>
    <w:p>
      <w:pPr>
        <w:spacing w:after="0" w:line="13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capitalized SBC expense related to internally developed software of $17 million, $26 million, and $23 million for years 2023, 2024 and 2025.</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2025, there was $277 million of unrecognized SBC expense that is expected to be recognized over a weighted-average period of 1.13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13: NET INCOME (LOSS) PER SHARE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Class A</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Class A</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income (loss) attributable to non-controlling</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774,107,256</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0"/>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Net income (loss) attributable to non-controlling</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stockholders</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Reallocation of net income (loss) as a result of</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conversion of Class B to Class A common stock</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Reallocation of net income (loss) to Class B</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40"/>
              <w:spacing w:after="0"/>
              <w:rPr>
                <w:sz w:val="20"/>
                <w:szCs w:val="20"/>
                <w:color w:val="auto"/>
              </w:rPr>
            </w:pPr>
            <w:r>
              <w:rPr>
                <w:rFonts w:ascii="Arial" w:cs="Arial" w:eastAsia="Arial" w:hAnsi="Arial"/>
                <w:sz w:val="14"/>
                <w:szCs w:val="14"/>
                <w:color w:val="auto"/>
              </w:rPr>
              <w:t>stockholders for diluted EPS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1,411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1,883</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774,107,256</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 warrants, and unvested</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shares</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25,058,348</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30,276,888</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580"/>
              <w:spacing w:after="0"/>
              <w:rPr>
                <w:sz w:val="20"/>
                <w:szCs w:val="20"/>
                <w:color w:val="auto"/>
              </w:rPr>
            </w:pPr>
            <w:r>
              <w:rPr>
                <w:rFonts w:ascii="Arial" w:cs="Arial" w:eastAsia="Arial" w:hAnsi="Arial"/>
                <w:sz w:val="14"/>
                <w:szCs w:val="14"/>
                <w:color w:val="auto"/>
              </w:rPr>
              <w:t>Conversion of Class B to Class A common stock</w:t>
            </w:r>
          </w:p>
        </w:tc>
        <w:tc>
          <w:tcPr>
            <w:tcW w:w="220" w:type="dxa"/>
            <w:vAlign w:val="bottom"/>
          </w:tcPr>
          <w:p>
            <w:pPr>
              <w:spacing w:after="0"/>
              <w:rPr>
                <w:sz w:val="17"/>
                <w:szCs w:val="17"/>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26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906,171,504</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918,781,846</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420"/>
              <w:spacing w:after="0"/>
              <w:rPr>
                <w:sz w:val="20"/>
                <w:szCs w:val="20"/>
                <w:color w:val="auto"/>
              </w:rPr>
            </w:pPr>
            <w:r>
              <w:rPr>
                <w:rFonts w:ascii="Arial" w:cs="Arial" w:eastAsia="Arial" w:hAnsi="Arial"/>
                <w:sz w:val="14"/>
                <w:szCs w:val="14"/>
                <w:color w:val="auto"/>
              </w:rPr>
              <w:t>Diluted EPS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(0.61)</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5"/>
                <w:szCs w:val="15"/>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9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184785</wp:posOffset>
            </wp:positionV>
            <wp:extent cx="716026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934" w:gutter="0" w:footer="0" w:header="0"/>
          <w:type w:val="continuous"/>
        </w:sectPr>
      </w:pPr>
    </w:p>
    <w:bookmarkStart w:id="180" w:name="page181"/>
    <w:bookmarkEnd w:id="180"/>
    <w:p>
      <w:pPr>
        <w:spacing w:after="0" w:line="126"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that were not satisfied by the end of the period: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1580" w:type="dxa"/>
            <w:vAlign w:val="bottom"/>
            <w:tcBorders>
              <w:bottom w:val="single" w:sz="8" w:color="auto"/>
            </w:tcBorders>
          </w:tcPr>
          <w:p>
            <w:pPr>
              <w:spacing w:after="0"/>
              <w:rPr>
                <w:sz w:val="16"/>
                <w:szCs w:val="16"/>
                <w:color w:val="auto"/>
              </w:rPr>
            </w:pPr>
          </w:p>
        </w:tc>
      </w:tr>
      <w:tr>
        <w:trPr>
          <w:trHeight w:val="192"/>
        </w:trPr>
        <w:tc>
          <w:tcPr>
            <w:tcW w:w="6340" w:type="dxa"/>
            <w:vAlign w:val="bottom"/>
          </w:tcPr>
          <w:p>
            <w:pPr>
              <w:spacing w:after="0"/>
              <w:rPr>
                <w:sz w:val="16"/>
                <w:szCs w:val="16"/>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5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34,625,253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828,224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Market-Based RSUs</w:t>
            </w:r>
          </w:p>
        </w:tc>
        <w:tc>
          <w:tcPr>
            <w:tcW w:w="1560" w:type="dxa"/>
            <w:vAlign w:val="bottom"/>
          </w:tcPr>
          <w:p>
            <w:pPr>
              <w:jc w:val="right"/>
              <w:spacing w:after="0"/>
              <w:rPr>
                <w:sz w:val="20"/>
                <w:szCs w:val="20"/>
                <w:color w:val="auto"/>
              </w:rPr>
            </w:pPr>
            <w:r>
              <w:rPr>
                <w:rFonts w:ascii="Arial" w:cs="Arial" w:eastAsia="Arial" w:hAnsi="Arial"/>
                <w:sz w:val="18"/>
                <w:szCs w:val="18"/>
                <w:color w:val="auto"/>
              </w:rPr>
              <w:t>22,476,722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11,065,463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12,141,566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14,278,034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12,868,262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305,692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83,827,267</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24,761,949</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24,418</w:t>
            </w: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14: LEASES</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our corporate headquarters in Menlo Park, CA and our office in New York City, NY. Our leases have remaining terms of one year to ten years, and many leases include one or more options to renew. We do not assume renewals in our determination of the lease term unless the renewals are deemed to be reasonably assured at lease commencement. We do not have any finance leases.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assets and liabilities recognized on our consolidated balance sheets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40" w:type="dxa"/>
            <w:vAlign w:val="bottom"/>
            <w:gridSpan w:val="2"/>
          </w:tcPr>
          <w:p>
            <w:pPr>
              <w:ind w:left="12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6"/>
                <w:szCs w:val="16"/>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2025</w:t>
            </w:r>
          </w:p>
        </w:tc>
      </w:tr>
      <w:tr>
        <w:trPr>
          <w:trHeight w:val="205"/>
        </w:trPr>
        <w:tc>
          <w:tcPr>
            <w:tcW w:w="45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Lease right-of-use assets:</w:t>
            </w:r>
          </w:p>
        </w:tc>
        <w:tc>
          <w:tcPr>
            <w:tcW w:w="3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5"/>
        </w:trPr>
        <w:tc>
          <w:tcPr>
            <w:tcW w:w="45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51"/>
        </w:trPr>
        <w:tc>
          <w:tcPr>
            <w:tcW w:w="454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operating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operating lease liabilities</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4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Fixed operating lease costs primarily consist of monthly base rent amounts due. Variable operating lease costs primarily relate to common area maintenance, property taxes, insurance, and other operating expenses. The components of lease expense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3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years</w:t>
            </w:r>
          </w:p>
        </w:tc>
        <w:tc>
          <w:tcPr>
            <w:tcW w:w="80" w:type="dxa"/>
            <w:vAlign w:val="bottom"/>
          </w:tcPr>
          <w:p>
            <w:pPr>
              <w:spacing w:after="0"/>
              <w:rPr>
                <w:sz w:val="19"/>
                <w:szCs w:val="19"/>
                <w:color w:val="auto"/>
              </w:rPr>
            </w:pPr>
          </w:p>
        </w:tc>
      </w:tr>
      <w:tr>
        <w:trPr>
          <w:trHeight w:val="232"/>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Pr>
          <w:p>
            <w:pPr>
              <w:spacing w:after="0"/>
              <w:rPr>
                <w:sz w:val="20"/>
                <w:szCs w:val="20"/>
                <w:color w:val="auto"/>
              </w:rPr>
            </w:pPr>
          </w:p>
        </w:tc>
      </w:tr>
      <w:tr>
        <w:trPr>
          <w:trHeight w:val="473"/>
        </w:trPr>
        <w:tc>
          <w:tcPr>
            <w:tcW w:w="6380" w:type="dxa"/>
            <w:vAlign w:val="bottom"/>
          </w:tcPr>
          <w:p>
            <w:pPr>
              <w:ind w:left="320"/>
              <w:spacing w:after="0"/>
              <w:rPr>
                <w:sz w:val="20"/>
                <w:szCs w:val="20"/>
                <w:color w:val="auto"/>
              </w:rPr>
            </w:pPr>
            <w:r>
              <w:rPr>
                <w:rFonts w:ascii="Arial" w:cs="Arial" w:eastAsia="Arial" w:hAnsi="Arial"/>
                <w:sz w:val="18"/>
                <w:szCs w:val="18"/>
                <w:color w:val="auto"/>
              </w:rPr>
              <w:t>Cash flows related to leases were as follows: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3"/>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cash flows: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638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899"/>
              <w:spacing w:after="0"/>
              <w:rPr>
                <w:sz w:val="20"/>
                <w:szCs w:val="20"/>
                <w:color w:val="auto"/>
              </w:rPr>
            </w:pPr>
            <w:r>
              <w:rPr>
                <w:rFonts w:ascii="Arial" w:cs="Arial" w:eastAsia="Arial" w:hAnsi="Arial"/>
                <w:sz w:val="18"/>
                <w:szCs w:val="18"/>
                <w:color w:val="auto"/>
                <w:w w:val="99"/>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2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305"/>
        </w:trPr>
        <w:tc>
          <w:tcPr>
            <w:tcW w:w="6380" w:type="dxa"/>
            <w:vAlign w:val="bottom"/>
          </w:tcPr>
          <w:p>
            <w:pPr>
              <w:ind w:left="260"/>
              <w:spacing w:after="0"/>
              <w:rPr>
                <w:sz w:val="20"/>
                <w:szCs w:val="20"/>
                <w:color w:val="auto"/>
              </w:rPr>
            </w:pPr>
            <w:r>
              <w:rPr>
                <w:rFonts w:ascii="Arial" w:cs="Arial" w:eastAsia="Arial" w:hAnsi="Arial"/>
                <w:sz w:val="18"/>
                <w:szCs w:val="18"/>
                <w:color w:val="auto"/>
              </w:rPr>
              <w:t>Lease liabilities arising from obtaining right-of-use assets</w:t>
            </w:r>
            <w:r>
              <w:rPr>
                <w:rFonts w:ascii="Arial" w:cs="Arial" w:eastAsia="Arial" w:hAnsi="Arial"/>
                <w:sz w:val="22"/>
                <w:szCs w:val="22"/>
                <w:color w:val="auto"/>
                <w:vertAlign w:val="superscript"/>
              </w:rPr>
              <w:t>(1)</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899"/>
              <w:spacing w:after="0"/>
              <w:rPr>
                <w:sz w:val="20"/>
                <w:szCs w:val="20"/>
                <w:color w:val="auto"/>
              </w:rPr>
            </w:pPr>
            <w:r>
              <w:rPr>
                <w:rFonts w:ascii="Arial" w:cs="Arial" w:eastAsia="Arial" w:hAnsi="Arial"/>
                <w:sz w:val="18"/>
                <w:szCs w:val="18"/>
                <w:color w:val="auto"/>
                <w:w w:val="99"/>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jc w:val="both"/>
        <w:ind w:left="160" w:hanging="154"/>
        <w:spacing w:after="0" w:line="239" w:lineRule="auto"/>
        <w:tabs>
          <w:tab w:leader="none" w:pos="166"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2023, lease liabilities arising from obtaining right-of-use assets primarily related to a lease modification, partially offset by remeasurements resulting from reassessments of existing lease terms. For the year ended December 31, 2024, lease liabilities arising from obtaining right-of-use assets primarily related to initial recognition of new leases and lease extensions. For the year ended December 31, 2025, lease liabilities arising from obtaining right-of-use assets primarily related to initial recognition of new leases and amendments to existing leases.</w:t>
      </w:r>
    </w:p>
    <w:p>
      <w:pPr>
        <w:spacing w:after="0" w:line="218"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8"/>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auto"/>
        </w:rPr>
        <w:t>NOTE 15: COMMITMENTS &amp; CONTINGENCIES</w:t>
      </w:r>
    </w:p>
    <w:p>
      <w:pPr>
        <w:spacing w:after="0" w:line="1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$128 million and $71 million as of December 31, 2024 and 2025. In our opinion,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accrual had been made as of each such date to provide for the probable losses of which we are aware and for which we can reasonably estimate an amount.</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Legal and Regulatory Matters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advisory,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that may result in enforcement action. We are also subject to periodic regulatory audits and inspections that have in the past and could in the future lead to enforcement investigations or actions.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With respect to matters discussed below, we believe, based on current knowledge, that any losses (in excess of amounts accrued, if applicable) as of December 31, 2025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reasonable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 In June 2025, Robinhood agreed to a settlement in principle with plaintiffs, which the court has preliminarily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New York Attorney General is conducting an investigation into brokerage execution quality and collaring the prices of certain trade orders. The MSD is examining RHF’s customer complaint supervision, the disruptions experienced by BOATS during the Robinhood 24 Hour Market overnight trading session on August 4-5, 2024, and the offerings of presidential election and sports event contracts. We are cooperating with these investigations. In December 2025, the Florida Attorney General advised us that it had closed the previously disclosed investigation concerning, among other things, representations about cryptocurrency trading costs and/or fees.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23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FINRA Enforcement and Examination staff are conducting investigations related to, among other things, disruptions experienced by BOATS during the Robinhood 24 Hour Market overnight trading session on August 4-5, 2024. In December 2025, FINRA advised us in writing that it had closed the previously disclosed investigation into RHS’s and RHF’s compliance with best execution obligations.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FDIC is investigating issues related to compliance with the EFTA.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3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and in arbitrations. In April 2021, the Judicial Panel on Multidistrict Litigation entered an order centralizing the federal cases identified in a motion to transfer and coordinate or consolidate the actions filed in connection with the Early 2021 Trading Restrictions in the U.S.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January 2022, the court dismissed the state law claims with prejudice. In August 2023, the United States Court of Appeals for the Eleventh Circuit affirmed the district court’s order.</w:t>
      </w:r>
    </w:p>
    <w:p>
      <w:pPr>
        <w:spacing w:after="0" w:line="18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May 2022, the court dismissed the federal antitrust claims with prejudice. In June 2024, the United States Court of Appeals for the Eleventh Circuit affirmed the district court’s order.</w:t>
      </w:r>
    </w:p>
    <w:p>
      <w:pPr>
        <w:spacing w:after="0" w:line="18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2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settlements with a number of remaining individual plaintiffs. Robinhood’s motion to compel arbitration for the remaining Robinhood customer plaintiffs has been granted.</w:t>
      </w:r>
    </w:p>
    <w:p>
      <w:pPr>
        <w:spacing w:after="0" w:line="18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RHM, RHF, RHS, and our CEO, Vladimir Tenev, among others, have received requests for information, and in some cases, subpoenas and requests for testimony, related to investigations and examinations of the Early 2021 Trading Restrictions from USAO, DOJ, Antitrust 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 into these matters as part of the March 2025 FINRA Settlement (as defined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Ninth Circuit. On August 29, 2025, the Ninth Circuit issued its opinion affirming in part and reversing in part the district court. Robinhood’s petition for rehearing en banc was denied. In December 2025, Robinhood requested an extension of time to file its petition for a writ of certiorari in the United States Supreme Court.</w:t>
      </w:r>
    </w:p>
    <w:p>
      <w:pPr>
        <w:spacing w:after="0" w:line="14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The board of directors has rejected the demand in part and the Demand Review Committee continues to review the remaining part.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July 2024, RHM, RHY, and RHC were sued in a putative class action captioned </w:t>
      </w:r>
      <w:r>
        <w:rPr>
          <w:rFonts w:ascii="Arial" w:cs="Arial" w:eastAsia="Arial" w:hAnsi="Arial"/>
          <w:sz w:val="18"/>
          <w:szCs w:val="18"/>
          <w:i w:val="1"/>
          <w:iCs w:val="1"/>
          <w:color w:val="auto"/>
        </w:rPr>
        <w:t>John Milito v. Robinhood Markets, Inc. et. al.</w:t>
      </w:r>
      <w:r>
        <w:rPr>
          <w:rFonts w:ascii="Arial" w:cs="Arial" w:eastAsia="Arial" w:hAnsi="Arial"/>
          <w:sz w:val="18"/>
          <w:szCs w:val="18"/>
          <w:color w:val="auto"/>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The stay has been lifted and the case is proceeding in discovery.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 xml:space="preserve">In October 2024, RHM, RHF, and RHS were sued in a putative class action captioned </w:t>
      </w:r>
      <w:r>
        <w:rPr>
          <w:rFonts w:ascii="Arial" w:cs="Arial" w:eastAsia="Arial" w:hAnsi="Arial"/>
          <w:sz w:val="18"/>
          <w:szCs w:val="18"/>
          <w:i w:val="1"/>
          <w:iCs w:val="1"/>
          <w:color w:val="auto"/>
        </w:rPr>
        <w:t>Dey v. Robinhood Markets, Inc. et. al.,</w:t>
      </w:r>
      <w:r>
        <w:rPr>
          <w:rFonts w:ascii="Arial" w:cs="Arial" w:eastAsia="Arial" w:hAnsi="Arial"/>
          <w:sz w:val="18"/>
          <w:szCs w:val="18"/>
          <w:color w:val="auto"/>
        </w:rPr>
        <w:t xml:space="preserve">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Arial" w:cs="Arial" w:eastAsia="Arial" w:hAnsi="Arial"/>
          <w:sz w:val="18"/>
          <w:szCs w:val="18"/>
          <w:i w:val="1"/>
          <w:iCs w:val="1"/>
          <w:color w:val="auto"/>
        </w:rPr>
        <w:t>Deeney v. Robinhood Markets, Inc. et al.,</w:t>
      </w:r>
      <w:r>
        <w:rPr>
          <w:rFonts w:ascii="Arial" w:cs="Arial" w:eastAsia="Arial" w:hAnsi="Arial"/>
          <w:sz w:val="18"/>
          <w:szCs w:val="18"/>
          <w:color w:val="auto"/>
        </w:rPr>
        <w:t xml:space="preserve"> 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Arial" w:cs="Arial" w:eastAsia="Arial" w:hAnsi="Arial"/>
          <w:sz w:val="18"/>
          <w:szCs w:val="18"/>
          <w:i w:val="1"/>
          <w:iCs w:val="1"/>
          <w:color w:val="auto"/>
        </w:rPr>
        <w:t>Dey</w:t>
      </w:r>
      <w:r>
        <w:rPr>
          <w:rFonts w:ascii="Arial" w:cs="Arial" w:eastAsia="Arial" w:hAnsi="Arial"/>
          <w:sz w:val="18"/>
          <w:szCs w:val="18"/>
          <w:color w:val="auto"/>
        </w:rPr>
        <w:t xml:space="preserve"> and </w:t>
      </w:r>
      <w:r>
        <w:rPr>
          <w:rFonts w:ascii="Arial" w:cs="Arial" w:eastAsia="Arial" w:hAnsi="Arial"/>
          <w:sz w:val="18"/>
          <w:szCs w:val="18"/>
          <w:i w:val="1"/>
          <w:iCs w:val="1"/>
          <w:color w:val="auto"/>
        </w:rPr>
        <w:t>Deeney</w:t>
      </w:r>
      <w:r>
        <w:rPr>
          <w:rFonts w:ascii="Arial" w:cs="Arial" w:eastAsia="Arial" w:hAnsi="Arial"/>
          <w:sz w:val="18"/>
          <w:szCs w:val="18"/>
          <w:color w:val="auto"/>
        </w:rPr>
        <w:t xml:space="preserve"> 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Robinhood moved to dismiss the complaint, which was granted in part and denied in part. The case is proceeding in discovery.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Litigation</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2025, RHM and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has removed all six cases to federal court. Each plaintiff is seeking to remand the matters. The court in Georgia denied plaintiff’s motion to remand.</w:t>
      </w:r>
    </w:p>
    <w:p>
      <w:pPr>
        <w:spacing w:after="0" w:line="14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July 2025, RHM and RHD, among others, were sued by the Blue Lake Rancheria, Chicken Ranch Rancheria of Me-Wuk Indians, and Picayune Rancheria of the Chukchansi Indians (the “Blue Lake plaintiffs”) in the U.S. District Court for the Northern District of California. The complaint alleges that certain event contracts offered by RHD are unlawful sports gambling activity. The Blue Lake plaintiffs allege several causes of action including violation of the Indian Gaming Regulatory Act, violation of tribal gaming Ordinances, civil violation of the Racketeer Influenced and Corrupt Organizations Act (RICO), infringement of tribal sovereignty, and false advertising under the Lanham Act. The Blue Lake plaintiffs have asserted only the RICO cause of action against RHM and RHD. The complaint seeks injunctive relief, declaratory relief, damages, treble damages, costs, and attorney’s fees. In September 2025, the Blue Lake plaintiffs moved for a preliminary injunction. The court denied the motion and plaintiffs have appealed the denial to the United States Court of Appeals for the Ninth Circuit. In the district court, Robinhood has moved to dismiss the action.</w:t>
      </w:r>
    </w:p>
    <w:p>
      <w:pPr>
        <w:spacing w:after="0" w:line="14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August 2025, a similar suit was filed against RHM and RHD, among others, by the Ho-Chunk Nation in the U.S. District Court for the Western District of Wisconsin alleging substantially the same facts and causes of action and seeking the same relief. The Ho-Chunk Nation is only asserting a claim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civil violation of the RICO Act against RHM and RHD. In December 2025, the plaintiff moved for a preliminary injunction, which Robinhood has opposed. Robinhood has also moved to dismiss the action.</w:t>
      </w:r>
    </w:p>
    <w:p>
      <w:pPr>
        <w:spacing w:after="0" w:line="13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 New Jersey has agreed to a preliminary injunction pending the outcome of its appeal in the Third Circuit of the grant of a preliminary injunction in a similar case brought by KalshiEx LLC. In Nevada, the court denied RHD’s motion for a preliminary injunction. Robinhood has agreed to cease offering new sports-related event contracts in Nevada as of December 1, 2025, and to take action to explore unwinding longer-duration open sports-related event contracts in Nevada, in exchange for the State’s agreement to refrain from enforcing its state gaming laws during the pendency of RHD’s appeal. RHD has appealed the decision to the United States Court of Appeals for the Ninth Circuit and moved for an injunction pending appeal, which remains pending. In Massachusetts, the court initially dismissed RHD’s suit as unripe. RHD’s motion for reconsideration was granted. RHD has filed an amended complaint and renewed its motion for a preliminary injunction. Massachusetts has agreed to refrain from enforcing its state gaming laws pending: (1) a decision on RHD’s pending preliminary injunction motion; (2) a final decision on the injunction from a Massachusetts appellate court in KalshiEx’s state court enforcement litigation; and (3) any stay (if ordered) is lifted in KalshiEx’s state court enforcement litigation.</w:t>
      </w:r>
    </w:p>
    <w:p>
      <w:pPr>
        <w:spacing w:after="0" w:line="200" w:lineRule="exact"/>
        <w:rPr>
          <w:sz w:val="20"/>
          <w:szCs w:val="20"/>
          <w:color w:val="auto"/>
        </w:rPr>
      </w:pPr>
    </w:p>
    <w:p>
      <w:pPr>
        <w:spacing w:after="0" w:line="201" w:lineRule="exact"/>
        <w:rPr>
          <w:sz w:val="20"/>
          <w:szCs w:val="20"/>
          <w:color w:val="auto"/>
        </w:rPr>
      </w:pPr>
    </w:p>
    <w:p>
      <w:pPr>
        <w:ind w:right="580"/>
        <w:spacing w:after="0" w:line="287" w:lineRule="auto"/>
        <w:rPr>
          <w:sz w:val="20"/>
          <w:szCs w:val="20"/>
          <w:color w:val="auto"/>
        </w:rPr>
      </w:pPr>
      <w:r>
        <w:rPr>
          <w:rFonts w:ascii="Arial" w:cs="Arial" w:eastAsia="Arial" w:hAnsi="Arial"/>
          <w:sz w:val="25"/>
          <w:szCs w:val="25"/>
          <w:color w:val="auto"/>
        </w:rPr>
        <w:t>ITEM 9. CHANGES IN AND DISAGREEMENTS WITH ACCOUNTANTS ON ACCOUNTING AND FINANCIAL DISCLOSURES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2025. Based on such evaluation, our Chief Executive Officer and Chief Financial Officer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Our management, under the oversight of our board of directors, evaluated the effectiveness of our internal control over financial reporting as of December 31, 2025 based on the framework in Internal Control-Integrated Framework (2013), issued by the Committee of Sponsoring Organizations of the Treadway Commission.</w:t>
      </w:r>
    </w:p>
    <w:p>
      <w:pPr>
        <w:spacing w:after="0" w:line="18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accordance with guidance issued by the staffs of the SEC’s Office of the Chief Accountant and the Division of Corporation Finance, companies are permitted to exclude acquisitions from their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internal control over financial reporting for the first fiscal year in which the acquisition occurred. Our management’s evaluation of internal control over financial reporting excluded the internal control activities of TradePMR, which we acquired on February 26, 2025, and Bitstamp, which we acquired on June 2, 2025, as discussed in Note 3 - Business Combinations, to our consolidated financial statements in this Annual Report. We have included the financial results of these acquisitions in the consolidated financial statements from the date of acquisition. Total net revenues and total assets subject to TradePMR’s internal control over financial reporting represented less than one percent of both our consolidated total net revenues and total assets for the fiscal year ended and as of December 31, 2025. Total net revenues subject to Bitstamp’s internal control over financial reporting represented one percent of our consolidated total net revenues for the fiscal year ended December 31, 2025. Total assets subject to Bitstamp’s internal control over financial reporting represented four percent of our consolidated total assets as of December 31, 2025. We are in the process of evaluating and integrating TradePMR and Bitstamp into our system of internal control over financial reporting.</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Based on this evaluation, our management concluded that our internal control over financial reporting was effective as of December 31, 2025.</w:t>
      </w:r>
    </w:p>
    <w:p>
      <w:pPr>
        <w:spacing w:after="0" w:line="1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independent registered public accounting firm, Ernst &amp; Young LLP, who audited the Consolidated Financial Statements included in this Annual Report on Form 10-K, issued an audit report on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internal control over financial reporting. That Report of Independent Registered Public Accounting Firm is included in Item 8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quarter ended December 31, 2025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might occur without being detected.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ITEM 9B. OTHER INFORMATION</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November 13, 2025, Baiju Prafulkumar Bhatt Living Trust, an entity controlled by Baiju Bhatt, a member of our Board of Directors, adopted a “Rule 10b5-1 trading arrangement” (as defined in Item 408(a) of Regulation S-K) intended to satisfy the affirmative defense of Rule 10b5-1(c) under the Exchange Act pursuant to which he may sell up to 3,000,000 shares of our Class A common stock on or prior to February 10,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November 19, 2025, Steven Quirk, our Chief Brokerage Officer, adopted a “Rule 10b5-1 trading arrangement” (as defined in Item 408(a) of Regulation S-K) intended to satisfy the affirmative defense of Rule 10b5-1(c) under the Exchange Act pursuant to which he may sell (i) up to 76,874 shares of our Class A common stock (less any shares previously sold under predecessor Rule 10b5-1 trading arrangements), (ii) up to 43,403 unvested RSUs (less any shares previously sold under predecessor Rule 10b5-1 trading arrangements and shares withheld for applicable taxes), (iii) up to 18,376 shares of our Class A common stock, and (iv) up to 261,816 unvested RSUs (less any shares withheld for applicable taxes), in each case on or prior to February 19, 2027. RSUs convert into Class A common stock on a one-for-one basis upon vesting and settlement.</w:t>
      </w:r>
    </w:p>
    <w:p>
      <w:pPr>
        <w:spacing w:after="0" w:line="1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2, 2025, The Jonathan J. Rubinstein Trust, an entity controlled by Jonathan Rubinstein, a member of our Board of Directors, adopted a “Rule 10b5-1 trading arrangement” (as defined in Item 408(a) of Regulation S-K) intended to satisfy the affirmative defense of Rule 10b5-1(c) under the Exchange Act pursuant to which he may sell up to 26,475 shares of our Class A common stock on or prior to November 19, 2027.</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2, 2025, Paula Loop, a member of our Board of Directors, adopted a “Rule 10b5-1 trading arrangement” (as defined in Item 408(a) of Regulation S-K) intended to satisfy the affirmative defense of Rule 10b5-1(c) under the Exchange Act pursuant to which she may sell up to 15,036 RSUs on or prior to February 19, 2027. RSUs convert into Class A common stock on a one-for-one basis upon vesting and settlement.</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December 9, 2025, Dara Treseder, a member of our Board of Directors, adopted a “Rule 10b5-1 trading arrangement” (as defined in Item 408(a) of Regulation S-K) intended to satisfy the affirmative defense of Rule 10b5-1(c) under the Exchange Act pursuant to which she may sell up to 15,000 shares of our Class A common stock on or prior to February 20, 2027.</w:t>
      </w:r>
    </w:p>
    <w:p>
      <w:pPr>
        <w:spacing w:after="0" w:line="15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or sold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20"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10. DIRECTORS, EXECUTIVE OFFICERS, AND CORPORATE GOVERNANCE</w:t>
      </w:r>
    </w:p>
    <w:p>
      <w:pPr>
        <w:spacing w:after="0" w:line="19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ITEM 11. EXECUTIVE COMPENSATION</w:t>
      </w:r>
    </w:p>
    <w:p>
      <w:pPr>
        <w:spacing w:after="0" w:line="19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25"/>
          <w:szCs w:val="25"/>
          <w:color w:val="auto"/>
        </w:rPr>
        <w:t>ITEM 12. SECURITY OWNERSHIP OF CERTAIN BENEFICIAL OWNERS AND MANAGEMENT AND RELATED STOCKHOLDER MATTERS</w:t>
      </w:r>
    </w:p>
    <w:p>
      <w:pPr>
        <w:spacing w:after="0" w:line="11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31" w:lineRule="exact"/>
        <w:rPr>
          <w:sz w:val="20"/>
          <w:szCs w:val="20"/>
          <w:color w:val="auto"/>
        </w:rPr>
      </w:pPr>
    </w:p>
    <w:p>
      <w:pPr>
        <w:ind w:right="1280"/>
        <w:spacing w:after="0" w:line="276" w:lineRule="auto"/>
        <w:rPr>
          <w:sz w:val="20"/>
          <w:szCs w:val="20"/>
          <w:color w:val="auto"/>
        </w:rPr>
      </w:pPr>
      <w:r>
        <w:rPr>
          <w:rFonts w:ascii="Arial" w:cs="Arial" w:eastAsia="Arial" w:hAnsi="Arial"/>
          <w:sz w:val="25"/>
          <w:szCs w:val="25"/>
          <w:color w:val="auto"/>
        </w:rPr>
        <w:t>ITEM 13. CERTAIN RELATIONSHIPS AND RELATED TRANSACTIONS, AND DIRECTOR INDEPENDENCE</w:t>
      </w:r>
    </w:p>
    <w:p>
      <w:pPr>
        <w:spacing w:after="0" w:line="11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ITEM 14. PRINCIPAL ACCOUNTING FEES AND SERVICES</w:t>
      </w:r>
    </w:p>
    <w:p>
      <w:pPr>
        <w:spacing w:after="0" w:line="19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35"/>
          <w:szCs w:val="35"/>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15. EXHIBITS AND FINANCIAL STATEMENT SCHEDULES</w:t>
      </w:r>
    </w:p>
    <w:p>
      <w:pPr>
        <w:spacing w:after="0" w:line="195" w:lineRule="exact"/>
        <w:rPr>
          <w:sz w:val="20"/>
          <w:szCs w:val="20"/>
          <w:color w:val="auto"/>
        </w:rPr>
      </w:pPr>
    </w:p>
    <w:p>
      <w:pPr>
        <w:ind w:left="420" w:hanging="414"/>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322" w:lineRule="exact"/>
        <w:rPr>
          <w:sz w:val="20"/>
          <w:szCs w:val="20"/>
          <w:color w:val="auto"/>
        </w:rPr>
      </w:pPr>
    </w:p>
    <w:p>
      <w:pPr>
        <w:ind w:firstLine="6"/>
        <w:spacing w:after="0" w:line="274"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Robinhood Markets Inc. and subsidiaries are filed as part of this Annual Report under Part II, Item 8:</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Balance Sheets as of December 31, 2025 and 2024</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2023, 2024 and 2025</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2023, 2024 and 2025</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2023, 2024 and 2025</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2023, 2024 and 2025</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75" w:lineRule="exact"/>
        <w:rPr>
          <w:rFonts w:ascii="Arial" w:cs="Arial" w:eastAsia="Arial" w:hAnsi="Arial"/>
          <w:sz w:val="18"/>
          <w:szCs w:val="18"/>
          <w:color w:val="auto"/>
        </w:rPr>
      </w:pPr>
    </w:p>
    <w:p>
      <w:pPr>
        <w:ind w:left="340" w:hanging="33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84"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All schedules are omitted because of the absence of conditions under which they are required or because information called for is shown in the consolidated financial statements and notes thereto in Part II, Item 8 of this Annual Report.</w:t>
      </w:r>
    </w:p>
    <w:p>
      <w:pPr>
        <w:spacing w:after="0" w:line="321" w:lineRule="exact"/>
        <w:rPr>
          <w:sz w:val="20"/>
          <w:szCs w:val="20"/>
          <w:color w:val="auto"/>
        </w:rPr>
      </w:pPr>
    </w:p>
    <w:p>
      <w:pPr>
        <w:ind w:left="340" w:hanging="33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set forth in the Exhibit Index that precedes the signature page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16. FORM 10-K SUMMARY</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25"/>
          <w:szCs w:val="25"/>
          <w:color w:val="auto"/>
        </w:rPr>
        <w:t>EXHIBIT INDEX</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29"/>
          </w:tcPr>
          <w:p>
            <w:pPr>
              <w:ind w:left="220"/>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Form*</w:t>
            </w:r>
          </w:p>
        </w:tc>
        <w:tc>
          <w:tcPr>
            <w:tcW w:w="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Filing Date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Filed Herewith</w:t>
            </w:r>
          </w:p>
        </w:tc>
      </w:tr>
      <w:tr>
        <w:trPr>
          <w:trHeight w:val="172"/>
        </w:trPr>
        <w:tc>
          <w:tcPr>
            <w:tcW w:w="128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940" w:type="dxa"/>
            <w:vAlign w:val="bottom"/>
            <w:tcBorders>
              <w:top w:val="single" w:sz="8" w:color="auto"/>
            </w:tcBorders>
            <w:gridSpan w:val="33"/>
            <w:shd w:val="clear" w:color="auto" w:fill="CCEEFF"/>
          </w:tcPr>
          <w:p>
            <w:pPr>
              <w:spacing w:after="0" w:line="166" w:lineRule="exact"/>
              <w:rPr>
                <w:rFonts w:ascii="Arial" w:cs="Arial" w:eastAsia="Arial" w:hAnsi="Arial"/>
                <w:sz w:val="18"/>
                <w:szCs w:val="18"/>
                <w:color w:val="0000FF"/>
              </w:rPr>
            </w:pPr>
            <w:hyperlink r:id="rId248">
              <w:r>
                <w:rPr>
                  <w:rFonts w:ascii="Arial" w:cs="Arial" w:eastAsia="Arial" w:hAnsi="Arial"/>
                  <w:sz w:val="18"/>
                  <w:szCs w:val="18"/>
                  <w:color w:val="0000FF"/>
                </w:rPr>
                <w:t>Amended and Restated Certificate of Incorporation of</w:t>
              </w:r>
            </w:hyperlink>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7"/>
              </w:rPr>
              <w:t>2021-08-02</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right="133"/>
              <w:spacing w:after="0" w:line="166"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92"/>
        </w:trPr>
        <w:tc>
          <w:tcPr>
            <w:tcW w:w="1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0000FF"/>
            </w:tcBorders>
            <w:gridSpan w:val="13"/>
            <w:shd w:val="clear" w:color="auto" w:fill="CCEEFF"/>
          </w:tcPr>
          <w:p>
            <w:pPr>
              <w:spacing w:after="0" w:line="159" w:lineRule="exact"/>
              <w:rPr>
                <w:rFonts w:ascii="Arial" w:cs="Arial" w:eastAsia="Arial" w:hAnsi="Arial"/>
                <w:sz w:val="18"/>
                <w:szCs w:val="18"/>
                <w:color w:val="0000FF"/>
              </w:rPr>
            </w:pPr>
            <w:hyperlink r:id="rId248">
              <w:r>
                <w:rPr>
                  <w:rFonts w:ascii="Arial" w:cs="Arial" w:eastAsia="Arial" w:hAnsi="Arial"/>
                  <w:sz w:val="18"/>
                  <w:szCs w:val="18"/>
                  <w:color w:val="0000FF"/>
                </w:rPr>
                <w:t>Robinhood Markets, Inc., dated August 2, 2021 (our</w:t>
              </w:r>
            </w:hyperlink>
          </w:p>
        </w:tc>
        <w:tc>
          <w:tcPr>
            <w:tcW w:w="860" w:type="dxa"/>
            <w:vAlign w:val="bottom"/>
            <w:tcBorders>
              <w:top w:val="single" w:sz="8" w:color="CCEEFF"/>
            </w:tcBorders>
            <w:gridSpan w:val="21"/>
            <w:shd w:val="clear" w:color="auto" w:fill="CCEEFF"/>
          </w:tcPr>
          <w:p>
            <w:pPr>
              <w:jc w:val="right"/>
              <w:ind w:right="180"/>
              <w:spacing w:after="0" w:line="159" w:lineRule="exact"/>
              <w:rPr>
                <w:rFonts w:ascii="Arial" w:cs="Arial" w:eastAsia="Arial" w:hAnsi="Arial"/>
                <w:sz w:val="18"/>
                <w:szCs w:val="18"/>
                <w:color w:val="0000FF"/>
                <w:w w:val="84"/>
              </w:rPr>
            </w:pPr>
            <w:hyperlink r:id="rId248">
              <w:r>
                <w:rPr>
                  <w:rFonts w:ascii="Arial" w:cs="Arial" w:eastAsia="Arial" w:hAnsi="Arial"/>
                  <w:sz w:val="18"/>
                  <w:szCs w:val="18"/>
                  <w:color w:val="0000FF"/>
                  <w:w w:val="84"/>
                </w:rPr>
                <w:t>“Charter”)</w:t>
              </w:r>
            </w:hyperlink>
          </w:p>
        </w:tc>
        <w:tc>
          <w:tcPr>
            <w:tcW w:w="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r>
      <w:tr>
        <w:trPr>
          <w:trHeight w:val="185"/>
        </w:trPr>
        <w:tc>
          <w:tcPr>
            <w:tcW w:w="1280" w:type="dxa"/>
            <w:vAlign w:val="bottom"/>
            <w:tcBorders>
              <w:top w:val="single" w:sz="8" w:color="CCEEFF"/>
            </w:tcBorders>
          </w:tcPr>
          <w:p>
            <w:pPr>
              <w:ind w:left="20"/>
              <w:spacing w:after="0" w:line="185"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60" w:type="dxa"/>
            <w:vAlign w:val="bottom"/>
            <w:tcBorders>
              <w:top w:val="single" w:sz="8" w:color="0000FF"/>
            </w:tcBorders>
            <w:gridSpan w:val="29"/>
          </w:tcPr>
          <w:p>
            <w:pPr>
              <w:spacing w:after="0" w:line="185" w:lineRule="exact"/>
              <w:rPr>
                <w:rFonts w:ascii="Arial" w:cs="Arial" w:eastAsia="Arial" w:hAnsi="Arial"/>
                <w:sz w:val="18"/>
                <w:szCs w:val="18"/>
                <w:color w:val="0000FF"/>
              </w:rPr>
            </w:pPr>
            <w:hyperlink r:id="rId249">
              <w:r>
                <w:rPr>
                  <w:rFonts w:ascii="Arial" w:cs="Arial" w:eastAsia="Arial" w:hAnsi="Arial"/>
                  <w:sz w:val="18"/>
                  <w:szCs w:val="18"/>
                  <w:color w:val="0000FF"/>
                </w:rPr>
                <w:t>Amended and Restated Bylaws of Robinhood Markets, Inc.,</w:t>
              </w:r>
            </w:hyperlink>
          </w:p>
        </w:tc>
        <w:tc>
          <w:tcPr>
            <w:tcW w:w="180" w:type="dxa"/>
            <w:vAlign w:val="bottom"/>
            <w:tcBorders>
              <w:top w:val="single" w:sz="8" w:color="CCEEFF"/>
            </w:tcBorders>
            <w:gridSpan w:val="5"/>
          </w:tcPr>
          <w:p>
            <w:pPr>
              <w:spacing w:after="0"/>
              <w:rPr>
                <w:sz w:val="16"/>
                <w:szCs w:val="16"/>
                <w:color w:val="auto"/>
              </w:rPr>
            </w:pPr>
          </w:p>
        </w:tc>
        <w:tc>
          <w:tcPr>
            <w:tcW w:w="860" w:type="dxa"/>
            <w:vAlign w:val="bottom"/>
            <w:tcBorders>
              <w:top w:val="single" w:sz="8" w:color="CCEEFF"/>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CCEEFF"/>
            </w:tcBorders>
            <w:gridSpan w:val="2"/>
          </w:tcPr>
          <w:p>
            <w:pPr>
              <w:jc w:val="center"/>
              <w:ind w:left="53"/>
              <w:spacing w:after="0" w:line="185" w:lineRule="exact"/>
              <w:rPr>
                <w:sz w:val="20"/>
                <w:szCs w:val="20"/>
                <w:color w:val="auto"/>
              </w:rPr>
            </w:pPr>
            <w:r>
              <w:rPr>
                <w:rFonts w:ascii="Arial" w:cs="Arial" w:eastAsia="Arial" w:hAnsi="Arial"/>
                <w:sz w:val="18"/>
                <w:szCs w:val="18"/>
                <w:color w:val="auto"/>
                <w:w w:val="97"/>
              </w:rPr>
              <w:t>2022-12-16</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center"/>
              <w:ind w:right="133"/>
              <w:spacing w:after="0" w:line="185"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49">
              <w:r>
                <w:rPr>
                  <w:rFonts w:ascii="Arial" w:cs="Arial" w:eastAsia="Arial" w:hAnsi="Arial"/>
                  <w:sz w:val="17"/>
                  <w:szCs w:val="17"/>
                  <w:color w:val="0000FF"/>
                </w:rPr>
                <w:t>dated December 14, 2022 (our “Bylaws”)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5"/>
        </w:trPr>
        <w:tc>
          <w:tcPr>
            <w:tcW w:w="12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50">
              <w:r>
                <w:rPr>
                  <w:rFonts w:ascii="Arial" w:cs="Arial" w:eastAsia="Arial" w:hAnsi="Arial"/>
                  <w:sz w:val="18"/>
                  <w:szCs w:val="18"/>
                  <w:color w:val="0000FF"/>
                </w:rPr>
                <w:t>Form of Class A Common Stock Certificate of Robinhood</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7"/>
                <w:szCs w:val="17"/>
                <w:color w:val="0000FF"/>
              </w:rPr>
            </w:pPr>
            <w:hyperlink r:id="rId250">
              <w:r>
                <w:rPr>
                  <w:rFonts w:ascii="Arial" w:cs="Arial" w:eastAsia="Arial" w:hAnsi="Arial"/>
                  <w:sz w:val="17"/>
                  <w:szCs w:val="17"/>
                  <w:color w:val="0000FF"/>
                </w:rPr>
                <w:t>Markets, Inc.</w:t>
              </w:r>
            </w:hyperlink>
          </w:p>
        </w:tc>
        <w:tc>
          <w:tcPr>
            <w:tcW w:w="34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280" w:type="dxa"/>
            <w:vAlign w:val="bottom"/>
          </w:tcPr>
          <w:p>
            <w:pPr>
              <w:ind w:left="20"/>
              <w:spacing w:after="0" w:line="185"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1">
              <w:r>
                <w:rPr>
                  <w:rFonts w:ascii="Arial" w:cs="Arial" w:eastAsia="Arial" w:hAnsi="Arial"/>
                  <w:sz w:val="18"/>
                  <w:szCs w:val="18"/>
                  <w:color w:val="0000FF"/>
                </w:rPr>
                <w:t>Form of ten-year Warrant to Purchase Stock of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33"/>
              <w:spacing w:after="0" w:line="185"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51">
              <w:r>
                <w:rPr>
                  <w:rFonts w:ascii="Arial" w:cs="Arial" w:eastAsia="Arial" w:hAnsi="Arial"/>
                  <w:sz w:val="17"/>
                  <w:szCs w:val="17"/>
                  <w:color w:val="0000FF"/>
                </w:rPr>
                <w:t>Markets, Inc., issued to multiple investors on February 12,</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51">
              <w:r>
                <w:rPr>
                  <w:rFonts w:ascii="Arial" w:cs="Arial" w:eastAsia="Arial" w:hAnsi="Arial"/>
                  <w:sz w:val="18"/>
                  <w:szCs w:val="18"/>
                  <w:color w:val="0000FF"/>
                  <w:w w:val="94"/>
                </w:rPr>
                <w:t>2021</w:t>
              </w:r>
            </w:hyperlink>
          </w:p>
        </w:tc>
        <w:tc>
          <w:tcPr>
            <w:tcW w:w="3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52">
              <w:r>
                <w:rPr>
                  <w:rFonts w:ascii="Arial" w:cs="Arial" w:eastAsia="Arial" w:hAnsi="Arial"/>
                  <w:sz w:val="18"/>
                  <w:szCs w:val="18"/>
                  <w:color w:val="0000FF"/>
                </w:rPr>
                <w:t>Description of Robinhood Securities Registered Under Section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10-K</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2022-02-24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95"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0000FF"/>
              <w:bottom w:val="single" w:sz="8" w:color="0000FF"/>
            </w:tcBorders>
            <w:gridSpan w:val="5"/>
            <w:shd w:val="clear" w:color="auto" w:fill="CCEEFF"/>
          </w:tcPr>
          <w:p>
            <w:pPr>
              <w:spacing w:after="0" w:line="178" w:lineRule="exact"/>
              <w:rPr>
                <w:rFonts w:ascii="Arial" w:cs="Arial" w:eastAsia="Arial" w:hAnsi="Arial"/>
                <w:sz w:val="18"/>
                <w:szCs w:val="18"/>
                <w:color w:val="0000FF"/>
                <w:w w:val="97"/>
              </w:rPr>
            </w:pPr>
            <w:hyperlink r:id="rId252">
              <w:r>
                <w:rPr>
                  <w:rFonts w:ascii="Arial" w:cs="Arial" w:eastAsia="Arial" w:hAnsi="Arial"/>
                  <w:sz w:val="18"/>
                  <w:szCs w:val="18"/>
                  <w:color w:val="0000FF"/>
                  <w:w w:val="97"/>
                </w:rPr>
                <w:t>12 of the Exchange Act</w:t>
              </w:r>
            </w:hyperlink>
          </w:p>
        </w:tc>
        <w:tc>
          <w:tcPr>
            <w:tcW w:w="3040" w:type="dxa"/>
            <w:vAlign w:val="bottom"/>
            <w:tcBorders>
              <w:top w:val="single" w:sz="8" w:color="0000FF"/>
              <w:bottom w:val="single" w:sz="8" w:color="CCEEFF"/>
            </w:tcBorders>
            <w:gridSpan w:val="25"/>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10.1(a)</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3">
              <w:r>
                <w:rPr>
                  <w:rFonts w:ascii="Arial" w:cs="Arial" w:eastAsia="Arial" w:hAnsi="Arial"/>
                  <w:sz w:val="18"/>
                  <w:szCs w:val="18"/>
                  <w:color w:val="0000FF"/>
                </w:rPr>
                <w:t>Form of Indemnification Agreement between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53">
              <w:r>
                <w:rPr>
                  <w:rFonts w:ascii="Arial" w:cs="Arial" w:eastAsia="Arial" w:hAnsi="Arial"/>
                  <w:sz w:val="17"/>
                  <w:szCs w:val="17"/>
                  <w:color w:val="0000FF"/>
                </w:rPr>
                <w:t>Markets, Inc. and, separately, each of its directors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65" w:lineRule="exact"/>
              <w:rPr>
                <w:rFonts w:ascii="Arial" w:cs="Arial" w:eastAsia="Arial" w:hAnsi="Arial"/>
                <w:sz w:val="18"/>
                <w:szCs w:val="18"/>
                <w:color w:val="0000FF"/>
              </w:rPr>
            </w:pPr>
            <w:hyperlink r:id="rId253">
              <w:r>
                <w:rPr>
                  <w:rFonts w:ascii="Arial" w:cs="Arial" w:eastAsia="Arial" w:hAnsi="Arial"/>
                  <w:sz w:val="18"/>
                  <w:szCs w:val="18"/>
                  <w:color w:val="0000FF"/>
                </w:rPr>
                <w:t>executive officers (other than VC Fund Affiliated Directors)</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4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10.1(b)</w:t>
            </w:r>
          </w:p>
        </w:tc>
        <w:tc>
          <w:tcPr>
            <w:tcW w:w="20" w:type="dxa"/>
            <w:vAlign w:val="bottom"/>
            <w:shd w:val="clear" w:color="auto" w:fill="CCEEFF"/>
          </w:tcPr>
          <w:p>
            <w:pPr>
              <w:spacing w:after="0"/>
              <w:rPr>
                <w:sz w:val="16"/>
                <w:szCs w:val="16"/>
                <w:color w:val="auto"/>
              </w:rPr>
            </w:pPr>
          </w:p>
        </w:tc>
        <w:tc>
          <w:tcPr>
            <w:tcW w:w="4540" w:type="dxa"/>
            <w:vAlign w:val="bottom"/>
            <w:tcBorders>
              <w:top w:val="single" w:sz="8" w:color="0000FF"/>
            </w:tcBorders>
            <w:gridSpan w:val="23"/>
            <w:shd w:val="clear" w:color="auto" w:fill="CCEEFF"/>
          </w:tcPr>
          <w:p>
            <w:pPr>
              <w:spacing w:after="0" w:line="195" w:lineRule="exact"/>
              <w:rPr>
                <w:rFonts w:ascii="Arial" w:cs="Arial" w:eastAsia="Arial" w:hAnsi="Arial"/>
                <w:sz w:val="18"/>
                <w:szCs w:val="18"/>
                <w:color w:val="0000FF"/>
              </w:rPr>
            </w:pPr>
            <w:hyperlink r:id="rId254">
              <w:r>
                <w:rPr>
                  <w:rFonts w:ascii="Arial" w:cs="Arial" w:eastAsia="Arial" w:hAnsi="Arial"/>
                  <w:sz w:val="18"/>
                  <w:szCs w:val="18"/>
                  <w:color w:val="0000FF"/>
                </w:rPr>
                <w:t>Form of Indemnification Agreement (VC Fund-Affiliated</w:t>
              </w:r>
            </w:hyperlink>
          </w:p>
        </w:tc>
        <w:tc>
          <w:tcPr>
            <w:tcW w:w="500" w:type="dxa"/>
            <w:vAlign w:val="bottom"/>
            <w:gridSpan w:val="11"/>
            <w:shd w:val="clear" w:color="auto" w:fill="CCEEFF"/>
          </w:tcPr>
          <w:p>
            <w:pPr>
              <w:spacing w:after="0"/>
              <w:rPr>
                <w:sz w:val="16"/>
                <w:szCs w:val="16"/>
                <w:color w:val="auto"/>
              </w:rPr>
            </w:pPr>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10-Q</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2022-05-06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254">
              <w:r>
                <w:rPr>
                  <w:rFonts w:ascii="Arial" w:cs="Arial" w:eastAsia="Arial" w:hAnsi="Arial"/>
                  <w:sz w:val="17"/>
                  <w:szCs w:val="17"/>
                  <w:color w:val="0000FF"/>
                </w:rPr>
                <w:t>Directors)</w:t>
              </w:r>
            </w:hyperlink>
          </w:p>
        </w:tc>
        <w:tc>
          <w:tcPr>
            <w:tcW w:w="35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9"/>
        </w:trPr>
        <w:tc>
          <w:tcPr>
            <w:tcW w:w="14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55">
              <w:r>
                <w:rPr>
                  <w:rFonts w:ascii="Arial" w:cs="Arial" w:eastAsia="Arial" w:hAnsi="Arial"/>
                  <w:sz w:val="18"/>
                  <w:szCs w:val="18"/>
                  <w:color w:val="0000FF"/>
                </w:rPr>
                <w:t>Underwriting Agreement, dated July 28,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59" w:lineRule="exact"/>
              <w:rPr>
                <w:rFonts w:ascii="Arial" w:cs="Arial" w:eastAsia="Arial" w:hAnsi="Arial"/>
                <w:sz w:val="18"/>
                <w:szCs w:val="18"/>
                <w:color w:val="0000FF"/>
              </w:rPr>
            </w:pPr>
            <w:hyperlink r:id="rId255">
              <w:r>
                <w:rPr>
                  <w:rFonts w:ascii="Arial" w:cs="Arial" w:eastAsia="Arial" w:hAnsi="Arial"/>
                  <w:sz w:val="18"/>
                  <w:szCs w:val="18"/>
                  <w:color w:val="0000FF"/>
                </w:rPr>
                <w:t>Robinhood Markets, Inc., as the issuer, and Goldman</w:t>
              </w:r>
            </w:hyperlink>
          </w:p>
        </w:tc>
        <w:tc>
          <w:tcPr>
            <w:tcW w:w="720" w:type="dxa"/>
            <w:vAlign w:val="bottom"/>
            <w:gridSpan w:val="18"/>
          </w:tcPr>
          <w:p>
            <w:pPr>
              <w:jc w:val="right"/>
              <w:ind w:right="180"/>
              <w:spacing w:after="0" w:line="159" w:lineRule="exact"/>
              <w:rPr>
                <w:rFonts w:ascii="Arial" w:cs="Arial" w:eastAsia="Arial" w:hAnsi="Arial"/>
                <w:sz w:val="18"/>
                <w:szCs w:val="18"/>
                <w:color w:val="0000FF"/>
                <w:w w:val="77"/>
              </w:rPr>
            </w:pPr>
            <w:hyperlink r:id="rId255">
              <w:r>
                <w:rPr>
                  <w:rFonts w:ascii="Arial" w:cs="Arial" w:eastAsia="Arial" w:hAnsi="Arial"/>
                  <w:sz w:val="18"/>
                  <w:szCs w:val="18"/>
                  <w:color w:val="0000FF"/>
                  <w:w w:val="77"/>
                </w:rPr>
                <w:t>Sachs &amp;</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29"/>
          </w:tcPr>
          <w:p>
            <w:pPr>
              <w:spacing w:after="0" w:line="165" w:lineRule="exact"/>
              <w:rPr>
                <w:rFonts w:ascii="Arial" w:cs="Arial" w:eastAsia="Arial" w:hAnsi="Arial"/>
                <w:sz w:val="18"/>
                <w:szCs w:val="18"/>
                <w:color w:val="0000FF"/>
                <w:w w:val="96"/>
              </w:rPr>
            </w:pPr>
            <w:hyperlink r:id="rId255">
              <w:r>
                <w:rPr>
                  <w:rFonts w:ascii="Arial" w:cs="Arial" w:eastAsia="Arial" w:hAnsi="Arial"/>
                  <w:sz w:val="18"/>
                  <w:szCs w:val="18"/>
                  <w:color w:val="0000FF"/>
                  <w:w w:val="96"/>
                </w:rPr>
                <w:t>Co. LLC and J.P. Morgan Securities LLC, as representatives of</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31"/>
          </w:tcPr>
          <w:p>
            <w:pPr>
              <w:spacing w:after="0" w:line="152" w:lineRule="exact"/>
              <w:rPr>
                <w:rFonts w:ascii="Arial" w:cs="Arial" w:eastAsia="Arial" w:hAnsi="Arial"/>
                <w:sz w:val="17"/>
                <w:szCs w:val="17"/>
                <w:color w:val="0000FF"/>
              </w:rPr>
            </w:pPr>
            <w:hyperlink r:id="rId255">
              <w:r>
                <w:rPr>
                  <w:rFonts w:ascii="Arial" w:cs="Arial" w:eastAsia="Arial" w:hAnsi="Arial"/>
                  <w:sz w:val="17"/>
                  <w:szCs w:val="17"/>
                  <w:color w:val="0000FF"/>
                </w:rPr>
                <w:t>the several underwriters named therein</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56">
              <w:r>
                <w:rPr>
                  <w:rFonts w:ascii="Arial" w:cs="Arial" w:eastAsia="Arial" w:hAnsi="Arial"/>
                  <w:sz w:val="18"/>
                  <w:szCs w:val="18"/>
                  <w:color w:val="0000FF"/>
                </w:rPr>
                <w:t>Offer Letter between Robinhood Markets, Inc. and Jason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80" w:type="dxa"/>
            <w:vAlign w:val="bottom"/>
            <w:tcBorders>
              <w:top w:val="single" w:sz="8" w:color="0000FF"/>
              <w:bottom w:val="single" w:sz="8" w:color="0000FF"/>
            </w:tcBorders>
            <w:gridSpan w:val="9"/>
            <w:shd w:val="clear" w:color="auto" w:fill="CCEEFF"/>
          </w:tcPr>
          <w:p>
            <w:pPr>
              <w:spacing w:after="0" w:line="178" w:lineRule="exact"/>
              <w:rPr>
                <w:rFonts w:ascii="Arial" w:cs="Arial" w:eastAsia="Arial" w:hAnsi="Arial"/>
                <w:sz w:val="18"/>
                <w:szCs w:val="18"/>
                <w:color w:val="0000FF"/>
                <w:w w:val="97"/>
              </w:rPr>
            </w:pPr>
            <w:hyperlink r:id="rId256">
              <w:r>
                <w:rPr>
                  <w:rFonts w:ascii="Arial" w:cs="Arial" w:eastAsia="Arial" w:hAnsi="Arial"/>
                  <w:sz w:val="18"/>
                  <w:szCs w:val="18"/>
                  <w:color w:val="0000FF"/>
                  <w:w w:val="97"/>
                </w:rPr>
                <w:t>Warnick, dated November 8, 2018</w:t>
              </w:r>
            </w:hyperlink>
          </w:p>
        </w:tc>
        <w:tc>
          <w:tcPr>
            <w:tcW w:w="176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7">
              <w:r>
                <w:rPr>
                  <w:rFonts w:ascii="Arial" w:cs="Arial" w:eastAsia="Arial" w:hAnsi="Arial"/>
                  <w:sz w:val="18"/>
                  <w:szCs w:val="18"/>
                  <w:color w:val="0000FF"/>
                </w:rPr>
                <w:t>Offer Letter between Robinhood Markets, Inc. and Daniel</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8" w:lineRule="exact"/>
              <w:rPr>
                <w:rFonts w:ascii="Arial" w:cs="Arial" w:eastAsia="Arial" w:hAnsi="Arial"/>
                <w:sz w:val="18"/>
                <w:szCs w:val="18"/>
                <w:color w:val="0000FF"/>
              </w:rPr>
            </w:pPr>
            <w:hyperlink r:id="rId257">
              <w:r>
                <w:rPr>
                  <w:rFonts w:ascii="Arial" w:cs="Arial" w:eastAsia="Arial" w:hAnsi="Arial"/>
                  <w:sz w:val="18"/>
                  <w:szCs w:val="18"/>
                  <w:color w:val="0000FF"/>
                </w:rPr>
                <w:t>Gallagher, as amended and restated on December 15, 2020</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58">
              <w:r>
                <w:rPr>
                  <w:rFonts w:ascii="Arial" w:cs="Arial" w:eastAsia="Arial" w:hAnsi="Arial"/>
                  <w:sz w:val="18"/>
                  <w:szCs w:val="18"/>
                  <w:color w:val="0000FF"/>
                </w:rPr>
                <w:t>Offer Letter between Robinhood Markets, Inc. and Paula Loop,</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85" w:lineRule="exact"/>
              <w:rPr>
                <w:sz w:val="20"/>
                <w:szCs w:val="20"/>
                <w:color w:val="auto"/>
              </w:rPr>
            </w:pPr>
            <w:r>
              <w:rPr>
                <w:rFonts w:ascii="Arial" w:cs="Arial" w:eastAsia="Arial" w:hAnsi="Arial"/>
                <w:sz w:val="18"/>
                <w:szCs w:val="18"/>
                <w:color w:val="auto"/>
                <w:w w:val="96"/>
              </w:rPr>
              <w:t>10.8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32"/>
            <w:shd w:val="clear" w:color="auto" w:fill="CCEEFF"/>
          </w:tcPr>
          <w:p>
            <w:pPr>
              <w:spacing w:after="0" w:line="178" w:lineRule="exact"/>
              <w:rPr>
                <w:rFonts w:ascii="Arial" w:cs="Arial" w:eastAsia="Arial" w:hAnsi="Arial"/>
                <w:sz w:val="18"/>
                <w:szCs w:val="18"/>
                <w:color w:val="0000FF"/>
              </w:rPr>
            </w:pPr>
            <w:hyperlink r:id="rId258">
              <w:r>
                <w:rPr>
                  <w:rFonts w:ascii="Arial" w:cs="Arial" w:eastAsia="Arial" w:hAnsi="Arial"/>
                  <w:sz w:val="18"/>
                  <w:szCs w:val="18"/>
                  <w:color w:val="0000FF"/>
                </w:rPr>
                <w:t>dated May 14, 2021</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9">
              <w:r>
                <w:rPr>
                  <w:rFonts w:ascii="Arial" w:cs="Arial" w:eastAsia="Arial" w:hAnsi="Arial"/>
                  <w:sz w:val="18"/>
                  <w:szCs w:val="18"/>
                  <w:color w:val="0000FF"/>
                </w:rPr>
                <w:t>Offer Letter between Robinhood Markets, Inc. and Jonathan</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27"/>
          </w:tcPr>
          <w:p>
            <w:pPr>
              <w:spacing w:after="0" w:line="178" w:lineRule="exact"/>
              <w:rPr>
                <w:rFonts w:ascii="Arial" w:cs="Arial" w:eastAsia="Arial" w:hAnsi="Arial"/>
                <w:sz w:val="18"/>
                <w:szCs w:val="18"/>
                <w:color w:val="0000FF"/>
              </w:rPr>
            </w:pPr>
            <w:hyperlink r:id="rId259">
              <w:r>
                <w:rPr>
                  <w:rFonts w:ascii="Arial" w:cs="Arial" w:eastAsia="Arial" w:hAnsi="Arial"/>
                  <w:sz w:val="18"/>
                  <w:szCs w:val="18"/>
                  <w:color w:val="0000FF"/>
                </w:rPr>
                <w:t>Rubinstein, dated May 14, 2021</w:t>
              </w:r>
            </w:hyperlink>
          </w:p>
        </w:tc>
        <w:tc>
          <w:tcPr>
            <w:tcW w:w="34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60">
              <w:r>
                <w:rPr>
                  <w:rFonts w:ascii="Arial" w:cs="Arial" w:eastAsia="Arial" w:hAnsi="Arial"/>
                  <w:sz w:val="18"/>
                  <w:szCs w:val="18"/>
                  <w:color w:val="0000FF"/>
                </w:rPr>
                <w:t>Offer Letter between Robinhood Markets, Inc. and Robert</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21"/>
            <w:shd w:val="clear" w:color="auto" w:fill="CCEEFF"/>
          </w:tcPr>
          <w:p>
            <w:pPr>
              <w:spacing w:after="0" w:line="178" w:lineRule="exact"/>
              <w:rPr>
                <w:rFonts w:ascii="Arial" w:cs="Arial" w:eastAsia="Arial" w:hAnsi="Arial"/>
                <w:sz w:val="18"/>
                <w:szCs w:val="18"/>
                <w:color w:val="0000FF"/>
              </w:rPr>
            </w:pPr>
            <w:hyperlink r:id="rId260">
              <w:r>
                <w:rPr>
                  <w:rFonts w:ascii="Arial" w:cs="Arial" w:eastAsia="Arial" w:hAnsi="Arial"/>
                  <w:sz w:val="18"/>
                  <w:szCs w:val="18"/>
                  <w:color w:val="0000FF"/>
                </w:rPr>
                <w:t>Zoellick, dated May 14,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tcBorders>
            <w:gridSpan w:val="9"/>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79"/>
        </w:trPr>
        <w:tc>
          <w:tcPr>
            <w:tcW w:w="1280" w:type="dxa"/>
            <w:vAlign w:val="bottom"/>
          </w:tcPr>
          <w:p>
            <w:pPr>
              <w:ind w:left="20"/>
              <w:spacing w:after="0" w:line="17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61">
              <w:r>
                <w:rPr>
                  <w:rFonts w:ascii="Arial" w:cs="Arial" w:eastAsia="Arial" w:hAnsi="Arial"/>
                  <w:sz w:val="18"/>
                  <w:szCs w:val="18"/>
                  <w:color w:val="0000FF"/>
                </w:rPr>
                <w:t>Exchange Agreement, dated July 26,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9" w:lineRule="exact"/>
              <w:rPr>
                <w:rFonts w:ascii="Arial" w:cs="Arial" w:eastAsia="Arial" w:hAnsi="Arial"/>
                <w:sz w:val="18"/>
                <w:szCs w:val="18"/>
                <w:color w:val="0000FF"/>
                <w:w w:val="94"/>
              </w:rPr>
            </w:pPr>
            <w:hyperlink r:id="rId261">
              <w:r>
                <w:rPr>
                  <w:rFonts w:ascii="Arial" w:cs="Arial" w:eastAsia="Arial" w:hAnsi="Arial"/>
                  <w:sz w:val="18"/>
                  <w:szCs w:val="18"/>
                  <w:color w:val="0000FF"/>
                  <w:w w:val="94"/>
                </w:rPr>
                <w:t>Robinhood Markets, Inc., Baiju Bhatt, Vladimir Tenev,</w:t>
              </w:r>
            </w:hyperlink>
          </w:p>
        </w:tc>
        <w:tc>
          <w:tcPr>
            <w:tcW w:w="980" w:type="dxa"/>
            <w:vAlign w:val="bottom"/>
            <w:gridSpan w:val="22"/>
          </w:tcPr>
          <w:p>
            <w:pPr>
              <w:ind w:left="140"/>
              <w:spacing w:after="0" w:line="159" w:lineRule="exact"/>
              <w:rPr>
                <w:rFonts w:ascii="Arial" w:cs="Arial" w:eastAsia="Arial" w:hAnsi="Arial"/>
                <w:sz w:val="18"/>
                <w:szCs w:val="18"/>
                <w:color w:val="0000FF"/>
              </w:rPr>
            </w:pPr>
            <w:hyperlink r:id="rId261">
              <w:r>
                <w:rPr>
                  <w:rFonts w:ascii="Arial" w:cs="Arial" w:eastAsia="Arial" w:hAnsi="Arial"/>
                  <w:sz w:val="18"/>
                  <w:szCs w:val="18"/>
                  <w:color w:val="0000FF"/>
                </w:rPr>
                <w:t>and</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22"/>
          </w:tcPr>
          <w:p>
            <w:pPr>
              <w:spacing w:after="0" w:line="165" w:lineRule="exact"/>
              <w:rPr>
                <w:rFonts w:ascii="Arial" w:cs="Arial" w:eastAsia="Arial" w:hAnsi="Arial"/>
                <w:sz w:val="18"/>
                <w:szCs w:val="18"/>
                <w:color w:val="0000FF"/>
              </w:rPr>
            </w:pPr>
            <w:hyperlink r:id="rId261">
              <w:r>
                <w:rPr>
                  <w:rFonts w:ascii="Arial" w:cs="Arial" w:eastAsia="Arial" w:hAnsi="Arial"/>
                  <w:sz w:val="18"/>
                  <w:szCs w:val="18"/>
                  <w:color w:val="0000FF"/>
                </w:rPr>
                <w:t>certain of his related entities</w:t>
              </w:r>
            </w:hyperlink>
          </w:p>
        </w:tc>
        <w:tc>
          <w:tcPr>
            <w:tcW w:w="120" w:type="dxa"/>
            <w:vAlign w:val="bottom"/>
            <w:gridSpan w:val="3"/>
          </w:tcPr>
          <w:p>
            <w:pPr>
              <w:spacing w:after="0"/>
              <w:rPr>
                <w:sz w:val="14"/>
                <w:szCs w:val="14"/>
                <w:color w:val="auto"/>
              </w:rPr>
            </w:pPr>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2440" w:type="dxa"/>
            <w:vAlign w:val="bottom"/>
            <w:gridSpan w:val="19"/>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128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gridSpan w:val="34"/>
          </w:tcPr>
          <w:p>
            <w:pPr>
              <w:spacing w:after="0" w:line="205" w:lineRule="exact"/>
              <w:rPr>
                <w:rFonts w:ascii="Arial" w:cs="Arial" w:eastAsia="Arial" w:hAnsi="Arial"/>
                <w:sz w:val="18"/>
                <w:szCs w:val="18"/>
                <w:color w:val="0000FF"/>
              </w:rPr>
            </w:pPr>
            <w:hyperlink r:id="rId262">
              <w:r>
                <w:rPr>
                  <w:rFonts w:ascii="Arial" w:cs="Arial" w:eastAsia="Arial" w:hAnsi="Arial"/>
                  <w:sz w:val="18"/>
                  <w:szCs w:val="18"/>
                  <w:color w:val="0000FF"/>
                </w:rPr>
                <w:t>Form of Equity Exchange Right Agreement, entered into on</w:t>
              </w:r>
            </w:hyperlink>
          </w:p>
        </w:tc>
        <w:tc>
          <w:tcPr>
            <w:tcW w:w="860" w:type="dxa"/>
            <w:vAlign w:val="bottom"/>
          </w:tcPr>
          <w:p>
            <w:pPr>
              <w:jc w:val="center"/>
              <w:spacing w:after="0" w:line="20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20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33"/>
              <w:spacing w:after="0" w:line="205" w:lineRule="exact"/>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25"/>
          </w:tcPr>
          <w:p>
            <w:pPr>
              <w:spacing w:after="0" w:line="164" w:lineRule="exact"/>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July 26, 2021 between Robinhood Markets, Inc. and,</w:t>
              </w:r>
            </w:hyperlink>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18350" cy="3695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ind w:left="1420"/>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separately, (a) Baiju Bhatt and (b) Vladimir Tenev</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ind w:left="20"/>
              <w:spacing w:after="0"/>
              <w:rPr>
                <w:sz w:val="20"/>
                <w:szCs w:val="20"/>
                <w:color w:val="auto"/>
              </w:rPr>
            </w:pPr>
            <w:r>
              <w:rPr>
                <w:rFonts w:ascii="Arial" w:cs="Arial" w:eastAsia="Arial" w:hAnsi="Arial"/>
                <w:sz w:val="18"/>
                <w:szCs w:val="18"/>
                <w:color w:val="auto"/>
              </w:rPr>
              <w:t>10.10(a)</w:t>
            </w:r>
          </w:p>
        </w:tc>
        <w:tc>
          <w:tcPr>
            <w:tcW w:w="4580" w:type="dxa"/>
            <w:vAlign w:val="bottom"/>
            <w:tcBorders>
              <w:bottom w:val="single" w:sz="8" w:color="0000FF"/>
            </w:tcBorders>
            <w:gridSpan w:val="8"/>
          </w:tcPr>
          <w:p>
            <w:pPr>
              <w:spacing w:after="0"/>
              <w:rPr>
                <w:rFonts w:ascii="Arial" w:cs="Arial" w:eastAsia="Arial" w:hAnsi="Arial"/>
                <w:sz w:val="18"/>
                <w:szCs w:val="18"/>
                <w:color w:val="0000FF"/>
                <w:w w:val="97"/>
              </w:rPr>
            </w:pPr>
            <w:hyperlink r:id="rId265">
              <w:r>
                <w:rPr>
                  <w:rFonts w:ascii="Arial" w:cs="Arial" w:eastAsia="Arial" w:hAnsi="Arial"/>
                  <w:sz w:val="18"/>
                  <w:szCs w:val="18"/>
                  <w:color w:val="0000FF"/>
                  <w:w w:val="97"/>
                </w:rPr>
                <w:t>Voting Agreement, dated July 26, 2021, among Robinhood</w:t>
              </w:r>
            </w:hyperlink>
          </w:p>
        </w:tc>
        <w:tc>
          <w:tcPr>
            <w:tcW w:w="500" w:type="dxa"/>
            <w:vAlign w:val="bottom"/>
            <w:gridSpan w:val="7"/>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right"/>
              <w:ind w:right="252"/>
              <w:spacing w:after="0"/>
              <w:rPr>
                <w:sz w:val="20"/>
                <w:szCs w:val="20"/>
                <w:color w:val="auto"/>
              </w:rPr>
            </w:pPr>
            <w:r>
              <w:rPr>
                <w:rFonts w:ascii="Arial" w:cs="Arial" w:eastAsia="Arial" w:hAnsi="Arial"/>
                <w:sz w:val="18"/>
                <w:szCs w:val="18"/>
                <w:color w:val="auto"/>
              </w:rPr>
              <w:t>2021-08-18</w:t>
            </w:r>
          </w:p>
        </w:tc>
        <w:tc>
          <w:tcPr>
            <w:tcW w:w="2300" w:type="dxa"/>
            <w:vAlign w:val="bottom"/>
          </w:tcPr>
          <w:p>
            <w:pPr>
              <w:jc w:val="center"/>
              <w:ind w:right="1132"/>
              <w:spacing w:after="0"/>
              <w:rPr>
                <w:sz w:val="20"/>
                <w:szCs w:val="20"/>
                <w:color w:val="auto"/>
              </w:rPr>
            </w:pPr>
            <w:r>
              <w:rPr>
                <w:rFonts w:ascii="Arial" w:cs="Arial" w:eastAsia="Arial" w:hAnsi="Arial"/>
                <w:sz w:val="18"/>
                <w:szCs w:val="18"/>
                <w:color w:val="auto"/>
                <w:w w:val="97"/>
              </w:rPr>
              <w:t>10.10</w:t>
            </w:r>
          </w:p>
        </w:tc>
      </w:tr>
      <w:tr>
        <w:trPr>
          <w:trHeight w:val="152"/>
        </w:trPr>
        <w:tc>
          <w:tcPr>
            <w:tcW w:w="1440" w:type="dxa"/>
            <w:vAlign w:val="bottom"/>
          </w:tcPr>
          <w:p>
            <w:pPr>
              <w:spacing w:after="0"/>
              <w:rPr>
                <w:sz w:val="13"/>
                <w:szCs w:val="13"/>
                <w:color w:val="auto"/>
              </w:rPr>
            </w:pPr>
          </w:p>
        </w:tc>
        <w:tc>
          <w:tcPr>
            <w:tcW w:w="5080" w:type="dxa"/>
            <w:vAlign w:val="bottom"/>
            <w:gridSpan w:val="15"/>
          </w:tcPr>
          <w:p>
            <w:pPr>
              <w:spacing w:after="0" w:line="152" w:lineRule="exact"/>
              <w:rPr>
                <w:rFonts w:ascii="Arial" w:cs="Arial" w:eastAsia="Arial" w:hAnsi="Arial"/>
                <w:sz w:val="17"/>
                <w:szCs w:val="17"/>
                <w:color w:val="0000FF"/>
              </w:rPr>
            </w:pPr>
            <w:hyperlink r:id="rId265">
              <w:r>
                <w:rPr>
                  <w:rFonts w:ascii="Arial" w:cs="Arial" w:eastAsia="Arial" w:hAnsi="Arial"/>
                  <w:sz w:val="17"/>
                  <w:szCs w:val="17"/>
                  <w:color w:val="0000FF"/>
                </w:rPr>
                <w:t>Markets, Inc., Baiju Bhatt, Vladimir Tenev, and certain related</w:t>
              </w:r>
            </w:hyperlink>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75"/>
        </w:trPr>
        <w:tc>
          <w:tcPr>
            <w:tcW w:w="144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65">
              <w:r>
                <w:rPr>
                  <w:rFonts w:ascii="Arial" w:cs="Arial" w:eastAsia="Arial" w:hAnsi="Arial"/>
                  <w:sz w:val="18"/>
                  <w:szCs w:val="18"/>
                  <w:color w:val="0000FF"/>
                  <w:w w:val="94"/>
                </w:rPr>
                <w:t>entities</w:t>
              </w:r>
            </w:hyperlink>
          </w:p>
        </w:tc>
        <w:tc>
          <w:tcPr>
            <w:tcW w:w="42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5"/>
        </w:trPr>
        <w:tc>
          <w:tcPr>
            <w:tcW w:w="14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10.10(b)</w:t>
            </w:r>
          </w:p>
        </w:tc>
        <w:tc>
          <w:tcPr>
            <w:tcW w:w="5080" w:type="dxa"/>
            <w:vAlign w:val="bottom"/>
            <w:gridSpan w:val="15"/>
            <w:shd w:val="clear" w:color="auto" w:fill="CCEEFF"/>
          </w:tcPr>
          <w:p>
            <w:pPr>
              <w:spacing w:after="0" w:line="195" w:lineRule="exact"/>
              <w:rPr>
                <w:rFonts w:ascii="Arial" w:cs="Arial" w:eastAsia="Arial" w:hAnsi="Arial"/>
                <w:sz w:val="18"/>
                <w:szCs w:val="18"/>
                <w:color w:val="0000FF"/>
              </w:rPr>
            </w:pPr>
            <w:hyperlink r:id="rId266">
              <w:r>
                <w:rPr>
                  <w:rFonts w:ascii="Arial" w:cs="Arial" w:eastAsia="Arial" w:hAnsi="Arial"/>
                  <w:sz w:val="18"/>
                  <w:szCs w:val="18"/>
                  <w:color w:val="0000FF"/>
                </w:rPr>
                <w:t>Joinder Agreement, dated December 13, 2021 by Bhatt Family</w:t>
              </w:r>
            </w:hyperlink>
          </w:p>
        </w:tc>
        <w:tc>
          <w:tcPr>
            <w:tcW w:w="880" w:type="dxa"/>
            <w:vAlign w:val="bottom"/>
            <w:shd w:val="clear" w:color="auto" w:fill="CCEEFF"/>
          </w:tcPr>
          <w:p>
            <w:pPr>
              <w:jc w:val="center"/>
              <w:ind w:right="12"/>
              <w:spacing w:after="0" w:line="195" w:lineRule="exact"/>
              <w:rPr>
                <w:sz w:val="20"/>
                <w:szCs w:val="20"/>
                <w:color w:val="auto"/>
              </w:rPr>
            </w:pPr>
            <w:r>
              <w:rPr>
                <w:rFonts w:ascii="Arial" w:cs="Arial" w:eastAsia="Arial" w:hAnsi="Arial"/>
                <w:sz w:val="18"/>
                <w:szCs w:val="18"/>
                <w:color w:val="auto"/>
                <w:w w:val="94"/>
              </w:rPr>
              <w:t>10-Q</w:t>
            </w:r>
          </w:p>
        </w:tc>
        <w:tc>
          <w:tcPr>
            <w:tcW w:w="1520" w:type="dxa"/>
            <w:vAlign w:val="bottom"/>
            <w:shd w:val="clear" w:color="auto" w:fill="CCEEFF"/>
          </w:tcPr>
          <w:p>
            <w:pPr>
              <w:jc w:val="right"/>
              <w:ind w:right="252"/>
              <w:spacing w:after="0" w:line="195" w:lineRule="exact"/>
              <w:rPr>
                <w:sz w:val="20"/>
                <w:szCs w:val="20"/>
                <w:color w:val="auto"/>
              </w:rPr>
            </w:pPr>
            <w:r>
              <w:rPr>
                <w:rFonts w:ascii="Arial" w:cs="Arial" w:eastAsia="Arial" w:hAnsi="Arial"/>
                <w:sz w:val="18"/>
                <w:szCs w:val="18"/>
                <w:color w:val="auto"/>
              </w:rPr>
              <w:t>2022-05-06</w:t>
            </w:r>
          </w:p>
        </w:tc>
        <w:tc>
          <w:tcPr>
            <w:tcW w:w="2300" w:type="dxa"/>
            <w:vAlign w:val="bottom"/>
            <w:shd w:val="clear" w:color="auto" w:fill="CCEEFF"/>
          </w:tcPr>
          <w:p>
            <w:pPr>
              <w:jc w:val="center"/>
              <w:ind w:right="1112"/>
              <w:spacing w:after="0" w:line="195" w:lineRule="exact"/>
              <w:rPr>
                <w:sz w:val="20"/>
                <w:szCs w:val="20"/>
                <w:color w:val="auto"/>
              </w:rPr>
            </w:pPr>
            <w:r>
              <w:rPr>
                <w:rFonts w:ascii="Arial" w:cs="Arial" w:eastAsia="Arial" w:hAnsi="Arial"/>
                <w:sz w:val="18"/>
                <w:szCs w:val="18"/>
                <w:color w:val="auto"/>
                <w:w w:val="96"/>
              </w:rPr>
              <w:t>10.2</w:t>
            </w: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66">
              <w:r>
                <w:rPr>
                  <w:rFonts w:ascii="Arial" w:cs="Arial" w:eastAsia="Arial" w:hAnsi="Arial"/>
                  <w:sz w:val="17"/>
                  <w:szCs w:val="17"/>
                  <w:color w:val="0000FF"/>
                </w:rPr>
                <w:t>LLC, becoming party to the Voting Agreement, dated July 26,</w:t>
              </w:r>
            </w:hyperlink>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165"/>
        </w:trPr>
        <w:tc>
          <w:tcPr>
            <w:tcW w:w="1440" w:type="dxa"/>
            <w:vAlign w:val="bottom"/>
            <w:tcBorders>
              <w:top w:val="single" w:sz="8" w:color="CCEEFF"/>
            </w:tcBorders>
            <w:shd w:val="clear" w:color="auto" w:fill="CCEEFF"/>
          </w:tcPr>
          <w:p>
            <w:pPr>
              <w:spacing w:after="0"/>
              <w:rPr>
                <w:sz w:val="14"/>
                <w:szCs w:val="14"/>
                <w:color w:val="auto"/>
              </w:rPr>
            </w:pPr>
          </w:p>
        </w:tc>
        <w:tc>
          <w:tcPr>
            <w:tcW w:w="4780" w:type="dxa"/>
            <w:vAlign w:val="bottom"/>
            <w:tcBorders>
              <w:top w:val="single" w:sz="8" w:color="0000FF"/>
            </w:tcBorders>
            <w:gridSpan w:val="11"/>
            <w:shd w:val="clear" w:color="auto" w:fill="CCEEFF"/>
          </w:tcPr>
          <w:p>
            <w:pPr>
              <w:spacing w:after="0" w:line="165" w:lineRule="exact"/>
              <w:rPr>
                <w:rFonts w:ascii="Arial" w:cs="Arial" w:eastAsia="Arial" w:hAnsi="Arial"/>
                <w:sz w:val="18"/>
                <w:szCs w:val="18"/>
                <w:color w:val="0000FF"/>
                <w:w w:val="99"/>
              </w:rPr>
            </w:pPr>
            <w:hyperlink r:id="rId266">
              <w:r>
                <w:rPr>
                  <w:rFonts w:ascii="Arial" w:cs="Arial" w:eastAsia="Arial" w:hAnsi="Arial"/>
                  <w:sz w:val="18"/>
                  <w:szCs w:val="18"/>
                  <w:color w:val="0000FF"/>
                  <w:w w:val="99"/>
                </w:rPr>
                <w:t>2021, among Robinhood Markets. Inc., Baiju Bhatt, Vladimir</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CCEEFF"/>
            </w:tcBorders>
            <w:shd w:val="clear" w:color="auto" w:fill="CCEEFF"/>
          </w:tcPr>
          <w:p>
            <w:pPr>
              <w:spacing w:after="0"/>
              <w:rPr>
                <w:sz w:val="14"/>
                <w:szCs w:val="14"/>
                <w:color w:val="auto"/>
              </w:rPr>
            </w:pP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9"/>
            <w:shd w:val="clear" w:color="auto" w:fill="CCEEFF"/>
          </w:tcPr>
          <w:p>
            <w:pPr>
              <w:spacing w:after="0" w:line="152" w:lineRule="exact"/>
              <w:rPr>
                <w:rFonts w:ascii="Arial" w:cs="Arial" w:eastAsia="Arial" w:hAnsi="Arial"/>
                <w:sz w:val="17"/>
                <w:szCs w:val="17"/>
                <w:color w:val="0000FF"/>
              </w:rPr>
            </w:pPr>
            <w:hyperlink r:id="rId266">
              <w:r>
                <w:rPr>
                  <w:rFonts w:ascii="Arial" w:cs="Arial" w:eastAsia="Arial" w:hAnsi="Arial"/>
                  <w:sz w:val="17"/>
                  <w:szCs w:val="17"/>
                  <w:color w:val="0000FF"/>
                </w:rPr>
                <w:t>Tenev, and certain related entities</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40"/>
        </w:trPr>
        <w:tc>
          <w:tcPr>
            <w:tcW w:w="144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10.11(a)†+</w:t>
            </w:r>
          </w:p>
        </w:tc>
        <w:tc>
          <w:tcPr>
            <w:tcW w:w="5080" w:type="dxa"/>
            <w:vAlign w:val="bottom"/>
            <w:gridSpan w:val="15"/>
          </w:tcPr>
          <w:p>
            <w:pPr>
              <w:spacing w:after="0" w:line="185" w:lineRule="exact"/>
              <w:rPr>
                <w:rFonts w:ascii="Arial" w:cs="Arial" w:eastAsia="Arial" w:hAnsi="Arial"/>
                <w:sz w:val="18"/>
                <w:szCs w:val="18"/>
                <w:color w:val="0000FF"/>
              </w:rPr>
            </w:pPr>
            <w:hyperlink r:id="rId267">
              <w:r>
                <w:rPr>
                  <w:rFonts w:ascii="Arial" w:cs="Arial" w:eastAsia="Arial" w:hAnsi="Arial"/>
                  <w:sz w:val="18"/>
                  <w:szCs w:val="18"/>
                  <w:color w:val="0000FF"/>
                </w:rPr>
                <w:t>Robinhood Markets, Inc. 2020 Equity Incentive Plan, as</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10.2</w:t>
            </w:r>
          </w:p>
        </w:tc>
      </w:tr>
      <w:tr>
        <w:trPr>
          <w:trHeight w:val="179"/>
        </w:trPr>
        <w:tc>
          <w:tcPr>
            <w:tcW w:w="1440" w:type="dxa"/>
            <w:vAlign w:val="bottom"/>
          </w:tcPr>
          <w:p>
            <w:pPr>
              <w:spacing w:after="0"/>
              <w:rPr>
                <w:sz w:val="15"/>
                <w:szCs w:val="15"/>
                <w:color w:val="auto"/>
              </w:rPr>
            </w:pPr>
          </w:p>
        </w:tc>
        <w:tc>
          <w:tcPr>
            <w:tcW w:w="4340" w:type="dxa"/>
            <w:vAlign w:val="bottom"/>
            <w:tcBorders>
              <w:top w:val="single" w:sz="8" w:color="0000FF"/>
            </w:tcBorders>
            <w:gridSpan w:val="6"/>
          </w:tcPr>
          <w:p>
            <w:pPr>
              <w:spacing w:after="0" w:line="178" w:lineRule="exact"/>
              <w:rPr>
                <w:rFonts w:ascii="Arial" w:cs="Arial" w:eastAsia="Arial" w:hAnsi="Arial"/>
                <w:sz w:val="18"/>
                <w:szCs w:val="18"/>
                <w:color w:val="0000FF"/>
                <w:w w:val="98"/>
              </w:rPr>
            </w:pPr>
            <w:hyperlink r:id="rId267">
              <w:r>
                <w:rPr>
                  <w:rFonts w:ascii="Arial" w:cs="Arial" w:eastAsia="Arial" w:hAnsi="Arial"/>
                  <w:sz w:val="18"/>
                  <w:szCs w:val="18"/>
                  <w:color w:val="0000FF"/>
                  <w:w w:val="98"/>
                </w:rPr>
                <w:t>amended on June 18, 2020 and form grant notices and</w:t>
              </w:r>
            </w:hyperlink>
          </w:p>
        </w:tc>
        <w:tc>
          <w:tcPr>
            <w:tcW w:w="740" w:type="dxa"/>
            <w:vAlign w:val="bottom"/>
            <w:gridSpan w:val="9"/>
          </w:tcPr>
          <w:p>
            <w:pPr>
              <w:spacing w:after="0" w:line="178" w:lineRule="exact"/>
              <w:rPr>
                <w:rFonts w:ascii="Arial" w:cs="Arial" w:eastAsia="Arial" w:hAnsi="Arial"/>
                <w:sz w:val="18"/>
                <w:szCs w:val="18"/>
                <w:color w:val="0000FF"/>
              </w:rPr>
            </w:pPr>
            <w:hyperlink r:id="rId267">
              <w:r>
                <w:rPr>
                  <w:rFonts w:ascii="Arial" w:cs="Arial" w:eastAsia="Arial" w:hAnsi="Arial"/>
                  <w:sz w:val="18"/>
                  <w:szCs w:val="18"/>
                  <w:color w:val="0000FF"/>
                </w:rPr>
                <w:t>award</w:t>
              </w:r>
            </w:hyperlink>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4820" w:type="dxa"/>
            <w:vAlign w:val="bottom"/>
            <w:tcBorders>
              <w:top w:val="single" w:sz="8" w:color="0000FF"/>
            </w:tcBorders>
            <w:gridSpan w:val="12"/>
          </w:tcPr>
          <w:p>
            <w:pPr>
              <w:spacing w:after="0" w:line="178" w:lineRule="exact"/>
              <w:rPr>
                <w:rFonts w:ascii="Arial" w:cs="Arial" w:eastAsia="Arial" w:hAnsi="Arial"/>
                <w:sz w:val="18"/>
                <w:szCs w:val="18"/>
                <w:color w:val="0000FF"/>
              </w:rPr>
            </w:pPr>
            <w:hyperlink r:id="rId267">
              <w:r>
                <w:rPr>
                  <w:rFonts w:ascii="Arial" w:cs="Arial" w:eastAsia="Arial" w:hAnsi="Arial"/>
                  <w:sz w:val="18"/>
                  <w:szCs w:val="18"/>
                  <w:color w:val="0000FF"/>
                </w:rPr>
                <w:t>agreements thereunder</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6"/>
        </w:trPr>
        <w:tc>
          <w:tcPr>
            <w:tcW w:w="14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185"/>
        </w:trPr>
        <w:tc>
          <w:tcPr>
            <w:tcW w:w="14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10.11(b)+</w:t>
            </w:r>
          </w:p>
        </w:tc>
        <w:tc>
          <w:tcPr>
            <w:tcW w:w="5080" w:type="dxa"/>
            <w:vAlign w:val="bottom"/>
            <w:gridSpan w:val="15"/>
            <w:shd w:val="clear" w:color="auto" w:fill="CCEEFF"/>
          </w:tcPr>
          <w:p>
            <w:pPr>
              <w:spacing w:after="0" w:line="185" w:lineRule="exact"/>
              <w:rPr>
                <w:rFonts w:ascii="Arial" w:cs="Arial" w:eastAsia="Arial" w:hAnsi="Arial"/>
                <w:sz w:val="18"/>
                <w:szCs w:val="18"/>
                <w:color w:val="0000FF"/>
              </w:rPr>
            </w:pPr>
            <w:hyperlink r:id="rId268">
              <w:r>
                <w:rPr>
                  <w:rFonts w:ascii="Arial" w:cs="Arial" w:eastAsia="Arial" w:hAnsi="Arial"/>
                  <w:sz w:val="18"/>
                  <w:szCs w:val="18"/>
                  <w:color w:val="0000FF"/>
                </w:rPr>
                <w:t>Second Amendment to the Robinhood Markets, Inc. 2020</w:t>
              </w:r>
            </w:hyperlink>
          </w:p>
        </w:tc>
        <w:tc>
          <w:tcPr>
            <w:tcW w:w="880" w:type="dxa"/>
            <w:vAlign w:val="bottom"/>
            <w:shd w:val="clear" w:color="auto" w:fill="CCEEFF"/>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shd w:val="clear" w:color="auto" w:fill="CCEEFF"/>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shd w:val="clear" w:color="auto" w:fill="CCEEFF"/>
          </w:tcPr>
          <w:p>
            <w:pPr>
              <w:jc w:val="center"/>
              <w:ind w:right="1112"/>
              <w:spacing w:after="0" w:line="185" w:lineRule="exact"/>
              <w:rPr>
                <w:sz w:val="20"/>
                <w:szCs w:val="20"/>
                <w:color w:val="auto"/>
              </w:rPr>
            </w:pPr>
            <w:r>
              <w:rPr>
                <w:rFonts w:ascii="Arial" w:cs="Arial" w:eastAsia="Arial" w:hAnsi="Arial"/>
                <w:sz w:val="18"/>
                <w:szCs w:val="18"/>
                <w:color w:val="auto"/>
                <w:w w:val="96"/>
              </w:rPr>
              <w:t>10.4</w:t>
            </w:r>
          </w:p>
        </w:tc>
      </w:tr>
      <w:tr>
        <w:trPr>
          <w:trHeight w:val="179"/>
        </w:trPr>
        <w:tc>
          <w:tcPr>
            <w:tcW w:w="144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7"/>
            <w:shd w:val="clear" w:color="auto" w:fill="CCEEFF"/>
          </w:tcPr>
          <w:p>
            <w:pPr>
              <w:spacing w:after="0" w:line="178" w:lineRule="exact"/>
              <w:rPr>
                <w:rFonts w:ascii="Arial" w:cs="Arial" w:eastAsia="Arial" w:hAnsi="Arial"/>
                <w:sz w:val="18"/>
                <w:szCs w:val="18"/>
                <w:color w:val="0000FF"/>
              </w:rPr>
            </w:pPr>
            <w:hyperlink r:id="rId268">
              <w:r>
                <w:rPr>
                  <w:rFonts w:ascii="Arial" w:cs="Arial" w:eastAsia="Arial" w:hAnsi="Arial"/>
                  <w:sz w:val="18"/>
                  <w:szCs w:val="18"/>
                  <w:color w:val="0000FF"/>
                </w:rPr>
                <w:t>Equity Incentive Plan, dated March 10, 2021</w:t>
              </w:r>
            </w:hyperlink>
          </w:p>
        </w:tc>
        <w:tc>
          <w:tcPr>
            <w:tcW w:w="340" w:type="dxa"/>
            <w:vAlign w:val="bottom"/>
            <w:tcBorders>
              <w:top w:val="single" w:sz="8" w:color="CCEEFF"/>
            </w:tcBorders>
            <w:gridSpan w:val="6"/>
            <w:shd w:val="clear" w:color="auto" w:fill="CCEEFF"/>
          </w:tcPr>
          <w:p>
            <w:pPr>
              <w:spacing w:after="0"/>
              <w:rPr>
                <w:sz w:val="15"/>
                <w:szCs w:val="15"/>
                <w:color w:val="auto"/>
              </w:rPr>
            </w:pPr>
          </w:p>
        </w:tc>
        <w:tc>
          <w:tcPr>
            <w:tcW w:w="24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CCEEFF"/>
            </w:tcBorders>
            <w:shd w:val="clear" w:color="auto" w:fill="CCEEFF"/>
          </w:tcPr>
          <w:p>
            <w:pPr>
              <w:spacing w:after="0"/>
              <w:rPr>
                <w:sz w:val="15"/>
                <w:szCs w:val="15"/>
                <w:color w:val="auto"/>
              </w:rPr>
            </w:pPr>
          </w:p>
        </w:tc>
      </w:tr>
      <w:tr>
        <w:trPr>
          <w:trHeight w:val="46"/>
        </w:trPr>
        <w:tc>
          <w:tcPr>
            <w:tcW w:w="1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10.11(c)+</w:t>
            </w:r>
          </w:p>
        </w:tc>
        <w:tc>
          <w:tcPr>
            <w:tcW w:w="5080" w:type="dxa"/>
            <w:vAlign w:val="bottom"/>
            <w:gridSpan w:val="15"/>
          </w:tcPr>
          <w:p>
            <w:pPr>
              <w:spacing w:after="0" w:line="185" w:lineRule="exact"/>
              <w:rPr>
                <w:rFonts w:ascii="Arial" w:cs="Arial" w:eastAsia="Arial" w:hAnsi="Arial"/>
                <w:sz w:val="18"/>
                <w:szCs w:val="18"/>
                <w:color w:val="0000FF"/>
              </w:rPr>
            </w:pPr>
            <w:hyperlink r:id="rId269">
              <w:r>
                <w:rPr>
                  <w:rFonts w:ascii="Arial" w:cs="Arial" w:eastAsia="Arial" w:hAnsi="Arial"/>
                  <w:sz w:val="18"/>
                  <w:szCs w:val="18"/>
                  <w:color w:val="0000FF"/>
                </w:rPr>
                <w:t>Third Amendment to the Robinhood Markets, Inc. 2020 Equity</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10.5</w:t>
            </w:r>
          </w:p>
        </w:tc>
      </w:tr>
      <w:tr>
        <w:trPr>
          <w:trHeight w:val="152"/>
        </w:trPr>
        <w:tc>
          <w:tcPr>
            <w:tcW w:w="144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69">
              <w:r>
                <w:rPr>
                  <w:rFonts w:ascii="Arial" w:cs="Arial" w:eastAsia="Arial" w:hAnsi="Arial"/>
                  <w:sz w:val="17"/>
                  <w:szCs w:val="17"/>
                  <w:color w:val="0000FF"/>
                </w:rPr>
                <w:t>Incentive Plan, dated May 26, 2021</w:t>
              </w:r>
            </w:hyperlink>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10.12(a)†+</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10.13(b)+</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10.13(c)+</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10.13(d)</w:t>
      </w:r>
      <w:r>
        <w:rPr>
          <w:rFonts w:ascii="Arial" w:cs="Arial" w:eastAsia="Arial" w:hAnsi="Arial"/>
          <w:sz w:val="14"/>
          <w:szCs w:val="14"/>
          <w:color w:val="auto"/>
        </w:rPr>
        <w: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10.14(b)+</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9"/>
          </w:tcPr>
          <w:p>
            <w:pPr>
              <w:spacing w:after="0"/>
              <w:rPr>
                <w:rFonts w:ascii="Arial" w:cs="Arial" w:eastAsia="Arial" w:hAnsi="Arial"/>
                <w:sz w:val="18"/>
                <w:szCs w:val="18"/>
                <w:color w:val="0000FF"/>
              </w:rPr>
            </w:pPr>
            <w:hyperlink r:id="rId270">
              <w:r>
                <w:rPr>
                  <w:rFonts w:ascii="Arial" w:cs="Arial" w:eastAsia="Arial" w:hAnsi="Arial"/>
                  <w:sz w:val="18"/>
                  <w:szCs w:val="18"/>
                  <w:color w:val="0000FF"/>
                </w:rPr>
                <w:t>Form of 2021 Market-Based RSU Award, dated May 26, 2021,</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10.17</w:t>
            </w:r>
          </w:p>
        </w:tc>
      </w:tr>
      <w:tr>
        <w:trPr>
          <w:trHeight w:val="179"/>
        </w:trPr>
        <w:tc>
          <w:tcPr>
            <w:tcW w:w="4620" w:type="dxa"/>
            <w:vAlign w:val="bottom"/>
            <w:tcBorders>
              <w:top w:val="single" w:sz="8" w:color="0000FF"/>
              <w:bottom w:val="single" w:sz="8" w:color="0000FF"/>
            </w:tcBorders>
            <w:gridSpan w:val="20"/>
          </w:tcPr>
          <w:p>
            <w:pPr>
              <w:spacing w:after="0" w:line="178" w:lineRule="exact"/>
              <w:rPr>
                <w:rFonts w:ascii="Arial" w:cs="Arial" w:eastAsia="Arial" w:hAnsi="Arial"/>
                <w:sz w:val="18"/>
                <w:szCs w:val="18"/>
                <w:color w:val="0000FF"/>
                <w:w w:val="98"/>
              </w:rPr>
            </w:pPr>
            <w:hyperlink r:id="rId270">
              <w:r>
                <w:rPr>
                  <w:rFonts w:ascii="Arial" w:cs="Arial" w:eastAsia="Arial" w:hAnsi="Arial"/>
                  <w:sz w:val="18"/>
                  <w:szCs w:val="18"/>
                  <w:color w:val="0000FF"/>
                  <w:w w:val="98"/>
                </w:rPr>
                <w:t>between Robinhood Markets, Inc. and, separately (a) Baiju</w:t>
              </w:r>
            </w:hyperlink>
          </w:p>
        </w:tc>
        <w:tc>
          <w:tcPr>
            <w:tcW w:w="240" w:type="dxa"/>
            <w:vAlign w:val="bottom"/>
            <w:tcBorders>
              <w:top w:val="single" w:sz="8" w:color="0000FF"/>
            </w:tcBorders>
            <w:gridSpan w:val="8"/>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5080" w:type="dxa"/>
            <w:vAlign w:val="bottom"/>
            <w:gridSpan w:val="29"/>
          </w:tcPr>
          <w:p>
            <w:pPr>
              <w:spacing w:after="0" w:line="192" w:lineRule="exact"/>
              <w:rPr>
                <w:rFonts w:ascii="Arial" w:cs="Arial" w:eastAsia="Arial" w:hAnsi="Arial"/>
                <w:sz w:val="18"/>
                <w:szCs w:val="18"/>
                <w:color w:val="0000FF"/>
              </w:rPr>
            </w:pPr>
            <w:hyperlink r:id="rId270">
              <w:r>
                <w:rPr>
                  <w:rFonts w:ascii="Arial" w:cs="Arial" w:eastAsia="Arial" w:hAnsi="Arial"/>
                  <w:sz w:val="18"/>
                  <w:szCs w:val="18"/>
                  <w:color w:val="0000FF"/>
                </w:rPr>
                <w:t>Bhatt and (b) Vladimir Tenev</w:t>
              </w:r>
            </w:hyperlink>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71">
              <w:r>
                <w:rPr>
                  <w:rFonts w:ascii="Arial" w:cs="Arial" w:eastAsia="Arial" w:hAnsi="Arial"/>
                  <w:sz w:val="18"/>
                  <w:szCs w:val="18"/>
                  <w:color w:val="0000FF"/>
                </w:rPr>
                <w:t>Form of RSU Agreement for Non-Employee Directors</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10.18</w:t>
            </w:r>
          </w:p>
        </w:tc>
      </w:tr>
      <w:tr>
        <w:trPr>
          <w:trHeight w:val="152"/>
        </w:trPr>
        <w:tc>
          <w:tcPr>
            <w:tcW w:w="416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271">
              <w:r>
                <w:rPr>
                  <w:rFonts w:ascii="Arial" w:cs="Arial" w:eastAsia="Arial" w:hAnsi="Arial"/>
                  <w:sz w:val="17"/>
                  <w:szCs w:val="17"/>
                  <w:color w:val="0000FF"/>
                </w:rPr>
                <w:t>(including the Notice of Grant) under the 2020 Plan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5"/>
        </w:trPr>
        <w:tc>
          <w:tcPr>
            <w:tcW w:w="5080" w:type="dxa"/>
            <w:vAlign w:val="bottom"/>
            <w:gridSpan w:val="29"/>
          </w:tcPr>
          <w:p>
            <w:pPr>
              <w:spacing w:after="0"/>
              <w:rPr>
                <w:rFonts w:ascii="Arial" w:cs="Arial" w:eastAsia="Arial" w:hAnsi="Arial"/>
                <w:sz w:val="18"/>
                <w:szCs w:val="18"/>
                <w:color w:val="0000FF"/>
              </w:rPr>
            </w:pPr>
            <w:hyperlink r:id="rId272">
              <w:r>
                <w:rPr>
                  <w:rFonts w:ascii="Arial" w:cs="Arial" w:eastAsia="Arial" w:hAnsi="Arial"/>
                  <w:sz w:val="18"/>
                  <w:szCs w:val="18"/>
                  <w:color w:val="0000FF"/>
                </w:rPr>
                <w:t>Robinhood Markets, Inc. Amended and Restated 2013 Stock</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10.3</w:t>
            </w:r>
          </w:p>
        </w:tc>
      </w:tr>
      <w:tr>
        <w:trPr>
          <w:trHeight w:val="179"/>
        </w:trPr>
        <w:tc>
          <w:tcPr>
            <w:tcW w:w="4780" w:type="dxa"/>
            <w:vAlign w:val="bottom"/>
            <w:tcBorders>
              <w:top w:val="single" w:sz="8" w:color="0000FF"/>
            </w:tcBorders>
            <w:gridSpan w:val="25"/>
          </w:tcPr>
          <w:p>
            <w:pPr>
              <w:spacing w:after="0" w:line="178" w:lineRule="exact"/>
              <w:rPr>
                <w:rFonts w:ascii="Arial" w:cs="Arial" w:eastAsia="Arial" w:hAnsi="Arial"/>
                <w:sz w:val="18"/>
                <w:szCs w:val="18"/>
                <w:color w:val="0000FF"/>
              </w:rPr>
            </w:pPr>
            <w:hyperlink r:id="rId272">
              <w:r>
                <w:rPr>
                  <w:rFonts w:ascii="Arial" w:cs="Arial" w:eastAsia="Arial" w:hAnsi="Arial"/>
                  <w:sz w:val="18"/>
                  <w:szCs w:val="18"/>
                  <w:color w:val="0000FF"/>
                </w:rPr>
                <w:t>Plan and form grant notices and award agreements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60" w:type="dxa"/>
            <w:vAlign w:val="bottom"/>
            <w:tcBorders>
              <w:top w:val="single" w:sz="8" w:color="0000FF"/>
              <w:bottom w:val="single" w:sz="8" w:color="0000FF"/>
            </w:tcBorders>
            <w:gridSpan w:val="2"/>
          </w:tcPr>
          <w:p>
            <w:pPr>
              <w:spacing w:after="0" w:line="178" w:lineRule="exact"/>
              <w:rPr>
                <w:rFonts w:ascii="Arial" w:cs="Arial" w:eastAsia="Arial" w:hAnsi="Arial"/>
                <w:sz w:val="18"/>
                <w:szCs w:val="18"/>
                <w:color w:val="0000FF"/>
                <w:w w:val="96"/>
              </w:rPr>
            </w:pPr>
            <w:hyperlink r:id="rId272">
              <w:r>
                <w:rPr>
                  <w:rFonts w:ascii="Arial" w:cs="Arial" w:eastAsia="Arial" w:hAnsi="Arial"/>
                  <w:sz w:val="18"/>
                  <w:szCs w:val="18"/>
                  <w:color w:val="0000FF"/>
                  <w:w w:val="96"/>
                </w:rPr>
                <w:t>thereunder</w:t>
              </w:r>
            </w:hyperlink>
          </w:p>
        </w:tc>
        <w:tc>
          <w:tcPr>
            <w:tcW w:w="3140" w:type="dxa"/>
            <w:vAlign w:val="bottom"/>
            <w:tcBorders>
              <w:top w:val="single" w:sz="8" w:color="0000FF"/>
            </w:tcBorders>
            <w:gridSpan w:val="8"/>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5080" w:type="dxa"/>
            <w:vAlign w:val="bottom"/>
            <w:gridSpan w:val="29"/>
          </w:tcPr>
          <w:p>
            <w:pPr>
              <w:spacing w:after="0"/>
              <w:rPr>
                <w:rFonts w:ascii="Arial" w:cs="Arial" w:eastAsia="Arial" w:hAnsi="Arial"/>
                <w:sz w:val="18"/>
                <w:szCs w:val="18"/>
                <w:color w:val="0000FF"/>
              </w:rPr>
            </w:pPr>
            <w:hyperlink r:id="rId273">
              <w:r>
                <w:rPr>
                  <w:rFonts w:ascii="Arial" w:cs="Arial" w:eastAsia="Arial" w:hAnsi="Arial"/>
                  <w:sz w:val="18"/>
                  <w:szCs w:val="18"/>
                  <w:color w:val="0000FF"/>
                </w:rPr>
                <w:t>Form of Notice of Time-Based Restricted Stock Unit Award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10.15</w:t>
            </w:r>
          </w:p>
        </w:tc>
      </w:tr>
      <w:tr>
        <w:trPr>
          <w:trHeight w:val="179"/>
        </w:trPr>
        <w:tc>
          <w:tcPr>
            <w:tcW w:w="4600" w:type="dxa"/>
            <w:vAlign w:val="bottom"/>
            <w:tcBorders>
              <w:top w:val="single" w:sz="8" w:color="0000FF"/>
              <w:bottom w:val="single" w:sz="8" w:color="0000FF"/>
            </w:tcBorders>
            <w:gridSpan w:val="19"/>
          </w:tcPr>
          <w:p>
            <w:pPr>
              <w:spacing w:after="0" w:line="178" w:lineRule="exact"/>
              <w:rPr>
                <w:rFonts w:ascii="Arial" w:cs="Arial" w:eastAsia="Arial" w:hAnsi="Arial"/>
                <w:sz w:val="18"/>
                <w:szCs w:val="18"/>
                <w:color w:val="0000FF"/>
                <w:w w:val="97"/>
              </w:rPr>
            </w:pPr>
            <w:hyperlink r:id="rId273">
              <w:r>
                <w:rPr>
                  <w:rFonts w:ascii="Arial" w:cs="Arial" w:eastAsia="Arial" w:hAnsi="Arial"/>
                  <w:sz w:val="18"/>
                  <w:szCs w:val="18"/>
                  <w:color w:val="0000FF"/>
                  <w:w w:val="97"/>
                </w:rPr>
                <w:t>and Restricted Stock Unit Agreement under the Robinhood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20" w:type="dxa"/>
            <w:vAlign w:val="bottom"/>
            <w:gridSpan w:val="20"/>
          </w:tcPr>
          <w:p>
            <w:pPr>
              <w:spacing w:after="0" w:line="178" w:lineRule="exact"/>
              <w:rPr>
                <w:rFonts w:ascii="Arial" w:cs="Arial" w:eastAsia="Arial" w:hAnsi="Arial"/>
                <w:sz w:val="18"/>
                <w:szCs w:val="18"/>
                <w:color w:val="0000FF"/>
              </w:rPr>
            </w:pPr>
            <w:hyperlink r:id="rId273">
              <w:r>
                <w:rPr>
                  <w:rFonts w:ascii="Arial" w:cs="Arial" w:eastAsia="Arial" w:hAnsi="Arial"/>
                  <w:sz w:val="18"/>
                  <w:szCs w:val="18"/>
                  <w:color w:val="0000FF"/>
                </w:rPr>
                <w:t>Markets, Inc. Amended and Restated 2013 Stock Plan for</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500" w:type="dxa"/>
            <w:vAlign w:val="bottom"/>
            <w:tcBorders>
              <w:top w:val="single" w:sz="8" w:color="0000FF"/>
            </w:tcBorders>
            <w:gridSpan w:val="16"/>
          </w:tcPr>
          <w:p>
            <w:pPr>
              <w:spacing w:after="0" w:line="178" w:lineRule="exact"/>
              <w:rPr>
                <w:rFonts w:ascii="Arial" w:cs="Arial" w:eastAsia="Arial" w:hAnsi="Arial"/>
                <w:sz w:val="18"/>
                <w:szCs w:val="18"/>
                <w:color w:val="0000FF"/>
              </w:rPr>
            </w:pPr>
            <w:hyperlink r:id="rId273">
              <w:r>
                <w:rPr>
                  <w:rFonts w:ascii="Arial" w:cs="Arial" w:eastAsia="Arial" w:hAnsi="Arial"/>
                  <w:sz w:val="18"/>
                  <w:szCs w:val="18"/>
                  <w:color w:val="0000FF"/>
                </w:rPr>
                <w:t>Vladimir Tenev and Baiju Bhatt</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1"/>
        </w:trPr>
        <w:tc>
          <w:tcPr>
            <w:tcW w:w="4580" w:type="dxa"/>
            <w:vAlign w:val="bottom"/>
            <w:tcBorders>
              <w:bottom w:val="single" w:sz="8" w:color="0000FF"/>
            </w:tcBorders>
            <w:gridSpan w:val="18"/>
          </w:tcPr>
          <w:p>
            <w:pPr>
              <w:spacing w:after="0"/>
              <w:rPr>
                <w:rFonts w:ascii="Arial" w:cs="Arial" w:eastAsia="Arial" w:hAnsi="Arial"/>
                <w:sz w:val="18"/>
                <w:szCs w:val="18"/>
                <w:color w:val="0000FF"/>
                <w:w w:val="97"/>
              </w:rPr>
            </w:pPr>
            <w:hyperlink r:id="rId274">
              <w:r>
                <w:rPr>
                  <w:rFonts w:ascii="Arial" w:cs="Arial" w:eastAsia="Arial" w:hAnsi="Arial"/>
                  <w:sz w:val="18"/>
                  <w:szCs w:val="18"/>
                  <w:color w:val="0000FF"/>
                  <w:w w:val="97"/>
                </w:rPr>
                <w:t>Form of 2019 Market-Based RSU Award, as amended and</w:t>
              </w:r>
            </w:hyperlink>
          </w:p>
        </w:tc>
        <w:tc>
          <w:tcPr>
            <w:tcW w:w="500" w:type="dxa"/>
            <w:vAlign w:val="bottom"/>
            <w:gridSpan w:val="11"/>
          </w:tcPr>
          <w:p>
            <w:pPr>
              <w:spacing w:after="0"/>
              <w:rPr>
                <w:sz w:val="20"/>
                <w:szCs w:val="20"/>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74">
              <w:r>
                <w:rPr>
                  <w:rFonts w:ascii="Arial" w:cs="Arial" w:eastAsia="Arial" w:hAnsi="Arial"/>
                  <w:sz w:val="17"/>
                  <w:szCs w:val="17"/>
                  <w:color w:val="0000FF"/>
                </w:rPr>
                <w:t>restated on May 26, 2021, between Robinhood Markets, Inc.</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740" w:type="dxa"/>
            <w:vAlign w:val="bottom"/>
            <w:tcBorders>
              <w:top w:val="single" w:sz="8" w:color="0000FF"/>
            </w:tcBorders>
            <w:gridSpan w:val="23"/>
          </w:tcPr>
          <w:p>
            <w:pPr>
              <w:spacing w:after="0" w:line="165" w:lineRule="exact"/>
              <w:rPr>
                <w:rFonts w:ascii="Arial" w:cs="Arial" w:eastAsia="Arial" w:hAnsi="Arial"/>
                <w:sz w:val="18"/>
                <w:szCs w:val="18"/>
                <w:color w:val="0000FF"/>
              </w:rPr>
            </w:pPr>
            <w:hyperlink r:id="rId274">
              <w:r>
                <w:rPr>
                  <w:rFonts w:ascii="Arial" w:cs="Arial" w:eastAsia="Arial" w:hAnsi="Arial"/>
                  <w:sz w:val="18"/>
                  <w:szCs w:val="18"/>
                  <w:color w:val="0000FF"/>
                </w:rPr>
                <w:t>and, separately (a) Baiju Bhatt and (b) Vladimir Tenev</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81"/>
        </w:trPr>
        <w:tc>
          <w:tcPr>
            <w:tcW w:w="5080" w:type="dxa"/>
            <w:vAlign w:val="bottom"/>
            <w:gridSpan w:val="29"/>
          </w:tcPr>
          <w:p>
            <w:pPr>
              <w:spacing w:after="0"/>
              <w:rPr>
                <w:rFonts w:ascii="Arial" w:cs="Arial" w:eastAsia="Arial" w:hAnsi="Arial"/>
                <w:sz w:val="18"/>
                <w:szCs w:val="18"/>
                <w:color w:val="0000FF"/>
              </w:rPr>
            </w:pPr>
            <w:hyperlink r:id="rId275">
              <w:r>
                <w:rPr>
                  <w:rFonts w:ascii="Arial" w:cs="Arial" w:eastAsia="Arial" w:hAnsi="Arial"/>
                  <w:sz w:val="18"/>
                  <w:szCs w:val="18"/>
                  <w:color w:val="0000FF"/>
                </w:rPr>
                <w:t>Robinhood Markets, Inc. 2021 Omnibus Incentive Plan (the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99.1</w:t>
            </w:r>
          </w:p>
        </w:tc>
      </w:tr>
      <w:tr>
        <w:trPr>
          <w:trHeight w:val="152"/>
        </w:trPr>
        <w:tc>
          <w:tcPr>
            <w:tcW w:w="9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75">
              <w:r>
                <w:rPr>
                  <w:rFonts w:ascii="Arial" w:cs="Arial" w:eastAsia="Arial" w:hAnsi="Arial"/>
                  <w:sz w:val="17"/>
                  <w:szCs w:val="17"/>
                  <w:color w:val="0000FF"/>
                </w:rPr>
                <w:t>“2021 Plan”)</w:t>
              </w:r>
            </w:hyperlink>
          </w:p>
        </w:tc>
        <w:tc>
          <w:tcPr>
            <w:tcW w:w="366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76">
              <w:r>
                <w:rPr>
                  <w:rFonts w:ascii="Arial" w:cs="Arial" w:eastAsia="Arial" w:hAnsi="Arial"/>
                  <w:sz w:val="18"/>
                  <w:szCs w:val="18"/>
                  <w:color w:val="0000FF"/>
                </w:rPr>
                <w:t>Form of Restricted Stock Unit Agreement for Employees and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47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76">
              <w:r>
                <w:rPr>
                  <w:rFonts w:ascii="Arial" w:cs="Arial" w:eastAsia="Arial" w:hAnsi="Arial"/>
                  <w:sz w:val="17"/>
                  <w:szCs w:val="17"/>
                  <w:color w:val="0000FF"/>
                </w:rPr>
                <w:t>Non-Employee Directors (including the Notices of Grant)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400" w:type="dxa"/>
            <w:vAlign w:val="bottom"/>
            <w:tcBorders>
              <w:top w:val="single" w:sz="8" w:color="0000FF"/>
            </w:tcBorders>
            <w:gridSpan w:val="15"/>
          </w:tcPr>
          <w:p>
            <w:pPr>
              <w:spacing w:after="0" w:line="165" w:lineRule="exact"/>
              <w:rPr>
                <w:rFonts w:ascii="Arial" w:cs="Arial" w:eastAsia="Arial" w:hAnsi="Arial"/>
                <w:sz w:val="18"/>
                <w:szCs w:val="18"/>
                <w:color w:val="0000FF"/>
              </w:rPr>
            </w:pPr>
            <w:hyperlink r:id="rId276">
              <w:r>
                <w:rPr>
                  <w:rFonts w:ascii="Arial" w:cs="Arial" w:eastAsia="Arial" w:hAnsi="Arial"/>
                  <w:sz w:val="18"/>
                  <w:szCs w:val="18"/>
                  <w:color w:val="0000FF"/>
                </w:rPr>
                <w:t>under the 2021 Plan</w:t>
              </w:r>
            </w:hyperlink>
          </w:p>
        </w:tc>
        <w:tc>
          <w:tcPr>
            <w:tcW w:w="12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5"/>
        </w:trPr>
        <w:tc>
          <w:tcPr>
            <w:tcW w:w="426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r:id="rId277">
              <w:r>
                <w:rPr>
                  <w:rFonts w:ascii="Arial" w:cs="Arial" w:eastAsia="Arial" w:hAnsi="Arial"/>
                  <w:sz w:val="18"/>
                  <w:szCs w:val="18"/>
                  <w:color w:val="0000FF"/>
                  <w:w w:val="97"/>
                </w:rPr>
                <w:t>Form of Fully Vested Stock Award Agreement for Non-</w:t>
              </w:r>
            </w:hyperlink>
          </w:p>
        </w:tc>
        <w:tc>
          <w:tcPr>
            <w:tcW w:w="820" w:type="dxa"/>
            <w:vAlign w:val="bottom"/>
            <w:gridSpan w:val="15"/>
          </w:tcPr>
          <w:p>
            <w:pPr>
              <w:spacing w:after="0"/>
              <w:rPr>
                <w:sz w:val="17"/>
                <w:szCs w:val="17"/>
                <w:color w:val="auto"/>
              </w:rPr>
            </w:pPr>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line="205" w:lineRule="exact"/>
              <w:rPr>
                <w:sz w:val="20"/>
                <w:szCs w:val="20"/>
                <w:color w:val="auto"/>
              </w:rPr>
            </w:pPr>
            <w:r>
              <w:rPr>
                <w:rFonts w:ascii="Arial" w:cs="Arial" w:eastAsia="Arial" w:hAnsi="Arial"/>
                <w:sz w:val="18"/>
                <w:szCs w:val="18"/>
                <w:color w:val="auto"/>
                <w:w w:val="97"/>
              </w:rPr>
              <w:t>10.17</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77">
              <w:r>
                <w:rPr>
                  <w:rFonts w:ascii="Arial" w:cs="Arial" w:eastAsia="Arial" w:hAnsi="Arial"/>
                  <w:sz w:val="17"/>
                  <w:szCs w:val="17"/>
                  <w:color w:val="0000FF"/>
                </w:rPr>
                <w:t>Employee Directors (including the Notice of Grant) under the</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8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6"/>
              </w:rPr>
            </w:pPr>
            <w:hyperlink r:id="rId277">
              <w:r>
                <w:rPr>
                  <w:rFonts w:ascii="Arial" w:cs="Arial" w:eastAsia="Arial" w:hAnsi="Arial"/>
                  <w:sz w:val="18"/>
                  <w:szCs w:val="18"/>
                  <w:color w:val="0000FF"/>
                  <w:w w:val="96"/>
                </w:rPr>
                <w:t>2021 Plan</w:t>
              </w:r>
            </w:hyperlink>
          </w:p>
        </w:tc>
        <w:tc>
          <w:tcPr>
            <w:tcW w:w="3920" w:type="dxa"/>
            <w:vAlign w:val="bottom"/>
            <w:tcBorders>
              <w:top w:val="single" w:sz="8" w:color="0000FF"/>
            </w:tcBorders>
            <w:gridSpan w:val="21"/>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5"/>
        </w:trPr>
        <w:tc>
          <w:tcPr>
            <w:tcW w:w="5080" w:type="dxa"/>
            <w:vAlign w:val="bottom"/>
            <w:gridSpan w:val="29"/>
          </w:tcPr>
          <w:p>
            <w:pPr>
              <w:spacing w:after="0" w:line="205" w:lineRule="exact"/>
              <w:rPr>
                <w:rFonts w:ascii="Arial" w:cs="Arial" w:eastAsia="Arial" w:hAnsi="Arial"/>
                <w:sz w:val="18"/>
                <w:szCs w:val="18"/>
                <w:color w:val="0000FF"/>
              </w:rPr>
            </w:pPr>
            <w:hyperlink r:id="rId278">
              <w:r>
                <w:rPr>
                  <w:rFonts w:ascii="Arial" w:cs="Arial" w:eastAsia="Arial" w:hAnsi="Arial"/>
                  <w:sz w:val="18"/>
                  <w:szCs w:val="18"/>
                  <w:color w:val="0000FF"/>
                </w:rPr>
                <w:t>Form of Option Agreement for Employees and Non-Employee</w:t>
              </w:r>
            </w:hyperlink>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2022-02-24</w:t>
            </w:r>
          </w:p>
        </w:tc>
        <w:tc>
          <w:tcPr>
            <w:tcW w:w="940" w:type="dxa"/>
            <w:vAlign w:val="bottom"/>
          </w:tcPr>
          <w:p>
            <w:pPr>
              <w:jc w:val="center"/>
              <w:ind w:left="192"/>
              <w:spacing w:after="0" w:line="205" w:lineRule="exact"/>
              <w:rPr>
                <w:sz w:val="20"/>
                <w:szCs w:val="20"/>
                <w:color w:val="auto"/>
              </w:rPr>
            </w:pPr>
            <w:r>
              <w:rPr>
                <w:rFonts w:ascii="Arial" w:cs="Arial" w:eastAsia="Arial" w:hAnsi="Arial"/>
                <w:sz w:val="18"/>
                <w:szCs w:val="18"/>
                <w:color w:val="auto"/>
                <w:w w:val="98"/>
              </w:rPr>
              <w:t>10.15(d)</w:t>
            </w:r>
          </w:p>
        </w:tc>
      </w:tr>
      <w:tr>
        <w:trPr>
          <w:trHeight w:val="152"/>
        </w:trPr>
        <w:tc>
          <w:tcPr>
            <w:tcW w:w="4820" w:type="dxa"/>
            <w:vAlign w:val="bottom"/>
            <w:tcBorders>
              <w:top w:val="single" w:sz="8" w:color="0000FF"/>
              <w:bottom w:val="single" w:sz="8" w:color="0000FF"/>
            </w:tcBorders>
            <w:gridSpan w:val="26"/>
          </w:tcPr>
          <w:p>
            <w:pPr>
              <w:spacing w:after="0" w:line="152" w:lineRule="exact"/>
              <w:rPr>
                <w:rFonts w:ascii="Arial" w:cs="Arial" w:eastAsia="Arial" w:hAnsi="Arial"/>
                <w:sz w:val="17"/>
                <w:szCs w:val="17"/>
                <w:color w:val="0000FF"/>
              </w:rPr>
            </w:pPr>
            <w:hyperlink r:id="rId278">
              <w:r>
                <w:rPr>
                  <w:rFonts w:ascii="Arial" w:cs="Arial" w:eastAsia="Arial" w:hAnsi="Arial"/>
                  <w:sz w:val="17"/>
                  <w:szCs w:val="17"/>
                  <w:color w:val="0000FF"/>
                </w:rPr>
                <w:t>Directors (including the Notices of Grant) under the 2021 Plan</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79">
              <w:r>
                <w:rPr>
                  <w:rFonts w:ascii="Arial" w:cs="Arial" w:eastAsia="Arial" w:hAnsi="Arial"/>
                  <w:sz w:val="18"/>
                  <w:szCs w:val="18"/>
                  <w:color w:val="0000FF"/>
                </w:rPr>
                <w:t>Robinhood Markets, Inc. 2021 Employee Share Purchase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99.2</w:t>
            </w:r>
          </w:p>
        </w:tc>
      </w:tr>
      <w:tr>
        <w:trPr>
          <w:trHeight w:val="152"/>
        </w:trPr>
        <w:tc>
          <w:tcPr>
            <w:tcW w:w="45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79">
              <w:r>
                <w:rPr>
                  <w:rFonts w:ascii="Arial" w:cs="Arial" w:eastAsia="Arial" w:hAnsi="Arial"/>
                  <w:sz w:val="17"/>
                  <w:szCs w:val="17"/>
                  <w:color w:val="0000FF"/>
                </w:rPr>
                <w:t>Plan (the “ESPP”)</w:t>
              </w:r>
            </w:hyperlink>
          </w:p>
        </w:tc>
        <w:tc>
          <w:tcPr>
            <w:tcW w:w="56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80">
              <w:r>
                <w:rPr>
                  <w:rFonts w:ascii="Arial" w:cs="Arial" w:eastAsia="Arial" w:hAnsi="Arial"/>
                  <w:sz w:val="18"/>
                  <w:szCs w:val="18"/>
                  <w:color w:val="0000FF"/>
                </w:rPr>
                <w:t>Forms of ESPP Subscription Agreement and Notice of</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10.19</w:t>
            </w:r>
          </w:p>
        </w:tc>
      </w:tr>
      <w:tr>
        <w:trPr>
          <w:trHeight w:val="152"/>
        </w:trPr>
        <w:tc>
          <w:tcPr>
            <w:tcW w:w="8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r:id="rId280">
              <w:r>
                <w:rPr>
                  <w:rFonts w:ascii="Arial" w:cs="Arial" w:eastAsia="Arial" w:hAnsi="Arial"/>
                  <w:sz w:val="17"/>
                  <w:szCs w:val="17"/>
                  <w:color w:val="0000FF"/>
                </w:rPr>
                <w:t>Withdrawal</w:t>
              </w:r>
            </w:hyperlink>
          </w:p>
        </w:tc>
        <w:tc>
          <w:tcPr>
            <w:tcW w:w="3360" w:type="dxa"/>
            <w:vAlign w:val="bottom"/>
            <w:tcBorders>
              <w:top w:val="single" w:sz="8" w:color="0000FF"/>
            </w:tcBorders>
            <w:gridSpan w:val="10"/>
          </w:tcPr>
          <w:p>
            <w:pPr>
              <w:spacing w:after="0"/>
              <w:rPr>
                <w:sz w:val="13"/>
                <w:szCs w:val="13"/>
                <w:color w:val="auto"/>
              </w:rPr>
            </w:pPr>
          </w:p>
        </w:tc>
        <w:tc>
          <w:tcPr>
            <w:tcW w:w="840" w:type="dxa"/>
            <w:vAlign w:val="bottom"/>
            <w:gridSpan w:val="16"/>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-4361180</wp:posOffset>
            </wp:positionV>
            <wp:extent cx="7118350" cy="420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118350" cy="4203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-3377565</wp:posOffset>
            </wp:positionV>
            <wp:extent cx="7118350" cy="411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118350" cy="41148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-2428240</wp:posOffset>
            </wp:positionV>
            <wp:extent cx="7118350" cy="672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18350" cy="67246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-1495425</wp:posOffset>
            </wp:positionV>
            <wp:extent cx="7118350" cy="3695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18350" cy="3695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-755650</wp:posOffset>
            </wp:positionV>
            <wp:extent cx="7118350" cy="260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18350" cy="26035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-234950</wp:posOffset>
            </wp:positionV>
            <wp:extent cx="7118350" cy="260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560"/>
            <w:col w:w="97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Arial" w:cs="Arial" w:eastAsia="Arial" w:hAnsi="Arial"/>
                <w:sz w:val="18"/>
                <w:szCs w:val="18"/>
                <w:color w:val="auto"/>
              </w:rPr>
              <w:t>10.15(a)+</w:t>
            </w:r>
          </w:p>
        </w:tc>
        <w:tc>
          <w:tcPr>
            <w:tcW w:w="5080" w:type="dxa"/>
            <w:vAlign w:val="bottom"/>
            <w:gridSpan w:val="30"/>
          </w:tcPr>
          <w:p>
            <w:pPr>
              <w:spacing w:after="0"/>
              <w:rPr>
                <w:rFonts w:ascii="Arial" w:cs="Arial" w:eastAsia="Arial" w:hAnsi="Arial"/>
                <w:sz w:val="18"/>
                <w:szCs w:val="18"/>
                <w:color w:val="0000FF"/>
              </w:rPr>
            </w:pPr>
            <w:hyperlink r:id="rId288">
              <w:r>
                <w:rPr>
                  <w:rFonts w:ascii="Arial" w:cs="Arial" w:eastAsia="Arial" w:hAnsi="Arial"/>
                  <w:sz w:val="18"/>
                  <w:szCs w:val="18"/>
                  <w:color w:val="0000FF"/>
                </w:rPr>
                <w:t>Offer Letter between Robinhood Markets, Inc. and Gretchen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2022-05-06</w:t>
            </w:r>
          </w:p>
        </w:tc>
        <w:tc>
          <w:tcPr>
            <w:tcW w:w="2360" w:type="dxa"/>
            <w:vAlign w:val="bottom"/>
          </w:tcPr>
          <w:p>
            <w:pPr>
              <w:jc w:val="center"/>
              <w:ind w:right="1052"/>
              <w:spacing w:after="0"/>
              <w:rPr>
                <w:sz w:val="20"/>
                <w:szCs w:val="20"/>
                <w:color w:val="auto"/>
              </w:rPr>
            </w:pPr>
            <w:r>
              <w:rPr>
                <w:rFonts w:ascii="Arial" w:cs="Arial" w:eastAsia="Arial" w:hAnsi="Arial"/>
                <w:sz w:val="18"/>
                <w:szCs w:val="18"/>
                <w:color w:val="auto"/>
                <w:w w:val="96"/>
              </w:rPr>
              <w:t>10.3</w:t>
            </w:r>
          </w:p>
        </w:tc>
      </w:tr>
      <w:tr>
        <w:trPr>
          <w:trHeight w:val="152"/>
        </w:trPr>
        <w:tc>
          <w:tcPr>
            <w:tcW w:w="1420" w:type="dxa"/>
            <w:vAlign w:val="bottom"/>
          </w:tcPr>
          <w:p>
            <w:pPr>
              <w:spacing w:after="0"/>
              <w:rPr>
                <w:sz w:val="13"/>
                <w:szCs w:val="13"/>
                <w:color w:val="auto"/>
              </w:rPr>
            </w:pPr>
          </w:p>
        </w:tc>
        <w:tc>
          <w:tcPr>
            <w:tcW w:w="46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88">
              <w:r>
                <w:rPr>
                  <w:rFonts w:ascii="Arial" w:cs="Arial" w:eastAsia="Arial" w:hAnsi="Arial"/>
                  <w:sz w:val="17"/>
                  <w:szCs w:val="17"/>
                  <w:color w:val="0000FF"/>
                </w:rPr>
                <w:t>Howard, dated November 16,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10.15(b)+</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289">
              <w:r>
                <w:rPr>
                  <w:rFonts w:ascii="Arial" w:cs="Arial" w:eastAsia="Arial" w:hAnsi="Arial"/>
                  <w:sz w:val="18"/>
                  <w:szCs w:val="18"/>
                  <w:color w:val="0000FF"/>
                </w:rPr>
                <w:t>Letter Agreement, dated March 15, 2023, between Gretchen</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2023-03-15</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85"/>
        </w:trPr>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292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7"/>
                <w:szCs w:val="17"/>
                <w:color w:val="0000FF"/>
              </w:rPr>
            </w:pPr>
            <w:hyperlink r:id="rId289">
              <w:r>
                <w:rPr>
                  <w:rFonts w:ascii="Arial" w:cs="Arial" w:eastAsia="Arial" w:hAnsi="Arial"/>
                  <w:sz w:val="17"/>
                  <w:szCs w:val="17"/>
                  <w:color w:val="0000FF"/>
                </w:rPr>
                <w:t>Howard and Robinhood Markets, Inc.</w:t>
              </w:r>
            </w:hyperlink>
          </w:p>
        </w:tc>
        <w:tc>
          <w:tcPr>
            <w:tcW w:w="18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23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10.16+</w:t>
            </w:r>
          </w:p>
        </w:tc>
        <w:tc>
          <w:tcPr>
            <w:tcW w:w="5080" w:type="dxa"/>
            <w:vAlign w:val="bottom"/>
            <w:gridSpan w:val="30"/>
          </w:tcPr>
          <w:p>
            <w:pPr>
              <w:spacing w:after="0" w:line="185" w:lineRule="exact"/>
              <w:rPr>
                <w:rFonts w:ascii="Arial" w:cs="Arial" w:eastAsia="Arial" w:hAnsi="Arial"/>
                <w:sz w:val="18"/>
                <w:szCs w:val="18"/>
                <w:color w:val="0000FF"/>
              </w:rPr>
            </w:pPr>
            <w:hyperlink r:id="rId290">
              <w:r>
                <w:rPr>
                  <w:rFonts w:ascii="Arial" w:cs="Arial" w:eastAsia="Arial" w:hAnsi="Arial"/>
                  <w:sz w:val="18"/>
                  <w:szCs w:val="18"/>
                  <w:color w:val="0000FF"/>
                </w:rPr>
                <w:t>Form of Stock Option Agreement for Employees and Non-</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2022-05-06</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10.6</w:t>
            </w:r>
          </w:p>
        </w:tc>
      </w:tr>
      <w:tr>
        <w:trPr>
          <w:trHeight w:val="152"/>
        </w:trPr>
        <w:tc>
          <w:tcPr>
            <w:tcW w:w="1420" w:type="dxa"/>
            <w:vAlign w:val="bottom"/>
          </w:tcPr>
          <w:p>
            <w:pPr>
              <w:spacing w:after="0"/>
              <w:rPr>
                <w:sz w:val="13"/>
                <w:szCs w:val="13"/>
                <w:color w:val="auto"/>
              </w:rPr>
            </w:pPr>
          </w:p>
        </w:tc>
        <w:tc>
          <w:tcPr>
            <w:tcW w:w="45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90">
              <w:r>
                <w:rPr>
                  <w:rFonts w:ascii="Arial" w:cs="Arial" w:eastAsia="Arial" w:hAnsi="Arial"/>
                  <w:sz w:val="17"/>
                  <w:szCs w:val="17"/>
                  <w:color w:val="0000FF"/>
                </w:rPr>
                <w:t>Employee Directors (including Notices of Grant) under the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10"/>
          </w:tcPr>
          <w:p>
            <w:pPr>
              <w:spacing w:after="0" w:line="165" w:lineRule="exact"/>
              <w:rPr>
                <w:rFonts w:ascii="Arial" w:cs="Arial" w:eastAsia="Arial" w:hAnsi="Arial"/>
                <w:sz w:val="18"/>
                <w:szCs w:val="18"/>
                <w:color w:val="0000FF"/>
                <w:w w:val="97"/>
              </w:rPr>
            </w:pPr>
            <w:hyperlink r:id="rId290">
              <w:r>
                <w:rPr>
                  <w:rFonts w:ascii="Arial" w:cs="Arial" w:eastAsia="Arial" w:hAnsi="Arial"/>
                  <w:sz w:val="18"/>
                  <w:szCs w:val="18"/>
                  <w:color w:val="0000FF"/>
                  <w:w w:val="97"/>
                </w:rPr>
                <w:t>Robinhood Markets, Inc. 2021 Omnibus Incentive Plan</w:t>
              </w:r>
            </w:hyperlink>
          </w:p>
        </w:tc>
        <w:tc>
          <w:tcPr>
            <w:tcW w:w="240" w:type="dxa"/>
            <w:vAlign w:val="bottom"/>
            <w:tcBorders>
              <w:top w:val="single" w:sz="8" w:color="0000FF"/>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10.17</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1">
              <w:r>
                <w:rPr>
                  <w:rFonts w:ascii="Arial" w:cs="Arial" w:eastAsia="Arial" w:hAnsi="Arial"/>
                  <w:sz w:val="18"/>
                  <w:szCs w:val="18"/>
                  <w:color w:val="0000FF"/>
                </w:rPr>
                <w:t>Amended and Restated Credit Agreement, dated as of April</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2022-04-14</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20"/>
        </w:trPr>
        <w:tc>
          <w:tcPr>
            <w:tcW w:w="1420" w:type="dxa"/>
            <w:vAlign w:val="bottom"/>
            <w:shd w:val="clear" w:color="auto" w:fill="CCEE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r>
      <w:tr>
        <w:trPr>
          <w:trHeight w:val="152"/>
        </w:trPr>
        <w:tc>
          <w:tcPr>
            <w:tcW w:w="1420" w:type="dxa"/>
            <w:vAlign w:val="bottom"/>
            <w:shd w:val="clear" w:color="auto" w:fill="CCEEFF"/>
          </w:tcPr>
          <w:p>
            <w:pPr>
              <w:spacing w:after="0"/>
              <w:rPr>
                <w:sz w:val="13"/>
                <w:szCs w:val="13"/>
                <w:color w:val="auto"/>
              </w:rPr>
            </w:pPr>
          </w:p>
        </w:tc>
        <w:tc>
          <w:tcPr>
            <w:tcW w:w="5080" w:type="dxa"/>
            <w:vAlign w:val="bottom"/>
            <w:gridSpan w:val="30"/>
            <w:shd w:val="clear" w:color="auto" w:fill="CCEEFF"/>
          </w:tcPr>
          <w:p>
            <w:pPr>
              <w:spacing w:after="0" w:line="152" w:lineRule="exact"/>
              <w:rPr>
                <w:rFonts w:ascii="Arial" w:cs="Arial" w:eastAsia="Arial" w:hAnsi="Arial"/>
                <w:sz w:val="17"/>
                <w:szCs w:val="17"/>
                <w:color w:val="0000FF"/>
              </w:rPr>
            </w:pPr>
            <w:hyperlink r:id="rId291">
              <w:r>
                <w:rPr>
                  <w:rFonts w:ascii="Arial" w:cs="Arial" w:eastAsia="Arial" w:hAnsi="Arial"/>
                  <w:sz w:val="17"/>
                  <w:szCs w:val="17"/>
                  <w:color w:val="0000FF"/>
                </w:rPr>
                <w:t>11, 2022, among Robinhood Securities, LLC, as borrower, the</w:t>
              </w:r>
            </w:hyperlink>
          </w:p>
        </w:tc>
        <w:tc>
          <w:tcPr>
            <w:tcW w:w="9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65"/>
        </w:trPr>
        <w:tc>
          <w:tcPr>
            <w:tcW w:w="1420" w:type="dxa"/>
            <w:vAlign w:val="bottom"/>
            <w:tcBorders>
              <w:top w:val="single" w:sz="8" w:color="CCEEFF"/>
            </w:tcBorders>
            <w:shd w:val="clear" w:color="auto" w:fill="CCEEFF"/>
          </w:tcPr>
          <w:p>
            <w:pPr>
              <w:spacing w:after="0"/>
              <w:rPr>
                <w:sz w:val="14"/>
                <w:szCs w:val="14"/>
                <w:color w:val="auto"/>
              </w:rPr>
            </w:pPr>
          </w:p>
        </w:tc>
        <w:tc>
          <w:tcPr>
            <w:tcW w:w="4860" w:type="dxa"/>
            <w:vAlign w:val="bottom"/>
            <w:tcBorders>
              <w:top w:val="single" w:sz="8" w:color="0000FF"/>
            </w:tcBorders>
            <w:gridSpan w:val="27"/>
            <w:shd w:val="clear" w:color="auto" w:fill="CCEEFF"/>
          </w:tcPr>
          <w:p>
            <w:pPr>
              <w:spacing w:after="0" w:line="165" w:lineRule="exact"/>
              <w:rPr>
                <w:rFonts w:ascii="Arial" w:cs="Arial" w:eastAsia="Arial" w:hAnsi="Arial"/>
                <w:sz w:val="18"/>
                <w:szCs w:val="18"/>
                <w:color w:val="0000FF"/>
              </w:rPr>
            </w:pPr>
            <w:hyperlink r:id="rId291">
              <w:r>
                <w:rPr>
                  <w:rFonts w:ascii="Arial" w:cs="Arial" w:eastAsia="Arial" w:hAnsi="Arial"/>
                  <w:sz w:val="18"/>
                  <w:szCs w:val="18"/>
                  <w:color w:val="0000FF"/>
                </w:rPr>
                <w:t>lenders party thereto, and JPMorgan Chase Bank,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CCEEFF"/>
            </w:tcBorders>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17"/>
            <w:shd w:val="clear" w:color="auto" w:fill="CCEEFF"/>
          </w:tcPr>
          <w:p>
            <w:pPr>
              <w:spacing w:after="0" w:line="152" w:lineRule="exact"/>
              <w:rPr>
                <w:rFonts w:ascii="Arial" w:cs="Arial" w:eastAsia="Arial" w:hAnsi="Arial"/>
                <w:sz w:val="17"/>
                <w:szCs w:val="17"/>
                <w:color w:val="0000FF"/>
              </w:rPr>
            </w:pPr>
            <w:hyperlink r:id="rId291">
              <w:r>
                <w:rPr>
                  <w:rFonts w:ascii="Arial" w:cs="Arial" w:eastAsia="Arial" w:hAnsi="Arial"/>
                  <w:sz w:val="17"/>
                  <w:szCs w:val="17"/>
                  <w:color w:val="0000FF"/>
                </w:rPr>
                <w:t>administrative agent</w:t>
              </w:r>
            </w:hyperlink>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10.18+</w:t>
            </w:r>
          </w:p>
        </w:tc>
        <w:tc>
          <w:tcPr>
            <w:tcW w:w="5080" w:type="dxa"/>
            <w:vAlign w:val="bottom"/>
            <w:gridSpan w:val="30"/>
          </w:tcPr>
          <w:p>
            <w:pPr>
              <w:spacing w:after="0" w:line="185" w:lineRule="exact"/>
              <w:rPr>
                <w:rFonts w:ascii="Arial" w:cs="Arial" w:eastAsia="Arial" w:hAnsi="Arial"/>
                <w:sz w:val="18"/>
                <w:szCs w:val="18"/>
                <w:color w:val="0000FF"/>
              </w:rPr>
            </w:pPr>
            <w:hyperlink r:id="rId292">
              <w:r>
                <w:rPr>
                  <w:rFonts w:ascii="Arial" w:cs="Arial" w:eastAsia="Arial" w:hAnsi="Arial"/>
                  <w:sz w:val="18"/>
                  <w:szCs w:val="18"/>
                  <w:color w:val="0000FF"/>
                </w:rPr>
                <w:t>Form of Restricted Stock Unit Cancellation Agreement, dated</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2023-02-08</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Pr>
          <w:p>
            <w:pPr>
              <w:spacing w:after="0"/>
              <w:rPr>
                <w:sz w:val="13"/>
                <w:szCs w:val="13"/>
                <w:color w:val="auto"/>
              </w:rPr>
            </w:pPr>
          </w:p>
        </w:tc>
        <w:tc>
          <w:tcPr>
            <w:tcW w:w="48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92">
              <w:r>
                <w:rPr>
                  <w:rFonts w:ascii="Arial" w:cs="Arial" w:eastAsia="Arial" w:hAnsi="Arial"/>
                  <w:sz w:val="17"/>
                  <w:szCs w:val="17"/>
                  <w:color w:val="0000FF"/>
                </w:rPr>
                <w:t>February 3, 2023 between Robinhood Markets, Inc.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96"/>
              </w:rPr>
            </w:pPr>
            <w:hyperlink r:id="rId292">
              <w:r>
                <w:rPr>
                  <w:rFonts w:ascii="Arial" w:cs="Arial" w:eastAsia="Arial" w:hAnsi="Arial"/>
                  <w:sz w:val="18"/>
                  <w:szCs w:val="18"/>
                  <w:color w:val="0000FF"/>
                  <w:w w:val="96"/>
                </w:rPr>
                <w:t>separately, (a) Vladimir Tenev and (b) Baiju Bhatt</w:t>
              </w:r>
            </w:hyperlink>
          </w:p>
        </w:tc>
        <w:tc>
          <w:tcPr>
            <w:tcW w:w="5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10.19</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3">
              <w:r>
                <w:rPr>
                  <w:rFonts w:ascii="Arial" w:cs="Arial" w:eastAsia="Arial" w:hAnsi="Arial"/>
                  <w:sz w:val="18"/>
                  <w:szCs w:val="18"/>
                  <w:color w:val="0000FF"/>
                </w:rPr>
                <w:t>Second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2023-03-24</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29"/>
            <w:shd w:val="clear" w:color="auto" w:fill="CCEEFF"/>
          </w:tcPr>
          <w:p>
            <w:pPr>
              <w:spacing w:after="0" w:line="152" w:lineRule="exact"/>
              <w:rPr>
                <w:rFonts w:ascii="Arial" w:cs="Arial" w:eastAsia="Arial" w:hAnsi="Arial"/>
                <w:sz w:val="17"/>
                <w:szCs w:val="17"/>
                <w:color w:val="0000FF"/>
              </w:rPr>
            </w:pPr>
            <w:hyperlink r:id="rId293">
              <w:r>
                <w:rPr>
                  <w:rFonts w:ascii="Arial" w:cs="Arial" w:eastAsia="Arial" w:hAnsi="Arial"/>
                  <w:sz w:val="17"/>
                  <w:szCs w:val="17"/>
                  <w:color w:val="0000FF"/>
                </w:rPr>
                <w:t>March 24, 2023, among Robinhood Securities LLC,as</w:t>
              </w:r>
            </w:hyperlink>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right w:val="single" w:sz="8" w:color="CCEEFF"/>
            </w:tcBorders>
            <w:gridSpan w:val="2"/>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r>
      <w:tr>
        <w:trPr>
          <w:trHeight w:val="165"/>
        </w:trPr>
        <w:tc>
          <w:tcPr>
            <w:tcW w:w="1420" w:type="dxa"/>
            <w:vAlign w:val="bottom"/>
            <w:shd w:val="clear" w:color="auto" w:fill="CCEEFF"/>
          </w:tcPr>
          <w:p>
            <w:pPr>
              <w:spacing w:after="0"/>
              <w:rPr>
                <w:sz w:val="14"/>
                <w:szCs w:val="14"/>
                <w:color w:val="auto"/>
              </w:rPr>
            </w:pPr>
          </w:p>
        </w:tc>
        <w:tc>
          <w:tcPr>
            <w:tcW w:w="5080" w:type="dxa"/>
            <w:vAlign w:val="bottom"/>
            <w:gridSpan w:val="30"/>
            <w:shd w:val="clear" w:color="auto" w:fill="CCEEFF"/>
          </w:tcPr>
          <w:p>
            <w:pPr>
              <w:spacing w:after="0" w:line="165" w:lineRule="exact"/>
              <w:rPr>
                <w:rFonts w:ascii="Arial" w:cs="Arial" w:eastAsia="Arial" w:hAnsi="Arial"/>
                <w:sz w:val="18"/>
                <w:szCs w:val="18"/>
                <w:color w:val="0000FF"/>
              </w:rPr>
            </w:pPr>
            <w:hyperlink r:id="rId293">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93">
              <w:r>
                <w:rPr>
                  <w:rFonts w:ascii="Arial" w:cs="Arial" w:eastAsia="Arial" w:hAnsi="Arial"/>
                  <w:sz w:val="17"/>
                  <w:szCs w:val="17"/>
                  <w:color w:val="0000FF"/>
                </w:rPr>
                <w:t>Bank, N.A., as administrative agent</w:t>
              </w:r>
            </w:hyperlink>
          </w:p>
        </w:tc>
        <w:tc>
          <w:tcPr>
            <w:tcW w:w="16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10.20</w:t>
            </w:r>
          </w:p>
        </w:tc>
        <w:tc>
          <w:tcPr>
            <w:tcW w:w="5080" w:type="dxa"/>
            <w:vAlign w:val="bottom"/>
            <w:gridSpan w:val="30"/>
          </w:tcPr>
          <w:p>
            <w:pPr>
              <w:spacing w:after="0" w:line="185" w:lineRule="exact"/>
              <w:rPr>
                <w:rFonts w:ascii="Arial" w:cs="Arial" w:eastAsia="Arial" w:hAnsi="Arial"/>
                <w:sz w:val="18"/>
                <w:szCs w:val="18"/>
                <w:color w:val="0000FF"/>
              </w:rPr>
            </w:pPr>
            <w:hyperlink r:id="rId294">
              <w:r>
                <w:rPr>
                  <w:rFonts w:ascii="Arial" w:cs="Arial" w:eastAsia="Arial" w:hAnsi="Arial"/>
                  <w:sz w:val="18"/>
                  <w:szCs w:val="18"/>
                  <w:color w:val="0000FF"/>
                </w:rPr>
                <w:t>Share Purchase Agreement, dated as of August 30, 2023, by</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2023-09-01</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Pr>
          <w:p>
            <w:pPr>
              <w:spacing w:after="0"/>
              <w:rPr>
                <w:sz w:val="13"/>
                <w:szCs w:val="13"/>
                <w:color w:val="auto"/>
              </w:rPr>
            </w:pPr>
          </w:p>
        </w:tc>
        <w:tc>
          <w:tcPr>
            <w:tcW w:w="48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94">
              <w:r>
                <w:rPr>
                  <w:rFonts w:ascii="Arial" w:cs="Arial" w:eastAsia="Arial" w:hAnsi="Arial"/>
                  <w:sz w:val="17"/>
                  <w:szCs w:val="17"/>
                  <w:color w:val="0000FF"/>
                </w:rPr>
                <w:t>Robinhood Markets, Inc, as purchaser, and the United States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12"/>
          </w:tcPr>
          <w:p>
            <w:pPr>
              <w:spacing w:after="0" w:line="165" w:lineRule="exact"/>
              <w:rPr>
                <w:rFonts w:ascii="Arial" w:cs="Arial" w:eastAsia="Arial" w:hAnsi="Arial"/>
                <w:sz w:val="18"/>
                <w:szCs w:val="18"/>
                <w:color w:val="0000FF"/>
                <w:w w:val="97"/>
              </w:rPr>
            </w:pPr>
            <w:hyperlink r:id="rId294">
              <w:r>
                <w:rPr>
                  <w:rFonts w:ascii="Arial" w:cs="Arial" w:eastAsia="Arial" w:hAnsi="Arial"/>
                  <w:sz w:val="18"/>
                  <w:szCs w:val="18"/>
                  <w:color w:val="0000FF"/>
                  <w:w w:val="97"/>
                </w:rPr>
                <w:t>Marshals Service, for and on behalf of the United States</w:t>
              </w:r>
            </w:hyperlink>
          </w:p>
        </w:tc>
        <w:tc>
          <w:tcPr>
            <w:tcW w:w="400" w:type="dxa"/>
            <w:vAlign w:val="bottom"/>
            <w:tcBorders>
              <w:top w:val="single" w:sz="8" w:color="0000FF"/>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10.21</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5">
              <w:r>
                <w:rPr>
                  <w:rFonts w:ascii="Arial" w:cs="Arial" w:eastAsia="Arial" w:hAnsi="Arial"/>
                  <w:sz w:val="18"/>
                  <w:szCs w:val="18"/>
                  <w:color w:val="0000FF"/>
                </w:rPr>
                <w:t>Third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2024-03-22</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4260" w:type="dxa"/>
            <w:vAlign w:val="bottom"/>
            <w:tcBorders>
              <w:top w:val="single" w:sz="8" w:color="0000FF"/>
              <w:bottom w:val="single" w:sz="8" w:color="0000FF"/>
              <w:right w:val="single" w:sz="8" w:color="CCEEFF"/>
            </w:tcBorders>
            <w:gridSpan w:val="9"/>
            <w:shd w:val="clear" w:color="auto" w:fill="CCEEFF"/>
          </w:tcPr>
          <w:p>
            <w:pPr>
              <w:spacing w:after="0" w:line="152" w:lineRule="exact"/>
              <w:rPr>
                <w:rFonts w:ascii="Arial" w:cs="Arial" w:eastAsia="Arial" w:hAnsi="Arial"/>
                <w:sz w:val="17"/>
                <w:szCs w:val="17"/>
                <w:color w:val="0000FF"/>
              </w:rPr>
            </w:pPr>
            <w:hyperlink r:id="rId295">
              <w:r>
                <w:rPr>
                  <w:rFonts w:ascii="Arial" w:cs="Arial" w:eastAsia="Arial" w:hAnsi="Arial"/>
                  <w:sz w:val="17"/>
                  <w:szCs w:val="17"/>
                  <w:color w:val="0000FF"/>
                </w:rPr>
                <w:t>March 22, 2024, among Robinhood Securities LLC, as</w:t>
              </w:r>
            </w:hyperlink>
          </w:p>
        </w:tc>
        <w:tc>
          <w:tcPr>
            <w:tcW w:w="46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23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5"/>
        </w:trPr>
        <w:tc>
          <w:tcPr>
            <w:tcW w:w="1420" w:type="dxa"/>
            <w:vAlign w:val="bottom"/>
            <w:shd w:val="clear" w:color="auto" w:fill="CCEEFF"/>
          </w:tcPr>
          <w:p>
            <w:pPr>
              <w:spacing w:after="0"/>
              <w:rPr>
                <w:sz w:val="14"/>
                <w:szCs w:val="14"/>
                <w:color w:val="auto"/>
              </w:rPr>
            </w:pPr>
          </w:p>
        </w:tc>
        <w:tc>
          <w:tcPr>
            <w:tcW w:w="5080" w:type="dxa"/>
            <w:vAlign w:val="bottom"/>
            <w:gridSpan w:val="30"/>
            <w:shd w:val="clear" w:color="auto" w:fill="CCEEFF"/>
          </w:tcPr>
          <w:p>
            <w:pPr>
              <w:spacing w:after="0" w:line="165" w:lineRule="exact"/>
              <w:rPr>
                <w:rFonts w:ascii="Arial" w:cs="Arial" w:eastAsia="Arial" w:hAnsi="Arial"/>
                <w:sz w:val="18"/>
                <w:szCs w:val="18"/>
                <w:color w:val="0000FF"/>
              </w:rPr>
            </w:pPr>
            <w:hyperlink r:id="rId295">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95">
              <w:r>
                <w:rPr>
                  <w:rFonts w:ascii="Arial" w:cs="Arial" w:eastAsia="Arial" w:hAnsi="Arial"/>
                  <w:sz w:val="17"/>
                  <w:szCs w:val="17"/>
                  <w:color w:val="0000FF"/>
                </w:rPr>
                <w:t>Bank, N.A., as administrative agent</w:t>
              </w:r>
            </w:hyperlink>
          </w:p>
        </w:tc>
        <w:tc>
          <w:tcPr>
            <w:tcW w:w="16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10.22+</w:t>
            </w:r>
          </w:p>
        </w:tc>
        <w:tc>
          <w:tcPr>
            <w:tcW w:w="5080" w:type="dxa"/>
            <w:vAlign w:val="bottom"/>
            <w:gridSpan w:val="30"/>
          </w:tcPr>
          <w:p>
            <w:pPr>
              <w:spacing w:after="0" w:line="185" w:lineRule="exact"/>
              <w:rPr>
                <w:rFonts w:ascii="Arial" w:cs="Arial" w:eastAsia="Arial" w:hAnsi="Arial"/>
                <w:sz w:val="18"/>
                <w:szCs w:val="18"/>
                <w:color w:val="0000FF"/>
              </w:rPr>
            </w:pPr>
            <w:hyperlink r:id="rId296">
              <w:r>
                <w:rPr>
                  <w:rFonts w:ascii="Arial" w:cs="Arial" w:eastAsia="Arial" w:hAnsi="Arial"/>
                  <w:sz w:val="18"/>
                  <w:szCs w:val="18"/>
                  <w:color w:val="0000FF"/>
                </w:rPr>
                <w:t>Robinhood Markets, Inc. Change in Control and Severance</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72"/>
              <w:spacing w:after="0" w:line="185" w:lineRule="exact"/>
              <w:rPr>
                <w:sz w:val="20"/>
                <w:szCs w:val="20"/>
                <w:color w:val="auto"/>
              </w:rPr>
            </w:pPr>
            <w:r>
              <w:rPr>
                <w:rFonts w:ascii="Arial" w:cs="Arial" w:eastAsia="Arial" w:hAnsi="Arial"/>
                <w:sz w:val="18"/>
                <w:szCs w:val="18"/>
                <w:color w:val="auto"/>
                <w:w w:val="97"/>
              </w:rPr>
              <w:t>10.22</w:t>
            </w:r>
          </w:p>
        </w:tc>
      </w:tr>
      <w:tr>
        <w:trPr>
          <w:trHeight w:val="152"/>
        </w:trPr>
        <w:tc>
          <w:tcPr>
            <w:tcW w:w="1420" w:type="dxa"/>
            <w:vAlign w:val="bottom"/>
          </w:tcPr>
          <w:p>
            <w:pPr>
              <w:spacing w:after="0"/>
              <w:rPr>
                <w:sz w:val="13"/>
                <w:szCs w:val="13"/>
                <w:color w:val="auto"/>
              </w:rPr>
            </w:pPr>
          </w:p>
        </w:tc>
        <w:tc>
          <w:tcPr>
            <w:tcW w:w="46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96">
              <w:r>
                <w:rPr>
                  <w:rFonts w:ascii="Arial" w:cs="Arial" w:eastAsia="Arial" w:hAnsi="Arial"/>
                  <w:sz w:val="17"/>
                  <w:szCs w:val="17"/>
                  <w:color w:val="0000FF"/>
                </w:rPr>
                <w:t>Plan for Key Employees</w:t>
              </w:r>
            </w:hyperlink>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10.23(a)+</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297">
              <w:r>
                <w:rPr>
                  <w:rFonts w:ascii="Arial" w:cs="Arial" w:eastAsia="Arial" w:hAnsi="Arial"/>
                  <w:sz w:val="18"/>
                  <w:szCs w:val="18"/>
                  <w:color w:val="0000FF"/>
                </w:rPr>
                <w:t>Offer Letter between Robinhood Markets, Inc. and Steve</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8"/>
              </w:rPr>
              <w:t>10.23(a)</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rPr>
            </w:pPr>
            <w:hyperlink r:id="rId297">
              <w:r>
                <w:rPr>
                  <w:rFonts w:ascii="Arial" w:cs="Arial" w:eastAsia="Arial" w:hAnsi="Arial"/>
                  <w:sz w:val="17"/>
                  <w:szCs w:val="17"/>
                  <w:color w:val="0000FF"/>
                </w:rPr>
                <w:t>Quirk, dated July 13, 2021</w:t>
              </w:r>
            </w:hyperlink>
          </w:p>
        </w:tc>
        <w:tc>
          <w:tcPr>
            <w:tcW w:w="320" w:type="dxa"/>
            <w:vAlign w:val="bottom"/>
            <w:tcBorders>
              <w:top w:val="single" w:sz="8" w:color="CCEEFF"/>
            </w:tcBorders>
            <w:gridSpan w:val="8"/>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10.23(b)+</w:t>
            </w:r>
          </w:p>
        </w:tc>
        <w:tc>
          <w:tcPr>
            <w:tcW w:w="5080" w:type="dxa"/>
            <w:vAlign w:val="bottom"/>
            <w:gridSpan w:val="30"/>
          </w:tcPr>
          <w:p>
            <w:pPr>
              <w:spacing w:after="0" w:line="185" w:lineRule="exact"/>
              <w:rPr>
                <w:rFonts w:ascii="Arial" w:cs="Arial" w:eastAsia="Arial" w:hAnsi="Arial"/>
                <w:sz w:val="18"/>
                <w:szCs w:val="18"/>
                <w:color w:val="0000FF"/>
              </w:rPr>
            </w:pPr>
            <w:hyperlink r:id="rId298">
              <w:r>
                <w:rPr>
                  <w:rFonts w:ascii="Arial" w:cs="Arial" w:eastAsia="Arial" w:hAnsi="Arial"/>
                  <w:sz w:val="18"/>
                  <w:szCs w:val="18"/>
                  <w:color w:val="0000FF"/>
                </w:rPr>
                <w:t>Amended Offer Letter between Robinhood Markets, Inc. and</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8"/>
              </w:rPr>
              <w:t>10.23(b)</w:t>
            </w:r>
          </w:p>
        </w:tc>
      </w:tr>
      <w:tr>
        <w:trPr>
          <w:trHeight w:val="152"/>
        </w:trPr>
        <w:tc>
          <w:tcPr>
            <w:tcW w:w="1420" w:type="dxa"/>
            <w:vAlign w:val="bottom"/>
          </w:tcPr>
          <w:p>
            <w:pPr>
              <w:spacing w:after="0"/>
              <w:rPr>
                <w:sz w:val="13"/>
                <w:szCs w:val="13"/>
                <w:color w:val="auto"/>
              </w:rPr>
            </w:pPr>
          </w:p>
        </w:tc>
        <w:tc>
          <w:tcPr>
            <w:tcW w:w="474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298">
              <w:r>
                <w:rPr>
                  <w:rFonts w:ascii="Arial" w:cs="Arial" w:eastAsia="Arial" w:hAnsi="Arial"/>
                  <w:sz w:val="17"/>
                  <w:szCs w:val="17"/>
                  <w:color w:val="0000FF"/>
                </w:rPr>
                <w:t>Steve Quirk, dated November 18, 2021</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10.23(c)+</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299">
              <w:r>
                <w:rPr>
                  <w:rFonts w:ascii="Arial" w:cs="Arial" w:eastAsia="Arial" w:hAnsi="Arial"/>
                  <w:sz w:val="18"/>
                  <w:szCs w:val="18"/>
                  <w:color w:val="0000FF"/>
                </w:rPr>
                <w:t>Amended Offer Letter between Robinhood Markets, Inc. and</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9"/>
              </w:rPr>
              <w:t>10.23(c)</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21"/>
            <w:shd w:val="clear" w:color="auto" w:fill="CCEEFF"/>
          </w:tcPr>
          <w:p>
            <w:pPr>
              <w:spacing w:after="0" w:line="152" w:lineRule="exact"/>
              <w:rPr>
                <w:rFonts w:ascii="Arial" w:cs="Arial" w:eastAsia="Arial" w:hAnsi="Arial"/>
                <w:sz w:val="17"/>
                <w:szCs w:val="17"/>
                <w:color w:val="0000FF"/>
              </w:rPr>
            </w:pPr>
            <w:hyperlink r:id="rId299">
              <w:r>
                <w:rPr>
                  <w:rFonts w:ascii="Arial" w:cs="Arial" w:eastAsia="Arial" w:hAnsi="Arial"/>
                  <w:sz w:val="17"/>
                  <w:szCs w:val="17"/>
                  <w:color w:val="0000FF"/>
                </w:rPr>
                <w:t>Steve Quirk, dated January 7, 2022</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10.24</w:t>
            </w:r>
          </w:p>
        </w:tc>
        <w:tc>
          <w:tcPr>
            <w:tcW w:w="5080" w:type="dxa"/>
            <w:vAlign w:val="bottom"/>
            <w:gridSpan w:val="30"/>
          </w:tcPr>
          <w:p>
            <w:pPr>
              <w:spacing w:after="0" w:line="185" w:lineRule="exact"/>
              <w:rPr>
                <w:rFonts w:ascii="Arial" w:cs="Arial" w:eastAsia="Arial" w:hAnsi="Arial"/>
                <w:sz w:val="18"/>
                <w:szCs w:val="18"/>
                <w:color w:val="0000FF"/>
              </w:rPr>
            </w:pPr>
            <w:hyperlink r:id="rId300">
              <w:r>
                <w:rPr>
                  <w:rFonts w:ascii="Arial" w:cs="Arial" w:eastAsia="Arial" w:hAnsi="Arial"/>
                  <w:sz w:val="18"/>
                  <w:szCs w:val="18"/>
                  <w:color w:val="0000FF"/>
                </w:rPr>
                <w:t>Offer Letter between Robinhood Markets, Inc. and Jeff Pinner,</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72"/>
              <w:spacing w:after="0" w:line="185" w:lineRule="exact"/>
              <w:rPr>
                <w:sz w:val="20"/>
                <w:szCs w:val="20"/>
                <w:color w:val="auto"/>
              </w:rPr>
            </w:pPr>
            <w:r>
              <w:rPr>
                <w:rFonts w:ascii="Arial" w:cs="Arial" w:eastAsia="Arial" w:hAnsi="Arial"/>
                <w:sz w:val="18"/>
                <w:szCs w:val="18"/>
                <w:color w:val="auto"/>
                <w:w w:val="97"/>
              </w:rPr>
              <w:t>10.24</w:t>
            </w:r>
          </w:p>
        </w:tc>
      </w:tr>
      <w:tr>
        <w:trPr>
          <w:trHeight w:val="152"/>
        </w:trPr>
        <w:tc>
          <w:tcPr>
            <w:tcW w:w="1420" w:type="dxa"/>
            <w:vAlign w:val="bottom"/>
          </w:tcPr>
          <w:p>
            <w:pPr>
              <w:spacing w:after="0"/>
              <w:rPr>
                <w:sz w:val="13"/>
                <w:szCs w:val="13"/>
                <w:color w:val="auto"/>
              </w:rPr>
            </w:pPr>
          </w:p>
        </w:tc>
        <w:tc>
          <w:tcPr>
            <w:tcW w:w="488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300">
              <w:r>
                <w:rPr>
                  <w:rFonts w:ascii="Arial" w:cs="Arial" w:eastAsia="Arial" w:hAnsi="Arial"/>
                  <w:sz w:val="17"/>
                  <w:szCs w:val="17"/>
                  <w:color w:val="0000FF"/>
                </w:rPr>
                <w:t>dated July 24, 2024</w:t>
              </w:r>
            </w:hyperlink>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71"/>
        </w:trPr>
        <w:tc>
          <w:tcPr>
            <w:tcW w:w="1420" w:type="dxa"/>
            <w:vAlign w:val="bottom"/>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05"/>
        </w:trPr>
        <w:tc>
          <w:tcPr>
            <w:tcW w:w="142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10.25+</w:t>
            </w:r>
          </w:p>
        </w:tc>
        <w:tc>
          <w:tcPr>
            <w:tcW w:w="3740" w:type="dxa"/>
            <w:vAlign w:val="bottom"/>
            <w:tcBorders>
              <w:bottom w:val="single" w:sz="8" w:color="0000FF"/>
            </w:tcBorders>
            <w:gridSpan w:val="7"/>
            <w:shd w:val="clear" w:color="auto" w:fill="CCEEFF"/>
          </w:tcPr>
          <w:p>
            <w:pPr>
              <w:spacing w:after="0" w:line="185" w:lineRule="exact"/>
              <w:rPr>
                <w:rFonts w:ascii="Arial" w:cs="Arial" w:eastAsia="Arial" w:hAnsi="Arial"/>
                <w:sz w:val="18"/>
                <w:szCs w:val="18"/>
                <w:color w:val="0000FF"/>
                <w:w w:val="97"/>
              </w:rPr>
            </w:pPr>
            <w:r>
              <w:rPr>
                <w:rFonts w:ascii="Arial" w:cs="Arial" w:eastAsia="Arial" w:hAnsi="Arial"/>
                <w:sz w:val="18"/>
                <w:szCs w:val="18"/>
                <w:color w:val="0000FF"/>
                <w:w w:val="97"/>
              </w:rPr>
              <w:t>Non</w:t>
            </w:r>
            <w:hyperlink r:id="rId301">
              <w:r>
                <w:rPr>
                  <w:rFonts w:ascii="Arial" w:cs="Arial" w:eastAsia="Arial" w:hAnsi="Arial"/>
                  <w:sz w:val="18"/>
                  <w:szCs w:val="18"/>
                  <w:color w:val="0000FF"/>
                  <w:w w:val="97"/>
                </w:rPr>
                <w:t>-employee Director Compensation Program</w:t>
              </w:r>
            </w:hyperlink>
          </w:p>
        </w:tc>
        <w:tc>
          <w:tcPr>
            <w:tcW w:w="134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5" w:lineRule="exact"/>
              <w:rPr>
                <w:sz w:val="20"/>
                <w:szCs w:val="20"/>
                <w:color w:val="auto"/>
              </w:rPr>
            </w:pPr>
            <w:r>
              <w:rPr>
                <w:rFonts w:ascii="Arial" w:cs="Arial" w:eastAsia="Arial" w:hAnsi="Arial"/>
                <w:sz w:val="18"/>
                <w:szCs w:val="18"/>
                <w:color w:val="auto"/>
                <w:w w:val="94"/>
              </w:rPr>
              <w:t>10-Q</w:t>
            </w:r>
          </w:p>
        </w:tc>
        <w:tc>
          <w:tcPr>
            <w:tcW w:w="1460" w:type="dxa"/>
            <w:vAlign w:val="bottom"/>
            <w:tcBorders>
              <w:bottom w:val="single" w:sz="8" w:color="CCEEFF"/>
            </w:tcBorders>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2025-07-31</w:t>
            </w:r>
          </w:p>
        </w:tc>
        <w:tc>
          <w:tcPr>
            <w:tcW w:w="2360" w:type="dxa"/>
            <w:vAlign w:val="bottom"/>
            <w:tcBorders>
              <w:bottom w:val="single" w:sz="8" w:color="CCEEFF"/>
            </w:tcBorders>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10.26</w:t>
            </w:r>
          </w:p>
        </w:tc>
        <w:tc>
          <w:tcPr>
            <w:tcW w:w="5080" w:type="dxa"/>
            <w:vAlign w:val="bottom"/>
            <w:gridSpan w:val="30"/>
          </w:tcPr>
          <w:p>
            <w:pPr>
              <w:spacing w:after="0" w:line="185" w:lineRule="exact"/>
              <w:rPr>
                <w:rFonts w:ascii="Arial" w:cs="Arial" w:eastAsia="Arial" w:hAnsi="Arial"/>
                <w:sz w:val="18"/>
                <w:szCs w:val="18"/>
                <w:color w:val="0000FF"/>
              </w:rPr>
            </w:pPr>
            <w:hyperlink r:id="rId302">
              <w:r>
                <w:rPr>
                  <w:rFonts w:ascii="Arial" w:cs="Arial" w:eastAsia="Arial" w:hAnsi="Arial"/>
                  <w:sz w:val="18"/>
                  <w:szCs w:val="18"/>
                  <w:color w:val="0000FF"/>
                </w:rPr>
                <w:t>Fourth Amended and Restated Credit Agreement, dated as of</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2025-03-25</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64"/>
        </w:trPr>
        <w:tc>
          <w:tcPr>
            <w:tcW w:w="1420" w:type="dxa"/>
            <w:vAlign w:val="bottom"/>
          </w:tcPr>
          <w:p>
            <w:pPr>
              <w:spacing w:after="0"/>
              <w:rPr>
                <w:sz w:val="14"/>
                <w:szCs w:val="14"/>
                <w:color w:val="auto"/>
              </w:rPr>
            </w:pPr>
          </w:p>
        </w:tc>
        <w:tc>
          <w:tcPr>
            <w:tcW w:w="4840" w:type="dxa"/>
            <w:vAlign w:val="bottom"/>
            <w:tcBorders>
              <w:top w:val="single" w:sz="8" w:color="0000FF"/>
            </w:tcBorders>
            <w:gridSpan w:val="26"/>
          </w:tcPr>
          <w:p>
            <w:pPr>
              <w:spacing w:after="0" w:line="164" w:lineRule="exact"/>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March 21, 2025, among Robinhood Securities, LLC, as</w:t>
              </w:r>
            </w:hyperlink>
          </w:p>
        </w:tc>
        <w:tc>
          <w:tcPr>
            <w:tcW w:w="24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tcPr>
          <w:p>
            <w:pPr>
              <w:spacing w:after="0"/>
              <w:rPr>
                <w:sz w:val="14"/>
                <w:szCs w:val="14"/>
                <w:color w:val="auto"/>
              </w:rPr>
            </w:pPr>
          </w:p>
        </w:tc>
      </w:tr>
    </w:tbl>
    <w:p>
      <w:pPr>
        <w:ind w:left="1420"/>
        <w:spacing w:after="0" w:line="199" w:lineRule="auto"/>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borrower, the lenders party thereto, and JPMorgan Chase</w:t>
        </w:r>
      </w:hyperlink>
    </w:p>
    <w:p>
      <w:pPr>
        <w:ind w:left="1420"/>
        <w:spacing w:after="0"/>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Bank, N.A.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10.27+</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0000FF"/>
              </w:rPr>
              <w:t>Transition Letter between Robinhood Markets, Inc. and Jason</w:t>
            </w:r>
          </w:p>
        </w:tc>
        <w:tc>
          <w:tcPr>
            <w:tcW w:w="8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0000FF"/>
            </w:tcBorders>
            <w:gridSpan w:val="12"/>
            <w:shd w:val="clear" w:color="auto" w:fill="CCEEFF"/>
          </w:tcPr>
          <w:p>
            <w:pPr>
              <w:spacing w:after="0" w:line="152" w:lineRule="exact"/>
              <w:rPr>
                <w:sz w:val="20"/>
                <w:szCs w:val="20"/>
                <w:color w:val="auto"/>
              </w:rPr>
            </w:pPr>
            <w:r>
              <w:rPr>
                <w:rFonts w:ascii="Arial" w:cs="Arial" w:eastAsia="Arial" w:hAnsi="Arial"/>
                <w:sz w:val="17"/>
                <w:szCs w:val="17"/>
                <w:color w:val="0000FF"/>
              </w:rPr>
              <w:t>Warnick, dated February 2, 2026</w:t>
            </w: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19.1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Robinhood Markets, Inc. Confidential Information and Insider</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760" w:type="dxa"/>
            <w:vAlign w:val="bottom"/>
            <w:tcBorders>
              <w:top w:val="single" w:sz="8" w:color="0000FF"/>
            </w:tcBorders>
            <w:gridSpan w:val="11"/>
          </w:tcPr>
          <w:p>
            <w:pPr>
              <w:spacing w:after="0" w:line="152" w:lineRule="exact"/>
              <w:rPr>
                <w:sz w:val="20"/>
                <w:szCs w:val="20"/>
                <w:color w:val="auto"/>
              </w:rPr>
            </w:pPr>
            <w:r>
              <w:rPr>
                <w:rFonts w:ascii="Arial" w:cs="Arial" w:eastAsia="Arial" w:hAnsi="Arial"/>
                <w:sz w:val="17"/>
                <w:szCs w:val="17"/>
                <w:color w:val="0000FF"/>
              </w:rPr>
              <w:t>Trading Policy</w:t>
            </w:r>
          </w:p>
        </w:tc>
        <w:tc>
          <w:tcPr>
            <w:tcW w:w="3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21.1</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Subsidiaries of Robinhood Markets, Inc.</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40"/>
        </w:trPr>
        <w:tc>
          <w:tcPr>
            <w:tcW w:w="142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9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23.1</w:t>
            </w:r>
          </w:p>
        </w:tc>
        <w:tc>
          <w:tcPr>
            <w:tcW w:w="4660" w:type="dxa"/>
            <w:vAlign w:val="bottom"/>
            <w:tcBorders>
              <w:bottom w:val="single" w:sz="8" w:color="0000FF"/>
            </w:tcBorders>
            <w:gridSpan w:val="10"/>
          </w:tcPr>
          <w:p>
            <w:pPr>
              <w:spacing w:after="0" w:line="185" w:lineRule="exact"/>
              <w:rPr>
                <w:sz w:val="20"/>
                <w:szCs w:val="20"/>
                <w:color w:val="auto"/>
              </w:rPr>
            </w:pPr>
            <w:r>
              <w:rPr>
                <w:rFonts w:ascii="Arial" w:cs="Arial" w:eastAsia="Arial" w:hAnsi="Arial"/>
                <w:sz w:val="18"/>
                <w:szCs w:val="18"/>
                <w:color w:val="0000FF"/>
                <w:w w:val="98"/>
              </w:rPr>
              <w:t>Consent of Independent Registered Public Accounting Firm</w:t>
            </w:r>
          </w:p>
        </w:tc>
        <w:tc>
          <w:tcPr>
            <w:tcW w:w="42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215"/>
        </w:trPr>
        <w:tc>
          <w:tcPr>
            <w:tcW w:w="142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24.1</w:t>
            </w:r>
          </w:p>
        </w:tc>
        <w:tc>
          <w:tcPr>
            <w:tcW w:w="4280" w:type="dxa"/>
            <w:vAlign w:val="bottom"/>
            <w:tcBorders>
              <w:bottom w:val="single" w:sz="8" w:color="0000FF"/>
            </w:tcBorders>
            <w:gridSpan w:val="6"/>
            <w:shd w:val="clear" w:color="auto" w:fill="CCEEFF"/>
          </w:tcPr>
          <w:p>
            <w:pPr>
              <w:spacing w:after="0" w:line="195" w:lineRule="exact"/>
              <w:rPr>
                <w:sz w:val="20"/>
                <w:szCs w:val="20"/>
                <w:color w:val="auto"/>
              </w:rPr>
            </w:pPr>
            <w:r>
              <w:rPr>
                <w:rFonts w:ascii="Arial" w:cs="Arial" w:eastAsia="Arial" w:hAnsi="Arial"/>
                <w:sz w:val="18"/>
                <w:szCs w:val="18"/>
                <w:color w:val="0000FF"/>
                <w:w w:val="97"/>
              </w:rPr>
              <w:t>Power of Attorney (included in signature pages hereto)</w:t>
            </w:r>
          </w:p>
        </w:tc>
        <w:tc>
          <w:tcPr>
            <w:tcW w:w="800" w:type="dxa"/>
            <w:vAlign w:val="bottom"/>
            <w:tcBorders>
              <w:bottom w:val="single" w:sz="8" w:color="CCEEFF"/>
            </w:tcBorders>
            <w:gridSpan w:val="7"/>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ind w:left="1660"/>
              <w:spacing w:after="0" w:line="195" w:lineRule="exact"/>
              <w:rPr>
                <w:sz w:val="20"/>
                <w:szCs w:val="20"/>
                <w:color w:val="auto"/>
              </w:rPr>
            </w:pPr>
            <w:r>
              <w:rPr>
                <w:rFonts w:ascii="Arial" w:cs="Arial" w:eastAsia="Arial" w:hAnsi="Arial"/>
                <w:sz w:val="18"/>
                <w:szCs w:val="18"/>
                <w:color w:val="auto"/>
              </w:rPr>
              <w:t>X</w:t>
            </w: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31.1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CEO Certification pursuant to Section 302 of the Sarbanes-</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40" w:type="dxa"/>
            <w:vAlign w:val="bottom"/>
            <w:tcBorders>
              <w:top w:val="single" w:sz="8" w:color="0000FF"/>
            </w:tcBorders>
            <w:gridSpan w:val="9"/>
          </w:tcPr>
          <w:p>
            <w:pPr>
              <w:spacing w:after="0" w:line="152" w:lineRule="exact"/>
              <w:rPr>
                <w:sz w:val="20"/>
                <w:szCs w:val="20"/>
                <w:color w:val="auto"/>
              </w:rPr>
            </w:pPr>
            <w:r>
              <w:rPr>
                <w:rFonts w:ascii="Arial" w:cs="Arial" w:eastAsia="Arial" w:hAnsi="Arial"/>
                <w:sz w:val="17"/>
                <w:szCs w:val="17"/>
                <w:color w:val="0000FF"/>
              </w:rPr>
              <w:t>Oxley Act</w:t>
            </w:r>
          </w:p>
        </w:tc>
        <w:tc>
          <w:tcPr>
            <w:tcW w:w="4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31.2</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CFO Certification pursuant to Section 302 of the Sarbanes-</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8"/>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gridSpan w:val="5"/>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32.1‡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CEO Certification pursuant to Section 906 of the Sarbanes-</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40" w:type="dxa"/>
            <w:vAlign w:val="bottom"/>
            <w:tcBorders>
              <w:top w:val="single" w:sz="8" w:color="0000FF"/>
            </w:tcBorders>
            <w:gridSpan w:val="9"/>
          </w:tcPr>
          <w:p>
            <w:pPr>
              <w:spacing w:after="0" w:line="152" w:lineRule="exact"/>
              <w:rPr>
                <w:sz w:val="20"/>
                <w:szCs w:val="20"/>
                <w:color w:val="auto"/>
              </w:rPr>
            </w:pPr>
            <w:r>
              <w:rPr>
                <w:rFonts w:ascii="Arial" w:cs="Arial" w:eastAsia="Arial" w:hAnsi="Arial"/>
                <w:sz w:val="17"/>
                <w:szCs w:val="17"/>
                <w:color w:val="0000FF"/>
              </w:rPr>
              <w:t>Oxley Act</w:t>
            </w:r>
          </w:p>
        </w:tc>
        <w:tc>
          <w:tcPr>
            <w:tcW w:w="4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32.2‡</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CFO Certification pursuant to Section 906 of the Sarbanes-</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8"/>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gridSpan w:val="5"/>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97.1</w:t>
            </w:r>
          </w:p>
        </w:tc>
        <w:tc>
          <w:tcPr>
            <w:tcW w:w="5080" w:type="dxa"/>
            <w:vAlign w:val="bottom"/>
            <w:gridSpan w:val="13"/>
          </w:tcPr>
          <w:p>
            <w:pPr>
              <w:spacing w:after="0" w:line="185" w:lineRule="exact"/>
              <w:rPr>
                <w:rFonts w:ascii="Arial" w:cs="Arial" w:eastAsia="Arial" w:hAnsi="Arial"/>
                <w:sz w:val="18"/>
                <w:szCs w:val="18"/>
                <w:color w:val="0000FF"/>
              </w:rPr>
            </w:pPr>
            <w:hyperlink r:id="rId304">
              <w:r>
                <w:rPr>
                  <w:rFonts w:ascii="Arial" w:cs="Arial" w:eastAsia="Arial" w:hAnsi="Arial"/>
                  <w:sz w:val="18"/>
                  <w:szCs w:val="18"/>
                  <w:color w:val="0000FF"/>
                </w:rPr>
                <w:t>Robinhood Markets, Inc. Incentive-based Compensation</w:t>
              </w:r>
            </w:hyperlink>
          </w:p>
        </w:tc>
        <w:tc>
          <w:tcPr>
            <w:tcW w:w="880" w:type="dxa"/>
            <w:vAlign w:val="bottom"/>
          </w:tcPr>
          <w:p>
            <w:pPr>
              <w:ind w:left="200"/>
              <w:spacing w:after="0" w:line="185" w:lineRule="exact"/>
              <w:rPr>
                <w:sz w:val="20"/>
                <w:szCs w:val="20"/>
                <w:color w:val="auto"/>
              </w:rPr>
            </w:pPr>
            <w:r>
              <w:rPr>
                <w:rFonts w:ascii="Arial" w:cs="Arial" w:eastAsia="Arial" w:hAnsi="Arial"/>
                <w:sz w:val="18"/>
                <w:szCs w:val="18"/>
                <w:color w:val="auto"/>
              </w:rPr>
              <w:t>10-K</w:t>
            </w:r>
          </w:p>
        </w:tc>
        <w:tc>
          <w:tcPr>
            <w:tcW w:w="1560" w:type="dxa"/>
            <w:vAlign w:val="bottom"/>
          </w:tcPr>
          <w:p>
            <w:pPr>
              <w:jc w:val="right"/>
              <w:ind w:right="272"/>
              <w:spacing w:after="0" w:line="185" w:lineRule="exact"/>
              <w:rPr>
                <w:sz w:val="20"/>
                <w:szCs w:val="20"/>
                <w:color w:val="auto"/>
              </w:rPr>
            </w:pPr>
            <w:r>
              <w:rPr>
                <w:rFonts w:ascii="Arial" w:cs="Arial" w:eastAsia="Arial" w:hAnsi="Arial"/>
                <w:sz w:val="18"/>
                <w:szCs w:val="18"/>
                <w:color w:val="auto"/>
              </w:rPr>
              <w:t>2024-02-27</w:t>
            </w:r>
          </w:p>
        </w:tc>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rPr>
              <w:t>97.1</w:t>
            </w:r>
          </w:p>
        </w:tc>
      </w:tr>
      <w:tr>
        <w:trPr>
          <w:trHeight w:val="152"/>
        </w:trPr>
        <w:tc>
          <w:tcPr>
            <w:tcW w:w="1420" w:type="dxa"/>
            <w:vAlign w:val="bottom"/>
          </w:tcPr>
          <w:p>
            <w:pPr>
              <w:spacing w:after="0"/>
              <w:rPr>
                <w:sz w:val="13"/>
                <w:szCs w:val="13"/>
                <w:color w:val="auto"/>
              </w:rPr>
            </w:pPr>
          </w:p>
        </w:tc>
        <w:tc>
          <w:tcPr>
            <w:tcW w:w="440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r:id="rId304">
              <w:r>
                <w:rPr>
                  <w:rFonts w:ascii="Arial" w:cs="Arial" w:eastAsia="Arial" w:hAnsi="Arial"/>
                  <w:sz w:val="17"/>
                  <w:szCs w:val="17"/>
                  <w:color w:val="0000FF"/>
                </w:rPr>
                <w:t>Recovery Policy, Effective October 2, 2023</w:t>
              </w:r>
            </w:hyperlink>
          </w:p>
        </w:tc>
        <w:tc>
          <w:tcPr>
            <w:tcW w:w="68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72"/>
        </w:trPr>
        <w:tc>
          <w:tcPr>
            <w:tcW w:w="14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101.INS</w:t>
            </w:r>
          </w:p>
        </w:tc>
        <w:tc>
          <w:tcPr>
            <w:tcW w:w="5080" w:type="dxa"/>
            <w:vAlign w:val="bottom"/>
            <w:gridSpan w:val="13"/>
            <w:shd w:val="clear" w:color="auto" w:fill="CCEEFF"/>
          </w:tcPr>
          <w:p>
            <w:pPr>
              <w:spacing w:after="0" w:line="172" w:lineRule="exact"/>
              <w:rPr>
                <w:sz w:val="20"/>
                <w:szCs w:val="20"/>
                <w:color w:val="auto"/>
              </w:rPr>
            </w:pPr>
            <w:r>
              <w:rPr>
                <w:rFonts w:ascii="Arial" w:cs="Arial" w:eastAsia="Arial" w:hAnsi="Arial"/>
                <w:sz w:val="18"/>
                <w:szCs w:val="18"/>
                <w:color w:val="auto"/>
              </w:rPr>
              <w:t>iXBRL (Inline eXtensible Business Reporting Language)</w:t>
            </w:r>
          </w:p>
        </w:tc>
        <w:tc>
          <w:tcPr>
            <w:tcW w:w="8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80" w:type="dxa"/>
            <w:vAlign w:val="bottom"/>
            <w:shd w:val="clear" w:color="auto" w:fill="CCEEFF"/>
          </w:tcPr>
          <w:p>
            <w:pPr>
              <w:ind w:left="1660"/>
              <w:spacing w:after="0" w:line="172" w:lineRule="exact"/>
              <w:rPr>
                <w:sz w:val="20"/>
                <w:szCs w:val="20"/>
                <w:color w:val="auto"/>
              </w:rPr>
            </w:pPr>
            <w:r>
              <w:rPr>
                <w:rFonts w:ascii="Arial" w:cs="Arial" w:eastAsia="Arial" w:hAnsi="Arial"/>
                <w:sz w:val="18"/>
                <w:szCs w:val="18"/>
                <w:color w:val="auto"/>
              </w:rPr>
              <w:t>X</w:t>
            </w:r>
          </w:p>
        </w:tc>
      </w:tr>
      <w:tr>
        <w:trPr>
          <w:trHeight w:val="182"/>
        </w:trPr>
        <w:tc>
          <w:tcPr>
            <w:tcW w:w="1420" w:type="dxa"/>
            <w:vAlign w:val="bottom"/>
            <w:shd w:val="clear" w:color="auto" w:fill="CCEEFF"/>
          </w:tcPr>
          <w:p>
            <w:pPr>
              <w:spacing w:after="0"/>
              <w:rPr>
                <w:sz w:val="15"/>
                <w:szCs w:val="15"/>
                <w:color w:val="auto"/>
              </w:rPr>
            </w:pPr>
          </w:p>
        </w:tc>
        <w:tc>
          <w:tcPr>
            <w:tcW w:w="5080" w:type="dxa"/>
            <w:vAlign w:val="bottom"/>
            <w:gridSpan w:val="13"/>
            <w:shd w:val="clear" w:color="auto" w:fill="CCEEFF"/>
          </w:tcPr>
          <w:p>
            <w:pPr>
              <w:spacing w:after="0" w:line="182" w:lineRule="exact"/>
              <w:rPr>
                <w:sz w:val="20"/>
                <w:szCs w:val="20"/>
                <w:color w:val="auto"/>
              </w:rPr>
            </w:pPr>
            <w:r>
              <w:rPr>
                <w:rFonts w:ascii="Arial" w:cs="Arial" w:eastAsia="Arial" w:hAnsi="Arial"/>
                <w:sz w:val="18"/>
                <w:szCs w:val="18"/>
                <w:color w:val="auto"/>
              </w:rPr>
              <w:t>Instance Document - the instance document does not appear</w:t>
            </w: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508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in the Interactive Data File because its XBRL tags are</w:t>
            </w: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25"/>
        </w:trPr>
        <w:tc>
          <w:tcPr>
            <w:tcW w:w="1420" w:type="dxa"/>
            <w:vAlign w:val="bottom"/>
            <w:shd w:val="clear" w:color="auto" w:fill="CCEEFF"/>
          </w:tcPr>
          <w:p>
            <w:pPr>
              <w:spacing w:after="0"/>
              <w:rPr>
                <w:sz w:val="19"/>
                <w:szCs w:val="19"/>
                <w:color w:val="auto"/>
              </w:rPr>
            </w:pP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Schema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101.DEF</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Label Linkbase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right="3300" w:firstLine="6"/>
        <w:spacing w:after="0" w:line="315" w:lineRule="auto"/>
        <w:tabs>
          <w:tab w:leader="none" w:pos="21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 and the S-8 file number is 333-258250. + Indicates a management contract or compensatory plan.</w:t>
      </w:r>
    </w:p>
    <w:p>
      <w:pPr>
        <w:spacing w:after="0" w:line="1" w:lineRule="exact"/>
        <w:rPr>
          <w:sz w:val="20"/>
          <w:szCs w:val="20"/>
          <w:color w:val="auto"/>
        </w:rPr>
      </w:pPr>
    </w:p>
    <w:p>
      <w:pPr>
        <w:ind w:left="160" w:hanging="154"/>
        <w:spacing w:after="0" w:line="293" w:lineRule="auto"/>
        <w:tabs>
          <w:tab w:leader="none" w:pos="303" w:val="left"/>
        </w:tabs>
        <w:numPr>
          <w:ilvl w:val="0"/>
          <w:numId w:val="64"/>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Rule 601(a)(5) of Regulation S-K under the Securities Act. A copy of any omitted schedule or exhibit will be furnished to the SEC upon request.</w:t>
      </w:r>
    </w:p>
    <w:p>
      <w:pPr>
        <w:spacing w:after="0" w:line="4" w:lineRule="exact"/>
        <w:rPr>
          <w:sz w:val="20"/>
          <w:szCs w:val="20"/>
          <w:color w:val="auto"/>
        </w:rPr>
      </w:pPr>
    </w:p>
    <w:p>
      <w:pPr>
        <w:jc w:val="both"/>
        <w:ind w:left="160" w:hanging="154"/>
        <w:spacing w:after="0" w:line="265" w:lineRule="auto"/>
        <w:tabs>
          <w:tab w:leader="none" w:pos="27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of Robinhood Markets, Inc.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SIGNATURES</w:t>
      </w:r>
    </w:p>
    <w:p>
      <w:pPr>
        <w:spacing w:after="0" w:line="225"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Menlo Park, California, on February 18, 2026.</w:t>
      </w:r>
    </w:p>
    <w:p>
      <w:pPr>
        <w:spacing w:after="0" w:line="161"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Robinhood Markets, Inc.</w:t>
      </w:r>
    </w:p>
    <w:p>
      <w:pPr>
        <w:spacing w:after="0" w:line="285" w:lineRule="exact"/>
        <w:rPr>
          <w:sz w:val="20"/>
          <w:szCs w:val="20"/>
          <w:color w:val="auto"/>
        </w:rPr>
      </w:pPr>
    </w:p>
    <w:tbl>
      <w:tblPr>
        <w:tblLayout w:type="fixed"/>
        <w:tblInd w:w="654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64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Shiv Verma</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Shiv Verma</w:t>
            </w:r>
          </w:p>
        </w:tc>
      </w:tr>
      <w:tr>
        <w:trPr>
          <w:trHeight w:val="176"/>
        </w:trPr>
        <w:tc>
          <w:tcPr>
            <w:tcW w:w="82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182"/>
        </w:trPr>
        <w:tc>
          <w:tcPr>
            <w:tcW w:w="820" w:type="dxa"/>
            <w:vAlign w:val="bottom"/>
          </w:tcPr>
          <w:p>
            <w:pPr>
              <w:spacing w:after="0"/>
              <w:rPr>
                <w:sz w:val="15"/>
                <w:szCs w:val="15"/>
                <w:color w:val="auto"/>
              </w:rPr>
            </w:pPr>
          </w:p>
        </w:tc>
        <w:tc>
          <w:tcPr>
            <w:tcW w:w="3880" w:type="dxa"/>
            <w:vAlign w:val="bottom"/>
          </w:tcPr>
          <w:p>
            <w:pPr>
              <w:ind w:left="20"/>
              <w:spacing w:after="0" w:line="182"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32"/>
        </w:trPr>
        <w:tc>
          <w:tcPr>
            <w:tcW w:w="8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POWER OF ATTORNEY</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Vladimir Tenev and Shiv Verma,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Signature</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Title</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4"/>
              </w:rPr>
              <w:t>Date</w:t>
            </w:r>
          </w:p>
        </w:tc>
      </w:tr>
      <w:tr>
        <w:trPr>
          <w:trHeight w:val="2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/s/ Vladimir Tenev</w:t>
            </w:r>
          </w:p>
        </w:tc>
        <w:tc>
          <w:tcPr>
            <w:tcW w:w="80" w:type="dxa"/>
            <w:vAlign w:val="bottom"/>
          </w:tcPr>
          <w:p>
            <w:pPr>
              <w:spacing w:after="0"/>
              <w:rPr>
                <w:sz w:val="18"/>
                <w:szCs w:val="18"/>
                <w:color w:val="auto"/>
              </w:rPr>
            </w:pPr>
          </w:p>
        </w:tc>
        <w:tc>
          <w:tcPr>
            <w:tcW w:w="5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Chief Executive Officer, President, and Director</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Vladimir Tenev</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Shiv Verma</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Chief Financial Officer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Shiv Verma</w:t>
            </w:r>
          </w:p>
        </w:tc>
        <w:tc>
          <w:tcPr>
            <w:tcW w:w="80" w:type="dxa"/>
            <w:vAlign w:val="bottom"/>
          </w:tcPr>
          <w:p>
            <w:pPr>
              <w:spacing w:after="0"/>
              <w:rPr>
                <w:sz w:val="18"/>
                <w:szCs w:val="18"/>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Baiju Bhatt</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Baiju Bhatt</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Paula Loop</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Paula Loop</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Jonathan Rubinstein</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Jonathan Rubinstein</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Meyer Malka</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Meyer Malka</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Robert Zoellick</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Robert Zoellick</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Dara Treseder</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Dara Treseder</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Susan Segal</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Susan Segal</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Christopher Payne</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Christopher Payne</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John Hegeman</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25"/>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John Hegeman</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40"/>
          </w:cols>
          <w:pgMar w:left="320" w:top="122" w:right="239" w:bottom="1440" w:gutter="0" w:footer="0" w:header="0"/>
        </w:sectPr>
      </w:pPr>
    </w:p>
    <w:bookmarkStart w:id="198" w:name="page199"/>
    <w:bookmarkEnd w:id="198"/>
    <w:p>
      <w:pPr>
        <w:ind w:left="10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890905" cy="159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890905" cy="159385"/>
                    </a:xfrm>
                    <a:prstGeom prst="rect">
                      <a:avLst/>
                    </a:prstGeom>
                    <a:noFill/>
                  </pic:spPr>
                </pic:pic>
              </a:graphicData>
            </a:graphic>
          </wp:anchor>
        </w:drawing>
        <w:t>85 Willow Rd</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Menlo Park, CA 94025</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www.robinhood.com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Jason Warnick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 Transitional Employment Period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Jason,</w:t>
      </w:r>
    </w:p>
    <w:p>
      <w:pPr>
        <w:spacing w:after="0" w:line="200" w:lineRule="exact"/>
        <w:rPr>
          <w:sz w:val="20"/>
          <w:szCs w:val="20"/>
          <w:color w:val="auto"/>
        </w:rPr>
      </w:pPr>
    </w:p>
    <w:p>
      <w:pPr>
        <w:spacing w:after="0" w:line="2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1"/>
          <w:szCs w:val="21"/>
          <w:color w:val="auto"/>
        </w:rPr>
        <w:t>This letter agreement memorializes the terms of our discussions regarding your transitional employment with Robinhood Markets, Inc. (“Robinhood” or the “Company”). From the date Robinhood’s Board of Directors appoints the next Chief Financial Officer, which is expected to be on or around February 9, 2026, until September 1, 2026 (the “Advisory Period”), you will remain employed by the Company as a Special Advisor reporting to the Chief Executive Officer (or his designee). During the Advisory Period, you will no longer serve as an executive officer of the Company, and you will assist with the transition of your responsibilities and provide assistance on projects as directed by the Chief Executive Officer (or his designee).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duration of the Advisory Period, your salary will remain at its current level, and you will remain eligible to:</w:t>
      </w:r>
    </w:p>
    <w:p>
      <w:pPr>
        <w:spacing w:after="0" w:line="129" w:lineRule="exact"/>
        <w:rPr>
          <w:sz w:val="20"/>
          <w:szCs w:val="20"/>
          <w:color w:val="auto"/>
        </w:rPr>
      </w:pPr>
    </w:p>
    <w:p>
      <w:pPr>
        <w:ind w:left="620" w:hanging="301"/>
        <w:spacing w:after="0"/>
        <w:tabs>
          <w:tab w:leader="none" w:pos="6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participate in Robinhood’s benefit plans pursuant to the terms of those plans;</w:t>
      </w:r>
    </w:p>
    <w:p>
      <w:pPr>
        <w:spacing w:after="0" w:line="49" w:lineRule="exact"/>
        <w:rPr>
          <w:rFonts w:ascii="Times New Roman" w:cs="Times New Roman" w:eastAsia="Times New Roman" w:hAnsi="Times New Roman"/>
          <w:sz w:val="19"/>
          <w:szCs w:val="19"/>
          <w:color w:val="auto"/>
        </w:rPr>
      </w:pPr>
    </w:p>
    <w:p>
      <w:pPr>
        <w:ind w:left="640" w:right="120" w:hanging="321"/>
        <w:spacing w:after="0" w:line="279" w:lineRule="auto"/>
        <w:tabs>
          <w:tab w:leader="none" w:pos="6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receive a 2025 annual bonus payment as a member of the senior leadership team as determined by the Company and its Board of Directors, however you will </w:t>
      </w:r>
      <w:r>
        <w:rPr>
          <w:rFonts w:ascii="Times New Roman" w:cs="Times New Roman" w:eastAsia="Times New Roman" w:hAnsi="Times New Roman"/>
          <w:sz w:val="21"/>
          <w:szCs w:val="21"/>
          <w:i w:val="1"/>
          <w:iCs w:val="1"/>
          <w:color w:val="auto"/>
        </w:rPr>
        <w:t>not</w:t>
      </w:r>
      <w:r>
        <w:rPr>
          <w:rFonts w:ascii="Times New Roman" w:cs="Times New Roman" w:eastAsia="Times New Roman" w:hAnsi="Times New Roman"/>
          <w:sz w:val="21"/>
          <w:szCs w:val="21"/>
          <w:color w:val="auto"/>
        </w:rPr>
        <w:t xml:space="preserve"> be eligible to participate in Robinhood’s 2026 annual bonus program, receive a 2026 annual bonus payment or receive a grant of equity-based or long-term incentive awards in 2026; and</w:t>
      </w:r>
    </w:p>
    <w:p>
      <w:pPr>
        <w:spacing w:after="0" w:line="2" w:lineRule="exact"/>
        <w:rPr>
          <w:rFonts w:ascii="Times New Roman" w:cs="Times New Roman" w:eastAsia="Times New Roman" w:hAnsi="Times New Roman"/>
          <w:sz w:val="19"/>
          <w:szCs w:val="19"/>
          <w:color w:val="auto"/>
        </w:rPr>
      </w:pPr>
    </w:p>
    <w:p>
      <w:pPr>
        <w:ind w:left="640" w:right="40" w:hanging="321"/>
        <w:spacing w:after="0" w:line="311" w:lineRule="auto"/>
        <w:tabs>
          <w:tab w:leader="none" w:pos="6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continue vesting in the Company equity-based awards that you hold as of the date hereof subject to the terms and conditions of the Company’s equity compensation plan and the applicable award agreements.</w:t>
      </w:r>
    </w:p>
    <w:p>
      <w:pPr>
        <w:spacing w:after="0" w:line="2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21"/>
          <w:szCs w:val="21"/>
          <w:color w:val="auto"/>
        </w:rPr>
        <w:t>During the Advisory Period your employment remains at-will. You must continue to comply with the terms of your Proprietary Information and Invention Assignment Agreement, the Robinhood Employee Handbook-US, the Robinhood Code of Conduct and all other Company policies.</w:t>
      </w:r>
    </w:p>
    <w:p>
      <w:pPr>
        <w:spacing w:after="0" w:line="34"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21"/>
          <w:szCs w:val="21"/>
          <w:color w:val="auto"/>
        </w:rPr>
        <w:t>This letter confirms that as a Special Advisor you are no longer eligible to participate in Robinhood’s Change in Control and Severance Plan for Key Employees (“the Plan”). Accordingly, you are not eligible for, or entitled to, any Severance Benefits as defined in and in accordance with terms of the Plan or any other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color w:val="auto"/>
        </w:rPr>
        <w:t>1 of 2</w:t>
      </w:r>
    </w:p>
    <w:p>
      <w:pPr>
        <w:sectPr>
          <w:pgSz w:w="11900" w:h="16838" w:orient="portrait"/>
          <w:cols w:equalWidth="0" w:num="1">
            <w:col w:w="10260"/>
          </w:cols>
          <w:pgMar w:left="960" w:top="312" w:right="679" w:bottom="1440" w:gutter="0" w:footer="0" w:header="0"/>
        </w:sectPr>
      </w:pPr>
    </w:p>
    <w:bookmarkStart w:id="199" w:name="page200"/>
    <w:bookmarkEnd w:id="199"/>
    <w:p>
      <w:pPr>
        <w:ind w:left="640" w:right="500"/>
        <w:spacing w:after="0" w:line="267"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386715" cy="3695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386715" cy="369570"/>
                    </a:xfrm>
                    <a:prstGeom prst="rect">
                      <a:avLst/>
                    </a:prstGeom>
                    <a:noFill/>
                  </pic:spPr>
                </pic:pic>
              </a:graphicData>
            </a:graphic>
          </wp:anchor>
        </w:drawing>
        <w:t>benefits. However, if you are terminated without Cause</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prior to September 1, 2026, you will become vested in any restricted stock units that you hold as of the date hereof that would have vested pursuant to their existing terms and vesting schedule through the end of the Advisory Period, with any such restricted stock units to be settled on their current settlement schedule.</w:t>
      </w:r>
    </w:p>
    <w:p>
      <w:pPr>
        <w:spacing w:after="0" w:line="70"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1"/>
          <w:szCs w:val="21"/>
          <w:color w:val="auto"/>
        </w:rPr>
        <w:t>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arising out of, related to, or in any way connected with, this letter agreement, your employment with the Company or any other relationship between you and the Company will be governed by Washington law, excluding laws relating to conflicts or choice of law. In the event that a dispute arises concerning the interpretation or enforcement of this Agreement, or any other related matter, you agree that any such dispute shall be submitted to binding arbitration before JAMS under its Employment Arbitration Rules and Procedures to the maximum extent permitted by law.</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 Connie Schan</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Connie Schan</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Chief People Officer</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 Jason Warnick</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16808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81" w:lineRule="exact"/>
        <w:rPr>
          <w:sz w:val="20"/>
          <w:szCs w:val="20"/>
          <w:color w:val="auto"/>
        </w:rPr>
      </w:pPr>
    </w:p>
    <w:p>
      <w:pPr>
        <w:ind w:right="180" w:hanging="78"/>
        <w:spacing w:after="0" w:line="257" w:lineRule="auto"/>
        <w:rPr>
          <w:sz w:val="20"/>
          <w:szCs w:val="20"/>
          <w:color w:val="auto"/>
        </w:rPr>
      </w:pPr>
      <w:r>
        <w:rPr>
          <w:rFonts w:ascii="Times New Roman" w:cs="Times New Roman" w:eastAsia="Times New Roman" w:hAnsi="Times New Roman"/>
          <w:sz w:val="21"/>
          <w:szCs w:val="21"/>
          <w:color w:val="auto"/>
        </w:rPr>
        <w:t>means your: (i) unauthorized misuse of the trade secrets or proprietary information of the Company or any affiliate; (ii) conviction of or plea of nolo contendere to a felony or a crime involving moral turpitude; (iii) commission of an act of fraud against the Company or any affiliate; (iv) negligence or misconduct in the performance of your duties that would result in termination of employment in the standard course of the Company’s business operations; (v) breach of any agreement that would result in termination of employment in the standard course of the Company’s business operations; (vi) failure to comply with the Company’s written policies or rules that would result in termination of employment in the standard course of the Company’s business operations; (vii) failure to perform your assigned duties after notice and opportunity to perform; or (viii) failure to cooperate in good faith with a governmental or internal investigation of the Company, any affiliate or any of their respective directors, officers or employees, if the Company has requested your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2 of 2of 2</w:t>
      </w:r>
    </w:p>
    <w:p>
      <w:pPr>
        <w:sectPr>
          <w:pgSz w:w="11900" w:h="16838" w:orient="portrait"/>
          <w:cols w:equalWidth="0" w:num="1">
            <w:col w:w="10920"/>
          </w:cols>
          <w:pgMar w:left="320" w:top="1432" w:right="659" w:bottom="1440" w:gutter="0" w:footer="0" w:header="0"/>
        </w:sectPr>
      </w:pPr>
    </w:p>
    <w:bookmarkStart w:id="200" w:name="page201"/>
    <w:bookmarkEnd w:id="200"/>
    <w:p>
      <w:pPr>
        <w:jc w:val="center"/>
        <w:ind w:right="-99"/>
        <w:spacing w:after="0"/>
        <w:rPr>
          <w:sz w:val="20"/>
          <w:szCs w:val="20"/>
          <w:color w:val="auto"/>
        </w:rPr>
      </w:pPr>
      <w:r>
        <w:rPr>
          <w:rFonts w:ascii="Arial" w:cs="Arial" w:eastAsia="Arial" w:hAnsi="Arial"/>
          <w:sz w:val="19"/>
          <w:szCs w:val="19"/>
          <w:b w:val="1"/>
          <w:bCs w:val="1"/>
          <w:color w:val="auto"/>
        </w:rPr>
        <w:t>Robinhood Markets, Inc.</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CONFIDENTIAL INFORMATION AND INSIDER TRADING POLICY</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400" w:type="dxa"/>
            <w:vAlign w:val="bottom"/>
            <w:gridSpan w:val="7"/>
          </w:tcPr>
          <w:p>
            <w:pPr>
              <w:ind w:left="20"/>
              <w:spacing w:after="0"/>
              <w:rPr>
                <w:sz w:val="20"/>
                <w:szCs w:val="20"/>
                <w:color w:val="auto"/>
              </w:rPr>
            </w:pPr>
            <w:r>
              <w:rPr>
                <w:rFonts w:ascii="Arial" w:cs="Arial" w:eastAsia="Arial" w:hAnsi="Arial"/>
                <w:sz w:val="19"/>
                <w:szCs w:val="19"/>
                <w:b w:val="1"/>
                <w:bCs w:val="1"/>
                <w:color w:val="auto"/>
              </w:rPr>
              <w:t>Table of Contents</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7"/>
        </w:trPr>
        <w:tc>
          <w:tcPr>
            <w:tcW w:w="6400" w:type="dxa"/>
            <w:vAlign w:val="bottom"/>
            <w:gridSpan w:val="7"/>
          </w:tcPr>
          <w:p>
            <w:pPr>
              <w:spacing w:after="0" w:line="207" w:lineRule="exact"/>
              <w:rPr>
                <w:sz w:val="20"/>
                <w:szCs w:val="20"/>
                <w:color w:val="auto"/>
              </w:rPr>
            </w:pPr>
            <w:r>
              <w:rPr>
                <w:rFonts w:ascii="Arial" w:cs="Arial" w:eastAsia="Arial" w:hAnsi="Arial"/>
                <w:sz w:val="19"/>
                <w:szCs w:val="19"/>
                <w:color w:val="0000FF"/>
              </w:rPr>
              <w:t xml:space="preserve">Scope of Obligations  </w:t>
            </w:r>
            <w:r>
              <w:rPr>
                <w:rFonts w:ascii="Arial" w:cs="Arial" w:eastAsia="Arial" w:hAnsi="Arial"/>
                <w:sz w:val="19"/>
                <w:szCs w:val="19"/>
                <w:color w:val="000000"/>
              </w:rPr>
              <w:t>2</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180" w:type="dxa"/>
            <w:vAlign w:val="bottom"/>
          </w:tcPr>
          <w:p>
            <w:pPr>
              <w:spacing w:after="0"/>
              <w:rPr>
                <w:sz w:val="21"/>
                <w:szCs w:val="21"/>
                <w:color w:val="auto"/>
              </w:rPr>
            </w:pPr>
          </w:p>
        </w:tc>
        <w:tc>
          <w:tcPr>
            <w:tcW w:w="200" w:type="dxa"/>
            <w:vAlign w:val="bottom"/>
            <w:tcBorders>
              <w:bottom w:val="single" w:sz="8" w:color="0000FF"/>
            </w:tcBorders>
          </w:tcPr>
          <w:p>
            <w:pPr>
              <w:spacing w:after="0"/>
              <w:rPr>
                <w:sz w:val="20"/>
                <w:szCs w:val="20"/>
                <w:color w:val="auto"/>
              </w:rPr>
            </w:pPr>
            <w:r>
              <w:rPr>
                <w:rFonts w:ascii="Arial" w:cs="Arial" w:eastAsia="Arial" w:hAnsi="Arial"/>
                <w:sz w:val="19"/>
                <w:szCs w:val="19"/>
                <w:b w:val="1"/>
                <w:bCs w:val="1"/>
                <w:color w:val="0000FF"/>
                <w:w w:val="94"/>
              </w:rPr>
              <w:t>A.</w:t>
            </w:r>
          </w:p>
        </w:tc>
        <w:tc>
          <w:tcPr>
            <w:tcW w:w="180" w:type="dxa"/>
            <w:vAlign w:val="bottom"/>
          </w:tcPr>
          <w:p>
            <w:pPr>
              <w:spacing w:after="0"/>
              <w:rPr>
                <w:sz w:val="21"/>
                <w:szCs w:val="21"/>
                <w:color w:val="auto"/>
              </w:rPr>
            </w:pPr>
          </w:p>
        </w:tc>
        <w:tc>
          <w:tcPr>
            <w:tcW w:w="570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b w:val="1"/>
                <w:bCs w:val="1"/>
                <w:color w:val="0000FF"/>
              </w:rPr>
              <w:t>Application to Insiders, Consultants, Contractors, and Agents</w:t>
            </w:r>
          </w:p>
        </w:tc>
        <w:tc>
          <w:tcPr>
            <w:tcW w:w="140" w:type="dxa"/>
            <w:vAlign w:val="bottom"/>
            <w:gridSpan w:val="2"/>
          </w:tcPr>
          <w:p>
            <w:pPr>
              <w:spacing w:after="0"/>
              <w:rPr>
                <w:sz w:val="21"/>
                <w:szCs w:val="21"/>
                <w:color w:val="auto"/>
              </w:rPr>
            </w:pPr>
          </w:p>
        </w:tc>
        <w:tc>
          <w:tcPr>
            <w:tcW w:w="780" w:type="dxa"/>
            <w:vAlign w:val="bottom"/>
          </w:tcPr>
          <w:p>
            <w:pPr>
              <w:jc w:val="right"/>
              <w:ind w:right="543"/>
              <w:spacing w:after="0"/>
              <w:rPr>
                <w:sz w:val="20"/>
                <w:szCs w:val="20"/>
                <w:color w:val="auto"/>
              </w:rPr>
            </w:pPr>
            <w:r>
              <w:rPr>
                <w:rFonts w:ascii="Cambria" w:cs="Cambria" w:eastAsia="Cambria" w:hAnsi="Cambria"/>
                <w:sz w:val="19"/>
                <w:szCs w:val="19"/>
                <w:b w:val="1"/>
                <w:bCs w:val="1"/>
                <w:color w:val="auto"/>
              </w:rPr>
              <w:t>2</w:t>
            </w:r>
          </w:p>
        </w:tc>
        <w:tc>
          <w:tcPr>
            <w:tcW w:w="300" w:type="dxa"/>
            <w:vAlign w:val="bottom"/>
          </w:tcPr>
          <w:p>
            <w:pPr>
              <w:spacing w:after="0"/>
              <w:rPr>
                <w:sz w:val="21"/>
                <w:szCs w:val="21"/>
                <w:color w:val="auto"/>
              </w:rPr>
            </w:pPr>
          </w:p>
        </w:tc>
      </w:tr>
      <w:tr>
        <w:trPr>
          <w:trHeight w:val="231"/>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9"/>
                <w:szCs w:val="19"/>
                <w:b w:val="1"/>
                <w:bCs w:val="1"/>
                <w:color w:val="0000FF"/>
                <w:w w:val="94"/>
              </w:rPr>
              <w:t>B.</w:t>
            </w:r>
          </w:p>
        </w:tc>
        <w:tc>
          <w:tcPr>
            <w:tcW w:w="180" w:type="dxa"/>
            <w:vAlign w:val="bottom"/>
          </w:tcPr>
          <w:p>
            <w:pPr>
              <w:spacing w:after="0"/>
              <w:rPr>
                <w:sz w:val="20"/>
                <w:szCs w:val="20"/>
                <w:color w:val="auto"/>
              </w:rPr>
            </w:pPr>
          </w:p>
        </w:tc>
        <w:tc>
          <w:tcPr>
            <w:tcW w:w="6920" w:type="dxa"/>
            <w:vAlign w:val="bottom"/>
            <w:gridSpan w:val="6"/>
          </w:tcPr>
          <w:p>
            <w:pPr>
              <w:spacing w:after="0"/>
              <w:rPr>
                <w:sz w:val="20"/>
                <w:szCs w:val="20"/>
                <w:color w:val="auto"/>
              </w:rPr>
            </w:pPr>
            <w:r>
              <w:rPr>
                <w:rFonts w:ascii="Arial" w:cs="Arial" w:eastAsia="Arial" w:hAnsi="Arial"/>
                <w:sz w:val="19"/>
                <w:szCs w:val="19"/>
                <w:b w:val="1"/>
                <w:bCs w:val="1"/>
                <w:color w:val="0000FF"/>
              </w:rPr>
              <w:t xml:space="preserve">Application of Trading Rules to Family Members and Controlled Entities  </w:t>
            </w:r>
            <w:r>
              <w:rPr>
                <w:rFonts w:ascii="Cambria" w:cs="Cambria" w:eastAsia="Cambria" w:hAnsi="Cambria"/>
                <w:sz w:val="19"/>
                <w:szCs w:val="19"/>
                <w:b w:val="1"/>
                <w:bCs w:val="1"/>
                <w:color w:val="000000"/>
              </w:rPr>
              <w:t>2</w:t>
            </w:r>
          </w:p>
        </w:tc>
      </w:tr>
      <w:tr>
        <w:trPr>
          <w:trHeight w:val="245"/>
        </w:trPr>
        <w:tc>
          <w:tcPr>
            <w:tcW w:w="180" w:type="dxa"/>
            <w:vAlign w:val="bottom"/>
          </w:tcPr>
          <w:p>
            <w:pPr>
              <w:spacing w:after="0"/>
              <w:rPr>
                <w:sz w:val="21"/>
                <w:szCs w:val="21"/>
                <w:color w:val="auto"/>
              </w:rPr>
            </w:pPr>
          </w:p>
        </w:tc>
        <w:tc>
          <w:tcPr>
            <w:tcW w:w="200" w:type="dxa"/>
            <w:vAlign w:val="bottom"/>
            <w:tcBorders>
              <w:top w:val="single" w:sz="8" w:color="0000FF"/>
            </w:tcBorders>
          </w:tcPr>
          <w:p>
            <w:pPr>
              <w:spacing w:after="0"/>
              <w:rPr>
                <w:sz w:val="20"/>
                <w:szCs w:val="20"/>
                <w:color w:val="auto"/>
              </w:rPr>
            </w:pPr>
            <w:r>
              <w:rPr>
                <w:rFonts w:ascii="Arial" w:cs="Arial" w:eastAsia="Arial" w:hAnsi="Arial"/>
                <w:sz w:val="19"/>
                <w:szCs w:val="19"/>
                <w:b w:val="1"/>
                <w:bCs w:val="1"/>
                <w:color w:val="0000FF"/>
                <w:w w:val="94"/>
              </w:rPr>
              <w:t>C.</w:t>
            </w:r>
          </w:p>
        </w:tc>
        <w:tc>
          <w:tcPr>
            <w:tcW w:w="180" w:type="dxa"/>
            <w:vAlign w:val="bottom"/>
          </w:tcPr>
          <w:p>
            <w:pPr>
              <w:spacing w:after="0"/>
              <w:rPr>
                <w:sz w:val="21"/>
                <w:szCs w:val="21"/>
                <w:color w:val="auto"/>
              </w:rPr>
            </w:pPr>
          </w:p>
        </w:tc>
        <w:tc>
          <w:tcPr>
            <w:tcW w:w="5840" w:type="dxa"/>
            <w:vAlign w:val="bottom"/>
            <w:tcBorders>
              <w:top w:val="single" w:sz="8" w:color="0000FF"/>
            </w:tcBorders>
            <w:gridSpan w:val="4"/>
          </w:tcPr>
          <w:p>
            <w:pPr>
              <w:spacing w:after="0"/>
              <w:rPr>
                <w:sz w:val="20"/>
                <w:szCs w:val="20"/>
                <w:color w:val="auto"/>
              </w:rPr>
            </w:pPr>
            <w:r>
              <w:rPr>
                <w:rFonts w:ascii="Arial" w:cs="Arial" w:eastAsia="Arial" w:hAnsi="Arial"/>
                <w:sz w:val="19"/>
                <w:szCs w:val="19"/>
                <w:b w:val="1"/>
                <w:bCs w:val="1"/>
                <w:color w:val="0000FF"/>
              </w:rPr>
              <w:t>Additional Rules Apply to Insiders of Certain RHM Subsidiaries</w:t>
            </w:r>
          </w:p>
        </w:tc>
        <w:tc>
          <w:tcPr>
            <w:tcW w:w="780" w:type="dxa"/>
            <w:vAlign w:val="bottom"/>
            <w:tcBorders>
              <w:top w:val="single" w:sz="8" w:color="0000FF"/>
            </w:tcBorders>
          </w:tcPr>
          <w:p>
            <w:pPr>
              <w:jc w:val="right"/>
              <w:ind w:right="403"/>
              <w:spacing w:after="0"/>
              <w:rPr>
                <w:sz w:val="20"/>
                <w:szCs w:val="20"/>
                <w:color w:val="auto"/>
              </w:rPr>
            </w:pPr>
            <w:r>
              <w:rPr>
                <w:rFonts w:ascii="Cambria" w:cs="Cambria" w:eastAsia="Cambria" w:hAnsi="Cambria"/>
                <w:sz w:val="19"/>
                <w:szCs w:val="19"/>
                <w:b w:val="1"/>
                <w:bCs w:val="1"/>
                <w:color w:val="auto"/>
              </w:rPr>
              <w:t>3</w:t>
            </w:r>
          </w:p>
        </w:tc>
        <w:tc>
          <w:tcPr>
            <w:tcW w:w="30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9" w:lineRule="exact"/>
        <w:rPr>
          <w:sz w:val="20"/>
          <w:szCs w:val="20"/>
          <w:color w:val="auto"/>
        </w:rPr>
      </w:pPr>
    </w:p>
    <w:p>
      <w:pPr>
        <w:ind w:left="620" w:hanging="375"/>
        <w:spacing w:after="0"/>
        <w:tabs>
          <w:tab w:leader="none" w:pos="620" w:val="left"/>
        </w:tabs>
        <w:numPr>
          <w:ilvl w:val="0"/>
          <w:numId w:val="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Specific Rules Apply to Trading in Crypto-Assets.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3</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Reporting Violations; Escalation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3</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9"/>
                <w:szCs w:val="19"/>
                <w:b w:val="1"/>
                <w:bCs w:val="1"/>
                <w:color w:val="0000FF"/>
                <w:w w:val="82"/>
              </w:rPr>
              <w:t>F.</w:t>
            </w:r>
          </w:p>
        </w:tc>
        <w:tc>
          <w:tcPr>
            <w:tcW w:w="240" w:type="dxa"/>
            <w:vAlign w:val="bottom"/>
            <w:gridSpan w:val="2"/>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Continuing Obligations of Insiders Following Termination of Employment  </w:t>
            </w:r>
            <w:r>
              <w:rPr>
                <w:rFonts w:ascii="Cambria" w:cs="Cambria" w:eastAsia="Cambria" w:hAnsi="Cambria"/>
                <w:sz w:val="19"/>
                <w:szCs w:val="19"/>
                <w:b w:val="1"/>
                <w:bCs w:val="1"/>
                <w:color w:val="000000"/>
              </w:rPr>
              <w:t>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1"/>
        </w:trPr>
        <w:tc>
          <w:tcPr>
            <w:tcW w:w="14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Arial" w:cs="Arial" w:eastAsia="Arial" w:hAnsi="Arial"/>
                <w:sz w:val="19"/>
                <w:szCs w:val="19"/>
                <w:b w:val="1"/>
                <w:bCs w:val="1"/>
                <w:color w:val="0000FF"/>
              </w:rPr>
              <w:t>G.</w:t>
            </w:r>
          </w:p>
        </w:tc>
        <w:tc>
          <w:tcPr>
            <w:tcW w:w="2440" w:type="dxa"/>
            <w:vAlign w:val="bottom"/>
            <w:gridSpan w:val="2"/>
          </w:tcPr>
          <w:p>
            <w:pPr>
              <w:spacing w:after="0"/>
              <w:rPr>
                <w:sz w:val="20"/>
                <w:szCs w:val="20"/>
                <w:color w:val="auto"/>
              </w:rPr>
            </w:pPr>
            <w:r>
              <w:rPr>
                <w:rFonts w:ascii="Arial" w:cs="Arial" w:eastAsia="Arial" w:hAnsi="Arial"/>
                <w:sz w:val="19"/>
                <w:szCs w:val="19"/>
                <w:b w:val="1"/>
                <w:bCs w:val="1"/>
                <w:color w:val="0000FF"/>
              </w:rPr>
              <w:t>Review and Amendments</w:t>
            </w:r>
          </w:p>
        </w:tc>
        <w:tc>
          <w:tcPr>
            <w:tcW w:w="4240" w:type="dxa"/>
            <w:vAlign w:val="bottom"/>
          </w:tcPr>
          <w:p>
            <w:pPr>
              <w:ind w:left="80"/>
              <w:spacing w:after="0"/>
              <w:rPr>
                <w:sz w:val="20"/>
                <w:szCs w:val="20"/>
                <w:color w:val="auto"/>
              </w:rPr>
            </w:pPr>
            <w:r>
              <w:rPr>
                <w:rFonts w:ascii="Cambria" w:cs="Cambria" w:eastAsia="Cambria" w:hAnsi="Cambria"/>
                <w:sz w:val="19"/>
                <w:szCs w:val="19"/>
                <w:b w:val="1"/>
                <w:bCs w:val="1"/>
                <w:color w:val="auto"/>
              </w:rPr>
              <w:t>4</w:t>
            </w:r>
          </w:p>
        </w:tc>
        <w:tc>
          <w:tcPr>
            <w:tcW w:w="30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2980" w:type="dxa"/>
            <w:vAlign w:val="bottom"/>
            <w:gridSpan w:val="6"/>
          </w:tcPr>
          <w:p>
            <w:pPr>
              <w:spacing w:after="0"/>
              <w:rPr>
                <w:sz w:val="20"/>
                <w:szCs w:val="20"/>
                <w:color w:val="auto"/>
              </w:rPr>
            </w:pPr>
            <w:r>
              <w:rPr>
                <w:rFonts w:ascii="Arial" w:cs="Arial" w:eastAsia="Arial" w:hAnsi="Arial"/>
                <w:sz w:val="19"/>
                <w:szCs w:val="19"/>
                <w:color w:val="0000FF"/>
              </w:rPr>
              <w:t>Types of Confidential Information</w:t>
            </w:r>
          </w:p>
        </w:tc>
        <w:tc>
          <w:tcPr>
            <w:tcW w:w="4240" w:type="dxa"/>
            <w:vAlign w:val="bottom"/>
          </w:tcPr>
          <w:p>
            <w:pPr>
              <w:ind w:left="80"/>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9" w:lineRule="exact"/>
        <w:rPr>
          <w:sz w:val="20"/>
          <w:szCs w:val="20"/>
          <w:color w:val="auto"/>
        </w:rPr>
      </w:pPr>
    </w:p>
    <w:p>
      <w:pPr>
        <w:ind w:left="620" w:hanging="375"/>
        <w:spacing w:after="0"/>
        <w:tabs>
          <w:tab w:leader="none" w:pos="620" w:val="left"/>
        </w:tabs>
        <w:numPr>
          <w:ilvl w:val="1"/>
          <w:numId w:val="6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Material Non-Public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5</w:t>
      </w:r>
    </w:p>
    <w:p>
      <w:pPr>
        <w:spacing w:after="0" w:line="61" w:lineRule="exact"/>
        <w:rPr>
          <w:rFonts w:ascii="Arial" w:cs="Arial" w:eastAsia="Arial" w:hAnsi="Arial"/>
          <w:sz w:val="19"/>
          <w:szCs w:val="19"/>
          <w:b w:val="1"/>
          <w:bCs w:val="1"/>
          <w:u w:val="single" w:color="auto"/>
          <w:color w:val="0000FF"/>
        </w:rPr>
      </w:pPr>
    </w:p>
    <w:p>
      <w:pPr>
        <w:ind w:left="340" w:hanging="339"/>
        <w:spacing w:after="0"/>
        <w:tabs>
          <w:tab w:leader="none" w:pos="340"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When is Information “Material”?</w:t>
      </w:r>
      <w:r>
        <w:rPr>
          <w:rFonts w:ascii="Arial" w:cs="Arial" w:eastAsia="Arial" w:hAnsi="Arial"/>
          <w:sz w:val="18"/>
          <w:szCs w:val="18"/>
          <w:color w:val="0000FF"/>
        </w:rPr>
        <w:t xml:space="preserve">  </w:t>
      </w:r>
      <w:r>
        <w:rPr>
          <w:rFonts w:ascii="Cambria" w:cs="Cambria" w:eastAsia="Cambria" w:hAnsi="Cambria"/>
          <w:sz w:val="18"/>
          <w:szCs w:val="18"/>
          <w:b w:val="1"/>
          <w:bCs w:val="1"/>
          <w:color w:val="000000"/>
        </w:rPr>
        <w:t>5</w:t>
      </w:r>
    </w:p>
    <w:p>
      <w:pPr>
        <w:spacing w:after="0" w:line="40" w:lineRule="exact"/>
        <w:rPr>
          <w:rFonts w:ascii="Arial" w:cs="Arial" w:eastAsia="Arial" w:hAnsi="Arial"/>
          <w:sz w:val="18"/>
          <w:szCs w:val="18"/>
          <w:u w:val="single" w:color="auto"/>
          <w:color w:val="0000FF"/>
        </w:rPr>
      </w:pPr>
    </w:p>
    <w:p>
      <w:pPr>
        <w:ind w:left="340" w:hanging="339"/>
        <w:spacing w:after="0"/>
        <w:tabs>
          <w:tab w:leader="none" w:pos="340"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When is Information “Non-Public”?</w:t>
      </w:r>
      <w:r>
        <w:rPr>
          <w:rFonts w:ascii="Arial" w:cs="Arial" w:eastAsia="Arial" w:hAnsi="Arial"/>
          <w:sz w:val="18"/>
          <w:szCs w:val="18"/>
          <w:color w:val="0000FF"/>
        </w:rPr>
        <w:t xml:space="preserve">  </w:t>
      </w:r>
      <w:r>
        <w:rPr>
          <w:rFonts w:ascii="Cambria" w:cs="Cambria" w:eastAsia="Cambria" w:hAnsi="Cambria"/>
          <w:sz w:val="18"/>
          <w:szCs w:val="18"/>
          <w:b w:val="1"/>
          <w:bCs w:val="1"/>
          <w:color w:val="000000"/>
        </w:rPr>
        <w:t>6</w:t>
      </w:r>
    </w:p>
    <w:p>
      <w:pPr>
        <w:spacing w:after="0" w:line="20" w:lineRule="exact"/>
        <w:rPr>
          <w:rFonts w:ascii="Arial" w:cs="Arial" w:eastAsia="Arial" w:hAnsi="Arial"/>
          <w:sz w:val="18"/>
          <w:szCs w:val="18"/>
          <w:u w:val="single" w:color="auto"/>
          <w:color w:val="0000FF"/>
        </w:rPr>
      </w:pPr>
    </w:p>
    <w:p>
      <w:pPr>
        <w:ind w:left="620" w:hanging="375"/>
        <w:spacing w:after="0"/>
        <w:tabs>
          <w:tab w:leader="none" w:pos="620" w:val="left"/>
        </w:tabs>
        <w:numPr>
          <w:ilvl w:val="1"/>
          <w:numId w:val="6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Confidential Customer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6</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1"/>
          <w:numId w:val="6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Proprietary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7</w:t>
      </w:r>
    </w:p>
    <w:p>
      <w:pPr>
        <w:spacing w:after="0" w:line="42" w:lineRule="exact"/>
        <w:rPr>
          <w:sz w:val="20"/>
          <w:szCs w:val="20"/>
          <w:color w:val="auto"/>
        </w:rPr>
      </w:pPr>
    </w:p>
    <w:p>
      <w:pPr>
        <w:ind w:left="120"/>
        <w:spacing w:after="0"/>
        <w:tabs>
          <w:tab w:leader="none" w:pos="4160" w:val="left"/>
        </w:tabs>
        <w:rPr>
          <w:sz w:val="20"/>
          <w:szCs w:val="20"/>
          <w:color w:val="auto"/>
        </w:rPr>
      </w:pPr>
      <w:r>
        <w:rPr>
          <w:rFonts w:ascii="Arial" w:cs="Arial" w:eastAsia="Arial" w:hAnsi="Arial"/>
          <w:sz w:val="19"/>
          <w:szCs w:val="19"/>
          <w:u w:val="single" w:color="auto"/>
          <w:color w:val="0000FF"/>
        </w:rPr>
        <w:t>Handling and Use of Confidential Information</w:t>
      </w:r>
      <w:r>
        <w:rPr>
          <w:sz w:val="20"/>
          <w:szCs w:val="20"/>
          <w:color w:val="auto"/>
        </w:rPr>
        <w:tab/>
      </w:r>
      <w:r>
        <w:rPr>
          <w:rFonts w:ascii="Arial" w:cs="Arial" w:eastAsia="Arial" w:hAnsi="Arial"/>
          <w:sz w:val="19"/>
          <w:szCs w:val="19"/>
          <w:color w:val="auto"/>
        </w:rPr>
        <w:t>7</w:t>
      </w:r>
    </w:p>
    <w:p>
      <w:pPr>
        <w:spacing w:after="0" w:line="16"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200" w:type="dxa"/>
            <w:vAlign w:val="bottom"/>
          </w:tcPr>
          <w:p>
            <w:pPr>
              <w:spacing w:after="0"/>
              <w:rPr>
                <w:sz w:val="20"/>
                <w:szCs w:val="20"/>
                <w:color w:val="auto"/>
              </w:rPr>
            </w:pPr>
            <w:r>
              <w:rPr>
                <w:rFonts w:ascii="Arial" w:cs="Arial" w:eastAsia="Arial" w:hAnsi="Arial"/>
                <w:sz w:val="19"/>
                <w:szCs w:val="19"/>
                <w:b w:val="1"/>
                <w:bCs w:val="1"/>
                <w:color w:val="0000FF"/>
                <w:w w:val="94"/>
              </w:rPr>
              <w:t>A.</w:t>
            </w:r>
          </w:p>
        </w:tc>
        <w:tc>
          <w:tcPr>
            <w:tcW w:w="18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The “Need to Know” Policy  </w:t>
            </w:r>
            <w:r>
              <w:rPr>
                <w:rFonts w:ascii="Cambria" w:cs="Cambria" w:eastAsia="Cambria" w:hAnsi="Cambria"/>
                <w:sz w:val="19"/>
                <w:szCs w:val="19"/>
                <w:b w:val="1"/>
                <w:bCs w:val="1"/>
                <w:color w:val="000000"/>
              </w:rPr>
              <w:t>7</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4600" w:type="dxa"/>
            <w:vAlign w:val="bottom"/>
            <w:gridSpan w:val="6"/>
          </w:tcPr>
          <w:p>
            <w:pPr>
              <w:spacing w:after="0"/>
              <w:rPr>
                <w:sz w:val="20"/>
                <w:szCs w:val="20"/>
                <w:color w:val="auto"/>
              </w:rPr>
            </w:pPr>
            <w:r>
              <w:rPr>
                <w:rFonts w:ascii="Arial" w:cs="Arial" w:eastAsia="Arial" w:hAnsi="Arial"/>
                <w:sz w:val="19"/>
                <w:szCs w:val="19"/>
                <w:b w:val="1"/>
                <w:bCs w:val="1"/>
                <w:color w:val="0000FF"/>
              </w:rPr>
              <w:t xml:space="preserve">B.  Prohibition of “Tipping”  </w:t>
            </w:r>
            <w:r>
              <w:rPr>
                <w:rFonts w:ascii="Cambria" w:cs="Cambria" w:eastAsia="Cambria" w:hAnsi="Cambria"/>
                <w:sz w:val="19"/>
                <w:szCs w:val="19"/>
                <w:b w:val="1"/>
                <w:bCs w:val="1"/>
                <w:color w:val="000000"/>
              </w:rPr>
              <w:t>7</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1"/>
        </w:trPr>
        <w:tc>
          <w:tcPr>
            <w:tcW w:w="200" w:type="dxa"/>
            <w:vAlign w:val="bottom"/>
          </w:tcPr>
          <w:p>
            <w:pPr>
              <w:spacing w:after="0"/>
              <w:rPr>
                <w:sz w:val="20"/>
                <w:szCs w:val="20"/>
                <w:color w:val="auto"/>
              </w:rPr>
            </w:pPr>
            <w:r>
              <w:rPr>
                <w:rFonts w:ascii="Arial" w:cs="Arial" w:eastAsia="Arial" w:hAnsi="Arial"/>
                <w:sz w:val="19"/>
                <w:szCs w:val="19"/>
                <w:b w:val="1"/>
                <w:bCs w:val="1"/>
                <w:color w:val="0000FF"/>
                <w:w w:val="94"/>
              </w:rPr>
              <w:t>C.</w:t>
            </w:r>
          </w:p>
        </w:tc>
        <w:tc>
          <w:tcPr>
            <w:tcW w:w="18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Receipt of Material Non-Public Information  </w:t>
            </w:r>
            <w:r>
              <w:rPr>
                <w:rFonts w:ascii="Cambria" w:cs="Cambria" w:eastAsia="Cambria" w:hAnsi="Cambria"/>
                <w:sz w:val="19"/>
                <w:szCs w:val="19"/>
                <w:b w:val="1"/>
                <w:bCs w:val="1"/>
                <w:color w:val="000000"/>
              </w:rPr>
              <w:t>8</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43" w:lineRule="exact"/>
        <w:rPr>
          <w:sz w:val="20"/>
          <w:szCs w:val="20"/>
          <w:color w:val="auto"/>
        </w:rPr>
      </w:pPr>
    </w:p>
    <w:p>
      <w:pPr>
        <w:ind w:left="620" w:hanging="375"/>
        <w:spacing w:after="0"/>
        <w:tabs>
          <w:tab w:leader="none" w:pos="620" w:val="left"/>
        </w:tabs>
        <w:numPr>
          <w:ilvl w:val="0"/>
          <w:numId w:val="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Use of Confidential Information; Prohibition of “Insider Trading”</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8</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Information Barriers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9</w:t>
      </w:r>
    </w:p>
    <w:p>
      <w:pPr>
        <w:spacing w:after="0" w:line="29" w:lineRule="exact"/>
        <w:rPr>
          <w:sz w:val="20"/>
          <w:szCs w:val="20"/>
          <w:color w:val="auto"/>
        </w:rPr>
      </w:pPr>
    </w:p>
    <w:p>
      <w:pPr>
        <w:ind w:left="240"/>
        <w:spacing w:after="0"/>
        <w:tabs>
          <w:tab w:leader="none" w:pos="580" w:val="left"/>
          <w:tab w:leader="none" w:pos="3520" w:val="left"/>
        </w:tabs>
        <w:rPr>
          <w:sz w:val="20"/>
          <w:szCs w:val="20"/>
          <w:color w:val="auto"/>
        </w:rPr>
      </w:pPr>
      <w:r>
        <w:rPr>
          <w:rFonts w:ascii="Arial" w:cs="Arial" w:eastAsia="Arial" w:hAnsi="Arial"/>
          <w:sz w:val="19"/>
          <w:szCs w:val="19"/>
          <w:b w:val="1"/>
          <w:bCs w:val="1"/>
          <w:u w:val="single" w:color="auto"/>
          <w:color w:val="0000FF"/>
        </w:rPr>
        <w:t>V.</w:t>
      </w:r>
      <w:r>
        <w:rPr>
          <w:sz w:val="20"/>
          <w:szCs w:val="20"/>
          <w:color w:val="auto"/>
        </w:rPr>
        <w:tab/>
      </w:r>
      <w:r>
        <w:rPr>
          <w:rFonts w:ascii="Arial" w:cs="Arial" w:eastAsia="Arial" w:hAnsi="Arial"/>
          <w:sz w:val="19"/>
          <w:szCs w:val="19"/>
          <w:b w:val="1"/>
          <w:bCs w:val="1"/>
          <w:u w:val="single" w:color="auto"/>
          <w:color w:val="0000FF"/>
        </w:rPr>
        <w:t>Restricted List and Watch List</w:t>
      </w:r>
      <w:r>
        <w:rPr>
          <w:sz w:val="20"/>
          <w:szCs w:val="20"/>
          <w:color w:val="auto"/>
        </w:rPr>
        <w:tab/>
      </w:r>
      <w:r>
        <w:rPr>
          <w:rFonts w:ascii="Cambria" w:cs="Cambria" w:eastAsia="Cambria" w:hAnsi="Cambria"/>
          <w:sz w:val="19"/>
          <w:szCs w:val="19"/>
          <w:b w:val="1"/>
          <w:bCs w:val="1"/>
          <w:color w:val="auto"/>
        </w:rPr>
        <w:t>9</w:t>
      </w:r>
    </w:p>
    <w:p>
      <w:pPr>
        <w:spacing w:after="0" w:line="42" w:lineRule="exact"/>
        <w:rPr>
          <w:sz w:val="20"/>
          <w:szCs w:val="20"/>
          <w:color w:val="auto"/>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Restricted List</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9</w:t>
      </w:r>
    </w:p>
    <w:p>
      <w:pPr>
        <w:spacing w:after="0" w:line="41"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Watch List</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10</w:t>
      </w:r>
    </w:p>
    <w:p>
      <w:pPr>
        <w:spacing w:after="0" w:line="28"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Compliance Monitoring</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10</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980" w:type="dxa"/>
            <w:vAlign w:val="bottom"/>
            <w:gridSpan w:val="9"/>
          </w:tcPr>
          <w:p>
            <w:pPr>
              <w:spacing w:after="0"/>
              <w:rPr>
                <w:sz w:val="20"/>
                <w:szCs w:val="20"/>
                <w:color w:val="auto"/>
              </w:rPr>
            </w:pPr>
            <w:r>
              <w:rPr>
                <w:rFonts w:ascii="Arial" w:cs="Arial" w:eastAsia="Arial" w:hAnsi="Arial"/>
                <w:sz w:val="19"/>
                <w:szCs w:val="19"/>
                <w:color w:val="0000FF"/>
              </w:rPr>
              <w:t xml:space="preserve">Trading of Robinhood Securities  </w:t>
            </w:r>
            <w:r>
              <w:rPr>
                <w:rFonts w:ascii="Arial" w:cs="Arial" w:eastAsia="Arial" w:hAnsi="Arial"/>
                <w:sz w:val="19"/>
                <w:szCs w:val="19"/>
                <w:color w:val="000000"/>
              </w:rPr>
              <w:t>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A.</w:t>
            </w:r>
          </w:p>
        </w:tc>
        <w:tc>
          <w:tcPr>
            <w:tcW w:w="200" w:type="dxa"/>
            <w:vAlign w:val="bottom"/>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Prohibitions of Insider Trading and Tipping apply to Robinhood Securities  </w:t>
            </w:r>
            <w:r>
              <w:rPr>
                <w:rFonts w:ascii="Cambria" w:cs="Cambria" w:eastAsia="Cambria" w:hAnsi="Cambria"/>
                <w:sz w:val="19"/>
                <w:szCs w:val="19"/>
                <w:b w:val="1"/>
                <w:bCs w:val="1"/>
                <w:color w:val="000000"/>
              </w:rPr>
              <w:t>10</w:t>
            </w:r>
          </w:p>
        </w:tc>
      </w:tr>
      <w:tr>
        <w:trPr>
          <w:trHeight w:val="245"/>
        </w:trPr>
        <w:tc>
          <w:tcPr>
            <w:tcW w:w="120" w:type="dxa"/>
            <w:vAlign w:val="bottom"/>
          </w:tcPr>
          <w:p>
            <w:pPr>
              <w:spacing w:after="0"/>
              <w:rPr>
                <w:sz w:val="21"/>
                <w:szCs w:val="21"/>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9"/>
                <w:szCs w:val="19"/>
                <w:b w:val="1"/>
                <w:bCs w:val="1"/>
                <w:color w:val="0000FF"/>
                <w:w w:val="83"/>
              </w:rPr>
              <w:t>B.</w:t>
            </w:r>
          </w:p>
        </w:tc>
        <w:tc>
          <w:tcPr>
            <w:tcW w:w="200" w:type="dxa"/>
            <w:vAlign w:val="bottom"/>
          </w:tcPr>
          <w:p>
            <w:pPr>
              <w:spacing w:after="0"/>
              <w:rPr>
                <w:sz w:val="21"/>
                <w:szCs w:val="21"/>
                <w:color w:val="auto"/>
              </w:rPr>
            </w:pPr>
          </w:p>
        </w:tc>
        <w:tc>
          <w:tcPr>
            <w:tcW w:w="4460" w:type="dxa"/>
            <w:vAlign w:val="bottom"/>
            <w:tcBorders>
              <w:top w:val="single" w:sz="8" w:color="0000FF"/>
            </w:tcBorders>
            <w:gridSpan w:val="5"/>
          </w:tcPr>
          <w:p>
            <w:pPr>
              <w:spacing w:after="0"/>
              <w:rPr>
                <w:sz w:val="20"/>
                <w:szCs w:val="20"/>
                <w:color w:val="auto"/>
              </w:rPr>
            </w:pPr>
            <w:r>
              <w:rPr>
                <w:rFonts w:ascii="Arial" w:cs="Arial" w:eastAsia="Arial" w:hAnsi="Arial"/>
                <w:sz w:val="19"/>
                <w:szCs w:val="19"/>
                <w:b w:val="1"/>
                <w:bCs w:val="1"/>
                <w:color w:val="0000FF"/>
              </w:rPr>
              <w:t xml:space="preserve">10b5-1 Trading Plans  </w:t>
            </w:r>
            <w:r>
              <w:rPr>
                <w:rFonts w:ascii="Cambria" w:cs="Cambria" w:eastAsia="Cambria" w:hAnsi="Cambria"/>
                <w:sz w:val="19"/>
                <w:szCs w:val="19"/>
                <w:b w:val="1"/>
                <w:bCs w:val="1"/>
                <w:color w:val="000000"/>
              </w:rPr>
              <w:t>11</w:t>
            </w:r>
          </w:p>
        </w:tc>
        <w:tc>
          <w:tcPr>
            <w:tcW w:w="2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3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C.</w:t>
            </w:r>
          </w:p>
        </w:tc>
        <w:tc>
          <w:tcPr>
            <w:tcW w:w="200" w:type="dxa"/>
            <w:vAlign w:val="bottom"/>
          </w:tcPr>
          <w:p>
            <w:pPr>
              <w:spacing w:after="0"/>
              <w:rPr>
                <w:sz w:val="20"/>
                <w:szCs w:val="20"/>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General Prohibition of Hedging Robinhood Securities  </w:t>
            </w:r>
            <w:r>
              <w:rPr>
                <w:rFonts w:ascii="Cambria" w:cs="Cambria" w:eastAsia="Cambria" w:hAnsi="Cambria"/>
                <w:sz w:val="19"/>
                <w:szCs w:val="19"/>
                <w:b w:val="1"/>
                <w:bCs w:val="1"/>
                <w:color w:val="000000"/>
              </w:rPr>
              <w:t>11</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D.</w:t>
            </w:r>
          </w:p>
        </w:tc>
        <w:tc>
          <w:tcPr>
            <w:tcW w:w="200" w:type="dxa"/>
            <w:vAlign w:val="bottom"/>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 of Short Sales of Robinhood Securities  </w:t>
            </w:r>
            <w:r>
              <w:rPr>
                <w:rFonts w:ascii="Cambria" w:cs="Cambria" w:eastAsia="Cambria" w:hAnsi="Cambria"/>
                <w:sz w:val="19"/>
                <w:szCs w:val="19"/>
                <w:b w:val="1"/>
                <w:bCs w:val="1"/>
                <w:color w:val="000000"/>
              </w:rPr>
              <w:t>11</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8"/>
              </w:rPr>
              <w:t>E.</w:t>
            </w:r>
          </w:p>
        </w:tc>
        <w:tc>
          <w:tcPr>
            <w:tcW w:w="200" w:type="dxa"/>
            <w:vAlign w:val="bottom"/>
          </w:tcPr>
          <w:p>
            <w:pPr>
              <w:spacing w:after="0"/>
              <w:rPr>
                <w:sz w:val="20"/>
                <w:szCs w:val="20"/>
                <w:color w:val="auto"/>
              </w:rPr>
            </w:pPr>
          </w:p>
        </w:tc>
        <w:tc>
          <w:tcPr>
            <w:tcW w:w="4460" w:type="dxa"/>
            <w:vAlign w:val="bottom"/>
            <w:gridSpan w:val="5"/>
          </w:tcPr>
          <w:p>
            <w:pPr>
              <w:spacing w:after="0"/>
              <w:rPr>
                <w:sz w:val="20"/>
                <w:szCs w:val="20"/>
                <w:color w:val="auto"/>
              </w:rPr>
            </w:pPr>
            <w:r>
              <w:rPr>
                <w:rFonts w:ascii="Arial" w:cs="Arial" w:eastAsia="Arial" w:hAnsi="Arial"/>
                <w:sz w:val="19"/>
                <w:szCs w:val="19"/>
                <w:b w:val="1"/>
                <w:bCs w:val="1"/>
                <w:color w:val="0000FF"/>
              </w:rPr>
              <w:t>Prohibition of Trading in Robinhood Derivatives</w:t>
            </w:r>
          </w:p>
        </w:tc>
        <w:tc>
          <w:tcPr>
            <w:tcW w:w="440" w:type="dxa"/>
            <w:vAlign w:val="bottom"/>
            <w:gridSpan w:val="2"/>
          </w:tcPr>
          <w:p>
            <w:pPr>
              <w:jc w:val="right"/>
              <w:ind w:right="120"/>
              <w:spacing w:after="0"/>
              <w:rPr>
                <w:sz w:val="20"/>
                <w:szCs w:val="20"/>
                <w:color w:val="auto"/>
              </w:rPr>
            </w:pPr>
            <w:r>
              <w:rPr>
                <w:rFonts w:ascii="Cambria" w:cs="Cambria" w:eastAsia="Cambria" w:hAnsi="Cambria"/>
                <w:sz w:val="19"/>
                <w:szCs w:val="19"/>
                <w:b w:val="1"/>
                <w:bCs w:val="1"/>
                <w:color w:val="auto"/>
              </w:rPr>
              <w:t>12</w:t>
            </w: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2"/>
                <w:szCs w:val="12"/>
                <w:b w:val="1"/>
                <w:bCs w:val="1"/>
                <w:color w:val="0000FF"/>
                <w:w w:val="74"/>
              </w:rPr>
              <w:t>F.</w:t>
            </w:r>
          </w:p>
        </w:tc>
        <w:tc>
          <w:tcPr>
            <w:tcW w:w="280" w:type="dxa"/>
            <w:vAlign w:val="bottom"/>
            <w:gridSpan w:val="2"/>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 of Pledging Robinhood Securities; Prohibition of Holding Robinhood Securities in a Margin Account  </w:t>
            </w:r>
            <w:r>
              <w:rPr>
                <w:rFonts w:ascii="Cambria" w:cs="Cambria" w:eastAsia="Cambria" w:hAnsi="Cambria"/>
                <w:sz w:val="19"/>
                <w:szCs w:val="19"/>
                <w:b w:val="1"/>
                <w:bCs w:val="1"/>
                <w:color w:val="000000"/>
              </w:rPr>
              <w:t>12</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79"/>
              </w:rPr>
              <w:t>G.</w:t>
            </w:r>
          </w:p>
        </w:tc>
        <w:tc>
          <w:tcPr>
            <w:tcW w:w="20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9"/>
                <w:szCs w:val="19"/>
                <w:b w:val="1"/>
                <w:bCs w:val="1"/>
                <w:color w:val="0000FF"/>
              </w:rPr>
              <w:t xml:space="preserve">Quarterly Closed Trading Windows  </w:t>
            </w:r>
            <w:r>
              <w:rPr>
                <w:rFonts w:ascii="Cambria" w:cs="Cambria" w:eastAsia="Cambria" w:hAnsi="Cambria"/>
                <w:sz w:val="19"/>
                <w:szCs w:val="19"/>
                <w:b w:val="1"/>
                <w:bCs w:val="1"/>
                <w:color w:val="000000"/>
              </w:rPr>
              <w:t>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b w:val="1"/>
                <w:bCs w:val="1"/>
                <w:color w:val="0000FF"/>
                <w:w w:val="83"/>
              </w:rPr>
              <w:t>H.</w:t>
            </w:r>
          </w:p>
        </w:tc>
        <w:tc>
          <w:tcPr>
            <w:tcW w:w="200" w:type="dxa"/>
            <w:vAlign w:val="bottom"/>
          </w:tcPr>
          <w:p>
            <w:pPr>
              <w:spacing w:after="0"/>
              <w:rPr>
                <w:sz w:val="20"/>
                <w:szCs w:val="20"/>
                <w:color w:val="auto"/>
              </w:rPr>
            </w:pPr>
          </w:p>
        </w:tc>
        <w:tc>
          <w:tcPr>
            <w:tcW w:w="4400" w:type="dxa"/>
            <w:vAlign w:val="bottom"/>
            <w:tcBorders>
              <w:bottom w:val="single" w:sz="8" w:color="0000FF"/>
            </w:tcBorders>
            <w:gridSpan w:val="4"/>
          </w:tcPr>
          <w:p>
            <w:pPr>
              <w:spacing w:after="0"/>
              <w:rPr>
                <w:sz w:val="20"/>
                <w:szCs w:val="20"/>
                <w:color w:val="auto"/>
              </w:rPr>
            </w:pPr>
            <w:r>
              <w:rPr>
                <w:rFonts w:ascii="Arial" w:cs="Arial" w:eastAsia="Arial" w:hAnsi="Arial"/>
                <w:sz w:val="19"/>
                <w:szCs w:val="19"/>
                <w:b w:val="1"/>
                <w:bCs w:val="1"/>
                <w:color w:val="0000FF"/>
              </w:rPr>
              <w:t>Standing Orders to Trade Robinhood Securities</w:t>
            </w:r>
          </w:p>
        </w:tc>
        <w:tc>
          <w:tcPr>
            <w:tcW w:w="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Cambria" w:cs="Cambria" w:eastAsia="Cambria" w:hAnsi="Cambria"/>
                <w:sz w:val="19"/>
                <w:szCs w:val="19"/>
                <w:b w:val="1"/>
                <w:bCs w:val="1"/>
                <w:color w:val="auto"/>
              </w:rPr>
              <w:t>13</w:t>
            </w: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5"/>
        </w:trPr>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9"/>
                <w:szCs w:val="19"/>
                <w:b w:val="1"/>
                <w:bCs w:val="1"/>
                <w:color w:val="0000FF"/>
                <w:w w:val="75"/>
              </w:rPr>
              <w:t>I.</w:t>
            </w:r>
          </w:p>
        </w:tc>
        <w:tc>
          <w:tcPr>
            <w:tcW w:w="280" w:type="dxa"/>
            <w:vAlign w:val="bottom"/>
            <w:gridSpan w:val="2"/>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Family Members and Controlled Entities are Subject to these Policies  </w:t>
            </w:r>
            <w:r>
              <w:rPr>
                <w:rFonts w:ascii="Cambria" w:cs="Cambria" w:eastAsia="Cambria" w:hAnsi="Cambria"/>
                <w:sz w:val="19"/>
                <w:szCs w:val="19"/>
                <w:b w:val="1"/>
                <w:bCs w:val="1"/>
                <w:color w:val="000000"/>
              </w:rPr>
              <w:t>13</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9" w:lineRule="exact"/>
        <w:rPr>
          <w:sz w:val="20"/>
          <w:szCs w:val="20"/>
          <w:color w:val="auto"/>
        </w:rPr>
      </w:pPr>
    </w:p>
    <w:p>
      <w:pPr>
        <w:ind w:left="600" w:hanging="355"/>
        <w:spacing w:after="0"/>
        <w:tabs>
          <w:tab w:leader="none" w:pos="60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Pre-Clearance Procedures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14</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Special Closed Trading Windows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15</w:t>
      </w:r>
    </w:p>
    <w:p>
      <w:pPr>
        <w:spacing w:after="0" w:line="41" w:lineRule="exact"/>
        <w:rPr>
          <w:rFonts w:ascii="Arial" w:cs="Arial" w:eastAsia="Arial" w:hAnsi="Arial"/>
          <w:sz w:val="19"/>
          <w:szCs w:val="19"/>
          <w:b w:val="1"/>
          <w:bCs w:val="1"/>
          <w:u w:val="single" w:color="auto"/>
          <w:color w:val="0000FF"/>
        </w:rPr>
      </w:pPr>
    </w:p>
    <w:p>
      <w:pPr>
        <w:ind w:left="600" w:hanging="355"/>
        <w:spacing w:after="0"/>
        <w:tabs>
          <w:tab w:leader="none" w:pos="60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Exceptions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15</w:t>
      </w:r>
    </w:p>
    <w:p>
      <w:pPr>
        <w:spacing w:after="0" w:line="4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9"/>
          <w:szCs w:val="19"/>
          <w:u w:val="single" w:color="auto"/>
          <w:color w:val="0000FF"/>
        </w:rPr>
        <w:t>Crypto-Asset Trading</w:t>
      </w:r>
      <w:r>
        <w:rPr>
          <w:sz w:val="20"/>
          <w:szCs w:val="20"/>
          <w:color w:val="auto"/>
        </w:rPr>
        <w:tab/>
      </w: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10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10160" cy="8255"/>
                    </a:xfrm>
                    <a:prstGeom prst="rect">
                      <a:avLst/>
                    </a:prstGeom>
                    <a:noFill/>
                  </pic:spPr>
                </pic:pic>
              </a:graphicData>
            </a:graphic>
          </wp:anchor>
        </w:drawing>
      </w:r>
    </w:p>
    <w:p>
      <w:pPr>
        <w:spacing w:after="0" w:line="12" w:lineRule="exact"/>
        <w:rPr>
          <w:sz w:val="20"/>
          <w:szCs w:val="20"/>
          <w:color w:val="auto"/>
        </w:rPr>
      </w:pPr>
    </w:p>
    <w:p>
      <w:pPr>
        <w:spacing w:after="0"/>
        <w:tabs>
          <w:tab w:leader="none" w:pos="220" w:val="left"/>
          <w:tab w:leader="none" w:pos="2720" w:val="left"/>
        </w:tabs>
        <w:rPr>
          <w:sz w:val="20"/>
          <w:szCs w:val="20"/>
          <w:color w:val="auto"/>
        </w:rPr>
      </w:pPr>
      <w:r>
        <w:rPr>
          <w:rFonts w:ascii="Arial" w:cs="Arial" w:eastAsia="Arial" w:hAnsi="Arial"/>
          <w:sz w:val="19"/>
          <w:szCs w:val="19"/>
          <w:color w:val="0000FF"/>
        </w:rPr>
        <w:t>.</w:t>
      </w:r>
      <w:r>
        <w:rPr>
          <w:sz w:val="20"/>
          <w:szCs w:val="20"/>
          <w:color w:val="auto"/>
        </w:rPr>
        <w:tab/>
      </w:r>
      <w:r>
        <w:rPr>
          <w:rFonts w:ascii="Arial" w:cs="Arial" w:eastAsia="Arial" w:hAnsi="Arial"/>
          <w:sz w:val="19"/>
          <w:szCs w:val="19"/>
          <w:u w:val="single" w:color="auto"/>
          <w:color w:val="0000FF"/>
        </w:rPr>
        <w:t>Prohibition of Manipulation</w:t>
      </w:r>
      <w:r>
        <w:rPr>
          <w:sz w:val="20"/>
          <w:szCs w:val="20"/>
          <w:color w:val="auto"/>
        </w:rPr>
        <w:tab/>
      </w: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wp:posOffset>
            </wp:positionV>
            <wp:extent cx="444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44450" cy="8255"/>
                    </a:xfrm>
                    <a:prstGeom prst="rect">
                      <a:avLst/>
                    </a:prstGeom>
                    <a:noFill/>
                  </pic:spPr>
                </pic:pic>
              </a:graphicData>
            </a:graphic>
          </wp:anchor>
        </w:drawing>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9"/>
                <w:szCs w:val="19"/>
                <w:color w:val="0000FF"/>
              </w:rPr>
              <w:t>Questions</w:t>
            </w:r>
          </w:p>
        </w:tc>
        <w:tc>
          <w:tcPr>
            <w:tcW w:w="3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5"/>
        </w:trPr>
        <w:tc>
          <w:tcPr>
            <w:tcW w:w="84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color w:val="0000FF"/>
                <w:w w:val="99"/>
              </w:rPr>
              <w:t>Violations</w:t>
            </w:r>
          </w:p>
        </w:tc>
        <w:tc>
          <w:tcPr>
            <w:tcW w:w="140" w:type="dxa"/>
            <w:vAlign w:val="bottom"/>
            <w:gridSpan w:val="2"/>
          </w:tcPr>
          <w:p>
            <w:pPr>
              <w:spacing w:after="0"/>
              <w:rPr>
                <w:sz w:val="21"/>
                <w:szCs w:val="21"/>
                <w:color w:val="auto"/>
              </w:rPr>
            </w:pPr>
          </w:p>
        </w:tc>
        <w:tc>
          <w:tcPr>
            <w:tcW w:w="380" w:type="dxa"/>
            <w:vAlign w:val="bottom"/>
          </w:tcPr>
          <w:p>
            <w:pPr>
              <w:jc w:val="right"/>
              <w:ind w:right="3"/>
              <w:spacing w:after="0"/>
              <w:rPr>
                <w:sz w:val="20"/>
                <w:szCs w:val="20"/>
                <w:color w:val="auto"/>
              </w:rPr>
            </w:pPr>
            <w:r>
              <w:rPr>
                <w:rFonts w:ascii="Arial" w:cs="Arial" w:eastAsia="Arial" w:hAnsi="Arial"/>
                <w:sz w:val="19"/>
                <w:szCs w:val="19"/>
                <w:color w:val="auto"/>
              </w:rPr>
              <w:t>19</w:t>
            </w:r>
          </w:p>
        </w:tc>
      </w:tr>
    </w:tbl>
    <w:p>
      <w:pPr>
        <w:spacing w:after="0" w:line="200" w:lineRule="exact"/>
        <w:rPr>
          <w:sz w:val="20"/>
          <w:szCs w:val="20"/>
          <w:color w:val="auto"/>
        </w:rPr>
      </w:pPr>
    </w:p>
    <w:p>
      <w:pPr>
        <w:sectPr>
          <w:pgSz w:w="11900" w:h="16838" w:orient="portrait"/>
          <w:cols w:equalWidth="0" w:num="1">
            <w:col w:w="11300"/>
          </w:cols>
          <w:pgMar w:left="240" w:top="9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Page 1</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300"/>
          </w:cols>
          <w:pgMar w:left="240" w:top="989" w:right="359" w:bottom="1440" w:gutter="0" w:footer="0" w:header="0"/>
          <w:type w:val="continuous"/>
        </w:sectPr>
      </w:pPr>
    </w:p>
    <w:bookmarkStart w:id="201" w:name="page202"/>
    <w:bookmarkEnd w:id="201"/>
    <w:p>
      <w:pPr>
        <w:ind w:left="640" w:hanging="634"/>
        <w:spacing w:after="0"/>
        <w:tabs>
          <w:tab w:leader="none" w:pos="64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their business activities, Robinhood Markets, Inc. (“</w:t>
      </w:r>
      <w:r>
        <w:rPr>
          <w:rFonts w:ascii="Arial" w:cs="Arial" w:eastAsia="Arial" w:hAnsi="Arial"/>
          <w:sz w:val="19"/>
          <w:szCs w:val="19"/>
          <w:b w:val="1"/>
          <w:bCs w:val="1"/>
          <w:color w:val="auto"/>
        </w:rPr>
        <w:t>RHM</w:t>
      </w:r>
      <w:r>
        <w:rPr>
          <w:rFonts w:ascii="Arial" w:cs="Arial" w:eastAsia="Arial" w:hAnsi="Arial"/>
          <w:sz w:val="19"/>
          <w:szCs w:val="19"/>
          <w:color w:val="auto"/>
        </w:rPr>
        <w:t>”) and RHM subsidiaries (as defined below and together with RHM, “</w:t>
      </w:r>
      <w:r>
        <w:rPr>
          <w:rFonts w:ascii="Arial" w:cs="Arial" w:eastAsia="Arial" w:hAnsi="Arial"/>
          <w:sz w:val="19"/>
          <w:szCs w:val="19"/>
          <w:b w:val="1"/>
          <w:bCs w:val="1"/>
          <w:color w:val="auto"/>
        </w:rPr>
        <w:t>Robinhood</w:t>
      </w:r>
      <w:r>
        <w:rPr>
          <w:rFonts w:ascii="Arial" w:cs="Arial" w:eastAsia="Arial" w:hAnsi="Arial"/>
          <w:sz w:val="19"/>
          <w:szCs w:val="19"/>
          <w:color w:val="auto"/>
        </w:rPr>
        <w:t>”), have Confidential Information (as defined below). Some of that information is received from third parties, including customers and counterparties; other Confidential Information is created by Robinhood for customers or for its own use.</w:t>
      </w:r>
    </w:p>
    <w:p>
      <w:pPr>
        <w:spacing w:after="0" w:line="3" w:lineRule="exact"/>
        <w:rPr>
          <w:sz w:val="20"/>
          <w:szCs w:val="20"/>
          <w:color w:val="auto"/>
        </w:rPr>
      </w:pPr>
    </w:p>
    <w:p>
      <w:pPr>
        <w:ind w:right="320"/>
        <w:spacing w:after="0" w:line="268"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RHM Subsidiaries</w:t>
      </w:r>
      <w:r>
        <w:rPr>
          <w:rFonts w:ascii="Arial" w:cs="Arial" w:eastAsia="Arial" w:hAnsi="Arial"/>
          <w:sz w:val="19"/>
          <w:szCs w:val="19"/>
          <w:color w:val="auto"/>
        </w:rPr>
        <w:t>” (each, an “</w:t>
      </w:r>
      <w:r>
        <w:rPr>
          <w:rFonts w:ascii="Arial" w:cs="Arial" w:eastAsia="Arial" w:hAnsi="Arial"/>
          <w:sz w:val="19"/>
          <w:szCs w:val="19"/>
          <w:b w:val="1"/>
          <w:bCs w:val="1"/>
          <w:color w:val="auto"/>
        </w:rPr>
        <w:t>RHM Subsidiary</w:t>
      </w:r>
      <w:r>
        <w:rPr>
          <w:rFonts w:ascii="Arial" w:cs="Arial" w:eastAsia="Arial" w:hAnsi="Arial"/>
          <w:sz w:val="19"/>
          <w:szCs w:val="19"/>
          <w:color w:val="auto"/>
        </w:rPr>
        <w:t>”) means any entity directly or indirectly majority-owned or otherwise controlled by RHM.</w:t>
      </w:r>
    </w:p>
    <w:p>
      <w:pPr>
        <w:spacing w:after="0" w:line="194" w:lineRule="exact"/>
        <w:rPr>
          <w:sz w:val="20"/>
          <w:szCs w:val="20"/>
          <w:color w:val="auto"/>
        </w:rPr>
      </w:pPr>
    </w:p>
    <w:p>
      <w:pPr>
        <w:jc w:val="both"/>
        <w:ind w:right="200"/>
        <w:spacing w:after="0" w:line="271" w:lineRule="auto"/>
        <w:rPr>
          <w:sz w:val="20"/>
          <w:szCs w:val="20"/>
          <w:color w:val="auto"/>
        </w:rPr>
      </w:pPr>
      <w:r>
        <w:rPr>
          <w:rFonts w:ascii="Arial" w:cs="Arial" w:eastAsia="Arial" w:hAnsi="Arial"/>
          <w:sz w:val="19"/>
          <w:szCs w:val="19"/>
          <w:color w:val="auto"/>
        </w:rPr>
        <w:t>This Confidential Information and Insider Trading Policy (this “</w:t>
      </w:r>
      <w:r>
        <w:rPr>
          <w:rFonts w:ascii="Arial" w:cs="Arial" w:eastAsia="Arial" w:hAnsi="Arial"/>
          <w:sz w:val="19"/>
          <w:szCs w:val="19"/>
          <w:b w:val="1"/>
          <w:bCs w:val="1"/>
          <w:color w:val="auto"/>
        </w:rPr>
        <w:t>Policy</w:t>
      </w:r>
      <w:r>
        <w:rPr>
          <w:rFonts w:ascii="Arial" w:cs="Arial" w:eastAsia="Arial" w:hAnsi="Arial"/>
          <w:sz w:val="19"/>
          <w:szCs w:val="19"/>
          <w:color w:val="auto"/>
        </w:rPr>
        <w:t>”) is designed to provide guidance on the proper handling of Confidential Information and the prevention of improper trading by Insiders, other Covered Persons (each as defined below), and consultants to and contractors and agents of Robinhood. This Policy reflects not only legal and regulatory requirements but also ethical and professional standards that Robinhood requires its workforce to follow.</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Questions about this Policy should be directed to the “</w:t>
      </w:r>
      <w:r>
        <w:rPr>
          <w:rFonts w:ascii="Arial" w:cs="Arial" w:eastAsia="Arial" w:hAnsi="Arial"/>
          <w:sz w:val="19"/>
          <w:szCs w:val="19"/>
          <w:b w:val="1"/>
          <w:bCs w:val="1"/>
          <w:color w:val="auto"/>
        </w:rPr>
        <w:t>Employee Trading Helpline</w:t>
      </w:r>
      <w:r>
        <w:rPr>
          <w:rFonts w:ascii="Arial" w:cs="Arial" w:eastAsia="Arial" w:hAnsi="Arial"/>
          <w:sz w:val="19"/>
          <w:szCs w:val="19"/>
          <w:color w:val="auto"/>
        </w:rPr>
        <w:t xml:space="preserve">” which can be reached by email to </w:t>
      </w:r>
      <w:r>
        <w:rPr>
          <w:rFonts w:ascii="Arial" w:cs="Arial" w:eastAsia="Arial" w:hAnsi="Arial"/>
          <w:sz w:val="19"/>
          <w:szCs w:val="19"/>
          <w:color w:val="1155CC"/>
        </w:rPr>
        <w:t>EmployeeTrading@robinhood.com</w:t>
      </w:r>
      <w:r>
        <w:rPr>
          <w:rFonts w:ascii="Arial" w:cs="Arial" w:eastAsia="Arial" w:hAnsi="Arial"/>
          <w:sz w:val="19"/>
          <w:szCs w:val="19"/>
          <w:color w:val="000000"/>
        </w:rPr>
        <w:t>. Only the RHM Trading Compliance Officer may grant exceptions to this Policy and only in</w:t>
      </w:r>
      <w:r>
        <w:rPr>
          <w:rFonts w:ascii="Arial" w:cs="Arial" w:eastAsia="Arial" w:hAnsi="Arial"/>
          <w:sz w:val="19"/>
          <w:szCs w:val="19"/>
          <w:color w:val="1155CC"/>
        </w:rPr>
        <w:t xml:space="preserve"> </w:t>
      </w:r>
      <w:r>
        <w:rPr>
          <w:rFonts w:ascii="Arial" w:cs="Arial" w:eastAsia="Arial" w:hAnsi="Arial"/>
          <w:sz w:val="19"/>
          <w:szCs w:val="19"/>
          <w:color w:val="000000"/>
        </w:rPr>
        <w:t>accordance with applicable laws and regulations. The RHM Trading Compliance Officer, in their discretion and in consultation with the Chief Compliance Officer of a RHM Subsidiary, may determine that such RHM Subsidiary or certain category of Covered Persons (as defined below) shall be subject to an insider trading policy other than this Policy, in which case the applicable RHM Subsidiary or Covered Persons may be subject to both this Policy and such separate policy, or only to such separate policy, in the RHM Trading Compliance Officer’s discretion.</w:t>
      </w:r>
    </w:p>
    <w:p>
      <w:pPr>
        <w:spacing w:after="0" w:line="164" w:lineRule="exact"/>
        <w:rPr>
          <w:sz w:val="20"/>
          <w:szCs w:val="20"/>
          <w:color w:val="auto"/>
        </w:rPr>
      </w:pPr>
    </w:p>
    <w:p>
      <w:pPr>
        <w:ind w:left="640" w:hanging="634"/>
        <w:spacing w:after="0"/>
        <w:tabs>
          <w:tab w:leader="none" w:pos="6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Scope of Obligations</w:t>
      </w:r>
    </w:p>
    <w:p>
      <w:pPr>
        <w:spacing w:after="0" w:line="231"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A.Application to Insiders, Consultants, Contractors, and Agents</w:t>
      </w:r>
    </w:p>
    <w:p>
      <w:pPr>
        <w:spacing w:after="0" w:line="233" w:lineRule="exact"/>
        <w:rPr>
          <w:sz w:val="20"/>
          <w:szCs w:val="20"/>
          <w:color w:val="auto"/>
        </w:rPr>
      </w:pPr>
    </w:p>
    <w:p>
      <w:pPr>
        <w:jc w:val="both"/>
        <w:ind w:right="100"/>
        <w:spacing w:after="0" w:line="274" w:lineRule="auto"/>
        <w:rPr>
          <w:sz w:val="20"/>
          <w:szCs w:val="20"/>
          <w:color w:val="auto"/>
        </w:rPr>
      </w:pPr>
      <w:r>
        <w:rPr>
          <w:rFonts w:ascii="Arial" w:cs="Arial" w:eastAsia="Arial" w:hAnsi="Arial"/>
          <w:sz w:val="19"/>
          <w:szCs w:val="19"/>
          <w:color w:val="auto"/>
        </w:rPr>
        <w:t>This Policy applies to all employees of, members of the board of directors of, members of the boards of managers of, and officers of, Robinhood (collectively, “</w:t>
      </w:r>
      <w:r>
        <w:rPr>
          <w:rFonts w:ascii="Arial" w:cs="Arial" w:eastAsia="Arial" w:hAnsi="Arial"/>
          <w:sz w:val="19"/>
          <w:szCs w:val="19"/>
          <w:b w:val="1"/>
          <w:bCs w:val="1"/>
          <w:color w:val="auto"/>
        </w:rPr>
        <w:t>Insiders</w:t>
      </w:r>
      <w:r>
        <w:rPr>
          <w:rFonts w:ascii="Arial" w:cs="Arial" w:eastAsia="Arial" w:hAnsi="Arial"/>
          <w:sz w:val="19"/>
          <w:szCs w:val="19"/>
          <w:color w:val="auto"/>
        </w:rPr>
        <w:t>”) regardless of specific job responsibilities, department, or location. Certain provisions of this Policy, by their terms, additionally apply to consultants to, and contractors and agents of, Robinhood.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28" w:right="339" w:bottom="1440" w:gutter="0" w:footer="0" w:header="0"/>
        </w:sectPr>
      </w:pPr>
    </w:p>
    <w:bookmarkStart w:id="202" w:name="page203"/>
    <w:bookmarkEnd w:id="202"/>
    <w:p>
      <w:pPr>
        <w:ind w:left="1300" w:hanging="659"/>
        <w:spacing w:after="0"/>
        <w:tabs>
          <w:tab w:leader="none" w:pos="130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Application of Trading Rules to Family Members and Controlled Entities</w:t>
      </w:r>
    </w:p>
    <w:p>
      <w:pPr>
        <w:spacing w:after="0" w:line="233" w:lineRule="exact"/>
        <w:rPr>
          <w:sz w:val="20"/>
          <w:szCs w:val="20"/>
          <w:color w:val="auto"/>
        </w:rPr>
      </w:pPr>
    </w:p>
    <w:p>
      <w:pPr>
        <w:ind w:right="280"/>
        <w:spacing w:after="0" w:line="226" w:lineRule="auto"/>
        <w:rPr>
          <w:sz w:val="20"/>
          <w:szCs w:val="20"/>
          <w:color w:val="auto"/>
        </w:rPr>
      </w:pPr>
      <w:r>
        <w:rPr>
          <w:rFonts w:ascii="Arial" w:cs="Arial" w:eastAsia="Arial" w:hAnsi="Arial"/>
          <w:sz w:val="19"/>
          <w:szCs w:val="19"/>
          <w:color w:val="auto"/>
        </w:rPr>
        <w:t>In order to avoid even the appearance of abuse, this Policy’s trading prohibitions also apply to Insiders’ Family Members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and Controlled Entities</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(collectively with Insiders, “</w:t>
      </w:r>
      <w:r>
        <w:rPr>
          <w:rFonts w:ascii="Arial" w:cs="Arial" w:eastAsia="Arial" w:hAnsi="Arial"/>
          <w:sz w:val="19"/>
          <w:szCs w:val="19"/>
          <w:b w:val="1"/>
          <w:bCs w:val="1"/>
          <w:color w:val="auto"/>
        </w:rPr>
        <w:t>Covered Persons</w:t>
      </w:r>
      <w:r>
        <w:rPr>
          <w:rFonts w:ascii="Arial" w:cs="Arial" w:eastAsia="Arial" w:hAnsi="Arial"/>
          <w:sz w:val="19"/>
          <w:szCs w:val="19"/>
          <w:color w:val="auto"/>
        </w:rPr>
        <w:t>”). This means that each Insider has a responsibility under this Policy to prevent their Family Members and Controlled Entities from making trades that would violate this Policy. (See Sections IV.D and VI.I.)</w:t>
      </w:r>
    </w:p>
    <w:p>
      <w:pPr>
        <w:spacing w:after="0" w:line="183" w:lineRule="exact"/>
        <w:rPr>
          <w:sz w:val="20"/>
          <w:szCs w:val="20"/>
          <w:color w:val="auto"/>
        </w:rPr>
      </w:pPr>
    </w:p>
    <w:p>
      <w:pPr>
        <w:ind w:left="1320" w:hanging="679"/>
        <w:spacing w:after="0"/>
        <w:tabs>
          <w:tab w:leader="none" w:pos="132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Rules Apply to Insiders of Certain RHM Subsidiaries</w:t>
      </w:r>
    </w:p>
    <w:p>
      <w:pPr>
        <w:spacing w:after="0" w:line="231" w:lineRule="exact"/>
        <w:rPr>
          <w:sz w:val="20"/>
          <w:szCs w:val="20"/>
          <w:color w:val="auto"/>
        </w:rPr>
      </w:pPr>
    </w:p>
    <w:p>
      <w:pPr>
        <w:ind w:right="200"/>
        <w:spacing w:after="0" w:line="265" w:lineRule="auto"/>
        <w:rPr>
          <w:sz w:val="20"/>
          <w:szCs w:val="20"/>
          <w:color w:val="auto"/>
        </w:rPr>
      </w:pPr>
      <w:r>
        <w:rPr>
          <w:rFonts w:ascii="Arial" w:cs="Arial" w:eastAsia="Arial" w:hAnsi="Arial"/>
          <w:sz w:val="19"/>
          <w:szCs w:val="19"/>
          <w:color w:val="auto"/>
        </w:rPr>
        <w:t>The requirements of this Policy are in addition to the written supervisory procedures (“</w:t>
      </w:r>
      <w:r>
        <w:rPr>
          <w:rFonts w:ascii="Arial" w:cs="Arial" w:eastAsia="Arial" w:hAnsi="Arial"/>
          <w:sz w:val="19"/>
          <w:szCs w:val="19"/>
          <w:b w:val="1"/>
          <w:bCs w:val="1"/>
          <w:color w:val="auto"/>
        </w:rPr>
        <w:t>WSPs</w:t>
      </w:r>
      <w:r>
        <w:rPr>
          <w:rFonts w:ascii="Arial" w:cs="Arial" w:eastAsia="Arial" w:hAnsi="Arial"/>
          <w:sz w:val="19"/>
          <w:szCs w:val="19"/>
          <w:color w:val="auto"/>
        </w:rPr>
        <w:t>”) and other policies and procedures that may be applicable to Insiders of certain RHM Subsidiaries, which may be more restrictive than this Policy (including with respect to, for example, market abuse prohibitions, personal trading requirements, investing in initial public offerings, compliance with restricted lists, surveillance regarding watch lists, and an obligation to provide confirmations/statements to the RHM Trading Compliance Officer).</w:t>
      </w:r>
    </w:p>
    <w:p>
      <w:pPr>
        <w:spacing w:after="0" w:line="170" w:lineRule="exact"/>
        <w:rPr>
          <w:sz w:val="20"/>
          <w:szCs w:val="20"/>
          <w:color w:val="auto"/>
        </w:rPr>
      </w:pPr>
    </w:p>
    <w:p>
      <w:pPr>
        <w:ind w:left="1280" w:hanging="639"/>
        <w:spacing w:after="0"/>
        <w:tabs>
          <w:tab w:leader="none" w:pos="128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Specific Rules Apply to Trading in Crypto-Assets.</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In addition to the general rules set forth in Section IV, specific rules regarding crypto-asset trading are set forth in Section VII. The term “</w:t>
      </w:r>
      <w:r>
        <w:rPr>
          <w:rFonts w:ascii="Arial" w:cs="Arial" w:eastAsia="Arial" w:hAnsi="Arial"/>
          <w:sz w:val="19"/>
          <w:szCs w:val="19"/>
          <w:b w:val="1"/>
          <w:bCs w:val="1"/>
          <w:color w:val="auto"/>
        </w:rPr>
        <w:t>crypto-asset</w:t>
      </w:r>
      <w:r>
        <w:rPr>
          <w:rFonts w:ascii="Arial" w:cs="Arial" w:eastAsia="Arial" w:hAnsi="Arial"/>
          <w:sz w:val="19"/>
          <w:szCs w:val="19"/>
          <w:color w:val="auto"/>
        </w:rPr>
        <w:t>” includes cryptocurrencies, stablecoins, and other virtual currencies, non-fungible tokens, security tokens, utility coins, and similar types of digital assets (often involving blockchain technology), and, as the context may require, related or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16808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310" w:lineRule="exact"/>
        <w:rPr>
          <w:sz w:val="20"/>
          <w:szCs w:val="20"/>
          <w:color w:val="auto"/>
        </w:rPr>
      </w:pPr>
    </w:p>
    <w:p>
      <w:pPr>
        <w:ind w:firstLine="6"/>
        <w:spacing w:after="0" w:line="230" w:lineRule="auto"/>
        <w:tabs>
          <w:tab w:leader="none" w:pos="118" w:val="left"/>
        </w:tabs>
        <w:numPr>
          <w:ilvl w:val="0"/>
          <w:numId w:val="78"/>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For purposes of this Policy, an Insider’s “</w:t>
      </w:r>
      <w:r>
        <w:rPr>
          <w:rFonts w:ascii="Arial" w:cs="Arial" w:eastAsia="Arial" w:hAnsi="Arial"/>
          <w:sz w:val="18"/>
          <w:szCs w:val="18"/>
          <w:b w:val="1"/>
          <w:bCs w:val="1"/>
          <w:color w:val="auto"/>
        </w:rPr>
        <w:t>Family Members</w:t>
      </w:r>
      <w:r>
        <w:rPr>
          <w:rFonts w:ascii="Arial" w:cs="Arial" w:eastAsia="Arial" w:hAnsi="Arial"/>
          <w:sz w:val="18"/>
          <w:szCs w:val="18"/>
          <w:color w:val="auto"/>
        </w:rPr>
        <w:t>” are (a) family members who reside in the same household with the Insider (including a spouse or domestic partner, and children, stepchildren, grandchildren, parents, stepparents, grandparents, siblings and in-laws of the Insider, but only if they reside in the same household with the Insider), (b) children of the Insider or of the Insider’s spouse who do not reside in the same household with the Insider but are financially dependent upon the Insider, (c) any other family members of the Insider who do not reside in that household but whose transactions are directed by the Insider, and (d) any other individual over whose account the Insider has control and to whose financial support the Insider materially contributes. (Materially contributing to financial support would include, for example, paying an individual’s rent but not just a phone bill.)</w:t>
      </w:r>
    </w:p>
    <w:p>
      <w:pPr>
        <w:spacing w:after="0" w:line="156" w:lineRule="exact"/>
        <w:rPr>
          <w:sz w:val="20"/>
          <w:szCs w:val="20"/>
          <w:color w:val="auto"/>
        </w:rPr>
      </w:pPr>
    </w:p>
    <w:p>
      <w:pPr>
        <w:ind w:right="40" w:firstLine="6"/>
        <w:spacing w:after="0" w:line="252" w:lineRule="auto"/>
        <w:tabs>
          <w:tab w:leader="none" w:pos="118" w:val="left"/>
        </w:tabs>
        <w:numPr>
          <w:ilvl w:val="0"/>
          <w:numId w:val="79"/>
        </w:numPr>
        <w:rPr>
          <w:rFonts w:ascii="Times New Roman" w:cs="Times New Roman" w:eastAsia="Times New Roman" w:hAnsi="Times New Roman"/>
          <w:sz w:val="26"/>
          <w:szCs w:val="26"/>
          <w:color w:val="auto"/>
          <w:vertAlign w:val="superscript"/>
        </w:rPr>
      </w:pPr>
      <w:r>
        <w:rPr>
          <w:rFonts w:ascii="Arial" w:cs="Arial" w:eastAsia="Arial" w:hAnsi="Arial"/>
          <w:sz w:val="17"/>
          <w:szCs w:val="17"/>
          <w:color w:val="auto"/>
        </w:rPr>
        <w:t>For purposes of this Policy, an Insider’s “</w:t>
      </w:r>
      <w:r>
        <w:rPr>
          <w:rFonts w:ascii="Arial" w:cs="Arial" w:eastAsia="Arial" w:hAnsi="Arial"/>
          <w:sz w:val="17"/>
          <w:szCs w:val="17"/>
          <w:b w:val="1"/>
          <w:bCs w:val="1"/>
          <w:color w:val="auto"/>
        </w:rPr>
        <w:t>Controlled Entities</w:t>
      </w:r>
      <w:r>
        <w:rPr>
          <w:rFonts w:ascii="Arial" w:cs="Arial" w:eastAsia="Arial" w:hAnsi="Arial"/>
          <w:sz w:val="17"/>
          <w:szCs w:val="17"/>
          <w:color w:val="auto"/>
        </w:rPr>
        <w:t xml:space="preserve">” are entities controlled by the Insider and/or by their Family Members, including any estate planning trust for which the Insider and/or any of their Family Members serves as trustee, and other trusts, corporations, partnerships, and other entities (including investment clubs) at which the Insider and/or any of their Family Members hold a majority of the voting power or a majority of the seats on the board (or similar governing body) or for which the Insider and/or any of their Family Members have a practical ability to make all investment decisions, whether as an officer or employee, by contract, or otherwise;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this policy shall not apply to any entity controlled by a member of the Company’s Board of Directors that engages in the investment of securities in the ordinary course of its business (e.g., an investment fund or partnership) if such entity has established its own insider trading controls and procedures in compliance with applicable securities laws and such entity has represented to the Company that it: (a) is engaged in the investment of securities in the ordinary course of its business; (b) has established insider trading controls and procedures designed to ensure compliance with applicable securities laws, intends to maintain such controls and procedures, and will promptly notify the Company if it ever ceases to maintain such controls and procedures; and (c) is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201" w:right="359" w:bottom="1440" w:gutter="0" w:footer="0" w:header="0"/>
        </w:sectPr>
      </w:pPr>
    </w:p>
    <w:bookmarkStart w:id="203" w:name="page204"/>
    <w:bookmarkEnd w:id="203"/>
    <w:p>
      <w:pPr>
        <w:ind w:left="1300" w:hanging="659"/>
        <w:spacing w:after="0"/>
        <w:tabs>
          <w:tab w:leader="none" w:pos="130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Reporting Violations; Escalation</w:t>
      </w:r>
    </w:p>
    <w:p>
      <w:pPr>
        <w:spacing w:after="0" w:line="233"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Any Insider who believes they or one of their Covered Persons may have violated this Policy (even inadvertently) or, more broadly, that a violation of this Policy or its related procedures may otherwise have occurred or may be about to occur should immediately contact the Employee Trading Helpline or otherwise report the situation to the RHM Trading Compliance Officer. The RHM Trading Compliance Officer or their designee will investigate potential violations and working with appropriate stakeholders will determine whether violations have occurred. The RHM Trading Compliance Officer may involve other teams (such as the Trade Surveillance, Financial Crimes, Employment Legal, and Corporate Legal teams) as part of the investigation and review efforts as they deem appropriate. If the Trade Surveillance team becomes aware of an apparent violation of this Policy, they shall report it to the RHM Trading Compliance Officer, provided that minor violations (such as inadvertent holdings of Robinhood Securities in a margin account) may be processed without separate notice in a manner pre-agreed with the RHM Trading Compliance Officer.</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Nothing in this Policy or any other Robinhood policy prevents you from (a) communicating with the U.S. Securities and Exchange Commission, the U.S. Commodity Futures Trading Commission, the U.S. Financial Industry Regulatory Authority, or any other applicable regulatory agency; (b) exercising protected rights, including without limitation, as applicable, those rights granted under Section 7 of the U.S. National Labor Relations Act to engage in concerted activities for the purpose of collective bargaining or other mutual aid or protection, or otherwise disclosing information as permitted by applicable law, regulation, or order; or (c) discussing or disclosing information about unlawful acts in the</w:t>
      </w:r>
    </w:p>
    <w:p>
      <w:pPr>
        <w:ind w:right="4020"/>
        <w:spacing w:after="0" w:line="268" w:lineRule="auto"/>
        <w:rPr>
          <w:sz w:val="20"/>
          <w:szCs w:val="20"/>
          <w:color w:val="auto"/>
        </w:rPr>
      </w:pPr>
      <w:r>
        <w:rPr>
          <w:rFonts w:ascii="Arial" w:cs="Arial" w:eastAsia="Arial" w:hAnsi="Arial"/>
          <w:sz w:val="19"/>
          <w:szCs w:val="19"/>
          <w:color w:val="auto"/>
        </w:rPr>
        <w:t>workplace, such as harassment or discrimination or any other conduct that you have reason to believe is unlawful.</w:t>
      </w:r>
    </w:p>
    <w:p>
      <w:pPr>
        <w:spacing w:after="0" w:line="196"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color w:val="auto"/>
        </w:rPr>
        <w:t>Robinhood does not require prior authorization to engage in activity protected by the above paragraph, and you do not need to notify Robinhood that you have engaged in such activity. Robinhood does not, through this Policy, waive any applicable privileges or the right to continue to protect its privileged attorney-client information, attorney work product, and other privileged information.</w:t>
      </w:r>
    </w:p>
    <w:p>
      <w:pPr>
        <w:spacing w:after="0" w:line="200" w:lineRule="exact"/>
        <w:rPr>
          <w:sz w:val="20"/>
          <w:szCs w:val="20"/>
          <w:color w:val="auto"/>
        </w:rPr>
      </w:pPr>
    </w:p>
    <w:p>
      <w:pPr>
        <w:spacing w:after="0" w:line="201" w:lineRule="exact"/>
        <w:rPr>
          <w:sz w:val="20"/>
          <w:szCs w:val="20"/>
          <w:color w:val="auto"/>
        </w:rPr>
      </w:pPr>
    </w:p>
    <w:p>
      <w:pPr>
        <w:ind w:left="1280" w:hanging="639"/>
        <w:spacing w:after="0"/>
        <w:tabs>
          <w:tab w:leader="none" w:pos="128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Continuing Obligations of Insiders Following Termination of Employment</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An Insider who ceases to be employed by or who ceases to provide services to Robinhood has a continuing obligation to maintain the confidentiality of all Confidential Information for as long as such information has not been publicly disclosed and such Insider may have a continuing obligation under federal law to refrain from trading in any securities, crypto-assets, event contracts, or other financial instruments to which the information relates. If the Insider was subject to a Quarterly or Special Closed Window at the time of termination (or, if earlier, on their final day of active service and information access at Robinhood), then the Insider and their related Covered Persons remain subject to the Closed Window for its full duration under this Policy. Certain Insiders may also remain on the Pre-Clearance List and subject to this Policy as set forth in Section VI.J. If the Company becomes aware of a policy violation by a former employee, then the RHM Trading Compliance Officer will confer with Human Resources, Corporate Legal, and Employment Legal regarding how to respond.</w:t>
      </w:r>
    </w:p>
    <w:p>
      <w:pPr>
        <w:spacing w:after="0" w:line="176" w:lineRule="exact"/>
        <w:rPr>
          <w:sz w:val="20"/>
          <w:szCs w:val="20"/>
          <w:color w:val="auto"/>
        </w:rPr>
      </w:pPr>
    </w:p>
    <w:p>
      <w:pPr>
        <w:ind w:left="1300" w:hanging="659"/>
        <w:spacing w:after="0"/>
        <w:tabs>
          <w:tab w:leader="none" w:pos="130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Review and Amendments</w:t>
      </w:r>
    </w:p>
    <w:p>
      <w:pPr>
        <w:spacing w:after="0" w:line="220"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The Corporate Legal team, in consultation with the RHM Trading Compliance Officer, shall review this Policy from time to time and assess whether to recommend amendments. All material amendments require approval from the RHM Board of Directors. (Non-material amendments and clarifications may be made by the Corporate Legal team, in consultation with the RHM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04" w:name="page205"/>
    <w:bookmarkEnd w:id="204"/>
    <w:p>
      <w:pPr>
        <w:ind w:left="640" w:hanging="634"/>
        <w:spacing w:after="0"/>
        <w:tabs>
          <w:tab w:leader="none" w:pos="64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Types of Confidential Information</w:t>
      </w:r>
    </w:p>
    <w:p>
      <w:pPr>
        <w:spacing w:after="0" w:line="231"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refers collectively to non-public information received or created by Robinhood, including material non-public information (also referred to as “</w:t>
      </w:r>
      <w:r>
        <w:rPr>
          <w:rFonts w:ascii="Arial" w:cs="Arial" w:eastAsia="Arial" w:hAnsi="Arial"/>
          <w:sz w:val="19"/>
          <w:szCs w:val="19"/>
          <w:b w:val="1"/>
          <w:bCs w:val="1"/>
          <w:color w:val="auto"/>
        </w:rPr>
        <w:t>MNPI</w:t>
      </w:r>
      <w:r>
        <w:rPr>
          <w:rFonts w:ascii="Arial" w:cs="Arial" w:eastAsia="Arial" w:hAnsi="Arial"/>
          <w:sz w:val="19"/>
          <w:szCs w:val="19"/>
          <w:color w:val="auto"/>
        </w:rPr>
        <w:t>”), Proprietary Information, and Confidential Customer Information (each as defined below). It also includes any other non-public information received by Robinhood from a third party subject to a confidentiality agreement.</w:t>
      </w:r>
    </w:p>
    <w:p>
      <w:pPr>
        <w:spacing w:after="0" w:line="180"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The proper handling of Confidential Information depends on the nature of the information. Certain Confidential Information may rise to the level of MNPI and is subject to heightened restrictions and legal protections.</w:t>
      </w:r>
    </w:p>
    <w:p>
      <w:pPr>
        <w:spacing w:after="0" w:line="123" w:lineRule="exact"/>
        <w:rPr>
          <w:sz w:val="20"/>
          <w:szCs w:val="20"/>
          <w:color w:val="auto"/>
        </w:rPr>
      </w:pPr>
    </w:p>
    <w:p>
      <w:pPr>
        <w:ind w:left="1300" w:hanging="659"/>
        <w:spacing w:after="0"/>
        <w:tabs>
          <w:tab w:leader="none" w:pos="130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Material Non-Public Information</w:t>
      </w:r>
    </w:p>
    <w:p>
      <w:pPr>
        <w:spacing w:after="0" w:line="233"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Material non-public information is material information that has not been broadly disseminated or made widely available to the general public. MNPI may come from a variety of sources – Robinhood itself, customers, counterparties, rating agencies, issuers, or other third parties. It may be received from corporate officers or employees of, or lawyers, accountants or other professionals involved with, such third parties. MNPI is generally provided with the expectation that Robinhood and its Insiders will keep it confidential and use it solely for the business purposes for which it was provided.</w:t>
      </w:r>
    </w:p>
    <w:p>
      <w:pPr>
        <w:spacing w:after="0" w:line="201" w:lineRule="exact"/>
        <w:rPr>
          <w:sz w:val="20"/>
          <w:szCs w:val="20"/>
          <w:color w:val="auto"/>
        </w:rPr>
      </w:pPr>
    </w:p>
    <w:p>
      <w:pPr>
        <w:ind w:right="420"/>
        <w:spacing w:after="0" w:line="274" w:lineRule="auto"/>
        <w:rPr>
          <w:sz w:val="20"/>
          <w:szCs w:val="20"/>
          <w:color w:val="auto"/>
        </w:rPr>
      </w:pPr>
      <w:r>
        <w:rPr>
          <w:rFonts w:ascii="Arial" w:cs="Arial" w:eastAsia="Arial" w:hAnsi="Arial"/>
          <w:sz w:val="19"/>
          <w:szCs w:val="19"/>
          <w:color w:val="auto"/>
        </w:rPr>
        <w:t>MNPI may include “tips” received directly or indirectly from a third party, whether inside or outside of a customer relationship, particularly where the recipient knows, or should know, that the third party is disclosing the information improperly, in breach of their duty of trust or confidence to the owner or source of the information.</w:t>
      </w:r>
    </w:p>
    <w:p>
      <w:pPr>
        <w:spacing w:after="0" w:line="163" w:lineRule="exact"/>
        <w:rPr>
          <w:sz w:val="20"/>
          <w:szCs w:val="20"/>
          <w:color w:val="auto"/>
        </w:rPr>
      </w:pPr>
    </w:p>
    <w:p>
      <w:pPr>
        <w:ind w:left="1920" w:hanging="644"/>
        <w:spacing w:after="0"/>
        <w:tabs>
          <w:tab w:leader="none" w:pos="192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When is Information “Material”?</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Information is generally considered to be “material” if a reasonable investor would likely consider the information important in deciding whether to purchase, hold, sell, or make any other investment decision regarding a security, crypto-asset, event contract, or other financial instrument. It includes information that, if publicly disclosed, is reasonably likely to positively or negatively affect the market price of a security, crypto-asset, event contract, or other financial instrument. It also includes information about orders or market activities that, even without public disclosure, are likely to affect the market price of a security, crypto-asset, event contract, or other financial instrument. Information that is material with respect to a security or crypto-asset is likely to be material with respect to related instruments, such as derivative financial products, contracts, or similar instruments (e.g., options, event contracts, futures).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Material information may include, but is not limited to, information about:</w:t>
      </w:r>
    </w:p>
    <w:p>
      <w:pPr>
        <w:spacing w:after="0" w:line="37" w:lineRule="exact"/>
        <w:rPr>
          <w:sz w:val="20"/>
          <w:szCs w:val="20"/>
          <w:color w:val="auto"/>
        </w:rPr>
      </w:pPr>
    </w:p>
    <w:p>
      <w:pPr>
        <w:ind w:left="640" w:right="460" w:hanging="316"/>
        <w:spacing w:after="0" w:line="254" w:lineRule="auto"/>
        <w:tabs>
          <w:tab w:leader="none" w:pos="6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proposed transactions such as refinancings, tender offers, recapitalizations, leveraged buy-outs, acquisitions, mergers, acqui-hires, restructurings or purchases or sales of assets;</w:t>
      </w: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public offerings;</w:t>
      </w:r>
    </w:p>
    <w:p>
      <w:pPr>
        <w:spacing w:after="0" w:line="7" w:lineRule="exact"/>
        <w:rPr>
          <w:rFonts w:ascii="Arial" w:cs="Arial" w:eastAsia="Arial" w:hAnsi="Arial"/>
          <w:sz w:val="19"/>
          <w:szCs w:val="19"/>
          <w:color w:val="auto"/>
        </w:rPr>
      </w:pPr>
    </w:p>
    <w:p>
      <w:pPr>
        <w:ind w:left="640" w:right="60" w:hanging="316"/>
        <w:spacing w:after="0" w:line="261" w:lineRule="auto"/>
        <w:tabs>
          <w:tab w:leader="none" w:pos="6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initiation, expansion, suspension (including temporary and/or limited suspensions), or curtailment of operations with respect to any security or crypto-asset, or any country or market;</w:t>
      </w: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earnings;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projections of future earnings or losses, or other earnings guidance;</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large trades that have been placed but not yet executed;</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dividend initiation, increases, or decreases;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write-downs of assets;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changes to reserves;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05" w:name="page206"/>
    <w:bookmarkEnd w:id="205"/>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liquidity issues, defaults, or other credit events;</w:t>
      </w:r>
    </w:p>
    <w:p>
      <w:pPr>
        <w:spacing w:after="0" w:line="3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changes of ratings of debt securities;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increases or declines in orders;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new products, services or discoveries;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signing of a major new material contract or the loss of a major material existing contract;</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significant developments in litigation or regulatory proceedings;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management changes;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cybersecurity or data breach; and</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advance knowledge of government action that is likely to have an effect on a company or market.</w:t>
      </w:r>
    </w:p>
    <w:p>
      <w:pPr>
        <w:spacing w:after="0" w:line="241"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This list is not exhaustive, and there is no bright-line standard for assessing materiality; rather, it is based on an assessment of all of the facts and circumstances at a particular time. Additional types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information that could be material with regard to crypto-assets are discussed in Section VII below.</w:t>
      </w:r>
    </w:p>
    <w:p>
      <w:pPr>
        <w:spacing w:after="0" w:line="227"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Information may be material even if it relates to speculative or contingent events. It can also be material to more than one company. For example, information about a potential acquisition may be material to both the acquiring company and the target company. Material information can be positive or negative.</w:t>
      </w:r>
    </w:p>
    <w:p>
      <w:pPr>
        <w:spacing w:after="0" w:line="141" w:lineRule="exact"/>
        <w:rPr>
          <w:sz w:val="20"/>
          <w:szCs w:val="20"/>
          <w:color w:val="auto"/>
        </w:rPr>
      </w:pPr>
    </w:p>
    <w:p>
      <w:pPr>
        <w:ind w:left="1920" w:hanging="644"/>
        <w:spacing w:after="0"/>
        <w:tabs>
          <w:tab w:leader="none" w:pos="19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When is Information “Non-Public”?</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Information is considered “non-public” if it has not been broadly disseminated or made widely available to the general public, such as by means of a press release, on a newswire, in a newspaper, in a published research report, in a public filing made with a regulatory agency, in a blog that has been designated as a channel for distribution of material information, in materials sent to shareholders or potential investors such as a proxy statement or a prospectus, or materials available from public disclosure services. You should refrain from trading until the market has had an opportunity to absorb and evaluate the information, which this Policy defines as one full regular trading session (in the case of securities) and 24 hours (in the case of crypto-assets) after the information was broadly disseminated. The fact that non-public information is reflected in rumors in the marketplace does not necessarily mean that the information has been broadly disseminated.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143115" cy="546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143115" cy="546100"/>
                    </a:xfrm>
                    <a:prstGeom prst="rect">
                      <a:avLst/>
                    </a:prstGeom>
                    <a:noFill/>
                  </pic:spPr>
                </pic:pic>
              </a:graphicData>
            </a:graphic>
          </wp:anchor>
        </w:drawing>
      </w:r>
    </w:p>
    <w:p>
      <w:pPr>
        <w:spacing w:after="0" w:line="223" w:lineRule="exact"/>
        <w:rPr>
          <w:sz w:val="20"/>
          <w:szCs w:val="20"/>
          <w:color w:val="auto"/>
        </w:rPr>
      </w:pPr>
    </w:p>
    <w:p>
      <w:pPr>
        <w:ind w:left="40" w:right="20"/>
        <w:spacing w:after="0" w:line="227" w:lineRule="auto"/>
        <w:rPr>
          <w:sz w:val="20"/>
          <w:szCs w:val="20"/>
          <w:color w:val="auto"/>
        </w:rPr>
      </w:pPr>
      <w:r>
        <w:rPr>
          <w:rFonts w:ascii="Arial" w:cs="Arial" w:eastAsia="Arial" w:hAnsi="Arial"/>
          <w:sz w:val="19"/>
          <w:szCs w:val="19"/>
          <w:color w:val="auto"/>
        </w:rPr>
        <w:t>Because the determination of whether information is “material” and/or “non-public” depends on the particular facts and circumstances and involves questions of judgment, Insiders should contact the Employee Trading Helpline if they have any</w:t>
      </w:r>
    </w:p>
    <w:p>
      <w:pPr>
        <w:spacing w:after="0" w:line="2" w:lineRule="exact"/>
        <w:rPr>
          <w:sz w:val="20"/>
          <w:szCs w:val="20"/>
          <w:color w:val="auto"/>
        </w:rPr>
      </w:pPr>
    </w:p>
    <w:p>
      <w:pPr>
        <w:ind w:left="40" w:right="40"/>
        <w:spacing w:after="0" w:line="232" w:lineRule="auto"/>
        <w:rPr>
          <w:sz w:val="20"/>
          <w:szCs w:val="20"/>
          <w:color w:val="auto"/>
        </w:rPr>
      </w:pPr>
      <w:r>
        <w:rPr>
          <w:rFonts w:ascii="Arial" w:cs="Arial" w:eastAsia="Arial" w:hAnsi="Arial"/>
          <w:sz w:val="19"/>
          <w:szCs w:val="19"/>
          <w:color w:val="auto"/>
        </w:rPr>
        <w:t>questions about whether particular information is “material” or “non-public” or whether contemplated actions are consistent with this Policy.</w:t>
      </w:r>
    </w:p>
    <w:p>
      <w:pPr>
        <w:spacing w:after="0" w:line="299" w:lineRule="exact"/>
        <w:rPr>
          <w:sz w:val="20"/>
          <w:szCs w:val="20"/>
          <w:color w:val="auto"/>
        </w:rPr>
      </w:pPr>
    </w:p>
    <w:p>
      <w:pPr>
        <w:ind w:left="1300" w:hanging="659"/>
        <w:spacing w:after="0"/>
        <w:tabs>
          <w:tab w:leader="none" w:pos="13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Customer Information</w:t>
      </w:r>
    </w:p>
    <w:p>
      <w:pPr>
        <w:spacing w:after="0" w:line="231" w:lineRule="exact"/>
        <w:rPr>
          <w:sz w:val="20"/>
          <w:szCs w:val="20"/>
          <w:color w:val="auto"/>
        </w:rPr>
      </w:pPr>
    </w:p>
    <w:p>
      <w:pPr>
        <w:jc w:val="both"/>
        <w:ind w:right="2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Customer Information</w:t>
      </w:r>
      <w:r>
        <w:rPr>
          <w:rFonts w:ascii="Arial" w:cs="Arial" w:eastAsia="Arial" w:hAnsi="Arial"/>
          <w:sz w:val="19"/>
          <w:szCs w:val="19"/>
          <w:color w:val="auto"/>
        </w:rPr>
        <w:t>” is non-public information received by Robinhood from a customer. Confidential Customer Information includes information about customer orders, portfolios, trading intentions, and customer financial information.</w:t>
      </w:r>
    </w:p>
    <w:p>
      <w:pPr>
        <w:spacing w:after="0" w:line="175" w:lineRule="exact"/>
        <w:rPr>
          <w:sz w:val="20"/>
          <w:szCs w:val="20"/>
          <w:color w:val="auto"/>
        </w:rPr>
      </w:pPr>
    </w:p>
    <w:p>
      <w:pPr>
        <w:jc w:val="both"/>
        <w:ind w:right="200"/>
        <w:spacing w:after="0" w:line="274" w:lineRule="auto"/>
        <w:rPr>
          <w:sz w:val="20"/>
          <w:szCs w:val="20"/>
          <w:color w:val="auto"/>
        </w:rPr>
      </w:pPr>
      <w:r>
        <w:rPr>
          <w:rFonts w:ascii="Arial" w:cs="Arial" w:eastAsia="Arial" w:hAnsi="Arial"/>
          <w:sz w:val="19"/>
          <w:szCs w:val="19"/>
          <w:color w:val="auto"/>
        </w:rPr>
        <w:t>Some Confidential Customer Information may constitute MNPI. For example, non-public information about levels of aggregated customer trading activity in a particular security or crypto-asset could be MNPI if the disclosure or publication of such information would likely affect the market price of the security or crypto-asset.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6</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00"/>
          </w:cols>
          <w:pgMar w:left="320" w:top="992" w:right="379" w:bottom="1440" w:gutter="0" w:footer="0" w:header="0"/>
        </w:sectPr>
      </w:pPr>
    </w:p>
    <w:bookmarkStart w:id="206" w:name="page207"/>
    <w:bookmarkEnd w:id="206"/>
    <w:p>
      <w:pPr>
        <w:ind w:left="1320" w:hanging="679"/>
        <w:spacing w:after="0"/>
        <w:tabs>
          <w:tab w:leader="none" w:pos="132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Proprietary Information</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Proprietary Information</w:t>
      </w:r>
      <w:r>
        <w:rPr>
          <w:rFonts w:ascii="Arial" w:cs="Arial" w:eastAsia="Arial" w:hAnsi="Arial"/>
          <w:sz w:val="19"/>
          <w:szCs w:val="19"/>
          <w:color w:val="auto"/>
        </w:rPr>
        <w:t>” is non-public information of whatever type that is owned, created, or obtained by Robinhood for its business purposes. Examples of Proprietary Information include, but are not limited to, information about Robinhood’s business, operations, financial condition, strategies, and performance; information about Robinhood’s relationship with customers, product or service providers, and vendors; and Robinhood computer programs, data, trade secrets and other proprietary software.</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Some Proprietary Information may constitute MNPI. For example, Robinhood’s revenues or financial condition could be material to Robinhood, and non-public information about a contemplated transaction with another company could be material to Robinhood and/or the other company. Similarly, non-public information about industry trends that Robinhood is experiencing could be material to Robinhood and/or to other companies in Robinhood’s industry.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b w:val="1"/>
          <w:bCs w:val="1"/>
          <w:color w:val="auto"/>
        </w:rPr>
        <w:t>IV.</w:t>
      </w:r>
      <w:r>
        <w:rPr>
          <w:sz w:val="20"/>
          <w:szCs w:val="20"/>
          <w:color w:val="auto"/>
        </w:rPr>
        <w:tab/>
      </w:r>
      <w:r>
        <w:rPr>
          <w:rFonts w:ascii="Arial" w:cs="Arial" w:eastAsia="Arial" w:hAnsi="Arial"/>
          <w:sz w:val="19"/>
          <w:szCs w:val="19"/>
          <w:b w:val="1"/>
          <w:bCs w:val="1"/>
          <w:color w:val="auto"/>
        </w:rPr>
        <w:t>Handling and Use of Confidential Information</w:t>
      </w:r>
    </w:p>
    <w:p>
      <w:pPr>
        <w:spacing w:after="0" w:line="220"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All Insiders are prohibited from mishandling or misusing Confidential Information and must comply with the following policies and procedures.</w:t>
      </w:r>
    </w:p>
    <w:p>
      <w:pPr>
        <w:spacing w:after="0" w:line="123" w:lineRule="exact"/>
        <w:rPr>
          <w:sz w:val="20"/>
          <w:szCs w:val="20"/>
          <w:color w:val="auto"/>
        </w:rPr>
      </w:pPr>
    </w:p>
    <w:p>
      <w:pPr>
        <w:ind w:left="1300" w:hanging="659"/>
        <w:spacing w:after="0"/>
        <w:tabs>
          <w:tab w:leader="none" w:pos="130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The “Need to Know” Policy</w:t>
      </w:r>
    </w:p>
    <w:p>
      <w:pPr>
        <w:spacing w:after="0" w:line="233"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Robinhood has a general “Need to Know” policy with respect to the disclosure of Confidential Information. Insiders, consultants, contractors, and agents are expected to limit disclosure of and access to Confidential Information to only those persons who: (a) have a valid business reason for receiving the information, (b) are receiving the information in order to serve the proper business purposes of Robinhood, and (c) can be expected to maintain the information in confidence. Persons with a “need to know” Confidential Information may include certain Insiders and certain persons outside Robinhood (such as Robinhood’s outside counsel or accountants). In addition, Insiders, consultants, contractors, and agents must not disclose Confidential Information except in accordance with any applicable confidentiality agreement or information barriers.</w:t>
      </w:r>
    </w:p>
    <w:p>
      <w:pPr>
        <w:spacing w:after="0" w:line="162" w:lineRule="exact"/>
        <w:rPr>
          <w:sz w:val="20"/>
          <w:szCs w:val="20"/>
          <w:color w:val="auto"/>
        </w:rPr>
      </w:pPr>
    </w:p>
    <w:p>
      <w:pPr>
        <w:ind w:left="1300" w:hanging="659"/>
        <w:spacing w:after="0"/>
        <w:tabs>
          <w:tab w:leader="none" w:pos="130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“Tipping”</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Insiders, consultants, contractors, and agents shall not provide MNPI obtained in the course of such person’s affiliation with Robinhood to a friend, relative, or anyone else who might buy or sell a security, crypto-asset, event contract, or other financial instrument on the basis of that information, whether or not the Insider intends to realize a profit from such “</w:t>
      </w:r>
      <w:r>
        <w:rPr>
          <w:rFonts w:ascii="Arial" w:cs="Arial" w:eastAsia="Arial" w:hAnsi="Arial"/>
          <w:sz w:val="19"/>
          <w:szCs w:val="19"/>
          <w:b w:val="1"/>
          <w:bCs w:val="1"/>
          <w:color w:val="auto"/>
        </w:rPr>
        <w:t>tipping</w:t>
      </w:r>
      <w:r>
        <w:rPr>
          <w:rFonts w:ascii="Arial" w:cs="Arial" w:eastAsia="Arial" w:hAnsi="Arial"/>
          <w:sz w:val="19"/>
          <w:szCs w:val="19"/>
          <w:color w:val="auto"/>
        </w:rPr>
        <w:t>.” A person who gives MNPI to another without authorization, is a “</w:t>
      </w:r>
      <w:r>
        <w:rPr>
          <w:rFonts w:ascii="Arial" w:cs="Arial" w:eastAsia="Arial" w:hAnsi="Arial"/>
          <w:sz w:val="19"/>
          <w:szCs w:val="19"/>
          <w:b w:val="1"/>
          <w:bCs w:val="1"/>
          <w:color w:val="auto"/>
        </w:rPr>
        <w:t>tipper</w:t>
      </w:r>
      <w:r>
        <w:rPr>
          <w:rFonts w:ascii="Arial" w:cs="Arial" w:eastAsia="Arial" w:hAnsi="Arial"/>
          <w:sz w:val="19"/>
          <w:szCs w:val="19"/>
          <w:color w:val="auto"/>
        </w:rPr>
        <w:t>.” The person who receives the information is a “</w:t>
      </w:r>
      <w:r>
        <w:rPr>
          <w:rFonts w:ascii="Arial" w:cs="Arial" w:eastAsia="Arial" w:hAnsi="Arial"/>
          <w:sz w:val="19"/>
          <w:szCs w:val="19"/>
          <w:b w:val="1"/>
          <w:bCs w:val="1"/>
          <w:color w:val="auto"/>
        </w:rPr>
        <w:t>tippee</w:t>
      </w:r>
      <w:r>
        <w:rPr>
          <w:rFonts w:ascii="Arial" w:cs="Arial" w:eastAsia="Arial" w:hAnsi="Arial"/>
          <w:sz w:val="19"/>
          <w:szCs w:val="19"/>
          <w:color w:val="auto"/>
        </w:rPr>
        <w:t>.” A person does not have to divulge MNPI to be guilty of tipping. Simply suggesting to a relative or friend that he or she buy, sell, or hold a security, crypto-asset, event contract, or other financial instrument violates this Policy if the person making the tip is aware of MNPI regarding such asset obtained in the course of such person’s affiliation with Robinhood when making the suggestion, even if the tipper does not tell the tippee why the tipper is making the suggestion. Additionally, the tippee may be subject to civil fines and criminal prosecution if he or she trades based on the MNPI received or disseminates the MNPI to others or suggests trades to others.</w:t>
      </w:r>
    </w:p>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Insiders, consultants, contractors, and agents shall not disclose Confidential Information to any person under any circumstances in which it appears likely that such person will misuse the information. At all times, you should use common sense, good judgment, and caution and conform to other applicable Robinhood policies regarding information security and privacy, including Robinhood’s Privacy Policy and any other procedures designed to protect against unauthorized access to or use of customer records and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7</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00"/>
          </w:cols>
          <w:pgMar w:left="320" w:top="1201" w:right="379" w:bottom="1440" w:gutter="0" w:footer="0" w:header="0"/>
        </w:sectPr>
      </w:pPr>
    </w:p>
    <w:bookmarkStart w:id="207" w:name="page208"/>
    <w:bookmarkEnd w:id="207"/>
    <w:p>
      <w:pPr>
        <w:ind w:left="1320" w:hanging="679"/>
        <w:spacing w:after="0"/>
        <w:tabs>
          <w:tab w:leader="none" w:pos="132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Receipt of Material Non-Public Information</w:t>
      </w:r>
    </w:p>
    <w:p>
      <w:pPr>
        <w:spacing w:after="0" w:line="233"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Project or team leaders (including but not limited to in corporate development, product development, finance, legal, and procurement) whose teams generate, receive, or access, or expect to generate, receive, or access, MNPI (including, without limitation, from customers, counterparties, rating agencies, issuers, or other third parties) regarding an issuer or any security, crypto-asset, event contract, or other financial instrument must notify the Control Room (who in turn will notify the RHM Trading Compliance Officer, when applicable) and the Deputy General Counsel of Corporate Legal Affairs or the head of the Corporate Legal team (or otherwise ensure they are aware) that such MNPI being held within the Company. The Control Room will provide guidance as to the appropriate steps to take, and may add the issuer or crypto-asset to Robinhood’s Restricted List or Watch List (as described in Section V).</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If an Insider, consultant, contractor or agent acting on behalf of Robinhood is uncertain whether information is MNPI or believe they may have been inadvertently exposed to MNPI during the course of their affiliation with Robinhood, they must consult and/or notify the RHM Trading Compliance Officer/Control Room, the Deputy General Counsel of Corporate Legal Affairs or the head of the Corporate Legal team (or their designee), and their project or team leaders for determination.</w:t>
      </w:r>
    </w:p>
    <w:p>
      <w:pPr>
        <w:spacing w:after="0" w:line="171" w:lineRule="exact"/>
        <w:rPr>
          <w:sz w:val="20"/>
          <w:szCs w:val="20"/>
          <w:color w:val="auto"/>
        </w:rPr>
      </w:pPr>
    </w:p>
    <w:p>
      <w:pPr>
        <w:ind w:left="1280" w:hanging="639"/>
        <w:spacing w:after="0"/>
        <w:tabs>
          <w:tab w:leader="none" w:pos="128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Use of Confidential Information; Prohibition of “Insider Trading”</w:t>
      </w:r>
    </w:p>
    <w:p>
      <w:pPr>
        <w:spacing w:after="0" w:line="231" w:lineRule="exact"/>
        <w:rPr>
          <w:rFonts w:ascii="Arial" w:cs="Arial" w:eastAsia="Arial" w:hAnsi="Arial"/>
          <w:sz w:val="19"/>
          <w:szCs w:val="19"/>
          <w:b w:val="1"/>
          <w:bCs w:val="1"/>
          <w:color w:val="auto"/>
        </w:rPr>
      </w:pPr>
    </w:p>
    <w:p>
      <w:pPr>
        <w:ind w:right="360" w:firstLine="1276"/>
        <w:spacing w:after="0" w:line="266"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MNPI and Other Confidential Customer Information Obtained from Third Parties. </w:t>
      </w:r>
      <w:r>
        <w:rPr>
          <w:rFonts w:ascii="Arial" w:cs="Arial" w:eastAsia="Arial" w:hAnsi="Arial"/>
          <w:sz w:val="19"/>
          <w:szCs w:val="19"/>
          <w:color w:val="auto"/>
        </w:rPr>
        <w:t>Insiders, consultants,</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contractors, and agents may use MNPI obtained from a third party and other Confidential Customer Information only for the specific purpose for which it was provided; any other use without permission from the entity that originally entrusted Robinhood with such information is a misuse in violation of this Policy.</w:t>
      </w:r>
    </w:p>
    <w:p>
      <w:pPr>
        <w:spacing w:after="0" w:line="196" w:lineRule="exact"/>
        <w:rPr>
          <w:rFonts w:ascii="Arial" w:cs="Arial" w:eastAsia="Arial" w:hAnsi="Arial"/>
          <w:sz w:val="19"/>
          <w:szCs w:val="19"/>
          <w:b w:val="1"/>
          <w:bCs w:val="1"/>
          <w:color w:val="auto"/>
        </w:rPr>
      </w:pPr>
    </w:p>
    <w:p>
      <w:pPr>
        <w:ind w:right="40" w:firstLine="1276"/>
        <w:spacing w:after="0" w:line="259"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Proprietary Information and Other Confidential Information. </w:t>
      </w:r>
      <w:r>
        <w:rPr>
          <w:rFonts w:ascii="Arial" w:cs="Arial" w:eastAsia="Arial" w:hAnsi="Arial"/>
          <w:sz w:val="19"/>
          <w:szCs w:val="19"/>
          <w:color w:val="auto"/>
        </w:rPr>
        <w:t>Insiders may use Proprietary Information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Confidential Information, regardless of its source, only for the purpose of carrying out their responsibilities on behalf of Robinhood and only in a manner consistent with the purposes for which it was created or obtained by Robinhood. Proprietary Information is the property of Robinhood. The unauthorized use or disclosure of Proprietary Information and other Confidential Information is prohibited (regardless of whether the information is material). For example, Insiders might accidentally overhear a conversation or come across a memo left at a copy machine or receive information erroneously shared with them through email, slack or other electronic communications and thereby learn Proprietary Information about an earnings announcement or a prospective acquisition before it is made public. Using this information for the Insider’s financial or other personal benefit or conveying such information to others for their financial or other personal benefit constitutes a violation of this Policy and may violate the law. Similarly, Insiders must not trade securities of other companies based on Proprietary Information about Robinhood. (For example, if an Insider becomes aware of a material undisclosed trend at Robinhood that could be affecting the entire brokerage industry, then the Insider must not trade in securities issued by any brokerage until the information has been publicly disclosed or is no longer material.)</w:t>
      </w:r>
    </w:p>
    <w:p>
      <w:pPr>
        <w:spacing w:after="0" w:line="200" w:lineRule="exact"/>
        <w:rPr>
          <w:rFonts w:ascii="Arial" w:cs="Arial" w:eastAsia="Arial" w:hAnsi="Arial"/>
          <w:sz w:val="19"/>
          <w:szCs w:val="19"/>
          <w:b w:val="1"/>
          <w:bCs w:val="1"/>
          <w:color w:val="auto"/>
        </w:rPr>
      </w:pPr>
    </w:p>
    <w:p>
      <w:pPr>
        <w:spacing w:after="0" w:line="239" w:lineRule="exact"/>
        <w:rPr>
          <w:rFonts w:ascii="Arial" w:cs="Arial" w:eastAsia="Arial" w:hAnsi="Arial"/>
          <w:sz w:val="19"/>
          <w:szCs w:val="19"/>
          <w:b w:val="1"/>
          <w:bCs w:val="1"/>
          <w:color w:val="auto"/>
        </w:rPr>
      </w:pPr>
    </w:p>
    <w:p>
      <w:pPr>
        <w:ind w:right="320" w:firstLine="1276"/>
        <w:spacing w:after="0" w:line="275"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Trading Prohibitions. </w:t>
      </w:r>
      <w:r>
        <w:rPr>
          <w:rFonts w:ascii="Arial" w:cs="Arial" w:eastAsia="Arial" w:hAnsi="Arial"/>
          <w:sz w:val="19"/>
          <w:szCs w:val="19"/>
          <w:color w:val="auto"/>
        </w:rPr>
        <w:t>Insiders, consultants, contractors, and agents of Robinhood shall not purchase, sell,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trade, or cause or recommend the purchase, sale, or other trade, for any account (whether their own account, or the account of a Family Member or Controlled Entity, a customer, Robinhood, or any other person or entity), of:</w:t>
      </w:r>
    </w:p>
    <w:p>
      <w:pPr>
        <w:spacing w:after="0" w:line="177" w:lineRule="exact"/>
        <w:rPr>
          <w:rFonts w:ascii="Arial" w:cs="Arial" w:eastAsia="Arial" w:hAnsi="Arial"/>
          <w:sz w:val="19"/>
          <w:szCs w:val="19"/>
          <w:b w:val="1"/>
          <w:bCs w:val="1"/>
          <w:color w:val="auto"/>
        </w:rPr>
      </w:pPr>
    </w:p>
    <w:p>
      <w:pPr>
        <w:ind w:left="1280" w:right="420" w:hanging="321"/>
        <w:spacing w:after="0" w:line="282" w:lineRule="auto"/>
        <w:tabs>
          <w:tab w:leader="none" w:pos="1278"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security, crypto-asset, event contract, or other financial instrument while in possession of MNPI that relates to such security, crypto-asset, or instrument and that was obtained in the course of the person’s affiliation with Robinhood;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8</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201" w:right="359" w:bottom="1440" w:gutter="0" w:footer="0" w:header="0"/>
        </w:sectPr>
      </w:pPr>
    </w:p>
    <w:bookmarkStart w:id="208" w:name="page209"/>
    <w:bookmarkEnd w:id="208"/>
    <w:p>
      <w:pPr>
        <w:ind w:left="1280" w:right="260" w:hanging="321"/>
        <w:spacing w:after="0" w:line="274" w:lineRule="auto"/>
        <w:tabs>
          <w:tab w:leader="none" w:pos="1278"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security, crypto-asset, event contract, or other financial instrument while in possession of non-public information about aggregated customer trading activity in such security, crypto-asset, or instrument that Robinhood plans to make public.</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order to avoid even the appearance of abuse, all trades of a security, crypto-asset, event contract, or other financial instrument by or for the account of Family Members or Controlled Entities are treated as though they were made by the related Insider. Insiders are therefore advised to make their Family Members aware of this Policy, including that this Policy treats all trades of a security, crypto-asset, event contract, or other financial instrument by Family Members and Controlled Entities as if the transactions were made by the Insider. However, such Policy presumption does not apply to transactions by Family Members or Controlled Entities where the Insider demonstrates that the investment decision was made independently by a third party not controlled or influenced by the Insider or the Insider’s Family Members.</w:t>
      </w:r>
    </w:p>
    <w:p>
      <w:pPr>
        <w:spacing w:after="0" w:line="162" w:lineRule="exact"/>
        <w:rPr>
          <w:sz w:val="20"/>
          <w:szCs w:val="20"/>
          <w:color w:val="auto"/>
        </w:rPr>
      </w:pPr>
    </w:p>
    <w:p>
      <w:pPr>
        <w:ind w:left="1300" w:hanging="659"/>
        <w:spacing w:after="0"/>
        <w:tabs>
          <w:tab w:leader="none" w:pos="130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Information Barriers</w:t>
      </w:r>
    </w:p>
    <w:p>
      <w:pPr>
        <w:spacing w:after="0" w:line="233"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From time to time, it may be appropriate to adopt and implement more formal information barriers, sometimes called “information screens,” designed to prevent the misuse of MNPI, including to prevent MNPI from being passed from one Insider or group of Insiders to another group of Insiders (“</w:t>
      </w:r>
      <w:r>
        <w:rPr>
          <w:rFonts w:ascii="Arial" w:cs="Arial" w:eastAsia="Arial" w:hAnsi="Arial"/>
          <w:sz w:val="19"/>
          <w:szCs w:val="19"/>
          <w:b w:val="1"/>
          <w:bCs w:val="1"/>
          <w:color w:val="auto"/>
        </w:rPr>
        <w:t>Information Barriers</w:t>
      </w:r>
      <w:r>
        <w:rPr>
          <w:rFonts w:ascii="Arial" w:cs="Arial" w:eastAsia="Arial" w:hAnsi="Arial"/>
          <w:sz w:val="19"/>
          <w:szCs w:val="19"/>
          <w:color w:val="auto"/>
        </w:rPr>
        <w:t>”). Information Barriers have multiple uses, including to enable the proper management of potential conflicts of interest, to protect the confidentiality of information, to prevent the misuse of MNPI, and/or to comply with certain regulatory requirements. They are often reinforced by physical and functional separation and electronic restrictions and controls.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Where Robinhood has implemented an Information Barrier, a person on one side of the barrier may not communicate (or otherwise give access to) specified categories of Confidential Information acquired or created in that business area to persons on the other side of the barrier, except in accordance with any specific barrier-crossing procedures established for such barrier.</w:t>
      </w:r>
    </w:p>
    <w:p>
      <w:pPr>
        <w:spacing w:after="0" w:line="141" w:lineRule="exact"/>
        <w:rPr>
          <w:sz w:val="20"/>
          <w:szCs w:val="20"/>
          <w:color w:val="auto"/>
        </w:rPr>
      </w:pPr>
    </w:p>
    <w:p>
      <w:pPr>
        <w:ind w:left="640" w:hanging="634"/>
        <w:spacing w:after="0"/>
        <w:tabs>
          <w:tab w:leader="none" w:pos="64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List and Watch List</w:t>
      </w:r>
    </w:p>
    <w:p>
      <w:pPr>
        <w:spacing w:after="0" w:line="233"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The RHM Control Room (a designee of the RHM Trading Compliance Officer) is authorized (but not required) to maintain and enforce a Restricted List and a Watch List as described below.</w:t>
      </w:r>
    </w:p>
    <w:p>
      <w:pPr>
        <w:spacing w:after="0" w:line="150" w:lineRule="exact"/>
        <w:rPr>
          <w:sz w:val="20"/>
          <w:szCs w:val="20"/>
          <w:color w:val="auto"/>
        </w:rPr>
      </w:pPr>
    </w:p>
    <w:p>
      <w:pPr>
        <w:ind w:left="1300" w:hanging="659"/>
        <w:spacing w:after="0"/>
        <w:tabs>
          <w:tab w:leader="none" w:pos="1300"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List</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Restricted List</w:t>
      </w:r>
      <w:r>
        <w:rPr>
          <w:rFonts w:ascii="Arial" w:cs="Arial" w:eastAsia="Arial" w:hAnsi="Arial"/>
          <w:sz w:val="19"/>
          <w:szCs w:val="19"/>
          <w:color w:val="auto"/>
        </w:rPr>
        <w:t>” is a list of issuers that are subject to restrictions on trading activity. The Restricted List may generally be viewed by all Insiders. The RHM Control Room may also choose to make the Restricted List viewable by consultants, contractors, or agents of Robinhood who have a duty of confidentiality to Robinhood. The RHM Control Room may place an issuer or crypto-asset on the Restricted List in order to reinforce Information Barriers, to comply with legal or regulatory requirements, to avoid the potential appearance of impropriety, or to meet other compliance or regulatory objectives. Because entries may be placed on the Restricted List for a number of reasons, no inferences should be drawn from the fact that an issuer or crypto-asset is included on the Restricted List.</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When an issuer appears on the Restricted List, Insiders (as well as any consultants, contractors, or agents of Robinhood with access to the list) shall not purchase or sell, or cause or recommend the purchase or sale, for any account on the Robinhood platform or any other platform (whether their own account, or the account of a Family Member or a Controlled Entity, a customer, Robinhood, or any other person or entity) of that issuer’s securities or that crypto-asset or any related derivatives or other related financial instruments. In appropriate circumstances, the RHM Trading Compliance Officer may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9</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2" w:right="339" w:bottom="1440" w:gutter="0" w:footer="0" w:header="0"/>
        </w:sectPr>
      </w:pPr>
    </w:p>
    <w:bookmarkStart w:id="209" w:name="page210"/>
    <w:bookmarkEnd w:id="209"/>
    <w:p>
      <w:pPr>
        <w:ind w:right="920"/>
        <w:spacing w:after="0" w:line="302" w:lineRule="auto"/>
        <w:rPr>
          <w:sz w:val="20"/>
          <w:szCs w:val="20"/>
          <w:color w:val="auto"/>
        </w:rPr>
      </w:pPr>
      <w:r>
        <w:rPr>
          <w:rFonts w:ascii="Arial" w:cs="Arial" w:eastAsia="Arial" w:hAnsi="Arial"/>
          <w:sz w:val="19"/>
          <w:szCs w:val="19"/>
          <w:color w:val="auto"/>
        </w:rPr>
        <w:t>grant exceptions from the Restricted List prohibitions. The RHM Control Room is authorized to monitor trading to identify transactions prohibited by the Restricted List.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Anyone with access to the Restricted List should understand that the Restricted List is itself Proprietary Information and MNPI.</w:t>
      </w:r>
    </w:p>
    <w:p>
      <w:pPr>
        <w:spacing w:after="0" w:line="229" w:lineRule="exact"/>
        <w:rPr>
          <w:sz w:val="20"/>
          <w:szCs w:val="20"/>
          <w:color w:val="auto"/>
        </w:rPr>
      </w:pPr>
    </w:p>
    <w:p>
      <w:pPr>
        <w:ind w:left="1300" w:hanging="659"/>
        <w:spacing w:after="0"/>
        <w:tabs>
          <w:tab w:leader="none" w:pos="130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Watch List</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From time to time, the RHM Trading Compliance Officer may determine that an issuer or crypto-asset should be placed on a Watch List. A “</w:t>
      </w:r>
      <w:r>
        <w:rPr>
          <w:rFonts w:ascii="Arial" w:cs="Arial" w:eastAsia="Arial" w:hAnsi="Arial"/>
          <w:sz w:val="19"/>
          <w:szCs w:val="19"/>
          <w:b w:val="1"/>
          <w:bCs w:val="1"/>
          <w:color w:val="auto"/>
        </w:rPr>
        <w:t>Watch List</w:t>
      </w:r>
      <w:r>
        <w:rPr>
          <w:rFonts w:ascii="Arial" w:cs="Arial" w:eastAsia="Arial" w:hAnsi="Arial"/>
          <w:sz w:val="19"/>
          <w:szCs w:val="19"/>
          <w:color w:val="auto"/>
        </w:rPr>
        <w:t>” is a highly confidential list of issuers and crypto-assets about which Robinhood may have received or may expect to receive MNPI or with respect to which the RHM Control Room otherwise has determined that there is a reason to monitor activities. The placement of an issuer or crypto-asset on a Watch List generally will not, in and of itself, effect any trading prohibition. (However, the circumstances that gave rise to the listing, such as a confidential merger project, will often result in a trading prohibition applicable to anyone with knowledge of those circumstances, as set forth in other sections of this Policy.) The RHM Control Room is authorized to monitor trading in securities of issuers and in crypto-assets on the Watch List, and in all related financial instruments. Anyone who is aware of one or more entries on the Watch List, should consider that information itself to be MNPI.</w:t>
      </w:r>
    </w:p>
    <w:p>
      <w:pPr>
        <w:spacing w:after="0" w:line="200" w:lineRule="exact"/>
        <w:rPr>
          <w:sz w:val="20"/>
          <w:szCs w:val="20"/>
          <w:color w:val="auto"/>
        </w:rPr>
      </w:pPr>
    </w:p>
    <w:p>
      <w:pPr>
        <w:spacing w:after="0" w:line="215" w:lineRule="exact"/>
        <w:rPr>
          <w:sz w:val="20"/>
          <w:szCs w:val="20"/>
          <w:color w:val="auto"/>
        </w:rPr>
      </w:pPr>
    </w:p>
    <w:p>
      <w:pPr>
        <w:ind w:left="1320" w:hanging="679"/>
        <w:spacing w:after="0"/>
        <w:tabs>
          <w:tab w:leader="none" w:pos="1320"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Monitoring</w:t>
      </w: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order to monitor Policy compliance, the RHM Trading Compliance Officer may require Insiders, consultants, contractors, and agents to inform Robinhood of any securities (including derivative financial products, contracts, or similar instruments) and crypto-asset accounts that they or their Covered Persons maintain at Robinhood and/or other brokerages or businesses and to consent to surveillance of those accounts. (Additional surveillance procedures may apply to associated persons of certain RHM Subsidiaries under their respective WSPs.)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w:t>
      </w:r>
      <w:r>
        <w:rPr>
          <w:sz w:val="20"/>
          <w:szCs w:val="20"/>
          <w:color w:val="auto"/>
        </w:rPr>
        <w:tab/>
      </w:r>
      <w:r>
        <w:rPr>
          <w:rFonts w:ascii="Arial" w:cs="Arial" w:eastAsia="Arial" w:hAnsi="Arial"/>
          <w:sz w:val="19"/>
          <w:szCs w:val="19"/>
          <w:b w:val="1"/>
          <w:bCs w:val="1"/>
          <w:color w:val="auto"/>
        </w:rPr>
        <w:t>Trading of Robinhood Securities</w:t>
      </w:r>
    </w:p>
    <w:p>
      <w:pPr>
        <w:spacing w:after="0" w:line="218" w:lineRule="exact"/>
        <w:rPr>
          <w:sz w:val="20"/>
          <w:szCs w:val="20"/>
          <w:color w:val="auto"/>
        </w:rPr>
      </w:pPr>
    </w:p>
    <w:p>
      <w:pPr>
        <w:ind w:left="1300" w:hanging="659"/>
        <w:spacing w:after="0"/>
        <w:tabs>
          <w:tab w:leader="none" w:pos="1300"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Prohibitions of Insider Trading and Tipping apply to Robinhood Securities</w:t>
      </w:r>
      <w:r>
        <w:rPr>
          <w:rFonts w:ascii="Arial" w:cs="Arial" w:eastAsia="Arial" w:hAnsi="Arial"/>
          <w:sz w:val="25"/>
          <w:szCs w:val="25"/>
          <w:color w:val="auto"/>
          <w:vertAlign w:val="superscript"/>
        </w:rPr>
        <w:t>3</w:t>
      </w:r>
    </w:p>
    <w:p>
      <w:pPr>
        <w:spacing w:after="0" w:line="165"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For the avoidance of doubt, the prohibitions against insider trading set forth in Section IV.D.3 and the prohibition against insider “tipping” set forth in Section IV.B of this Policy apply to Robinhood Securities (as defined in the footnote) and information relating to Robinhood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6808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93" w:lineRule="exact"/>
        <w:rPr>
          <w:sz w:val="20"/>
          <w:szCs w:val="20"/>
          <w:color w:val="auto"/>
        </w:rPr>
      </w:pPr>
    </w:p>
    <w:p>
      <w:pPr>
        <w:ind w:firstLine="6"/>
        <w:spacing w:after="0" w:line="250" w:lineRule="auto"/>
        <w:tabs>
          <w:tab w:leader="none" w:pos="118" w:val="left"/>
        </w:tabs>
        <w:numPr>
          <w:ilvl w:val="0"/>
          <w:numId w:val="102"/>
        </w:numPr>
        <w:rPr>
          <w:rFonts w:ascii="Times New Roman" w:cs="Times New Roman" w:eastAsia="Times New Roman" w:hAnsi="Times New Roman"/>
          <w:sz w:val="26"/>
          <w:szCs w:val="26"/>
          <w:color w:val="auto"/>
          <w:vertAlign w:val="superscript"/>
        </w:rPr>
      </w:pPr>
      <w:r>
        <w:rPr>
          <w:rFonts w:ascii="Arial" w:cs="Arial" w:eastAsia="Arial" w:hAnsi="Arial"/>
          <w:sz w:val="17"/>
          <w:szCs w:val="17"/>
          <w:color w:val="auto"/>
        </w:rPr>
        <w:t>“</w:t>
      </w:r>
      <w:r>
        <w:rPr>
          <w:rFonts w:ascii="Arial" w:cs="Arial" w:eastAsia="Arial" w:hAnsi="Arial"/>
          <w:sz w:val="17"/>
          <w:szCs w:val="17"/>
          <w:b w:val="1"/>
          <w:bCs w:val="1"/>
          <w:color w:val="auto"/>
        </w:rPr>
        <w:t>Robinhood Securities</w:t>
      </w:r>
      <w:r>
        <w:rPr>
          <w:rFonts w:ascii="Arial" w:cs="Arial" w:eastAsia="Arial" w:hAnsi="Arial"/>
          <w:sz w:val="17"/>
          <w:szCs w:val="17"/>
          <w:color w:val="auto"/>
        </w:rPr>
        <w:t>” means (i) all securities that Robinhood has issued, including common stock and warrants to purchase common stock (and any other securities that Robinhood may issue in the future, including but not limited to, preferred shares, notes, and debentures); (ii) any derivative financial products, contracts, or similar instruments pertaining to Robinhood’s securities, whether or not issued by Robinhood, such as options and forward contracts; and (iii) any derivative financial products, contracts, or similar instruments that are tied to Robinhood metrics, performance, or events, whether or not issued by Robinhood, such as event contracts (the derivative financial products, contracts, or similar instruments set forth in (ii) and (iii) of this definition are collectively referred to as “</w:t>
      </w:r>
      <w:r>
        <w:rPr>
          <w:rFonts w:ascii="Arial" w:cs="Arial" w:eastAsia="Arial" w:hAnsi="Arial"/>
          <w:sz w:val="17"/>
          <w:szCs w:val="17"/>
          <w:b w:val="1"/>
          <w:bCs w:val="1"/>
          <w:color w:val="auto"/>
        </w:rPr>
        <w:t>Robinhood Derivatives</w:t>
      </w:r>
      <w:r>
        <w:rPr>
          <w:rFonts w:ascii="Arial" w:cs="Arial" w:eastAsia="Arial" w:hAnsi="Arial"/>
          <w:sz w:val="17"/>
          <w:szCs w:val="17"/>
          <w:color w:val="auto"/>
        </w:rPr>
        <w:t xml:space="preserve">”). Securities of broadly diversified funds and index funds (i.e., funds that track an established broad-based index)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considered “Robinhood Securities.” Securities of any other fund that has invested in Robinhood Securities will not be considered to pertain to Robinhood’s securities (and thus will not be considered “</w:t>
      </w:r>
      <w:r>
        <w:rPr>
          <w:rFonts w:ascii="Arial" w:cs="Arial" w:eastAsia="Arial" w:hAnsi="Arial"/>
          <w:sz w:val="17"/>
          <w:szCs w:val="17"/>
          <w:b w:val="1"/>
          <w:bCs w:val="1"/>
          <w:color w:val="auto"/>
        </w:rPr>
        <w:t>Robinhood Securities</w:t>
      </w:r>
      <w:r>
        <w:rPr>
          <w:rFonts w:ascii="Arial" w:cs="Arial" w:eastAsia="Arial" w:hAnsi="Arial"/>
          <w:sz w:val="17"/>
          <w:szCs w:val="17"/>
          <w:color w:val="auto"/>
        </w:rPr>
        <w:t>” or “</w:t>
      </w:r>
      <w:r>
        <w:rPr>
          <w:rFonts w:ascii="Arial" w:cs="Arial" w:eastAsia="Arial" w:hAnsi="Arial"/>
          <w:sz w:val="17"/>
          <w:szCs w:val="17"/>
          <w:b w:val="1"/>
          <w:bCs w:val="1"/>
          <w:color w:val="auto"/>
        </w:rPr>
        <w:t>Robinhood Derivatives</w:t>
      </w:r>
      <w:r>
        <w:rPr>
          <w:rFonts w:ascii="Arial" w:cs="Arial" w:eastAsia="Arial" w:hAnsi="Arial"/>
          <w:sz w:val="17"/>
          <w:szCs w:val="17"/>
          <w:color w:val="auto"/>
        </w:rPr>
        <w:t>”), provided that Robinhood Securities comprise less than 5% of the fund by value at the time of the Covered Person’s investment decision. Please refer any questions about this definition to the Employee Trading Helpline.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10</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2" w:right="339" w:bottom="1440" w:gutter="0" w:footer="0" w:header="0"/>
        </w:sectPr>
      </w:pPr>
    </w:p>
    <w:bookmarkStart w:id="210" w:name="page211"/>
    <w:bookmarkEnd w:id="210"/>
    <w:p>
      <w:pPr>
        <w:ind w:left="1300" w:hanging="659"/>
        <w:spacing w:after="0"/>
        <w:tabs>
          <w:tab w:leader="none" w:pos="1300"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10b5-1 Trading Plans</w:t>
      </w:r>
    </w:p>
    <w:p>
      <w:pPr>
        <w:spacing w:after="0" w:line="233"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Robinhood has adopted a Rule 10b5-1 Trading Plan Policy under which certain Insiders are required or eligible to adopt trading plans (“</w:t>
      </w:r>
      <w:r>
        <w:rPr>
          <w:rFonts w:ascii="Arial" w:cs="Arial" w:eastAsia="Arial" w:hAnsi="Arial"/>
          <w:sz w:val="19"/>
          <w:szCs w:val="19"/>
          <w:b w:val="1"/>
          <w:bCs w:val="1"/>
          <w:color w:val="auto"/>
        </w:rPr>
        <w:t>10b5-1 Plans</w:t>
      </w:r>
      <w:r>
        <w:rPr>
          <w:rFonts w:ascii="Arial" w:cs="Arial" w:eastAsia="Arial" w:hAnsi="Arial"/>
          <w:sz w:val="19"/>
          <w:szCs w:val="19"/>
          <w:color w:val="auto"/>
        </w:rPr>
        <w:t xml:space="preserve">”) for Robinhood Securities. In accordance with federal law, that policy allows securities trades to be made pursuant to a </w:t>
      </w:r>
      <w:r>
        <w:rPr>
          <w:rFonts w:ascii="Arial" w:cs="Arial" w:eastAsia="Arial" w:hAnsi="Arial"/>
          <w:sz w:val="19"/>
          <w:szCs w:val="19"/>
          <w:i w:val="1"/>
          <w:iCs w:val="1"/>
          <w:color w:val="auto"/>
        </w:rPr>
        <w:t>pre-existing</w:t>
      </w:r>
      <w:r>
        <w:rPr>
          <w:rFonts w:ascii="Arial" w:cs="Arial" w:eastAsia="Arial" w:hAnsi="Arial"/>
          <w:sz w:val="19"/>
          <w:szCs w:val="19"/>
          <w:color w:val="auto"/>
        </w:rPr>
        <w:t xml:space="preserve"> 10b5-1 Plan (even if the trader possesses MNPI when the trade occurs), so long as the plan was adopted in accordance with Rule 10b5-1(c) under the Securities Exchange Act of 1934, as amended, and Robinhood’s Rule 10b5-1 Trading Plan Policy.</w:t>
      </w:r>
    </w:p>
    <w:p>
      <w:pPr>
        <w:spacing w:after="0" w:line="201"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Therefore, the prohibitions against insider trading set forth in Section IV.D.3 of this Policy, the Quarterly Closed Windows of Section VI.G, the pre-clearance requirements of Section VI.J, and the Special Closed Windows of Section VI.K do not apply to transactions in Robinhood Securities effected as part of a valid 10b5-1 Plan.</w:t>
      </w:r>
    </w:p>
    <w:p>
      <w:pPr>
        <w:spacing w:after="0" w:line="163" w:lineRule="exact"/>
        <w:rPr>
          <w:sz w:val="20"/>
          <w:szCs w:val="20"/>
          <w:color w:val="auto"/>
        </w:rPr>
      </w:pPr>
    </w:p>
    <w:p>
      <w:pPr>
        <w:ind w:left="1320" w:hanging="679"/>
        <w:spacing w:after="0"/>
        <w:tabs>
          <w:tab w:leader="none" w:pos="13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Prohibition of Hedging Robinhood Securities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Robinhood recognizes that hedging against losses in Robinhood shares may disturb the alignment between shareholders and Insiders that the Company’s equity awards and stock ownership policies are intended to build. As a matter of Robinhood policy, Covered Persons are prohibited from purchasing financial instruments (including prepaid variable forward contracts, equity swaps, collars, and exchange funds), or otherwise engaging in transactions, with the purpose or effect of limiting or eliminating economic risks associated with owning Robinhood Securities. Such hedging transactions are prohibited regardless of whether the Covered Person possesses MNPI when implementing the hedge.</w:t>
      </w:r>
    </w:p>
    <w:p>
      <w:pPr>
        <w:spacing w:after="0" w:line="199"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The RHM Trading Compliance Officer may grant an exception to the prohibition set forth in this Section VI.C on a case-by-case basis, subject to such internal approvals as the RHM Trading Compliance Officer, in his or her sole discretion, may request. Such requests are discouraged and would be granted rarely.</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the avoidance of doubt, outright sales of Robinhood shares are permitted, provided they comply with the other requirements of this Policy.)</w:t>
      </w:r>
    </w:p>
    <w:p>
      <w:pPr>
        <w:spacing w:after="0" w:line="150" w:lineRule="exact"/>
        <w:rPr>
          <w:sz w:val="20"/>
          <w:szCs w:val="20"/>
          <w:color w:val="auto"/>
        </w:rPr>
      </w:pPr>
    </w:p>
    <w:p>
      <w:pPr>
        <w:ind w:left="1280" w:hanging="639"/>
        <w:spacing w:after="0"/>
        <w:tabs>
          <w:tab w:leader="none" w:pos="128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Short Sales of Robinhood Securities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As a matter of Robinhood policy, Covered Persons, consultants, contractors, and agents are not permitted to engage in “short sales” or sales “against the box” of Robinhood Securities. These types of trades are prohibited regardless of whether the Covered Person possesses MNPI when placing the trade. In general, short sales are transactions whereby a trader will benefit from a decline in the price of the security. Robinhood believes it is inappropriate for anyone covered by this Policy to engage in such transactions in Robinhood Securities, because it would create a conflict of interest for the person, and could incentivize the person to take actions that are contrary to Robinhood’s interests.</w:t>
      </w:r>
    </w:p>
    <w:p>
      <w:pPr>
        <w:spacing w:after="0" w:line="19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Specifically, a short sale is a sale of securities that the trader does not yet own. In a short sale, the trader sells securities for a particular price, which the trader is expecting will be higher than the price at which the trader must later buy the securities to cover the sale. Short sales are profitable only if the price of the securities declines. A sale “against the box” is a sale of securities that are owned but are not delivered within twenty days or deposited in the mail for delivery within five days of the sale. A sale “against the box” has the same effect as a short sale.</w:t>
      </w:r>
    </w:p>
    <w:p>
      <w:pPr>
        <w:spacing w:after="0" w:line="173" w:lineRule="exact"/>
        <w:rPr>
          <w:sz w:val="20"/>
          <w:szCs w:val="20"/>
          <w:color w:val="auto"/>
        </w:rPr>
      </w:pPr>
    </w:p>
    <w:p>
      <w:pPr>
        <w:ind w:left="1300" w:hanging="659"/>
        <w:spacing w:after="0"/>
        <w:tabs>
          <w:tab w:leader="none" w:pos="1300"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Trading in Robinhood Derivatives</w:t>
      </w:r>
    </w:p>
    <w:p>
      <w:pPr>
        <w:spacing w:after="0" w:line="220" w:lineRule="exact"/>
        <w:rPr>
          <w:sz w:val="20"/>
          <w:szCs w:val="20"/>
          <w:color w:val="auto"/>
        </w:rPr>
      </w:pPr>
    </w:p>
    <w:p>
      <w:pPr>
        <w:ind w:right="580"/>
        <w:spacing w:after="0" w:line="302" w:lineRule="auto"/>
        <w:rPr>
          <w:sz w:val="20"/>
          <w:szCs w:val="20"/>
          <w:color w:val="auto"/>
        </w:rPr>
      </w:pPr>
      <w:r>
        <w:rPr>
          <w:rFonts w:ascii="Arial" w:cs="Arial" w:eastAsia="Arial" w:hAnsi="Arial"/>
          <w:sz w:val="19"/>
          <w:szCs w:val="19"/>
          <w:color w:val="auto"/>
        </w:rPr>
        <w:t>As a matter of Robinhood policy, Covered Persons, consultants, contractors, and agents are not permitted to hold or trade in Robinhood Derivatives. This prohibition exists regardless of whether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11" w:name="page212"/>
    <w:bookmarkEnd w:id="211"/>
    <w:p>
      <w:pPr>
        <w:spacing w:after="0" w:line="263" w:lineRule="auto"/>
        <w:rPr>
          <w:sz w:val="20"/>
          <w:szCs w:val="20"/>
          <w:color w:val="auto"/>
        </w:rPr>
      </w:pPr>
      <w:r>
        <w:rPr>
          <w:rFonts w:ascii="Arial" w:cs="Arial" w:eastAsia="Arial" w:hAnsi="Arial"/>
          <w:sz w:val="19"/>
          <w:szCs w:val="19"/>
          <w:color w:val="auto"/>
        </w:rPr>
        <w:t>Covered Person possesses MNPI when placing the trade. Similar to short sales, holding or trading in Robinhood Derivatives could create conflicts of interest between the Insider and Robinhood. For example, a trader who writes a call option on Robinhood stock would have an economic incentive to prevent Robinhood’s stock price from increasing beyond a certain point; a trader who buys a put option on Robinhood stock would generally profit if the price of Robinhood stock declines; and a trader who enters into an event contract to trade their negative opinion on certain Robinhood metrics could benefit from a decline in Robinhood’s financial performance. Robinhood recognizes that not all Robinhood Derivatives create conflicts of interest, but Robinhood has adopted this prohibition in order to prevent any appearance of impropriety.</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Securities of any fund that has invested in Robinhood Derivatives will also be excluded from this rule and shall be considered Robinhood Securities for purposes of this policy, provided that Robinhood Derivatives and Robinhood Securities in the aggregate comprise less than 5% of the fund by value at the time of the Covered Person’s investment decision. Please refer any questions about this definition to the Employee Trading Helpline.</w:t>
      </w:r>
    </w:p>
    <w:p>
      <w:pPr>
        <w:spacing w:after="0" w:line="193" w:lineRule="exact"/>
        <w:rPr>
          <w:sz w:val="20"/>
          <w:szCs w:val="20"/>
          <w:color w:val="auto"/>
        </w:rPr>
      </w:pPr>
    </w:p>
    <w:p>
      <w:pPr>
        <w:ind w:right="340"/>
        <w:spacing w:after="0" w:line="290" w:lineRule="auto"/>
        <w:rPr>
          <w:sz w:val="20"/>
          <w:szCs w:val="20"/>
          <w:color w:val="auto"/>
        </w:rPr>
      </w:pPr>
      <w:r>
        <w:rPr>
          <w:rFonts w:ascii="Arial" w:cs="Arial" w:eastAsia="Arial" w:hAnsi="Arial"/>
          <w:sz w:val="19"/>
          <w:szCs w:val="19"/>
          <w:color w:val="auto"/>
        </w:rPr>
        <w:t>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employee stock options, and other derivative securities granted to Insiders under Robinhood’s equity incentive plans are excluded from this rule (but are generally non-transferrable according to their terms).</w:t>
      </w:r>
    </w:p>
    <w:p>
      <w:pPr>
        <w:spacing w:after="0" w:line="147" w:lineRule="exact"/>
        <w:rPr>
          <w:sz w:val="20"/>
          <w:szCs w:val="20"/>
          <w:color w:val="auto"/>
        </w:rPr>
      </w:pPr>
    </w:p>
    <w:p>
      <w:pPr>
        <w:ind w:left="1280" w:right="420" w:hanging="639"/>
        <w:spacing w:after="0" w:line="315" w:lineRule="auto"/>
        <w:tabs>
          <w:tab w:leader="none" w:pos="1285"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Pledging Robinhood Securities; Prohibition of Holding Robinhood Securities in a Margin Account</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As a matter of Robinhood policy, Covered Persons are not permitted to pledge Robinhood Securities. Pledging of Robinhood Securities is prohibited regardless of whether the Covered Person possesses MNPI when making the pledge. If Robinhood Securities were pledged as collateral for a loan, there would be a risk that the securities could be foreclosed upon (if the Insider defaults on the loan) at a time when this Policy prohibits the Covered Person from trading the securities. And some loans backed by pledged securities (particularly on a non-recourse basis) resemble sales in many respects and, if not prohibited, could potentially be used to circumvent the prohibitions on hedging and insider trading generally.</w:t>
      </w:r>
    </w:p>
    <w:p>
      <w:pPr>
        <w:spacing w:after="0" w:line="199"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Similarly, there is a risk that securities held by a Covered Person in a margin account might be sold without the Covered Person’s consent if the Covered Person fails to meet a margin call. Because such a sale could occur when a Covered Person has MNPI about Robinhood or is otherwise not permitted to trade in Robinhood Securities, Covered Persons are prohibited from purchasing Robinhood Securities on margin and/or holding Robinhood Securities in accounts that are authorized for margin trading.</w:t>
      </w:r>
    </w:p>
    <w:p>
      <w:pPr>
        <w:spacing w:after="0" w:line="200"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color w:val="auto"/>
        </w:rPr>
        <w:t>The RHM Trading Compliance Officer may grant an exception to the prohibitions set forth in this Section VI.F on a case-by-case basis, subject to such internal approvals as the RHM Trading Compliance Officer, in his or her sole discretion, may request.</w:t>
      </w:r>
    </w:p>
    <w:p>
      <w:pPr>
        <w:spacing w:after="0" w:line="123" w:lineRule="exact"/>
        <w:rPr>
          <w:sz w:val="20"/>
          <w:szCs w:val="20"/>
          <w:color w:val="auto"/>
        </w:rPr>
      </w:pPr>
    </w:p>
    <w:p>
      <w:pPr>
        <w:ind w:left="1300" w:hanging="659"/>
        <w:spacing w:after="0"/>
        <w:tabs>
          <w:tab w:leader="none" w:pos="130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Closed Trading Windows</w:t>
      </w: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order to avoid any appearance that Covered Persons, consultants, contractors, and agents are trading with an informational advantage relating to Robinhood’s financial results, Robinhood has established a “</w:t>
      </w:r>
      <w:r>
        <w:rPr>
          <w:rFonts w:ascii="Arial" w:cs="Arial" w:eastAsia="Arial" w:hAnsi="Arial"/>
          <w:sz w:val="19"/>
          <w:szCs w:val="19"/>
          <w:b w:val="1"/>
          <w:bCs w:val="1"/>
          <w:color w:val="auto"/>
        </w:rPr>
        <w:t>Quarterly Closed Window</w:t>
      </w:r>
      <w:r>
        <w:rPr>
          <w:rFonts w:ascii="Arial" w:cs="Arial" w:eastAsia="Arial" w:hAnsi="Arial"/>
          <w:sz w:val="19"/>
          <w:szCs w:val="19"/>
          <w:color w:val="auto"/>
        </w:rPr>
        <w:t>” during which Covered Persons (as well as any consultants, contractors, and agents to whom the RHM Trading Compliance Officer provides a closed window notice) must not trade Robinhood Securities. The Quarterly Closed Window commences on (and includes) the 15th day of the last month of a quarterly or annual financial reporting period and ends when the Nasdaq stock market closes one full regular trading session after Robinhood issues a press release or a filing with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12</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180"/>
          </w:cols>
          <w:pgMar w:left="320" w:top="991" w:right="399" w:bottom="1440" w:gutter="0" w:footer="0" w:header="0"/>
        </w:sectPr>
      </w:pPr>
    </w:p>
    <w:bookmarkStart w:id="212" w:name="page213"/>
    <w:bookmarkEnd w:id="212"/>
    <w:p>
      <w:pPr>
        <w:ind w:right="640"/>
        <w:spacing w:after="0" w:line="302" w:lineRule="auto"/>
        <w:rPr>
          <w:sz w:val="20"/>
          <w:szCs w:val="20"/>
          <w:color w:val="auto"/>
        </w:rPr>
      </w:pPr>
      <w:r>
        <w:rPr>
          <w:rFonts w:ascii="Arial" w:cs="Arial" w:eastAsia="Arial" w:hAnsi="Arial"/>
          <w:sz w:val="19"/>
          <w:szCs w:val="19"/>
          <w:color w:val="auto"/>
        </w:rPr>
        <w:t>announcing its full quarterly or annual financial results for that reporting period (which, for the avoidance of doubt, would not include the RHM broker-dealer subsidiaries’ Rule 606 reports).</w:t>
      </w:r>
    </w:p>
    <w:p>
      <w:pPr>
        <w:spacing w:after="0" w:line="152"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As an exception to the general rule, Robinhood Securities may be transferred to a non-margin account during a Quarterly Closed Window pursuant to a 10b5-1 Plan (as described in Section VI.B) and/or the exceptions of Section VI.L below.</w:t>
      </w:r>
    </w:p>
    <w:p>
      <w:pPr>
        <w:spacing w:after="0" w:line="16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Even if a Quarterly Closed Window is not in effect as specified herein, you must not trade in Robinhood Securities if you are aware of MNPI about Robinhood or Robinhood Securities.</w:t>
      </w:r>
    </w:p>
    <w:p>
      <w:pPr>
        <w:spacing w:after="0" w:line="150" w:lineRule="exact"/>
        <w:rPr>
          <w:sz w:val="20"/>
          <w:szCs w:val="20"/>
          <w:color w:val="auto"/>
        </w:rPr>
      </w:pPr>
    </w:p>
    <w:p>
      <w:pPr>
        <w:ind w:left="1280" w:hanging="639"/>
        <w:spacing w:after="0"/>
        <w:tabs>
          <w:tab w:leader="none" w:pos="128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Standing Orders to Trade Robinhood Securities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Standing orders to trade securities (like limit orders or stop orders) generally do not get filled when placed but rather get triggered later, when the security’s market price reaches a level specified in the standing order instruction. Because of the risk that purchases or sales under standing orders could be triggered at a time when the trader possesses MNPI, you should use standing orders to trade Robinhood Securities, if at all, only for brief periods of time when you can be reasonably certain that the order will not execute during a Quarterly Closed Window and will not execute at a time when you otherwise possess MNPI (except that standing orders may be used for longer periods under 10b5-1 Plans implemented in accordance with the Rule 10b5-1 Trading Plan Policy).</w:t>
      </w:r>
    </w:p>
    <w:p>
      <w:pPr>
        <w:spacing w:after="0" w:line="200" w:lineRule="exact"/>
        <w:rPr>
          <w:sz w:val="20"/>
          <w:szCs w:val="20"/>
          <w:color w:val="auto"/>
        </w:rPr>
      </w:pP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With respect to Robinhood Securities, it is the responsibility of each Covered Person, consultant, contractor, and agent to terminate any standing orders with their brokers (except under approved 10b5-1 Plans) prior to the beginning of each Quarterly Closed Window to which they are subject, promptly upon being notified of any Special Closed Window to which they are subject, and promptly upon becoming aware of MNPI relating to Robinhood Securities. As a courtesy at the beginning of each Quarterly Closed Window, Robinhood’s captive stock-plan broker, E*Trade, may automatically cancel any standing orders for Robinhood shares placed through a stock-plan linked account (except under approved 10b5-1 Plans); but it is your responsibility to comply with respect to all brokerage accounts.</w:t>
      </w:r>
    </w:p>
    <w:p>
      <w:pPr>
        <w:spacing w:after="0" w:line="174" w:lineRule="exact"/>
        <w:rPr>
          <w:sz w:val="20"/>
          <w:szCs w:val="20"/>
          <w:color w:val="auto"/>
        </w:rPr>
      </w:pPr>
    </w:p>
    <w:p>
      <w:pPr>
        <w:ind w:left="1280" w:hanging="639"/>
        <w:spacing w:after="0"/>
        <w:tabs>
          <w:tab w:leader="none" w:pos="1280"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Family Members and Controlled Entities are Subject to these Policies</w:t>
      </w:r>
    </w:p>
    <w:p>
      <w:pPr>
        <w:spacing w:after="0" w:line="220"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In order to avoid even the appearance of abuse, all trades of securities or crypto-assets by or for the account of Family Members or Controlled Entities are treated as though they were made by the related Insider and are therefore attributable to the Insider for purposes of this Policy (as stated in Section IV.D). This means that Insiders are subject to discipline (up to and including termination of employment) if they fail to prevent Family Members and Controlled Entities from making trades that would violate this Policy if made by the Insider.</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 xml:space="preserve">With respect to trading in other companies’ securities by Family Members and Controlled Entities, an Insider can avoid discipline by demonstrating that the investment decision was made independently by a third party not controlled or influenced by the Insider or the Insider’s Family Members (as stated in Section IV.D). However, such defense does </w:t>
      </w:r>
      <w:r>
        <w:rPr>
          <w:rFonts w:ascii="Arial" w:cs="Arial" w:eastAsia="Arial" w:hAnsi="Arial"/>
          <w:sz w:val="19"/>
          <w:szCs w:val="19"/>
          <w:i w:val="1"/>
          <w:iCs w:val="1"/>
          <w:color w:val="auto"/>
        </w:rPr>
        <w:t>not</w:t>
      </w:r>
      <w:r>
        <w:rPr>
          <w:rFonts w:ascii="Arial" w:cs="Arial" w:eastAsia="Arial" w:hAnsi="Arial"/>
          <w:sz w:val="19"/>
          <w:szCs w:val="19"/>
          <w:color w:val="auto"/>
        </w:rPr>
        <w:t xml:space="preserve"> apply to Robinhood Securities. For purposes of this Policy, all trades in Robinhood Securities by Family Members and Controlled Entities are treated as if they were made by the related Insider, and therefore may be prohibited </w:t>
      </w:r>
      <w:r>
        <w:rPr>
          <w:rFonts w:ascii="Arial" w:cs="Arial" w:eastAsia="Arial" w:hAnsi="Arial"/>
          <w:sz w:val="19"/>
          <w:szCs w:val="19"/>
          <w:i w:val="1"/>
          <w:iCs w:val="1"/>
          <w:color w:val="auto"/>
        </w:rPr>
        <w:t>even if</w:t>
      </w:r>
      <w:r>
        <w:rPr>
          <w:rFonts w:ascii="Arial" w:cs="Arial" w:eastAsia="Arial" w:hAnsi="Arial"/>
          <w:sz w:val="19"/>
          <w:szCs w:val="19"/>
          <w:color w:val="auto"/>
        </w:rPr>
        <w:t xml:space="preserve"> the trading is directed by an independent third party. Insiders are therefore advised to instruct (and to advise their Family Members to instruct) any investment manager retained to trade securities for their accounts never to trade in Robinhood Securities on their behalf or on behalf of any other Covered Person.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13</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3" w:name="page214"/>
    <w:bookmarkEnd w:id="213"/>
    <w:p>
      <w:pPr>
        <w:ind w:left="1320" w:hanging="679"/>
        <w:spacing w:after="0"/>
        <w:tabs>
          <w:tab w:leader="none" w:pos="132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Pre-Clearance Procedures</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Company will maintain a “Pre-Clearance List.” The RHM Trading Compliance Officer (or their delegate) will update the Pre-Clearance List at least once per fiscal quarter (and notify any newly added persons) to include all members of the Board of Directors, all employees at a level equivalent or senior to vice-president (level 10 or above or their future equivalents), and all general managers, as well as any other employees that may be designated by the RHM Trading Compliance Officer or Corporate Secretary (who may identify other individuals with regular access to MNPI during open trading windows). Persons on the Pre-Clearance List and all of their Family Members and Controlled Entities are required to receive clearance prior to trading, transferring, gifting, or donating Robinhood Securities and/or implementing a 10b5-1 Plan. Such pre-clearance is obtained by submitting a Pre-Clearance Request Form (as attached to this Policy) for approval by the appropriate reviewer(s) following the process directed by the Corporate Secretary or the RHM Trading Compliance Officer (or their delegate). Requests submitted by members of the Board of Directors, senior executives (levels 11 or 12 or their future equivalents), or anyone with an active 10b5-1 Plan (or by their related Covered Persons) require approval from the chief financial officer, chief legal officer, and the RHM Trading Compliance Officer (or their delegate); and requests submitted by anyone else require approval from the Corporate Secretary and the RHM Trading Compliance Officer (or their delegate); provided however, that no one should participate in clearing their own request.</w:t>
      </w:r>
    </w:p>
    <w:p>
      <w:pPr>
        <w:spacing w:after="0" w:line="200" w:lineRule="exact"/>
        <w:rPr>
          <w:sz w:val="20"/>
          <w:szCs w:val="20"/>
          <w:color w:val="auto"/>
        </w:rPr>
      </w:pP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Requests for pre-clearance should be submitted at least two business days in advance of the proposed transaction. An approval of a trade or 10b5-1 Plan will be valid only for the time specified in the approval and trades not placed or 10b5-1 Plans not adopted within the specified time must be resubmitted through the pre-clearance procedures and approved again before the trade or 10b5-1 Plan may proceed. (For the avoidance of doubt, limit orders and other standing orders require pre-clearance when placed and must be promptly cancelled if they do not execute by the deadline specified in the preclearance approval. A separate pre-clearance is not required to cancel a standing order.) Insiders subject to pre-clearance must promptly notify the Employee Trading Helpline of any trade of Robinhood Securities that has been executed or any Trading Plan that has been adopted, but only to the extent the trade or plan is inconsistent with the pre-clearance approval or was executed or adopted without the required preclearance, in violation of this Policy. (Reporting persons subject to Section 16 of the Exchange Act should also alert the Company’s Form 4 reporting team regarding all trades and transfers of Robinhood Securities.) Robinhood’s approval of a request for pre-clearance does not constitute legal advice and does not relieve the Insider of their legal obligation to refrain from trading in Robinhood Securities if in possession of MNPI.</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The Company is under no obligation to approve a request for pre-clearance or a 10b5-1 Plan and may determine not to approve the transaction or 10b5-1 Plan in its discretion. Insiders must not inform any person (other than a Family Member or Controlled Entity on whose behalf they sought pre-clearance) if the Company denies such Insider’s request to trade in Robinhood Securities, as such denial may itself be considered under this Policy to be MNPI.</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types of transactions are exempt from the pre-clearance requirement: any automatic trade under an approved 10b5-1 Plan, any automatic receipt of shares pursuant to an RSU award (but not any sale of such shares into the market), any automatic sale of vested RSU shares arranged by the Company to cover the Company’s tax withholding obligation upon RSU settlement, and any automatic purchase of shares under the Company’s Employee Share Purchase Plan (the “</w:t>
      </w:r>
      <w:r>
        <w:rPr>
          <w:rFonts w:ascii="Arial" w:cs="Arial" w:eastAsia="Arial" w:hAnsi="Arial"/>
          <w:sz w:val="19"/>
          <w:szCs w:val="19"/>
          <w:b w:val="1"/>
          <w:bCs w:val="1"/>
          <w:color w:val="auto"/>
        </w:rPr>
        <w:t>ESPP</w:t>
      </w:r>
      <w:r>
        <w:rPr>
          <w:rFonts w:ascii="Arial" w:cs="Arial" w:eastAsia="Arial" w:hAnsi="Arial"/>
          <w:sz w:val="19"/>
          <w:szCs w:val="19"/>
          <w:color w:val="auto"/>
        </w:rPr>
        <w:t>”) (but not any sale of such shares into the market).</w:t>
      </w:r>
    </w:p>
    <w:p>
      <w:pPr>
        <w:spacing w:after="0" w:line="201"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If an Insider is on the Pre-Clearance List and has an outstanding 10b5-1 Plan in effect when such Insider ceases to be employed by or who ceases to provide services to Robinhood, such Insider shall remain 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14" w:name="page215"/>
    <w:bookmarkEnd w:id="214"/>
    <w:p>
      <w:pPr>
        <w:spacing w:after="0"/>
        <w:rPr>
          <w:sz w:val="20"/>
          <w:szCs w:val="20"/>
          <w:color w:val="auto"/>
        </w:rPr>
      </w:pPr>
      <w:r>
        <w:rPr>
          <w:rFonts w:ascii="Arial" w:cs="Arial" w:eastAsia="Arial" w:hAnsi="Arial"/>
          <w:sz w:val="19"/>
          <w:szCs w:val="19"/>
          <w:color w:val="auto"/>
        </w:rPr>
        <w:t>the Pre-Clearance List and be subject to this policy until such 10b5-1 Plan terminates or otherwise expires pursuant to its terms.</w:t>
      </w:r>
    </w:p>
    <w:p>
      <w:pPr>
        <w:spacing w:after="0" w:line="229" w:lineRule="exact"/>
        <w:rPr>
          <w:sz w:val="20"/>
          <w:szCs w:val="20"/>
          <w:color w:val="auto"/>
        </w:rPr>
      </w:pPr>
    </w:p>
    <w:p>
      <w:pPr>
        <w:ind w:left="1320" w:hanging="679"/>
        <w:spacing w:after="0"/>
        <w:tabs>
          <w:tab w:leader="none" w:pos="1320"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Special Closed Trading Windows</w:t>
      </w:r>
    </w:p>
    <w:p>
      <w:pPr>
        <w:spacing w:after="0" w:line="218"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The RHM Trading Compliance Officer or Corporate Secretary may designate, from time to time, a “</w:t>
      </w:r>
      <w:r>
        <w:rPr>
          <w:rFonts w:ascii="Arial" w:cs="Arial" w:eastAsia="Arial" w:hAnsi="Arial"/>
          <w:sz w:val="19"/>
          <w:szCs w:val="19"/>
          <w:b w:val="1"/>
          <w:bCs w:val="1"/>
          <w:color w:val="auto"/>
        </w:rPr>
        <w:t>Special Closed Window</w:t>
      </w:r>
      <w:r>
        <w:rPr>
          <w:rFonts w:ascii="Arial" w:cs="Arial" w:eastAsia="Arial" w:hAnsi="Arial"/>
          <w:sz w:val="19"/>
          <w:szCs w:val="19"/>
          <w:color w:val="auto"/>
        </w:rPr>
        <w:t>” independent of the Quarterly Closed Window described in Section VI.G during which anyone who has been designated as being subject to this Section VI.K (and their related Covered Persons) must not trade Robinhood Securities; and the RHM Trading Compliance Officer or Corporate Secretary may also apply such Special Closed Window to (a) the trading in the securities of certain other companies, as deemed appropriate or advisable, including certain of Robinhood’s peers or competitors and/or (b) trading in certain crypto-assets (and related financial instruments). The existence of a Special Closed Window will not be announced to Robinhood generally, should not be communicated to any other person, and may itself be considered under this Policy to be MNPI.</w:t>
      </w:r>
    </w:p>
    <w:p>
      <w:pPr>
        <w:spacing w:after="0" w:line="191"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As an exception to the general rule, Robinhood Securities may be transferred during a Special Closed Window pursuant to a 10b5-1 Plan (as described in Section VI.B) and/or the exceptions of Section VI.L below.</w:t>
      </w:r>
    </w:p>
    <w:p>
      <w:pPr>
        <w:spacing w:after="0" w:line="123" w:lineRule="exact"/>
        <w:rPr>
          <w:sz w:val="20"/>
          <w:szCs w:val="20"/>
          <w:color w:val="auto"/>
        </w:rPr>
      </w:pPr>
    </w:p>
    <w:p>
      <w:pPr>
        <w:ind w:left="1300" w:hanging="659"/>
        <w:spacing w:after="0"/>
        <w:tabs>
          <w:tab w:leader="none" w:pos="1300"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w:t>
      </w:r>
    </w:p>
    <w:p>
      <w:pPr>
        <w:spacing w:after="0" w:line="23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The following transfers of Robinhood Securities may be made without regard to the insider trading prohibitions of Section IV.D and may be made during a Closed Window</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(except as otherwise noted below), provided that the pre-clearance requirement of Section VI.J continues to apply in accordance with its terms:</w:t>
      </w:r>
    </w:p>
    <w:p>
      <w:pPr>
        <w:spacing w:after="0" w:line="155" w:lineRule="exact"/>
        <w:rPr>
          <w:sz w:val="20"/>
          <w:szCs w:val="20"/>
          <w:color w:val="auto"/>
        </w:rPr>
      </w:pPr>
    </w:p>
    <w:p>
      <w:pPr>
        <w:ind w:left="1280" w:right="480" w:hanging="639"/>
        <w:spacing w:after="0" w:line="30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Exercise for cash of a stock option granted under one of RHM’s equity incentive plans (but not any sale of such shares into the market);</w:t>
      </w:r>
    </w:p>
    <w:p>
      <w:pPr>
        <w:spacing w:after="0" w:line="98" w:lineRule="exact"/>
        <w:rPr>
          <w:rFonts w:ascii="Arial" w:cs="Arial" w:eastAsia="Arial" w:hAnsi="Arial"/>
          <w:sz w:val="19"/>
          <w:szCs w:val="19"/>
          <w:color w:val="auto"/>
        </w:rPr>
      </w:pPr>
    </w:p>
    <w:p>
      <w:pPr>
        <w:ind w:left="1240" w:hanging="599"/>
        <w:spacing w:after="0"/>
        <w:tabs>
          <w:tab w:leader="none" w:pos="12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receipt of shares from RHM pursuant to a RSU award (but not any sale of such shares into the market);</w:t>
      </w:r>
    </w:p>
    <w:p>
      <w:pPr>
        <w:spacing w:after="0" w:line="191" w:lineRule="exact"/>
        <w:rPr>
          <w:rFonts w:ascii="Arial" w:cs="Arial" w:eastAsia="Arial" w:hAnsi="Arial"/>
          <w:sz w:val="19"/>
          <w:szCs w:val="19"/>
          <w:color w:val="auto"/>
        </w:rPr>
      </w:pPr>
    </w:p>
    <w:p>
      <w:pPr>
        <w:ind w:left="1240" w:hanging="599"/>
        <w:spacing w:after="0"/>
        <w:tabs>
          <w:tab w:leader="none" w:pos="12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automatic sale of vested RSU shares arranged by Robinhood to cover tax withholding obligations;</w:t>
      </w:r>
    </w:p>
    <w:p>
      <w:pPr>
        <w:spacing w:after="0" w:line="178" w:lineRule="exact"/>
        <w:rPr>
          <w:rFonts w:ascii="Arial" w:cs="Arial" w:eastAsia="Arial" w:hAnsi="Arial"/>
          <w:sz w:val="19"/>
          <w:szCs w:val="19"/>
          <w:color w:val="auto"/>
        </w:rPr>
      </w:pPr>
    </w:p>
    <w:p>
      <w:pPr>
        <w:ind w:left="1280" w:right="760" w:hanging="639"/>
        <w:spacing w:after="0" w:line="30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transfer of RHM Securities to Robinhood, including any withholding (or reacquisition) of RHM shares by Robinhood to cover tax withholding obligations;</w:t>
      </w:r>
    </w:p>
    <w:p>
      <w:pPr>
        <w:spacing w:after="0" w:line="98" w:lineRule="exact"/>
        <w:rPr>
          <w:rFonts w:ascii="Arial" w:cs="Arial" w:eastAsia="Arial" w:hAnsi="Arial"/>
          <w:sz w:val="19"/>
          <w:szCs w:val="19"/>
          <w:color w:val="auto"/>
        </w:rPr>
      </w:pPr>
    </w:p>
    <w:p>
      <w:pPr>
        <w:ind w:left="1280" w:hanging="639"/>
        <w:spacing w:after="0"/>
        <w:tabs>
          <w:tab w:leader="none" w:pos="1280" w:val="left"/>
        </w:tabs>
        <w:numPr>
          <w:ilvl w:val="0"/>
          <w:numId w:val="114"/>
        </w:numPr>
        <w:rPr>
          <w:rFonts w:ascii="Times New Roman" w:cs="Times New Roman" w:eastAsia="Times New Roman" w:hAnsi="Times New Roman"/>
          <w:sz w:val="19"/>
          <w:szCs w:val="19"/>
          <w:color w:val="auto"/>
        </w:rPr>
      </w:pPr>
      <w:r>
        <w:rPr>
          <w:rFonts w:ascii="Arial" w:cs="Arial" w:eastAsia="Arial" w:hAnsi="Arial"/>
          <w:sz w:val="19"/>
          <w:szCs w:val="19"/>
          <w:color w:val="auto"/>
        </w:rPr>
        <w:t>Purchases of shares under RHM’s ESPP (but not any sale of such shares into the market);</w:t>
      </w:r>
    </w:p>
    <w:p>
      <w:pPr>
        <w:spacing w:after="0" w:line="190" w:lineRule="exact"/>
        <w:rPr>
          <w:rFonts w:ascii="Times New Roman" w:cs="Times New Roman" w:eastAsia="Times New Roman" w:hAnsi="Times New Roman"/>
          <w:sz w:val="19"/>
          <w:szCs w:val="19"/>
          <w:color w:val="auto"/>
        </w:rPr>
      </w:pPr>
    </w:p>
    <w:p>
      <w:pPr>
        <w:ind w:left="1280" w:right="140" w:hanging="639"/>
        <w:spacing w:after="0" w:line="27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Bona fide gifts and donations, provided that if a Quarterly Closed Window is in effect at the time of transfer, the donee must expressly agree to be subject to the remainder of the closed window to the same extent as the Insider, and provided that if a Special Closed Window is in effect, the gift/donation requires pre-approval from the RHM Trading Compliance Officer or Corporate Secretary;</w:t>
      </w:r>
      <w:r>
        <w:rPr>
          <w:rFonts w:ascii="Arial" w:cs="Arial" w:eastAsia="Arial" w:hAnsi="Arial"/>
          <w:sz w:val="25"/>
          <w:szCs w:val="25"/>
          <w:color w:val="auto"/>
          <w:vertAlign w:val="superscript"/>
        </w:rPr>
        <w:t>5</w:t>
      </w:r>
    </w:p>
    <w:p>
      <w:pPr>
        <w:spacing w:after="0" w:line="43" w:lineRule="exact"/>
        <w:rPr>
          <w:rFonts w:ascii="Arial" w:cs="Arial" w:eastAsia="Arial" w:hAnsi="Arial"/>
          <w:sz w:val="19"/>
          <w:szCs w:val="19"/>
          <w:color w:val="auto"/>
        </w:rPr>
      </w:pPr>
    </w:p>
    <w:p>
      <w:pPr>
        <w:ind w:left="1280" w:right="700" w:hanging="639"/>
        <w:spacing w:after="0" w:line="287"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Estate-planning transfers, but only with pre-approval from the RHM Trading Compliance Officer or Corporate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16808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16" w:lineRule="exact"/>
        <w:rPr>
          <w:sz w:val="20"/>
          <w:szCs w:val="20"/>
          <w:color w:val="auto"/>
        </w:rPr>
      </w:pPr>
    </w:p>
    <w:p>
      <w:pPr>
        <w:ind w:left="120" w:hanging="114"/>
        <w:spacing w:after="0"/>
        <w:tabs>
          <w:tab w:leader="none" w:pos="120" w:val="left"/>
        </w:tabs>
        <w:numPr>
          <w:ilvl w:val="0"/>
          <w:numId w:val="115"/>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color w:val="auto"/>
        </w:rPr>
        <w:t>Closed Window</w:t>
      </w:r>
      <w:r>
        <w:rPr>
          <w:rFonts w:ascii="Arial" w:cs="Arial" w:eastAsia="Arial" w:hAnsi="Arial"/>
          <w:sz w:val="18"/>
          <w:szCs w:val="18"/>
          <w:color w:val="auto"/>
        </w:rPr>
        <w:t>” means a Quarterly Closed Window or a Special Closed Window.</w:t>
      </w:r>
    </w:p>
    <w:p>
      <w:pPr>
        <w:spacing w:after="0" w:line="142" w:lineRule="exact"/>
        <w:rPr>
          <w:sz w:val="20"/>
          <w:szCs w:val="20"/>
          <w:color w:val="auto"/>
        </w:rPr>
      </w:pPr>
    </w:p>
    <w:p>
      <w:pPr>
        <w:ind w:firstLine="6"/>
        <w:spacing w:after="0" w:line="201" w:lineRule="auto"/>
        <w:tabs>
          <w:tab w:leader="none" w:pos="163" w:val="left"/>
        </w:tabs>
        <w:numPr>
          <w:ilvl w:val="0"/>
          <w:numId w:val="116"/>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Bona fide gifts and donations pursuant to a valid 10b5-1 Plan may occur during Closed Windows without preclearance, without any commitments from the donee, and without pre-approval from the RHM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15</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5" w:name="page216"/>
    <w:bookmarkEnd w:id="215"/>
    <w:p>
      <w:pPr>
        <w:ind w:left="1240" w:hanging="599"/>
        <w:spacing w:after="0"/>
        <w:tabs>
          <w:tab w:leader="none" w:pos="12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Transfers that do not involve any change of beneficial ownership.</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VII.</w:t>
      </w:r>
      <w:r>
        <w:rPr>
          <w:sz w:val="20"/>
          <w:szCs w:val="20"/>
          <w:color w:val="auto"/>
        </w:rPr>
        <w:tab/>
      </w:r>
      <w:r>
        <w:rPr>
          <w:rFonts w:ascii="Arial" w:cs="Arial" w:eastAsia="Arial" w:hAnsi="Arial"/>
          <w:sz w:val="19"/>
          <w:szCs w:val="19"/>
          <w:b w:val="1"/>
          <w:bCs w:val="1"/>
          <w:color w:val="auto"/>
        </w:rPr>
        <w:t>Crypto-Asset Trading</w:t>
      </w:r>
    </w:p>
    <w:p>
      <w:pPr>
        <w:spacing w:after="0" w:line="23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Section VII applies to all trading of crypto-assets, whether on Robinhood, or on another platform, and is intended to limit even the appearance of impropriety arising from the use of Confidential Information regarding crypto-assets.</w:t>
      </w:r>
    </w:p>
    <w:p>
      <w:pPr>
        <w:spacing w:after="0" w:line="179"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Crypto-asset trading restrictions apply to all Insiders, consultants to, and contractors and agents acting on behalf of Robinhood (whether their own account, or the account of a Family Member or Controlled Entity, a customer, Robinhood, or any other person or entity). However, those who have been identified as Coin Aware Individuals (as defined below) are subject to even more restrictive requirements due to their exposure to MNPI during the listing/delisting process.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Note: The specific prohibitions set forth in this Section are in addition to the general rules regarding use of Confidential Information and compliance with the Restricted List, as set forth in Sections IV and V.</w:t>
      </w:r>
    </w:p>
    <w:p>
      <w:pPr>
        <w:spacing w:after="0" w:line="165"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All Insiders, consultants, contractors or agents acting on behalf of Robinhood are subject to the following crypto-asset trading restrictions:</w:t>
      </w:r>
    </w:p>
    <w:p>
      <w:pPr>
        <w:spacing w:after="0" w:line="179" w:lineRule="exact"/>
        <w:rPr>
          <w:sz w:val="20"/>
          <w:szCs w:val="20"/>
          <w:color w:val="auto"/>
        </w:rPr>
      </w:pPr>
    </w:p>
    <w:p>
      <w:pPr>
        <w:ind w:left="1280" w:right="280" w:hanging="321"/>
        <w:spacing w:after="0" w:line="274"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They are restricted from trading of a crypto-asset(s) on Robinhood or another platform, from the time Robinhood publicly announces a new listing or delisting of such crypto-asset(s) up to twenty-four (24) hours after such broad public announcement.</w:t>
      </w:r>
    </w:p>
    <w:p>
      <w:pPr>
        <w:spacing w:after="0" w:line="178" w:lineRule="exact"/>
        <w:rPr>
          <w:rFonts w:ascii="Arial" w:cs="Arial" w:eastAsia="Arial" w:hAnsi="Arial"/>
          <w:sz w:val="19"/>
          <w:szCs w:val="19"/>
          <w:color w:val="auto"/>
        </w:rPr>
      </w:pPr>
    </w:p>
    <w:p>
      <w:pPr>
        <w:ind w:left="1280" w:hanging="321"/>
        <w:spacing w:after="0" w:line="271"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This Policy’s prohibitions against trading on Robinhood, or another platform, leading up to, and during, the twenty-four (24) hour period after the first broad public announcement of a new listing or delisting include, without limitation:</w:t>
      </w:r>
    </w:p>
    <w:p>
      <w:pPr>
        <w:ind w:left="1280" w:right="220" w:hanging="4"/>
        <w:spacing w:after="0" w:line="268" w:lineRule="auto"/>
        <w:tabs>
          <w:tab w:leader="none" w:pos="1571" w:val="left"/>
        </w:tabs>
        <w:numPr>
          <w:ilvl w:val="1"/>
          <w:numId w:val="118"/>
        </w:numPr>
        <w:rPr>
          <w:rFonts w:ascii="Arial" w:cs="Arial" w:eastAsia="Arial" w:hAnsi="Arial"/>
          <w:sz w:val="19"/>
          <w:szCs w:val="19"/>
          <w:color w:val="auto"/>
        </w:rPr>
      </w:pPr>
      <w:r>
        <w:rPr>
          <w:rFonts w:ascii="Arial" w:cs="Arial" w:eastAsia="Arial" w:hAnsi="Arial"/>
          <w:sz w:val="19"/>
          <w:szCs w:val="19"/>
          <w:color w:val="auto"/>
        </w:rPr>
        <w:t>mining the subject crypto-asset(s), (b) lending or staking the subject crypto-asset(s), and (c) lending or staking other crypto-asset(s) where the subject crypto-asset(s) is received in return; or (d) conducting personal trading.</w:t>
      </w:r>
    </w:p>
    <w:p>
      <w:pPr>
        <w:spacing w:after="0" w:line="196" w:lineRule="exact"/>
        <w:rPr>
          <w:rFonts w:ascii="Arial" w:cs="Arial" w:eastAsia="Arial" w:hAnsi="Arial"/>
          <w:sz w:val="19"/>
          <w:szCs w:val="19"/>
          <w:color w:val="auto"/>
        </w:rPr>
      </w:pPr>
    </w:p>
    <w:p>
      <w:pPr>
        <w:ind w:left="1280" w:right="120" w:hanging="321"/>
        <w:spacing w:after="0" w:line="287"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 Insiders, consultants, contractors or agents acting on behalf of Robinhood will be subject to both monitoring and restrictions on the Robinhood platform during this twenty-four (24) hour period.</w:t>
      </w:r>
    </w:p>
    <w:p>
      <w:pPr>
        <w:spacing w:after="0" w:line="178" w:lineRule="exact"/>
        <w:rPr>
          <w:rFonts w:ascii="Arial" w:cs="Arial" w:eastAsia="Arial" w:hAnsi="Arial"/>
          <w:sz w:val="19"/>
          <w:szCs w:val="19"/>
          <w:color w:val="auto"/>
        </w:rPr>
      </w:pPr>
    </w:p>
    <w:p>
      <w:pPr>
        <w:ind w:left="1280" w:right="460" w:hanging="321"/>
        <w:spacing w:after="0" w:line="302"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connection with new listings, delistings and other trading restrictions, the RHM Trading Compliance Officer is authorized (but not required) to impose additional trading restrictions.</w:t>
      </w:r>
    </w:p>
    <w:p>
      <w:pPr>
        <w:spacing w:after="0" w:line="151" w:lineRule="exact"/>
        <w:rPr>
          <w:rFonts w:ascii="Arial" w:cs="Arial" w:eastAsia="Arial" w:hAnsi="Arial"/>
          <w:sz w:val="19"/>
          <w:szCs w:val="19"/>
          <w:color w:val="auto"/>
        </w:rPr>
      </w:pPr>
    </w:p>
    <w:p>
      <w:pPr>
        <w:jc w:val="both"/>
        <w:ind w:left="1280" w:right="140" w:hanging="321"/>
        <w:spacing w:after="0" w:line="274"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the purpose of this Policy, (a) trades of a crypto-asset include transactions denominated in fiat currency as well as transactions denominated in cryptocurrency; and (b) mining of a cryptocurrency is considered a purchase of the cryptocurrency at a then-applicable reasonable market price.</w:t>
      </w:r>
    </w:p>
    <w:p>
      <w:pPr>
        <w:spacing w:after="0" w:line="191" w:lineRule="exact"/>
        <w:rPr>
          <w:rFonts w:ascii="Arial" w:cs="Arial" w:eastAsia="Arial" w:hAnsi="Arial"/>
          <w:sz w:val="19"/>
          <w:szCs w:val="19"/>
          <w:color w:val="auto"/>
        </w:rPr>
      </w:pPr>
    </w:p>
    <w:p>
      <w:pPr>
        <w:ind w:left="1280" w:right="80" w:hanging="321"/>
        <w:spacing w:after="0" w:line="270"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Anyone who becomes aware of MNPI during the course of their affiliation with Robinhood that relates to a crypto-asset (or any related financial instrument) must not conduct trading on the basis of such MNPI in any account (whether their own account, or the account of a Family Member or Controlled Entity, a customer, Robinhood, or any other person or entity).</w:t>
      </w:r>
    </w:p>
    <w:p>
      <w:pPr>
        <w:spacing w:after="0" w:line="181" w:lineRule="exact"/>
        <w:rPr>
          <w:rFonts w:ascii="Arial" w:cs="Arial" w:eastAsia="Arial" w:hAnsi="Arial"/>
          <w:sz w:val="19"/>
          <w:szCs w:val="19"/>
          <w:color w:val="auto"/>
        </w:rPr>
      </w:pPr>
    </w:p>
    <w:p>
      <w:pPr>
        <w:ind w:left="1240" w:hanging="281"/>
        <w:spacing w:after="0"/>
        <w:tabs>
          <w:tab w:leader="none" w:pos="12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Material information with respect to a crypto-asset may include, but is not limited to,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16</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177" w:right="359" w:bottom="1440" w:gutter="0" w:footer="0" w:header="0"/>
        </w:sectPr>
      </w:pPr>
    </w:p>
    <w:bookmarkStart w:id="216" w:name="page217"/>
    <w:bookmarkEnd w:id="216"/>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large trades that have been placed but not yet executed;</w:t>
      </w:r>
    </w:p>
    <w:p>
      <w:pPr>
        <w:spacing w:after="0" w:line="37"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other short-term market impacts of customer trading;</w:t>
      </w:r>
    </w:p>
    <w:p>
      <w:pPr>
        <w:spacing w:after="0" w:line="7"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contemplated listings (whether by Robinhood or any other business);</w:t>
      </w:r>
    </w:p>
    <w:p>
      <w:pPr>
        <w:spacing w:after="0" w:line="19"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contemplated delistings (whether by Robinhood or any other business);</w:t>
      </w:r>
    </w:p>
    <w:p>
      <w:pPr>
        <w:spacing w:after="0" w:line="19" w:lineRule="exact"/>
        <w:rPr>
          <w:rFonts w:ascii="Arial" w:cs="Arial" w:eastAsia="Arial" w:hAnsi="Arial"/>
          <w:sz w:val="19"/>
          <w:szCs w:val="19"/>
          <w:color w:val="auto"/>
        </w:rPr>
      </w:pPr>
    </w:p>
    <w:p>
      <w:pPr>
        <w:ind w:left="1920" w:right="220" w:hanging="326"/>
        <w:spacing w:after="0" w:line="252" w:lineRule="auto"/>
        <w:tabs>
          <w:tab w:leader="none" w:pos="189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information about another crypto-asset under circumstances in which such information is likely to affect the price of the subject crypto-asset (for example information about bitcoin may be likely to affect the price of other crypto-assets, given how closely the price of some crypto assets track the price of bitcoin); and</w:t>
      </w: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Information concerning the addition or removal of a crypto-asset’s staking availability.</w:t>
      </w:r>
    </w:p>
    <w:p>
      <w:pPr>
        <w:spacing w:after="0" w:line="240" w:lineRule="exact"/>
        <w:rPr>
          <w:sz w:val="20"/>
          <w:szCs w:val="20"/>
          <w:color w:val="auto"/>
        </w:rPr>
      </w:pPr>
    </w:p>
    <w:p>
      <w:pPr>
        <w:ind w:left="1280" w:right="460"/>
        <w:spacing w:after="0" w:line="270" w:lineRule="auto"/>
        <w:rPr>
          <w:sz w:val="20"/>
          <w:szCs w:val="20"/>
          <w:color w:val="auto"/>
        </w:rPr>
      </w:pPr>
      <w:r>
        <w:rPr>
          <w:rFonts w:ascii="Arial" w:cs="Arial" w:eastAsia="Arial" w:hAnsi="Arial"/>
          <w:sz w:val="19"/>
          <w:szCs w:val="19"/>
          <w:color w:val="auto"/>
        </w:rPr>
        <w:t>Material information with respect to stablecoins may include information indicating a likelihood that the fixed or pegged price will not hold. So long as a stablecoin’s pegged price is not in doubt, listings and delistings of the stablecoin are unlikely to be material with respect to the stablecoin (because that information would not make a difference to a reasonable investor’s decision of whether to buy or sell the stablecoin).</w:t>
      </w:r>
    </w:p>
    <w:p>
      <w:pPr>
        <w:spacing w:after="0" w:line="181" w:lineRule="exact"/>
        <w:rPr>
          <w:sz w:val="20"/>
          <w:szCs w:val="20"/>
          <w:color w:val="auto"/>
        </w:rPr>
      </w:pPr>
    </w:p>
    <w:p>
      <w:pPr>
        <w:ind w:left="1280" w:right="100" w:hanging="321"/>
        <w:spacing w:after="0" w:line="282" w:lineRule="auto"/>
        <w:tabs>
          <w:tab w:leader="none" w:pos="125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 Insider, consultant, contractor or agent acting on behalf of Robinhood who is uncertain of whether a potential investment would be considered a “related financial instrument” of a particular crypto-asset must consult with either the RHM Trading Compliance Officer or RHC Chief Compliance Officer.</w:t>
      </w:r>
    </w:p>
    <w:p>
      <w:pPr>
        <w:spacing w:after="0" w:line="169" w:lineRule="exact"/>
        <w:rPr>
          <w:rFonts w:ascii="Arial" w:cs="Arial" w:eastAsia="Arial" w:hAnsi="Arial"/>
          <w:sz w:val="19"/>
          <w:szCs w:val="19"/>
          <w:color w:val="auto"/>
        </w:rPr>
      </w:pPr>
    </w:p>
    <w:p>
      <w:pPr>
        <w:ind w:left="1280" w:hanging="321"/>
        <w:spacing w:after="0" w:line="270" w:lineRule="auto"/>
        <w:tabs>
          <w:tab w:leader="none" w:pos="125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Transactions for bona fide testing purposes are exempt from the above prohibitions, provided that all of the following conditions are met (a) the RHC Chief Compliance Officer approves the test in advance, (b) notice of the RHC Chief Compliance Officer’s approval is provided to the RHM Trading Compliance Officer in advance of the test (including a list of who is participating in the test), and (c) the transacted amounts are </w:t>
      </w:r>
      <w:r>
        <w:rPr>
          <w:rFonts w:ascii="Arial" w:cs="Arial" w:eastAsia="Arial" w:hAnsi="Arial"/>
          <w:sz w:val="19"/>
          <w:szCs w:val="19"/>
          <w:i w:val="1"/>
          <w:iCs w:val="1"/>
          <w:color w:val="auto"/>
        </w:rPr>
        <w:t>de minimis</w:t>
      </w:r>
      <w:r>
        <w:rPr>
          <w:rFonts w:ascii="Arial" w:cs="Arial" w:eastAsia="Arial" w:hAnsi="Arial"/>
          <w:sz w:val="19"/>
          <w:szCs w:val="19"/>
          <w:color w:val="auto"/>
        </w:rPr>
        <w:t>.</w:t>
      </w:r>
    </w:p>
    <w:p>
      <w:pPr>
        <w:spacing w:after="0" w:line="195" w:lineRule="exact"/>
        <w:rPr>
          <w:sz w:val="20"/>
          <w:szCs w:val="20"/>
          <w:color w:val="auto"/>
        </w:rPr>
      </w:pPr>
    </w:p>
    <w:p>
      <w:pPr>
        <w:ind w:right="600"/>
        <w:spacing w:after="0" w:line="288" w:lineRule="auto"/>
        <w:rPr>
          <w:sz w:val="20"/>
          <w:szCs w:val="20"/>
          <w:color w:val="auto"/>
        </w:rPr>
      </w:pPr>
      <w:r>
        <w:rPr>
          <w:rFonts w:ascii="Arial" w:cs="Arial" w:eastAsia="Arial" w:hAnsi="Arial"/>
          <w:sz w:val="19"/>
          <w:szCs w:val="19"/>
          <w:color w:val="auto"/>
        </w:rPr>
        <w:t>As mentioned above, Coin-Aware Individuals, which includes Crypto leaders, are subject to more restrictive requirements as outlined below</w:t>
      </w:r>
      <w:r>
        <w:rPr>
          <w:rFonts w:ascii="Arial" w:cs="Arial" w:eastAsia="Arial" w:hAnsi="Arial"/>
          <w:sz w:val="25"/>
          <w:szCs w:val="25"/>
          <w:color w:val="auto"/>
          <w:vertAlign w:val="superscript"/>
        </w:rPr>
        <w:t>6</w:t>
      </w:r>
      <w:r>
        <w:rPr>
          <w:rFonts w:ascii="Arial" w:cs="Arial" w:eastAsia="Arial" w:hAnsi="Arial"/>
          <w:sz w:val="19"/>
          <w:szCs w:val="19"/>
          <w:color w:val="auto"/>
        </w:rPr>
        <w:t>:</w:t>
      </w:r>
    </w:p>
    <w:p>
      <w:pPr>
        <w:spacing w:after="0" w:line="94" w:lineRule="exact"/>
        <w:rPr>
          <w:sz w:val="20"/>
          <w:szCs w:val="20"/>
          <w:color w:val="auto"/>
        </w:rPr>
      </w:pPr>
    </w:p>
    <w:p>
      <w:pPr>
        <w:ind w:left="1280" w:right="40" w:hanging="321"/>
        <w:spacing w:after="0" w:line="264" w:lineRule="auto"/>
        <w:tabs>
          <w:tab w:leader="none" w:pos="125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Crypto leaders, which is a small subset of Coin-Aware Individuals (defined below), whose teams (including, without limitation, the Crypto Listing Committee) generate, receive, or access, or expect to generate, receive, or access, MNPI regarding any future crypto-asset must notify the RHM Trading Compliance Officer (or otherwise ensure he or she is aware) that such MNPI being held within the Company. The RHM Trading Compliance Officer will provide guidance as to the appropriate steps to take, and may add the crypto-asset to Robinhood’s Restricted List or Watch List (as described in Section V).</w:t>
      </w:r>
    </w:p>
    <w:p>
      <w:pPr>
        <w:spacing w:after="0" w:line="185" w:lineRule="exact"/>
        <w:rPr>
          <w:rFonts w:ascii="Arial" w:cs="Arial" w:eastAsia="Arial" w:hAnsi="Arial"/>
          <w:sz w:val="19"/>
          <w:szCs w:val="19"/>
          <w:color w:val="auto"/>
        </w:rPr>
      </w:pPr>
    </w:p>
    <w:p>
      <w:pPr>
        <w:ind w:left="1280" w:right="60" w:hanging="321"/>
        <w:spacing w:after="0" w:line="268" w:lineRule="auto"/>
        <w:tabs>
          <w:tab w:leader="none" w:pos="125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Coin-Aware Individuals are those who have direct knowledge of MNPI during the course of the work conducted for a new listing or delisting of a crypto-asset(s) and are strictly prohibited from conducting any personal trades, on Robinhood or another platform, of those crypto-asset(s) prior to, and during the twenty-four (24) hours after Robinhood publicly announces a new listing or delisting of such crypto-asset(s). Coin-Aware Individuals that violate this restriction will be subject to disciplinary action, up to and including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16808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21" w:lineRule="exact"/>
        <w:rPr>
          <w:sz w:val="20"/>
          <w:szCs w:val="20"/>
          <w:color w:val="auto"/>
        </w:rPr>
      </w:pPr>
    </w:p>
    <w:p>
      <w:pPr>
        <w:ind w:right="380" w:firstLine="6"/>
        <w:spacing w:after="0" w:line="201" w:lineRule="auto"/>
        <w:tabs>
          <w:tab w:leader="none" w:pos="118" w:val="left"/>
        </w:tabs>
        <w:numPr>
          <w:ilvl w:val="0"/>
          <w:numId w:val="122"/>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Coin Aware Individuals are also subject to the crypto-asset trading restrictions applicable to all Insiders, consultants, contractors or agents acting on behalf of Robinhood. if conflicting, the stricter limitations and requirements apply.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17</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7" w:name="page218"/>
    <w:bookmarkEnd w:id="217"/>
    <w:p>
      <w:pPr>
        <w:ind w:left="1280" w:right="20" w:hanging="321"/>
        <w:spacing w:after="0" w:line="270" w:lineRule="auto"/>
        <w:tabs>
          <w:tab w:leader="none" w:pos="125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Crypto leaders and Coin-Aware Individuals must submit a preclearance request for any personal trades made on the Robinhood platform, or another platform, during the time they have become aware of the crypto asset listing or delisting leading up to, and during, the twenty-four (24) hour period after the first broad public announcement. Any questions or concerns that may arise, please contact </w:t>
      </w:r>
      <w:r>
        <w:rPr>
          <w:rFonts w:ascii="Arial" w:cs="Arial" w:eastAsia="Arial" w:hAnsi="Arial"/>
          <w:sz w:val="19"/>
          <w:szCs w:val="19"/>
          <w:color w:val="1155CC"/>
        </w:rPr>
        <w:t>cryptocompliance@robinhood.com</w:t>
      </w:r>
      <w:r>
        <w:rPr>
          <w:rFonts w:ascii="Arial" w:cs="Arial" w:eastAsia="Arial" w:hAnsi="Arial"/>
          <w:sz w:val="19"/>
          <w:szCs w:val="19"/>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VIII.</w:t>
        <w:tab/>
        <w:t>Prohibition of Manipulation</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Robinhood expects Insiders to avoid any activities that may appear to be manipulative. With respect to crypto-asset trading, this means that any trading activity that disrupts or manipulates crypto-asset exchanges or other crypto-asset service providers (e.g., trading platforms, payment processors, market data providers) is prohibited. The list below of specific prohibitions is not exclusive but is intended to provide more clarity on what types of trading activity are prohibited. (And for the avoidance of doubt, the following prohibitions also apply to trading of crypto-assets, securities, event contracts, and other financial instruments.) Do not:</w:t>
      </w:r>
    </w:p>
    <w:p>
      <w:pPr>
        <w:spacing w:after="0" w:line="130" w:lineRule="exact"/>
        <w:rPr>
          <w:sz w:val="20"/>
          <w:szCs w:val="20"/>
          <w:color w:val="auto"/>
        </w:rPr>
      </w:pPr>
    </w:p>
    <w:p>
      <w:pPr>
        <w:ind w:left="1280" w:right="320" w:hanging="639"/>
        <w:spacing w:after="0" w:line="265"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harass, intimidate, or coerce another person, whether directly or indirectly, to place, amend or cancel an order for any reason including, but not limited to, for the purpose of impacting a market price or to help facilitate another person’s execution of a trade based upon MNPI regarding impending transactions or trading activity that has not been publicly disseminated.</w:t>
      </w:r>
    </w:p>
    <w:p>
      <w:pPr>
        <w:spacing w:after="0" w:line="133" w:lineRule="exact"/>
        <w:rPr>
          <w:rFonts w:ascii="Arial" w:cs="Arial" w:eastAsia="Arial" w:hAnsi="Arial"/>
          <w:sz w:val="19"/>
          <w:szCs w:val="19"/>
          <w:color w:val="auto"/>
        </w:rPr>
      </w:pPr>
    </w:p>
    <w:p>
      <w:pPr>
        <w:ind w:left="1280" w:right="20" w:hanging="639"/>
        <w:spacing w:after="0" w:line="268"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for the purpose of generating unnecessary volatility or creating a condition in which prices do not or will not reflect fair market values. This can include artificially buying and selling around the same price to solely or principally increase volume; splitting an order in efforts to create more trade executions and the appearance of more trading activity; or using successive trade executions to show artificial momentum in a particular direction (e.g., layering).</w:t>
      </w:r>
    </w:p>
    <w:p>
      <w:pPr>
        <w:spacing w:after="0" w:line="130" w:lineRule="exact"/>
        <w:rPr>
          <w:rFonts w:ascii="Arial" w:cs="Arial" w:eastAsia="Arial" w:hAnsi="Arial"/>
          <w:sz w:val="19"/>
          <w:szCs w:val="19"/>
          <w:color w:val="auto"/>
        </w:rPr>
      </w:pPr>
    </w:p>
    <w:p>
      <w:pPr>
        <w:ind w:left="1280" w:right="340" w:hanging="639"/>
        <w:spacing w:after="0" w:line="274"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with the sole or principal intent of canceling the bid or offer before execution. Such behavior may be interpreted as an attempt to manipulate markets into believing there is more or less demand for a crypto-asset, security, event contracts, or other financial instrument.</w:t>
      </w:r>
    </w:p>
    <w:p>
      <w:pPr>
        <w:spacing w:after="0" w:line="125" w:lineRule="exact"/>
        <w:rPr>
          <w:rFonts w:ascii="Arial" w:cs="Arial" w:eastAsia="Arial" w:hAnsi="Arial"/>
          <w:sz w:val="19"/>
          <w:szCs w:val="19"/>
          <w:color w:val="auto"/>
        </w:rPr>
      </w:pPr>
    </w:p>
    <w:p>
      <w:pPr>
        <w:ind w:left="1280" w:right="120" w:hanging="639"/>
        <w:spacing w:after="0" w:line="264"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pre-arrange the execution of any order with another person or entity for the sole or principal purpose of creating the appearance of market activity, when in fact the execution of such order is without risk to either party (e.g., do not engage in wash sales -- entering simultaneous buy and sell orders for the same crypto-asset, security, or financial instrument for the same beneficial owner in a manner designed to achieve the same or nearly the same price for both orders).</w:t>
      </w:r>
    </w:p>
    <w:p>
      <w:pPr>
        <w:spacing w:after="0" w:line="135" w:lineRule="exact"/>
        <w:rPr>
          <w:rFonts w:ascii="Arial" w:cs="Arial" w:eastAsia="Arial" w:hAnsi="Arial"/>
          <w:sz w:val="19"/>
          <w:szCs w:val="19"/>
          <w:color w:val="auto"/>
        </w:rPr>
      </w:pPr>
    </w:p>
    <w:p>
      <w:pPr>
        <w:ind w:left="1280" w:right="820" w:hanging="639"/>
        <w:spacing w:after="0" w:line="302"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for the purpose of assisting another person or entity to engage in transactions and sharing the economic benefit or loss of such transactions.</w:t>
      </w:r>
    </w:p>
    <w:p>
      <w:pPr>
        <w:spacing w:after="0" w:line="85" w:lineRule="exact"/>
        <w:rPr>
          <w:rFonts w:ascii="Arial" w:cs="Arial" w:eastAsia="Arial" w:hAnsi="Arial"/>
          <w:sz w:val="19"/>
          <w:szCs w:val="19"/>
          <w:color w:val="auto"/>
        </w:rPr>
      </w:pPr>
    </w:p>
    <w:p>
      <w:pPr>
        <w:ind w:left="1280" w:right="160" w:hanging="639"/>
        <w:spacing w:after="0" w:line="270"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make recommendations to customers regarding transactions in crypto-assets, securities, event contracts, or other financial instruments. Even if an RHM subsidiary makes recommendations regarding crypto-assets, securities, event contracts, or other financial instruments, Insiders are prohibited from making recommendations to buy or sell crypto-assets, securities, event contracts, or other financial instruments to any RHM subsidiary customers.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18</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30" w:right="339" w:bottom="1440" w:gutter="0" w:footer="0" w:header="0"/>
        </w:sectPr>
      </w:pPr>
    </w:p>
    <w:bookmarkStart w:id="218" w:name="page219"/>
    <w:bookmarkEnd w:id="218"/>
    <w:p>
      <w:pPr>
        <w:spacing w:after="0"/>
        <w:tabs>
          <w:tab w:leader="none" w:pos="640" w:val="left"/>
        </w:tabs>
        <w:rPr>
          <w:sz w:val="20"/>
          <w:szCs w:val="20"/>
          <w:color w:val="auto"/>
        </w:rPr>
      </w:pPr>
      <w:r>
        <w:rPr>
          <w:rFonts w:ascii="Arial" w:cs="Arial" w:eastAsia="Arial" w:hAnsi="Arial"/>
          <w:sz w:val="19"/>
          <w:szCs w:val="19"/>
          <w:b w:val="1"/>
          <w:bCs w:val="1"/>
          <w:color w:val="auto"/>
        </w:rPr>
        <w:t>IX.</w:t>
      </w:r>
      <w:r>
        <w:rPr>
          <w:sz w:val="20"/>
          <w:szCs w:val="20"/>
          <w:color w:val="auto"/>
        </w:rPr>
        <w:tab/>
      </w:r>
      <w:r>
        <w:rPr>
          <w:rFonts w:ascii="Arial" w:cs="Arial" w:eastAsia="Arial" w:hAnsi="Arial"/>
          <w:sz w:val="19"/>
          <w:szCs w:val="19"/>
          <w:b w:val="1"/>
          <w:bCs w:val="1"/>
          <w:color w:val="auto"/>
        </w:rPr>
        <w:t>Questions</w:t>
      </w:r>
    </w:p>
    <w:p>
      <w:pPr>
        <w:spacing w:after="0" w:line="23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Questions concerning any aspect of this Policy should be directed to the Employee Trading Helpline at EmployeeTrading@robinhood.com. An Insider who is uncertain of whether information in their possession is MNPI covered by this Policy should consult with the RHM Control Room before using or disclosing the information in question. Requests for exceptions to this Policy should also be referred to the RHM Trading Compliance Officer.</w:t>
      </w:r>
    </w:p>
    <w:p>
      <w:pPr>
        <w:spacing w:after="0" w:line="153" w:lineRule="exact"/>
        <w:rPr>
          <w:sz w:val="20"/>
          <w:szCs w:val="20"/>
          <w:color w:val="auto"/>
        </w:rPr>
      </w:pPr>
    </w:p>
    <w:p>
      <w:pPr>
        <w:ind w:left="660" w:hanging="654"/>
        <w:spacing w:after="0"/>
        <w:tabs>
          <w:tab w:leader="none" w:pos="660"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color w:val="auto"/>
        </w:rPr>
        <w:t>Violations</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misuse of Confidential Information is a violation of Robinhood policy. It may also be a violation of federal or state laws or regulations, which provide for civil and criminal penalties against any person who violates the law. Trading while in possession of MNPI or improperly communicating that information to others may expose violators to prison sentences and severe civil and criminal penalties. Federal securities laws in the U.S. currently provide for civil sanctions equal to triple the amount of gain realized or loss avoided as a result of the misconduct, and the laws of other jurisdictions frequently provide for similar penalties. Regulators may proceed against the violator’s supervisors, as well as those who trade, “tip,” or otherwise are engaged in, or assist another who is involved in, violating the law.</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Even the appearance of misuse of Confidential Information can have serious implications for an Insider’s career and may be extremely damaging to Robinhood’s reputation. Failure to comply with this Policy may be grounds for disciplinary action, up to and including immediate termination of employment. In appropriate instances, Robinhood may report violations to governmental or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19</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180"/>
          </w:cols>
          <w:pgMar w:left="320" w:top="1202" w:right="39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20</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0139"/>
          </w:cols>
          <w:pgMar w:left="320" w:top="1440" w:right="1440" w:bottom="1440" w:gutter="0" w:footer="0" w:header="0"/>
        </w:sectPr>
      </w:pPr>
    </w:p>
    <w:bookmarkStart w:id="220" w:name="page221"/>
    <w:bookmarkEnd w:id="220"/>
    <w:p>
      <w:pPr>
        <w:jc w:val="center"/>
        <w:ind w:right="-99"/>
        <w:spacing w:after="0"/>
        <w:rPr>
          <w:sz w:val="20"/>
          <w:szCs w:val="20"/>
          <w:color w:val="auto"/>
        </w:rPr>
      </w:pPr>
      <w:r>
        <w:rPr>
          <w:rFonts w:ascii="Arial" w:cs="Arial" w:eastAsia="Arial" w:hAnsi="Arial"/>
          <w:sz w:val="25"/>
          <w:szCs w:val="25"/>
          <w:b w:val="1"/>
          <w:bCs w:val="1"/>
          <w:color w:val="auto"/>
        </w:rPr>
        <w:t>Pre-Clearance Request Form</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(Board members, VPs and above, and certain others must obtain preclearance before trading Robinhood Securities)</w:t>
      </w:r>
    </w:p>
    <w:p>
      <w:pPr>
        <w:spacing w:after="0" w:line="142" w:lineRule="exact"/>
        <w:rPr>
          <w:sz w:val="20"/>
          <w:szCs w:val="20"/>
          <w:color w:val="auto"/>
        </w:rPr>
      </w:pPr>
    </w:p>
    <w:p>
      <w:pPr>
        <w:ind w:left="100"/>
        <w:spacing w:after="0" w:line="330" w:lineRule="auto"/>
        <w:rPr>
          <w:sz w:val="20"/>
          <w:szCs w:val="20"/>
          <w:color w:val="auto"/>
        </w:rPr>
      </w:pPr>
      <w:r>
        <w:rPr>
          <w:rFonts w:ascii="Arial" w:cs="Arial" w:eastAsia="Arial" w:hAnsi="Arial"/>
          <w:sz w:val="19"/>
          <w:szCs w:val="19"/>
          <w:color w:val="auto"/>
        </w:rPr>
        <w:t>I, the undersigned, hereby request preclearance to trade securities of Robinhood Markets, Inc. (the “</w:t>
      </w:r>
      <w:r>
        <w:rPr>
          <w:rFonts w:ascii="Arial" w:cs="Arial" w:eastAsia="Arial" w:hAnsi="Arial"/>
          <w:sz w:val="19"/>
          <w:szCs w:val="19"/>
          <w:b w:val="1"/>
          <w:bCs w:val="1"/>
          <w:color w:val="auto"/>
        </w:rPr>
        <w:t>Company</w:t>
      </w:r>
      <w:r>
        <w:rPr>
          <w:rFonts w:ascii="Arial" w:cs="Arial" w:eastAsia="Arial" w:hAnsi="Arial"/>
          <w:sz w:val="19"/>
          <w:szCs w:val="19"/>
          <w:color w:val="auto"/>
        </w:rPr>
        <w:t>”) in accordance with the Company’s Confidential Information and Insider Trading Policy (the “</w:t>
      </w:r>
      <w:r>
        <w:rPr>
          <w:rFonts w:ascii="Arial" w:cs="Arial" w:eastAsia="Arial" w:hAnsi="Arial"/>
          <w:sz w:val="19"/>
          <w:szCs w:val="19"/>
          <w:b w:val="1"/>
          <w:bCs w:val="1"/>
          <w:color w:val="auto"/>
        </w:rPr>
        <w:t>Insider Trading Policy</w:t>
      </w:r>
      <w:r>
        <w:rPr>
          <w:rFonts w:ascii="Arial" w:cs="Arial" w:eastAsia="Arial" w:hAnsi="Arial"/>
          <w:sz w:val="19"/>
          <w:szCs w:val="19"/>
          <w:color w:val="auto"/>
        </w:rPr>
        <w:t>”) as described below:</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9"/>
          <w:szCs w:val="19"/>
          <w:color w:val="auto"/>
        </w:rPr>
        <w:t>me of security I propose to trade:</w:t>
      </w:r>
    </w:p>
    <w:p>
      <w:pPr>
        <w:spacing w:after="0" w:line="112" w:lineRule="exact"/>
        <w:rPr>
          <w:sz w:val="20"/>
          <w:szCs w:val="20"/>
          <w:color w:val="auto"/>
        </w:rPr>
      </w:pPr>
    </w:p>
    <w:p>
      <w:pPr>
        <w:ind w:left="640" w:hanging="216"/>
        <w:spacing w:after="0"/>
        <w:tabs>
          <w:tab w:leader="none" w:pos="640" w:val="left"/>
        </w:tabs>
        <w:numPr>
          <w:ilvl w:val="0"/>
          <w:numId w:val="126"/>
        </w:numPr>
        <w:rPr>
          <w:rFonts w:ascii="MS PGothic" w:cs="MS PGothic" w:eastAsia="MS PGothic" w:hAnsi="MS PGothic"/>
          <w:sz w:val="19"/>
          <w:szCs w:val="19"/>
          <w:color w:val="auto"/>
        </w:rPr>
      </w:pPr>
      <w:r>
        <w:rPr>
          <w:rFonts w:ascii="Arial" w:cs="Arial" w:eastAsia="Arial" w:hAnsi="Arial"/>
          <w:sz w:val="19"/>
          <w:szCs w:val="19"/>
          <w:color w:val="auto"/>
        </w:rPr>
        <w:t>Class A Common Stock of Robinhood Markets, Inc. (HOOD)</w:t>
      </w:r>
    </w:p>
    <w:p>
      <w:pPr>
        <w:spacing w:after="0" w:line="125" w:lineRule="exact"/>
        <w:rPr>
          <w:rFonts w:ascii="MS PGothic" w:cs="MS PGothic" w:eastAsia="MS PGothic" w:hAnsi="MS PGothic"/>
          <w:sz w:val="19"/>
          <w:szCs w:val="19"/>
          <w:color w:val="auto"/>
        </w:rPr>
      </w:pPr>
    </w:p>
    <w:p>
      <w:pPr>
        <w:ind w:left="640" w:hanging="216"/>
        <w:spacing w:after="0"/>
        <w:tabs>
          <w:tab w:leader="none" w:pos="640" w:val="left"/>
        </w:tabs>
        <w:numPr>
          <w:ilvl w:val="0"/>
          <w:numId w:val="126"/>
        </w:numPr>
        <w:rPr>
          <w:rFonts w:ascii="MS PGothic" w:cs="MS PGothic" w:eastAsia="MS PGothic" w:hAnsi="MS PGothic"/>
          <w:sz w:val="19"/>
          <w:szCs w:val="19"/>
          <w:color w:val="auto"/>
        </w:rPr>
      </w:pPr>
      <w:r>
        <w:rPr>
          <w:rFonts w:ascii="Arial" w:cs="Arial" w:eastAsia="Arial" w:hAnsi="Arial"/>
          <w:sz w:val="19"/>
          <w:szCs w:val="19"/>
          <w:color w:val="auto"/>
        </w:rPr>
        <w:t>Other: 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aximum number of such securities I propose to trade: ______________________________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pe of transaction (check all that apply):</w:t>
      </w:r>
    </w:p>
    <w:p>
      <w:pPr>
        <w:spacing w:after="0" w:line="134" w:lineRule="exact"/>
        <w:rPr>
          <w:sz w:val="20"/>
          <w:szCs w:val="20"/>
          <w:color w:val="auto"/>
        </w:rPr>
      </w:pPr>
    </w:p>
    <w:p>
      <w:pPr>
        <w:ind w:left="420"/>
        <w:spacing w:after="0" w:line="219" w:lineRule="exact"/>
        <w:tabs>
          <w:tab w:leader="none" w:pos="800" w:val="left"/>
          <w:tab w:leader="none" w:pos="2580" w:val="left"/>
        </w:tabs>
        <w:rPr>
          <w:sz w:val="20"/>
          <w:szCs w:val="20"/>
          <w:color w:val="auto"/>
        </w:rPr>
      </w:pPr>
      <w:r>
        <w:rPr>
          <w:rFonts w:ascii="MS PGothic" w:cs="MS PGothic" w:eastAsia="MS PGothic" w:hAnsi="MS PGothic"/>
          <w:sz w:val="19"/>
          <w:szCs w:val="19"/>
          <w:color w:val="auto"/>
        </w:rPr>
        <w:t>☐</w:t>
      </w:r>
      <w:r>
        <w:rPr>
          <w:rFonts w:ascii="Arial" w:cs="Arial" w:eastAsia="Arial" w:hAnsi="Arial"/>
          <w:sz w:val="19"/>
          <w:szCs w:val="19"/>
          <w:color w:val="auto"/>
        </w:rPr>
        <w:tab/>
        <w:t>Open Market Sale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Open Market Purchase</w:t>
      </w:r>
      <w:r>
        <w:rPr>
          <w:rFonts w:ascii="MS PGothic" w:cs="MS PGothic" w:eastAsia="MS PGothic" w:hAnsi="MS PGothic"/>
          <w:sz w:val="19"/>
          <w:szCs w:val="19"/>
          <w:color w:val="auto"/>
        </w:rPr>
        <w:t xml:space="preserve">  ☐ </w:t>
      </w:r>
      <w:r>
        <w:rPr>
          <w:rFonts w:ascii="Arial" w:cs="Arial" w:eastAsia="Arial" w:hAnsi="Arial"/>
          <w:sz w:val="19"/>
          <w:szCs w:val="19"/>
          <w:color w:val="auto"/>
        </w:rPr>
        <w:t>Standing Order (e.g., Limit Order)</w:t>
      </w:r>
    </w:p>
    <w:p>
      <w:pPr>
        <w:spacing w:after="0" w:line="108" w:lineRule="exact"/>
        <w:rPr>
          <w:sz w:val="20"/>
          <w:szCs w:val="20"/>
          <w:color w:val="auto"/>
        </w:rPr>
      </w:pPr>
    </w:p>
    <w:p>
      <w:pPr>
        <w:ind w:left="740" w:right="220" w:hanging="316"/>
        <w:spacing w:after="0" w:line="298" w:lineRule="auto"/>
        <w:tabs>
          <w:tab w:leader="none" w:pos="81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I have a 10b5-1 Trading Plan currently in effect, this transaction will occur outside of that Plan, and I am not proposing to sell any shares that have already been committed to that Plan</w:t>
      </w:r>
    </w:p>
    <w:p>
      <w:pPr>
        <w:spacing w:after="0" w:line="7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Entry into a new 10b5-1 Trading Plan</w:t>
      </w:r>
    </w:p>
    <w:p>
      <w:pPr>
        <w:spacing w:after="0" w:line="12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Gift to: ______________________________________________ (family member, charity, etc)</w:t>
      </w:r>
    </w:p>
    <w:p>
      <w:pPr>
        <w:spacing w:after="0" w:line="112"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Estate Planning Transfer to: _____________________________________________________</w:t>
      </w:r>
    </w:p>
    <w:p>
      <w:pPr>
        <w:spacing w:after="0" w:line="12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Other: ______________________________________________________________________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epresent and warrant to the Company as follows: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 certify that I do not possess any material nonpublic information about the Company or its securities (provided, however, this Item</w:t>
      </w:r>
    </w:p>
    <w:p>
      <w:pPr>
        <w:spacing w:after="0" w:line="37" w:lineRule="exact"/>
        <w:rPr>
          <w:sz w:val="20"/>
          <w:szCs w:val="20"/>
          <w:color w:val="auto"/>
        </w:rPr>
      </w:pPr>
    </w:p>
    <w:p>
      <w:pPr>
        <w:jc w:val="both"/>
        <w:ind w:left="100"/>
        <w:spacing w:after="0" w:line="297" w:lineRule="auto"/>
        <w:rPr>
          <w:sz w:val="20"/>
          <w:szCs w:val="20"/>
          <w:color w:val="auto"/>
        </w:rPr>
      </w:pPr>
      <w:r>
        <w:rPr>
          <w:rFonts w:ascii="Arial" w:cs="Arial" w:eastAsia="Arial" w:hAnsi="Arial"/>
          <w:sz w:val="19"/>
          <w:szCs w:val="19"/>
          <w:color w:val="auto"/>
        </w:rPr>
        <w:t>1 does not apply if I am proposing only (a) a cash exercise-and-hold of an employee stock option and/or (b) an estate-planning (or other) transfer that does not entail any change of beneficial ownership).</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 certify that I have read the Insider Trading Policy and that my proposed trade complies with the Policy.</w:t>
      </w:r>
    </w:p>
    <w:p>
      <w:pPr>
        <w:spacing w:after="0" w:line="139" w:lineRule="exact"/>
        <w:rPr>
          <w:sz w:val="20"/>
          <w:szCs w:val="20"/>
          <w:color w:val="auto"/>
        </w:rPr>
      </w:pPr>
    </w:p>
    <w:p>
      <w:pPr>
        <w:jc w:val="both"/>
        <w:ind w:left="100" w:firstLine="140"/>
        <w:spacing w:after="0" w:line="273" w:lineRule="auto"/>
        <w:rPr>
          <w:sz w:val="20"/>
          <w:szCs w:val="20"/>
          <w:color w:val="auto"/>
        </w:rPr>
      </w:pPr>
      <w:r>
        <w:rPr>
          <w:rFonts w:ascii="Arial" w:cs="Arial" w:eastAsia="Arial" w:hAnsi="Arial"/>
          <w:sz w:val="19"/>
          <w:szCs w:val="19"/>
          <w:color w:val="auto"/>
        </w:rPr>
        <w:t>I understand that if I trade Company Securities while I am in possession of material nonpublic information about the Company or its securities or otherwise in violation of any trading restrictions, I may be subject to severe civil and/or criminal penalties and may be subject to discipline by the Company, including termination. I understand that approval of this Pre-Clearance Request Form does not eliminate the possibility that the Securities and Exchange Commission (or other government agency) may later:</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 challenge the proposed transaction and (b) attempt to bring civil and/or criminal charges against me.</w:t>
      </w:r>
    </w:p>
    <w:p>
      <w:pPr>
        <w:spacing w:after="0" w:line="135" w:lineRule="exact"/>
        <w:rPr>
          <w:sz w:val="20"/>
          <w:szCs w:val="20"/>
          <w:color w:val="auto"/>
        </w:rPr>
      </w:pPr>
    </w:p>
    <w:p>
      <w:pPr>
        <w:jc w:val="both"/>
        <w:ind w:left="100" w:firstLine="156"/>
        <w:spacing w:after="0" w:line="289" w:lineRule="auto"/>
        <w:rPr>
          <w:sz w:val="20"/>
          <w:szCs w:val="20"/>
          <w:color w:val="auto"/>
        </w:rPr>
      </w:pPr>
      <w:r>
        <w:rPr>
          <w:rFonts w:ascii="Arial" w:cs="Arial" w:eastAsia="Arial" w:hAnsi="Arial"/>
          <w:sz w:val="19"/>
          <w:szCs w:val="19"/>
          <w:color w:val="auto"/>
        </w:rPr>
        <w:t>I acknowledge that if any proposed trade does not execute within four (4) trading days of receiving pre-clearance (or such other deadline as may be specified in the approval) then the preclearance will no longer be valid, I must promptly cancel any standing order, and I will need to submit a new preclearance request in order to execute the trade.</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Print Name: ______________________________</w:t>
      </w:r>
    </w:p>
    <w:p>
      <w:pPr>
        <w:spacing w:after="0" w:line="25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Signature: ________________________________</w:t>
      </w:r>
    </w:p>
    <w:p>
      <w:pPr>
        <w:spacing w:after="0" w:line="245"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Date: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00" w:hanging="105"/>
        <w:spacing w:after="0" w:line="281" w:lineRule="auto"/>
        <w:rPr>
          <w:sz w:val="20"/>
          <w:szCs w:val="20"/>
          <w:color w:val="auto"/>
        </w:rPr>
      </w:pPr>
      <w:r>
        <w:rPr>
          <w:rFonts w:ascii="Arial" w:cs="Arial" w:eastAsia="Arial" w:hAnsi="Arial"/>
          <w:sz w:val="19"/>
          <w:szCs w:val="19"/>
          <w:b w:val="1"/>
          <w:bCs w:val="1"/>
          <w:color w:val="auto"/>
        </w:rPr>
        <w:t>ease submit the completed form for approval following the process directed by the Corporate Secretary or the RHM Trading Compliance Officer (or their delegate). The pre-clearance process might take up to two (2) trading days and clearances generally expire after four (4) trading days.</w:t>
      </w:r>
    </w:p>
    <w:p>
      <w:pPr>
        <w:sectPr>
          <w:pgSz w:w="11900" w:h="16838" w:orient="portrait"/>
          <w:cols w:equalWidth="0" w:num="1">
            <w:col w:w="11340"/>
          </w:cols>
          <w:pgMar w:left="220" w:top="607" w:right="339" w:bottom="1440" w:gutter="0" w:footer="0" w:header="0"/>
        </w:sectPr>
      </w:pPr>
    </w:p>
    <w:bookmarkStart w:id="221" w:name="page222"/>
    <w:bookmarkEnd w:id="221"/>
    <w:p>
      <w:pPr>
        <w:ind w:left="10220"/>
        <w:spacing w:after="0"/>
        <w:rPr>
          <w:sz w:val="20"/>
          <w:szCs w:val="20"/>
          <w:color w:val="auto"/>
        </w:rPr>
      </w:pPr>
      <w:r>
        <w:rPr>
          <w:rFonts w:ascii="Arial" w:cs="Arial" w:eastAsia="Arial" w:hAnsi="Arial"/>
          <w:sz w:val="19"/>
          <w:szCs w:val="19"/>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Subsidiaries of the Registrant*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the following entities are wholly owned direct or indirect subsidiaries of Robinhood Markets, Inc.</w:t>
      </w:r>
    </w:p>
    <w:p>
      <w:pPr>
        <w:spacing w:after="0" w:line="200" w:lineRule="exact"/>
        <w:rPr>
          <w:sz w:val="20"/>
          <w:szCs w:val="20"/>
          <w:color w:val="auto"/>
        </w:r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3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Name of Subsidiary</w:t>
            </w:r>
          </w:p>
        </w:tc>
        <w:tc>
          <w:tcPr>
            <w:tcW w:w="49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State/Country of Organization</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Bitstamp USA,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RHX,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Asset Management,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Credit,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Crypto,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Derivatives,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Financial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Gold,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Money,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Securities,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Ventures DE,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Ventures Fund I</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54"/>
        </w:trPr>
        <w:tc>
          <w:tcPr>
            <w:tcW w:w="6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Trade-PMR, Inc.</w:t>
            </w: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Florida</w:t>
            </w:r>
          </w:p>
        </w:tc>
      </w:tr>
      <w:tr>
        <w:trPr>
          <w:trHeight w:val="31"/>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TradePMR Insurance Agency,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Florida</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Sherwood Reinsurance Company,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SRC All Other Cell,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SRC D&amp;O Cell,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bl>
    <w:p>
      <w:pPr>
        <w:spacing w:after="0" w:line="200" w:lineRule="exact"/>
        <w:rPr>
          <w:sz w:val="20"/>
          <w:szCs w:val="20"/>
          <w:color w:val="auto"/>
        </w:rPr>
      </w:pPr>
    </w:p>
    <w:p>
      <w:pPr>
        <w:spacing w:after="0" w:line="348" w:lineRule="exact"/>
        <w:rPr>
          <w:sz w:val="20"/>
          <w:szCs w:val="20"/>
          <w:color w:val="auto"/>
        </w:rPr>
      </w:pPr>
    </w:p>
    <w:p>
      <w:pPr>
        <w:ind w:right="100" w:firstLine="6"/>
        <w:spacing w:after="0" w:line="274" w:lineRule="auto"/>
        <w:tabs>
          <w:tab w:leader="none" w:pos="12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accordance with Item 601(b)(21)(ii) of Regulation S-K, the Company has omitted from this Exhibit the names of certain subsidiaries which, considered in the aggregate as a single subsidiary, would not constitute a “significant subsidiary” (as defined in Rule 1-02(w) of Regulation S-X) as of December 31, 2025.</w:t>
      </w:r>
    </w:p>
    <w:p>
      <w:pPr>
        <w:sectPr>
          <w:pgSz w:w="11900" w:h="16838" w:orient="portrait"/>
          <w:cols w:equalWidth="0" w:num="1">
            <w:col w:w="11260"/>
          </w:cols>
          <w:pgMar w:left="320" w:top="118" w:right="3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0" w:lineRule="exact"/>
        <w:rPr>
          <w:sz w:val="20"/>
          <w:szCs w:val="20"/>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333-285037 pertaining to the 2021 Omnibus Incentive Plan and the 2021 Employee Share Purchase Plan of Robinhood Markets, Inc.,</w:t>
      </w:r>
    </w:p>
    <w:p>
      <w:pPr>
        <w:spacing w:after="0" w:line="33"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333-277408 pertaining to the 2021 Omnibus Incentive Plan and the 2021 Employee Share Purchase Plan of Robinhood Markets, Inc.,</w:t>
      </w:r>
    </w:p>
    <w:p>
      <w:pPr>
        <w:spacing w:after="0" w:line="29"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333-270062 pertaining to the 2021 Omnibus Incentive Plan and the 2021 Employee Share Purchase Plan of Robinhood Markets, Inc.,</w:t>
      </w:r>
    </w:p>
    <w:p>
      <w:pPr>
        <w:spacing w:after="0" w:line="16"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333-262968 pertaining to the 2021 Omnibus Incentive Plan and the 2021 Employee Share Purchase Plan of Robinhood Markets, Inc.,</w:t>
      </w:r>
    </w:p>
    <w:p>
      <w:pPr>
        <w:spacing w:after="0" w:line="2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18" w:lineRule="exact"/>
        <w:rPr>
          <w:rFonts w:ascii="Times New Roman" w:cs="Times New Roman" w:eastAsia="Times New Roman" w:hAnsi="Times New Roman"/>
          <w:sz w:val="17"/>
          <w:szCs w:val="17"/>
          <w:color w:val="auto"/>
        </w:rPr>
      </w:pPr>
    </w:p>
    <w:p>
      <w:pPr>
        <w:ind w:firstLine="6"/>
        <w:spacing w:after="0" w:line="266" w:lineRule="auto"/>
        <w:tabs>
          <w:tab w:leader="none" w:pos="6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333-258250 pertaining to the 2021 Omnibus Incentive Plan, the 2021 Employee Share Purchase Plan, the 2020 Equity Incentive Plan, and the Amended and Restated 2013 Stock Plan of Robinhood Markets, Inc.</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of our reports dated February 18, 2026, with respect to the consolidated financial statements of Robinhood Markets, Inc. and the effectiveness of internal control over financial reporting of Robinhood Markets, Inc. included in this Annual Report (Form 10-K) of Robinhood Markets,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40"/>
          </w:cols>
          <w:pgMar w:left="320" w:top="12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5" w:lineRule="exact"/>
        <w:rPr>
          <w:sz w:val="20"/>
          <w:szCs w:val="20"/>
          <w:color w:val="auto"/>
        </w:rPr>
      </w:pPr>
    </w:p>
    <w:p>
      <w:pPr>
        <w:ind w:left="400" w:hanging="394"/>
        <w:spacing w:after="0"/>
        <w:tabs>
          <w:tab w:leader="none" w:pos="4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1D1C1D"/>
        </w:rPr>
        <w:t>Date: February 18, 2026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07"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Shiv Verma, certify that:</w:t>
      </w:r>
    </w:p>
    <w:p>
      <w:pPr>
        <w:spacing w:after="0" w:line="15" w:lineRule="exact"/>
        <w:rPr>
          <w:sz w:val="20"/>
          <w:szCs w:val="20"/>
          <w:color w:val="auto"/>
        </w:rPr>
      </w:pPr>
    </w:p>
    <w:p>
      <w:pPr>
        <w:ind w:left="400" w:hanging="394"/>
        <w:spacing w:after="0"/>
        <w:tabs>
          <w:tab w:leader="none" w:pos="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color w:val="1D1C1D"/>
        </w:rPr>
        <w:t>Date: February 18, 2026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06"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2160"/>
        <w:spacing w:after="0" w:line="266" w:lineRule="auto"/>
        <w:rPr>
          <w:sz w:val="20"/>
          <w:szCs w:val="20"/>
          <w:color w:val="auto"/>
        </w:rPr>
      </w:pPr>
      <w:r>
        <w:rPr>
          <w:rFonts w:ascii="Arial" w:cs="Arial" w:eastAsia="Arial" w:hAnsi="Arial"/>
          <w:sz w:val="18"/>
          <w:szCs w:val="18"/>
          <w:b w:val="1"/>
          <w:bCs w:val="1"/>
          <w:color w:val="1D1C1D"/>
        </w:rPr>
        <w:t>CERTIFICATION BY THE CHIEF EXECUTIVE OFFICER PURSUANT TO 18 U.S.C. SECTION 1350, AS ADOPTED PURSUANT TO SECTION 906 OF THE SARBANES-OXLEY ACT OF 2002</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Annual Report on Form 10-K for the year ended </w:t>
      </w:r>
      <w:r>
        <w:rPr>
          <w:rFonts w:ascii="Arial" w:cs="Arial" w:eastAsia="Arial" w:hAnsi="Arial"/>
          <w:sz w:val="18"/>
          <w:szCs w:val="18"/>
          <w:color w:val="1D1C1D"/>
        </w:rPr>
        <w:t>December 31, 2025</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18, 2026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1D1C1D"/>
        </w:rPr>
        <w:t>CERTIFICATION BY THE CHIEF FINANCIAL OFFICER PURSUANT TO 18 U.S.C. SECTION 1350, AS ADOPTED PURSUANT TO SECTION 906 OF THE SARBANES-OXLEY ACT OF 2002</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Pursuant to 18 U.S.C. Section 1350, I, Shiv Verma, hereby certify that, to the best of my knowledge, Robinhood Markets, Inc.’s Annual Report on Form 10-K for the year ended </w:t>
      </w:r>
      <w:r>
        <w:rPr>
          <w:rFonts w:ascii="Arial" w:cs="Arial" w:eastAsia="Arial" w:hAnsi="Arial"/>
          <w:sz w:val="18"/>
          <w:szCs w:val="18"/>
          <w:color w:val="1D1C1D"/>
        </w:rPr>
        <w:t>December 31, 2025</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18, 2026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1)"/>
      <w:numFmt w:val="lowerRoman"/>
      <w:start w:val="2"/>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decimal"/>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1)"/>
      <w:numFmt w:val="decimal"/>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1)"/>
      <w:numFmt w:val="decimal"/>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2"/>
    </w:lvl>
  </w:abstractNum>
  <w:abstractNum w:abstractNumId="55">
    <w:nsid w:val="49DA307D"/>
    <w:multiLevelType w:val="hybridMultilevel"/>
    <w:lvl w:ilvl="0">
      <w:lvlJc w:val="left"/>
      <w:lvlText w:val="(%1)"/>
      <w:numFmt w:val="decimal"/>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1)"/>
      <w:numFmt w:val="decimal"/>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decimal"/>
      <w:start w:val="1"/>
    </w:lvl>
    <w:lvl w:ilvl="1">
      <w:lvlJc w:val="left"/>
      <w:lvlText w:val="•"/>
      <w:numFmt w:val="bullet"/>
      <w:start w:val="1"/>
    </w:lvl>
  </w:abstractNum>
  <w:abstractNum w:abstractNumId="61">
    <w:nsid w:val="6AA78F7F"/>
    <w:multiLevelType w:val="hybridMultilevel"/>
    <w:lvl w:ilvl="0">
      <w:lvlJc w:val="left"/>
      <w:lvlText w:val="%1."/>
      <w:numFmt w:val="decimal"/>
      <w:start w:val="3"/>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upperLetter"/>
      <w:start w:val="4"/>
    </w:lvl>
  </w:abstractNum>
  <w:abstractNum w:abstractNumId="67">
    <w:nsid w:val="73A1821B"/>
    <w:multiLevelType w:val="hybridMultilevel"/>
    <w:lvl w:ilvl="0">
      <w:lvlJc w:val="left"/>
      <w:lvlText w:val="%1"/>
      <w:numFmt w:val="decimal"/>
      <w:start w:val="1"/>
    </w:lvl>
    <w:lvl w:ilvl="1">
      <w:lvlJc w:val="left"/>
      <w:lvlText w:val="%2."/>
      <w:numFmt w:val="upperLetter"/>
      <w:start w:val="1"/>
    </w:lvl>
  </w:abstractNum>
  <w:abstractNum w:abstractNumId="68">
    <w:nsid w:val="7DE67713"/>
    <w:multiLevelType w:val="hybridMultilevel"/>
    <w:lvl w:ilvl="0">
      <w:lvlJc w:val="left"/>
      <w:lvlText w:val="%1."/>
      <w:numFmt w:val="decimal"/>
      <w:start w:val="1"/>
    </w:lvl>
    <w:lvl w:ilvl="1">
      <w:lvlJc w:val="left"/>
      <w:lvlText w:val="%2."/>
      <w:numFmt w:val="upperLetter"/>
      <w:start w:val="2"/>
    </w:lvl>
  </w:abstractNum>
  <w:abstractNum w:abstractNumId="69">
    <w:nsid w:val="555C55B5"/>
    <w:multiLevelType w:val="hybridMultilevel"/>
    <w:lvl w:ilvl="0">
      <w:lvlJc w:val="left"/>
      <w:lvlText w:val="%1."/>
      <w:numFmt w:val="upperLetter"/>
      <w:start w:val="4"/>
    </w:lvl>
  </w:abstractNum>
  <w:abstractNum w:abstractNumId="70">
    <w:nsid w:val="3FA62ACA"/>
    <w:multiLevelType w:val="hybridMultilevel"/>
    <w:lvl w:ilvl="0">
      <w:lvlJc w:val="left"/>
      <w:lvlText w:val="%1."/>
      <w:numFmt w:val="upperLetter"/>
      <w:start w:val="1"/>
    </w:lvl>
  </w:abstractNum>
  <w:abstractNum w:abstractNumId="71">
    <w:nsid w:val="14FCE74E"/>
    <w:multiLevelType w:val="hybridMultilevel"/>
    <w:lvl w:ilvl="0">
      <w:lvlJc w:val="left"/>
      <w:lvlText w:val="%1."/>
      <w:numFmt w:val="upperLetter"/>
      <w:start w:val="10"/>
    </w:lvl>
  </w:abstractNum>
  <w:abstractNum w:abstractNumId="72">
    <w:nsid w:val="6A3DD3E8"/>
    <w:multiLevelType w:val="hybridMultilevel"/>
    <w:lvl w:ilvl="0">
      <w:lvlJc w:val="left"/>
      <w:lvlText w:val="%1."/>
      <w:numFmt w:val="upperLetter"/>
      <w:start w:val="9"/>
    </w:lvl>
  </w:abstractNum>
  <w:abstractNum w:abstractNumId="73">
    <w:nsid w:val="71C91298"/>
    <w:multiLevelType w:val="hybridMultilevel"/>
    <w:lvl w:ilvl="0">
      <w:lvlJc w:val="left"/>
      <w:lvlText w:val="%1."/>
      <w:numFmt w:val="upperLetter"/>
      <w:start w:val="35"/>
    </w:lvl>
  </w:abstractNum>
  <w:abstractNum w:abstractNumId="74">
    <w:nsid w:val="9DAF632"/>
    <w:multiLevelType w:val="hybridMultilevel"/>
    <w:lvl w:ilvl="0">
      <w:lvlJc w:val="left"/>
      <w:lvlText w:val="%1."/>
      <w:numFmt w:val="upperLetter"/>
      <w:start w:val="2"/>
    </w:lvl>
  </w:abstractNum>
  <w:abstractNum w:abstractNumId="75">
    <w:nsid w:val="53299938"/>
    <w:multiLevelType w:val="hybridMultilevel"/>
    <w:lvl w:ilvl="0">
      <w:lvlJc w:val="left"/>
      <w:lvlText w:val="%1."/>
      <w:numFmt w:val="upperLetter"/>
      <w:start w:val="3"/>
    </w:lvl>
  </w:abstractNum>
  <w:abstractNum w:abstractNumId="76">
    <w:nsid w:val="1FBFE8E0"/>
    <w:multiLevelType w:val="hybridMultilevel"/>
    <w:lvl w:ilvl="0">
      <w:lvlJc w:val="left"/>
      <w:lvlText w:val="%1."/>
      <w:numFmt w:val="upperLetter"/>
      <w:start w:val="4"/>
    </w:lvl>
  </w:abstractNum>
  <w:abstractNum w:abstractNumId="77">
    <w:nsid w:val="5092CA79"/>
    <w:multiLevelType w:val="hybridMultilevel"/>
    <w:lvl w:ilvl="0">
      <w:lvlJc w:val="left"/>
      <w:lvlText w:val="1"/>
      <w:numFmt w:val="bullet"/>
      <w:start w:val="1"/>
    </w:lvl>
  </w:abstractNum>
  <w:abstractNum w:abstractNumId="78">
    <w:nsid w:val="1D545C4D"/>
    <w:multiLevelType w:val="hybridMultilevel"/>
    <w:lvl w:ilvl="0">
      <w:lvlJc w:val="left"/>
      <w:lvlText w:val="2"/>
      <w:numFmt w:val="bullet"/>
      <w:start w:val="1"/>
    </w:lvl>
  </w:abstractNum>
  <w:abstractNum w:abstractNumId="79">
    <w:nsid w:val="59ADEA3D"/>
    <w:multiLevelType w:val="hybridMultilevel"/>
    <w:lvl w:ilvl="0">
      <w:lvlJc w:val="left"/>
      <w:lvlText w:val="%1."/>
      <w:numFmt w:val="upperLetter"/>
      <w:start w:val="5"/>
    </w:lvl>
  </w:abstractNum>
  <w:abstractNum w:abstractNumId="80">
    <w:nsid w:val="288F1A34"/>
    <w:multiLevelType w:val="hybridMultilevel"/>
    <w:lvl w:ilvl="0">
      <w:lvlJc w:val="left"/>
      <w:lvlText w:val="%1."/>
      <w:numFmt w:val="upperLetter"/>
      <w:start w:val="6"/>
    </w:lvl>
  </w:abstractNum>
  <w:abstractNum w:abstractNumId="81">
    <w:nsid w:val="2A155DBC"/>
    <w:multiLevelType w:val="hybridMultilevel"/>
    <w:lvl w:ilvl="0">
      <w:lvlJc w:val="left"/>
      <w:lvlText w:val="%1."/>
      <w:numFmt w:val="upperLetter"/>
      <w:start w:val="7"/>
    </w:lvl>
  </w:abstractNum>
  <w:abstractNum w:abstractNumId="82">
    <w:nsid w:val="1D9F6E5F"/>
    <w:multiLevelType w:val="hybridMultilevel"/>
    <w:lvl w:ilvl="0">
      <w:lvlJc w:val="left"/>
      <w:lvlText w:val="%1."/>
      <w:numFmt w:val="upperLetter"/>
      <w:start w:val="61"/>
    </w:lvl>
  </w:abstractNum>
  <w:abstractNum w:abstractNumId="83">
    <w:nsid w:val="97E1B4E"/>
    <w:multiLevelType w:val="hybridMultilevel"/>
    <w:lvl w:ilvl="0">
      <w:lvlJc w:val="left"/>
      <w:lvlText w:val="%1."/>
      <w:numFmt w:val="upperLetter"/>
      <w:start w:val="1"/>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1."/>
      <w:numFmt w:val="decimal"/>
      <w:start w:val="2"/>
    </w:lvl>
  </w:abstractNum>
  <w:abstractNum w:abstractNumId="88">
    <w:nsid w:val="7C58FD05"/>
    <w:multiLevelType w:val="hybridMultilevel"/>
    <w:lvl w:ilvl="0">
      <w:lvlJc w:val="left"/>
      <w:lvlText w:val="%1."/>
      <w:numFmt w:val="upperLetter"/>
      <w:start w:val="2"/>
    </w:lvl>
  </w:abstractNum>
  <w:abstractNum w:abstractNumId="89">
    <w:nsid w:val="23D86AAC"/>
    <w:multiLevelType w:val="hybridMultilevel"/>
    <w:lvl w:ilvl="0">
      <w:lvlJc w:val="left"/>
      <w:lvlText w:val="%1."/>
      <w:numFmt w:val="upperLetter"/>
      <w:start w:val="3"/>
    </w:lvl>
  </w:abstractNum>
  <w:abstractNum w:abstractNumId="90">
    <w:nsid w:val="45E6D486"/>
    <w:multiLevelType w:val="hybridMultilevel"/>
    <w:lvl w:ilvl="0">
      <w:lvlJc w:val="left"/>
      <w:lvlText w:val="%1."/>
      <w:numFmt w:val="upperLetter"/>
      <w:start w:val="1"/>
    </w:lvl>
  </w:abstractNum>
  <w:abstractNum w:abstractNumId="91">
    <w:nsid w:val="5C10FE21"/>
    <w:multiLevelType w:val="hybridMultilevel"/>
    <w:lvl w:ilvl="0">
      <w:lvlJc w:val="left"/>
      <w:lvlText w:val="%1."/>
      <w:numFmt w:val="upperLetter"/>
      <w:start w:val="2"/>
    </w:lvl>
  </w:abstractNum>
  <w:abstractNum w:abstractNumId="92">
    <w:nsid w:val="E7FFA2B"/>
    <w:multiLevelType w:val="hybridMultilevel"/>
    <w:lvl w:ilvl="0">
      <w:lvlJc w:val="left"/>
      <w:lvlText w:val="%1."/>
      <w:numFmt w:val="upperLetter"/>
      <w:start w:val="3"/>
    </w:lvl>
  </w:abstractNum>
  <w:abstractNum w:abstractNumId="93">
    <w:nsid w:val="3C5991AA"/>
    <w:multiLevelType w:val="hybridMultilevel"/>
    <w:lvl w:ilvl="0">
      <w:lvlJc w:val="left"/>
      <w:lvlText w:val="%1."/>
      <w:numFmt w:val="upperLetter"/>
      <w:start w:val="4"/>
    </w:lvl>
    <w:lvl w:ilvl="1">
      <w:lvlJc w:val="left"/>
      <w:lvlText w:val="●"/>
      <w:numFmt w:val="bullet"/>
      <w:start w:val="1"/>
    </w:lvl>
    <w:lvl w:ilvl="2">
      <w:lvlJc w:val="left"/>
      <w:lvlText w:val="%3."/>
      <w:numFmt w:val="decimal"/>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1."/>
      <w:numFmt w:val="upperLetter"/>
      <w:start w:val="5"/>
    </w:lvl>
  </w:abstractNum>
  <w:abstractNum w:abstractNumId="96">
    <w:nsid w:val="39B7AAA2"/>
    <w:multiLevelType w:val="hybridMultilevel"/>
    <w:lvl w:ilvl="0">
      <w:lvlJc w:val="left"/>
      <w:lvlText w:val="%1."/>
      <w:numFmt w:val="upperLetter"/>
      <w:start w:val="22"/>
    </w:lvl>
  </w:abstractNum>
  <w:abstractNum w:abstractNumId="97">
    <w:nsid w:val="2B0D8DBE"/>
    <w:multiLevelType w:val="hybridMultilevel"/>
    <w:lvl w:ilvl="0">
      <w:lvlJc w:val="left"/>
      <w:lvlText w:val="%1."/>
      <w:numFmt w:val="upperLetter"/>
      <w:start w:val="1"/>
    </w:lvl>
  </w:abstractNum>
  <w:abstractNum w:abstractNumId="98">
    <w:nsid w:val="6C80EC70"/>
    <w:multiLevelType w:val="hybridMultilevel"/>
    <w:lvl w:ilvl="0">
      <w:lvlJc w:val="left"/>
      <w:lvlText w:val="%1."/>
      <w:numFmt w:val="upperLetter"/>
      <w:start w:val="2"/>
    </w:lvl>
  </w:abstractNum>
  <w:abstractNum w:abstractNumId="99">
    <w:nsid w:val="379E21B5"/>
    <w:multiLevelType w:val="hybridMultilevel"/>
    <w:lvl w:ilvl="0">
      <w:lvlJc w:val="left"/>
      <w:lvlText w:val="%1."/>
      <w:numFmt w:val="upperLetter"/>
      <w:start w:val="3"/>
    </w:lvl>
  </w:abstractNum>
  <w:abstractNum w:abstractNumId="100">
    <w:nsid w:val="69E373"/>
    <w:multiLevelType w:val="hybridMultilevel"/>
    <w:lvl w:ilvl="0">
      <w:lvlJc w:val="left"/>
      <w:lvlText w:val="%1."/>
      <w:numFmt w:val="upperLetter"/>
      <w:start w:val="1"/>
    </w:lvl>
  </w:abstractNum>
  <w:abstractNum w:abstractNumId="101">
    <w:nsid w:val="2C27173B"/>
    <w:multiLevelType w:val="hybridMultilevel"/>
    <w:lvl w:ilvl="0">
      <w:lvlJc w:val="left"/>
      <w:lvlText w:val="3"/>
      <w:numFmt w:val="bullet"/>
      <w:start w:val="1"/>
    </w:lvl>
  </w:abstractNum>
  <w:abstractNum w:abstractNumId="102">
    <w:nsid w:val="4C9B0904"/>
    <w:multiLevelType w:val="hybridMultilevel"/>
    <w:lvl w:ilvl="0">
      <w:lvlJc w:val="left"/>
      <w:lvlText w:val="%1."/>
      <w:numFmt w:val="upperLetter"/>
      <w:start w:val="2"/>
    </w:lvl>
  </w:abstractNum>
  <w:abstractNum w:abstractNumId="103">
    <w:nsid w:val="6AA7B75C"/>
    <w:multiLevelType w:val="hybridMultilevel"/>
    <w:lvl w:ilvl="0">
      <w:lvlJc w:val="left"/>
      <w:lvlText w:val="%1."/>
      <w:numFmt w:val="upperLetter"/>
      <w:start w:val="3"/>
    </w:lvl>
  </w:abstractNum>
  <w:abstractNum w:abstractNumId="104">
    <w:nsid w:val="1DF029D3"/>
    <w:multiLevelType w:val="hybridMultilevel"/>
    <w:lvl w:ilvl="0">
      <w:lvlJc w:val="left"/>
      <w:lvlText w:val="%1."/>
      <w:numFmt w:val="upperLetter"/>
      <w:start w:val="4"/>
    </w:lvl>
  </w:abstractNum>
  <w:abstractNum w:abstractNumId="105">
    <w:nsid w:val="5675FF36"/>
    <w:multiLevelType w:val="hybridMultilevel"/>
    <w:lvl w:ilvl="0">
      <w:lvlJc w:val="left"/>
      <w:lvlText w:val="%1."/>
      <w:numFmt w:val="upperLetter"/>
      <w:start w:val="5"/>
    </w:lvl>
  </w:abstractNum>
  <w:abstractNum w:abstractNumId="106">
    <w:nsid w:val="3DD15094"/>
    <w:multiLevelType w:val="hybridMultilevel"/>
    <w:lvl w:ilvl="0">
      <w:lvlJc w:val="left"/>
      <w:lvlText w:val="%1."/>
      <w:numFmt w:val="upperLetter"/>
      <w:start w:val="6"/>
    </w:lvl>
  </w:abstractNum>
  <w:abstractNum w:abstractNumId="107">
    <w:nsid w:val="3DB012B3"/>
    <w:multiLevelType w:val="hybridMultilevel"/>
    <w:lvl w:ilvl="0">
      <w:lvlJc w:val="left"/>
      <w:lvlText w:val="%1."/>
      <w:numFmt w:val="upperLetter"/>
      <w:start w:val="7"/>
    </w:lvl>
  </w:abstractNum>
  <w:abstractNum w:abstractNumId="108">
    <w:nsid w:val="2708C9AF"/>
    <w:multiLevelType w:val="hybridMultilevel"/>
    <w:lvl w:ilvl="0">
      <w:lvlJc w:val="left"/>
      <w:lvlText w:val="%1."/>
      <w:numFmt w:val="upperLetter"/>
      <w:start w:val="8"/>
    </w:lvl>
  </w:abstractNum>
  <w:abstractNum w:abstractNumId="109">
    <w:nsid w:val="5B25ACE2"/>
    <w:multiLevelType w:val="hybridMultilevel"/>
    <w:lvl w:ilvl="0">
      <w:lvlJc w:val="left"/>
      <w:lvlText w:val="%1."/>
      <w:numFmt w:val="upperLetter"/>
      <w:start w:val="9"/>
    </w:lvl>
  </w:abstractNum>
  <w:abstractNum w:abstractNumId="110">
    <w:nsid w:val="175DFCF0"/>
    <w:multiLevelType w:val="hybridMultilevel"/>
    <w:lvl w:ilvl="0">
      <w:lvlJc w:val="left"/>
      <w:lvlText w:val="%1."/>
      <w:numFmt w:val="upperLetter"/>
      <w:start w:val="10"/>
    </w:lvl>
  </w:abstractNum>
  <w:abstractNum w:abstractNumId="111">
    <w:nsid w:val="4F97E3E4"/>
    <w:multiLevelType w:val="hybridMultilevel"/>
    <w:lvl w:ilvl="0">
      <w:lvlJc w:val="left"/>
      <w:lvlText w:val="%1."/>
      <w:numFmt w:val="upperLetter"/>
      <w:start w:val="11"/>
    </w:lvl>
  </w:abstractNum>
  <w:abstractNum w:abstractNumId="112">
    <w:nsid w:val="53B0A9E"/>
    <w:multiLevelType w:val="hybridMultilevel"/>
    <w:lvl w:ilvl="0">
      <w:lvlJc w:val="left"/>
      <w:lvlText w:val="%1."/>
      <w:numFmt w:val="upperLetter"/>
      <w:start w:val="12"/>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4"/>
      <w:numFmt w:val="bullet"/>
      <w:start w:val="1"/>
    </w:lvl>
  </w:abstractNum>
  <w:abstractNum w:abstractNumId="115">
    <w:nsid w:val="56438D15"/>
    <w:multiLevelType w:val="hybridMultilevel"/>
    <w:lvl w:ilvl="0">
      <w:lvlJc w:val="left"/>
      <w:lvlText w:val="5"/>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
      <w:numFmt w:val="bullet"/>
      <w:start w:val="1"/>
    </w:lvl>
    <w:lvl w:ilvl="1">
      <w:lvlJc w:val="left"/>
      <w:lvlText w:val="(%2)"/>
      <w:numFmt w:val="lowerLetter"/>
      <w:start w:val="1"/>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
      <w:numFmt w:val="bullet"/>
      <w:start w:val="1"/>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6"/>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1."/>
      <w:numFmt w:val="upperLetter"/>
      <w:start w:val="24"/>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lvl w:ilvl="1">
      <w:lvlJc w:val="left"/>
      <w:lvlText w:val="%2"/>
      <w:numFmt w:val="lowerLetter"/>
      <w:start w:val="1"/>
    </w:lvl>
  </w:abstractNum>
  <w:abstractNum w:abstractNumId="130">
    <w:nsid w:val="B37E80A"/>
    <w:multiLevelType w:val="hybridMultilevel"/>
    <w:lvl w:ilvl="0">
      <w:lvlJc w:val="left"/>
      <w:lvlText w:val="%1"/>
      <w:numFmt w:val="decimal"/>
      <w:start w:val="1"/>
    </w:lvl>
    <w:lvl w:ilvl="1">
      <w:lvlJc w:val="left"/>
      <w:lvlText w:val="%2."/>
      <w:numFmt w:val="lowerLetter"/>
      <w:start w:val="3"/>
    </w:lvl>
  </w:abstractNum>
  <w:abstractNum w:abstractNumId="131">
    <w:nsid w:val="2157F6BC"/>
    <w:multiLevelType w:val="hybridMultilevel"/>
    <w:lvl w:ilvl="0">
      <w:lvlJc w:val="left"/>
      <w:lvlText w:val="%1."/>
      <w:numFmt w:val="decimal"/>
      <w:start w:val="5"/>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3"/>
    </w:lvl>
  </w:abstractNum>
  <w:abstractNum w:abstractNumId="134">
    <w:nsid w:val="BFFAE1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303"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jpeg"/><Relationship Id="rId309" Type="http://schemas.openxmlformats.org/officeDocument/2006/relationships/image" Target="media/image255.jpe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248" Type="http://schemas.openxmlformats.org/officeDocument/2006/relationships/hyperlink" Target="https://www.sec.gov/Archives/edgar/data/0001783879/000162828021015177/exhibit31-8xkx8221.htm" TargetMode="External"/><Relationship Id="rId249" Type="http://schemas.openxmlformats.org/officeDocument/2006/relationships/hyperlink" Target="https://www.sec.gov/Archives/edgar/data/1783879/000119312522307480/d410448dex31.htm" TargetMode="External"/><Relationship Id="rId250" Type="http://schemas.openxmlformats.org/officeDocument/2006/relationships/hyperlink" Target="https://www.sec.gov/Archives/edgar/data/1783879/000162828021013986/exhibit41-sx1a1.htm" TargetMode="External"/><Relationship Id="rId251" Type="http://schemas.openxmlformats.org/officeDocument/2006/relationships/hyperlink" Target="https://www.sec.gov/Archives/edgar/data/1783879/000162828021013318/exhibit42-sx1.htm" TargetMode="External"/><Relationship Id="rId252" Type="http://schemas.openxmlformats.org/officeDocument/2006/relationships/hyperlink" Target="https://www.sec.gov/Archives/edgar/data/1783879/000178387922000044/exhibit43.htm" TargetMode="External"/><Relationship Id="rId253" Type="http://schemas.openxmlformats.org/officeDocument/2006/relationships/hyperlink" Target="https://www.sec.gov/Archives/edgar/data/1783879/000162828021013986/exhibit101-sx1a1.htm" TargetMode="External"/><Relationship Id="rId254" Type="http://schemas.openxmlformats.org/officeDocument/2006/relationships/hyperlink" Target="https://www.sec.gov/Archives/edgar/data/1783879/000178387922000104/exhibit101.htm" TargetMode="External"/><Relationship Id="rId255" Type="http://schemas.openxmlformats.org/officeDocument/2006/relationships/hyperlink" Target="https://www.sec.gov/Archives/edgar/data/1783879/000178387921000029/exhibit103-underwritingagr.htm" TargetMode="External"/><Relationship Id="rId256" Type="http://schemas.openxmlformats.org/officeDocument/2006/relationships/hyperlink" Target="https://www.sec.gov/Archives/edgar/data/1783879/000162828021013318/exhibit106-sx1.htm" TargetMode="External"/><Relationship Id="rId257" Type="http://schemas.openxmlformats.org/officeDocument/2006/relationships/hyperlink" Target="https://www.sec.gov/Archives/edgar/data/1783879/000162828021013318/exhibit107-sx1.htm" TargetMode="External"/><Relationship Id="rId258" Type="http://schemas.openxmlformats.org/officeDocument/2006/relationships/hyperlink" Target="https://www.sec.gov/Archives/edgar/data/1783879/000162828021013318/exhibit108-sx1.htm" TargetMode="External"/><Relationship Id="rId259" Type="http://schemas.openxmlformats.org/officeDocument/2006/relationships/hyperlink" Target="https://www.sec.gov/Archives/edgar/data/1783879/000162828021013318/exhibit109-sx1.htm" TargetMode="External"/><Relationship Id="rId260" Type="http://schemas.openxmlformats.org/officeDocument/2006/relationships/hyperlink" Target="https://www.sec.gov/Archives/edgar/data/1783879/000162828021013318/exhibit1010-sx1.htm" TargetMode="External"/><Relationship Id="rId261" Type="http://schemas.openxmlformats.org/officeDocument/2006/relationships/hyperlink" Target="https://www.sec.gov/Archives/edgar/data/1783879/000178387921000029/exhibit108-exchangeagreeme.htm" TargetMode="External"/><Relationship Id="rId262" Type="http://schemas.openxmlformats.org/officeDocument/2006/relationships/hyperlink" Target="https://www.sec.gov/Archives/edgar/data/1783879/000162828021013986/exhibit1013-sx1a1.htm" TargetMode="External"/><Relationship Id="rId265" Type="http://schemas.openxmlformats.org/officeDocument/2006/relationships/hyperlink" Target="https://www.sec.gov/Archives/edgar/data/1783879/000178387921000029/exhibit1010-votingagreement.htm" TargetMode="External"/><Relationship Id="rId266" Type="http://schemas.openxmlformats.org/officeDocument/2006/relationships/hyperlink" Target="https://www.sec.gov/Archives/edgar/data/1783879/000178387922000104/exhibit102.htm" TargetMode="External"/><Relationship Id="rId267" Type="http://schemas.openxmlformats.org/officeDocument/2006/relationships/hyperlink" Target="https://www.sec.gov/Archives/edgar/data/1783879/000162828021013318/exhibit102-sx1.htm" TargetMode="External"/><Relationship Id="rId268" Type="http://schemas.openxmlformats.org/officeDocument/2006/relationships/hyperlink" Target="https://www.sec.gov/Archives/edgar/data/1783879/000162828021013318/exhibit104-sx1.htm" TargetMode="External"/><Relationship Id="rId269" Type="http://schemas.openxmlformats.org/officeDocument/2006/relationships/hyperlink" Target="https://www.sec.gov/Archives/edgar/data/1783879/000162828021013318/exhibit105-sx1.htm" TargetMode="External"/><Relationship Id="rId270" Type="http://schemas.openxmlformats.org/officeDocument/2006/relationships/hyperlink" Target="https://www.sec.gov/Archives/edgar/data/1783879/000162828021013318/exhibit1017-sx1.htm" TargetMode="External"/><Relationship Id="rId271" Type="http://schemas.openxmlformats.org/officeDocument/2006/relationships/hyperlink" Target="https://www.sec.gov/Archives/edgar/data/1783879/000162828021013318/exhibit1018-sx1.htm" TargetMode="External"/><Relationship Id="rId272" Type="http://schemas.openxmlformats.org/officeDocument/2006/relationships/hyperlink" Target="https://www.sec.gov/Archives/edgar/data/1783879/000162828021013318/exhibit103-sx1.htm" TargetMode="External"/><Relationship Id="rId273" Type="http://schemas.openxmlformats.org/officeDocument/2006/relationships/hyperlink" Target="https://www.sec.gov/Archives/edgar/data/1783879/000162828021013318/exhibit1015-sx1.htm" TargetMode="External"/><Relationship Id="rId274" Type="http://schemas.openxmlformats.org/officeDocument/2006/relationships/hyperlink" Target="https://www.sec.gov/Archives/edgar/data/1783879/000162828021013318/exhibit1016-sx1.htm" TargetMode="External"/><Relationship Id="rId275" Type="http://schemas.openxmlformats.org/officeDocument/2006/relationships/hyperlink" Target="https://www.sec.gov/Archives/edgar/data/1783879/000162828021014826/exhibit991-sx8normal.htm" TargetMode="External"/><Relationship Id="rId276" Type="http://schemas.openxmlformats.org/officeDocument/2006/relationships/hyperlink" Target="https://www.sec.gov/Archives/edgar/data/1783879/000178387921000029/exhibit1016-formofrsuagree.htm" TargetMode="External"/><Relationship Id="rId277" Type="http://schemas.openxmlformats.org/officeDocument/2006/relationships/hyperlink" Target="https://www.sec.gov/Archives/edgar/data/1783879/000178387921000029/exhibit1017-formoffullyves.htm" TargetMode="External"/><Relationship Id="rId278" Type="http://schemas.openxmlformats.org/officeDocument/2006/relationships/hyperlink" Target="https://www.sec.gov/Archives/edgar/data/1783879/000178387922000044/exhibit1015d.htm" TargetMode="External"/><Relationship Id="rId279" Type="http://schemas.openxmlformats.org/officeDocument/2006/relationships/hyperlink" Target="https://www.sec.gov/Archives/edgar/data/1783879/000162828021014826/exhibit992-sx8normal.htm" TargetMode="External"/><Relationship Id="rId280" Type="http://schemas.openxmlformats.org/officeDocument/2006/relationships/hyperlink" Target="https://www.sec.gov/Archives/edgar/data/1783879/000178387921000029/exhibit1019-esppsubscripti.htm" TargetMode="External"/><Relationship Id="rId288" Type="http://schemas.openxmlformats.org/officeDocument/2006/relationships/hyperlink" Target="https://www.sec.gov/Archives/edgar/data/1783879/000178387922000104/exhibit103.htm" TargetMode="External"/><Relationship Id="rId289" Type="http://schemas.openxmlformats.org/officeDocument/2006/relationships/hyperlink" Target="https://www.sec.gov/Archives/edgar/data/1783879/000119312523071284/d485105dex101.htm" TargetMode="External"/><Relationship Id="rId290" Type="http://schemas.openxmlformats.org/officeDocument/2006/relationships/hyperlink" Target="https://www.sec.gov/Archives/edgar/data/1783879/000178387922000104/exhibit106.htm" TargetMode="External"/><Relationship Id="rId291" Type="http://schemas.openxmlformats.org/officeDocument/2006/relationships/hyperlink" Target="https://www.sec.gov/Archives/edgar/data/1783879/000119312522105708/d341718dex101.htm" TargetMode="External"/><Relationship Id="rId292" Type="http://schemas.openxmlformats.org/officeDocument/2006/relationships/hyperlink" Target="https://www.sec.gov/Archives/edgar/data/1783879/000162828023002760/exhibit101for8-k.htm" TargetMode="External"/><Relationship Id="rId293" Type="http://schemas.openxmlformats.org/officeDocument/2006/relationships/hyperlink" Target="https://www.sec.gov/Archives/edgar/data/1783879/000119312523079257/d465939dex101.htm" TargetMode="External"/><Relationship Id="rId294" Type="http://schemas.openxmlformats.org/officeDocument/2006/relationships/hyperlink" Target="https://www.sec.gov/Archives/edgar/data/1783879/000178387923000201/exhibit101.htm" TargetMode="External"/><Relationship Id="rId295" Type="http://schemas.openxmlformats.org/officeDocument/2006/relationships/hyperlink" Target="https://www.sec.gov/Archives/edgar/data/1783879/000178387924000087/rhs-thirdarcreditagreeme.htm" TargetMode="External"/><Relationship Id="rId296" Type="http://schemas.openxmlformats.org/officeDocument/2006/relationships/hyperlink" Target="https://www.sec.gov/Archives/edgar/data/1783879/000178387925000049/exhibit1022.htm" TargetMode="External"/><Relationship Id="rId297" Type="http://schemas.openxmlformats.org/officeDocument/2006/relationships/hyperlink" Target="https://www.sec.gov/Archives/edgar/data/1783879/000178387925000049/exhibit1023a.htm" TargetMode="External"/><Relationship Id="rId298" Type="http://schemas.openxmlformats.org/officeDocument/2006/relationships/hyperlink" Target="https://www.sec.gov/Archives/edgar/data/1783879/000178387925000049/exhibit1023b.htm" TargetMode="External"/><Relationship Id="rId299" Type="http://schemas.openxmlformats.org/officeDocument/2006/relationships/hyperlink" Target="https://www.sec.gov/Archives/edgar/data/1783879/000178387925000049/exhibit1023c.htm" TargetMode="External"/><Relationship Id="rId300" Type="http://schemas.openxmlformats.org/officeDocument/2006/relationships/hyperlink" Target="https://www.sec.gov/Archives/edgar/data/1783879/000178387925000049/exhibit1024.htm" TargetMode="External"/><Relationship Id="rId301" Type="http://schemas.openxmlformats.org/officeDocument/2006/relationships/hyperlink" Target="https://www.sec.gov/Archives/edgar/data/1783879/000178387925000251/exhibit101.htm" TargetMode="External"/><Relationship Id="rId302" Type="http://schemas.openxmlformats.org/officeDocument/2006/relationships/hyperlink" Target="https://www.sec.gov/ix?doc=/Archives/edgar/data/0001783879/000178387925000097/hood-20250321.htm" TargetMode="External"/><Relationship Id="rId304" Type="http://schemas.openxmlformats.org/officeDocument/2006/relationships/hyperlink" Target="https://www.sec.gov/Archives/edgar/data/1783879/000178387924000054/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2026-02-18T15:21:00Z</dcterms:created>
  <dcterms:modified xsi:type="dcterms:W3CDTF">2026-02-18T15:21:00Z</dcterms:modified>
</cp:coreProperties>
</file>