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7364-1_4seq1.xml.htm"/>
      <w:bookmarkStart w:id="1" w:name="kstm2617364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Malka Meyer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RIBBIT CAPITAL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364 UNIVERSITY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05"/>
        <w:gridCol w:w="339"/>
        <w:gridCol w:w="1002"/>
        <w:gridCol w:w="423"/>
        <w:gridCol w:w="983"/>
        <w:gridCol w:w="1246"/>
        <w:gridCol w:w="96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80.7368</w:t>
            </w:r>
            <w:r>
              <w:rPr>
                <w:rFonts w:ascii="Times;serif" w:hAnsi="Times;serif"/>
                <w:color w:val="008000"/>
                <w:position w:val="7"/>
                <w:sz w:val="16"/>
                <w:sz w:val="20"/>
                <w:shd w:fill="FFFFFF" w:val="clear"/>
              </w:rPr>
              <w:t>(1)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3,924,427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Fund</w:t>
            </w:r>
            <w:r>
              <w:rPr>
                <w:rFonts w:ascii="Times;serif" w:hAnsi="Times;serif"/>
                <w:color w:val="008000"/>
                <w:position w:val="7"/>
                <w:sz w:val="16"/>
                <w:sz w:val="20"/>
                <w:shd w:fill="FFFFFF" w:val="clear"/>
              </w:rPr>
              <w:t>(2)</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r>
              <w:rPr/>
              <w:t xml:space="preserve"> </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3,976,234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Trusts</w:t>
            </w:r>
            <w:r>
              <w:rPr>
                <w:rFonts w:ascii="Times;serif" w:hAnsi="Times;serif"/>
                <w:color w:val="008000"/>
                <w:position w:val="7"/>
                <w:sz w:val="16"/>
                <w:sz w:val="20"/>
                <w:shd w:fill="FFFFFF" w:val="clear"/>
              </w:rPr>
              <w:t>(4)</w:t>
            </w:r>
            <w:r>
              <w:rPr/>
              <w:t xml:space="preserve"> </w:t>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102,183</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LLC</w:t>
            </w:r>
            <w:r>
              <w:rPr>
                <w:rFonts w:ascii="Times;serif" w:hAnsi="Times;serif"/>
                <w:color w:val="008000"/>
                <w:position w:val="7"/>
                <w:sz w:val="16"/>
                <w:sz w:val="20"/>
                <w:shd w:fill="FFFFFF" w:val="clear"/>
              </w:rPr>
              <w:t>(5)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$80.07 to $81.00, inclusive. The Reporting Person undertakes to provide to the Issuer, any security holder of the Issuer, or the staff of the Securities and Exchange Commission, upon request, full information regarding the number of shares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Bullfrog Capital, L.P. ("Bullfrog"), for itself and as nominee for Bullfrog Founder Fund, L.P. ("Bullfrog FF"). Bullfrog Capital GP, L.P. ("BF GP") is the general partner of Bullfrog and Bullfrog FF, and Bullfrog Capital GP, Ltd. ("BF UGP") is the general partner of BF GP. The Reporting Person is a director of BF UGP and disclaims beneficial ownership of such shares for purposes of Section 16 of the Securities Exchange Act of 1934 ("Section 16") except to the extent of his pecuniary interest therein, if any,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founder and managing partner of the Ribbit family of funds, and is contractually obligated to transfer and/or remit the proceeds of any sale of shares issued pursuant to stock awards or upon vesting and settlement of restricted stock units to certain entities affiliated with such funds. The Reporting Person disclaims beneficial ownership of such shares for purposes of Section 16 except to the extent of his pecuniary interest therein, if any,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(i) 325,411 shares held by each of the Aphrodite EM Trust, the Aphrodite MM Trust and the Aphrodite SM Trust (collectively, the "Aphrodite Trusts"), (ii) 2,000,000 shares held by the Malka Kleiner Revocable Trust dated July 16, 2012 (the "Malka Trust"), (iii) one share held by the Tibbir Trust and (iv) 1,000,000 shares held by Lassen Residential LLC, an entity controlled by the Malka Trust. The Reporting Person serves as trustee of the Malka Trust, and the Reporting Person's immediate family member serves as trustee of the Tibbir Trust and each of the Aphrodite Trusts. The Reporting Person disclaims beneficial ownership of such shares for purposes of Section 16 except to the extent of his pecuniary interest therein, if any,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held by Tibbir Holdings LLC, of which the Reporting Person serves as investment manager. The Reporting Person disclaims beneficial ownership of such shares for purposes of Section 16 except to the extent of his pecuniary interest therein, if any, and this report shall not be deemed an admission that such shares are beneficially owned by him for Section 16 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Meyer Malka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1355"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1078</Words>
  <Characters>5628</Characters>
  <CharactersWithSpaces>6634</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