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Helvetica;sans-serif" w:hAnsi="Helvetica;sans-serif"/>
          <w:b/>
          <w:color w:val="000000"/>
          <w:sz w:val="28"/>
        </w:rPr>
      </w:pPr>
      <w:r>
        <w:rPr>
          <w:rFonts w:ascii="Helvetica;sans-serif" w:hAnsi="Helvetica;sans-serif"/>
          <w:b/>
          <w:color w:val="000000"/>
          <w:sz w:val="28"/>
        </w:rPr>
        <w:t>UNITED STATES</w:t>
      </w:r>
    </w:p>
    <w:p>
      <w:pPr>
        <w:pStyle w:val="TextBody"/>
        <w:bidi w:val="0"/>
        <w:spacing w:lineRule="auto" w:line="288" w:before="0" w:after="0"/>
        <w:jc w:val="center"/>
        <w:rPr>
          <w:rFonts w:ascii="Helvetica;sans-serif" w:hAnsi="Helvetica;sans-serif"/>
          <w:b/>
          <w:color w:val="000000"/>
          <w:sz w:val="28"/>
        </w:rPr>
      </w:pPr>
      <w:r>
        <w:rPr>
          <w:rFonts w:ascii="Helvetica;sans-serif" w:hAnsi="Helvetica;sans-serif"/>
          <w:b/>
          <w:color w:val="000000"/>
          <w:sz w:val="28"/>
        </w:rPr>
        <w:t>SECURITIES AND EXCHANGE COMMISSION</w:t>
      </w:r>
    </w:p>
    <w:p>
      <w:pPr>
        <w:pStyle w:val="TextBody"/>
        <w:bidi w:val="0"/>
        <w:spacing w:lineRule="auto" w:line="288" w:before="0" w:after="0"/>
        <w:jc w:val="center"/>
        <w:rPr/>
      </w:pPr>
      <w:r>
        <w:rPr>
          <w:rFonts w:ascii="Helvetica;sans-serif" w:hAnsi="Helvetica;sans-serif"/>
          <w:b/>
          <w:color w:val="000000"/>
          <w:sz w:val="24"/>
        </w:rPr>
        <w:t>Washington, D.C. 20549</w:t>
      </w:r>
      <w:r>
        <w:rPr>
          <w:color w:val="000000"/>
        </w:rPr>
        <w:t> </w:t>
      </w:r>
    </w:p>
    <w:p>
      <w:pPr>
        <w:pStyle w:val="TextBody"/>
        <w:bidi w:val="0"/>
        <w:spacing w:before="0" w:after="0"/>
        <w:jc w:val="left"/>
        <w:rPr/>
      </w:pPr>
      <w:r>
        <w:rPr/>
      </w:r>
    </w:p>
    <w:p>
      <w:pPr>
        <w:pStyle w:val="TextBody"/>
        <w:bidi w:val="0"/>
        <w:spacing w:lineRule="auto" w:line="288" w:before="0" w:after="0"/>
        <w:jc w:val="center"/>
        <w:rPr/>
      </w:pPr>
      <w:r>
        <w:rPr>
          <w:rFonts w:ascii="Helvetica;sans-serif" w:hAnsi="Helvetica;sans-serif"/>
          <w:b/>
          <w:color w:val="000000"/>
          <w:sz w:val="40"/>
        </w:rPr>
        <w:t>FORM</w:t>
      </w:r>
      <w:r>
        <w:rPr>
          <w:color w:val="000000"/>
        </w:rPr>
        <w:t xml:space="preserve"> </w:t>
      </w:r>
      <w:r>
        <w:rPr>
          <w:rFonts w:ascii="Helvetica;sans-serif" w:hAnsi="Helvetica;sans-serif"/>
          <w:b/>
          <w:color w:val="000000"/>
          <w:sz w:val="40"/>
        </w:rPr>
        <w:t>8-K</w:t>
      </w:r>
    </w:p>
    <w:p>
      <w:pPr>
        <w:pStyle w:val="TextBody"/>
        <w:bidi w:val="0"/>
        <w:spacing w:before="0" w:after="0"/>
        <w:jc w:val="center"/>
        <w:rPr/>
      </w:pPr>
      <w:r>
        <w:rPr/>
      </w:r>
    </w:p>
    <w:p>
      <w:pPr>
        <w:pStyle w:val="TextBody"/>
        <w:bidi w:val="0"/>
        <w:spacing w:lineRule="auto" w:line="288" w:before="0" w:after="0"/>
        <w:jc w:val="center"/>
        <w:rPr>
          <w:rFonts w:ascii="Helvetica;sans-serif" w:hAnsi="Helvetica;sans-serif"/>
          <w:b/>
          <w:color w:val="000000"/>
          <w:sz w:val="24"/>
        </w:rPr>
      </w:pPr>
      <w:r>
        <w:rPr>
          <w:rFonts w:ascii="Helvetica;sans-serif" w:hAnsi="Helvetica;sans-serif"/>
          <w:b/>
          <w:color w:val="000000"/>
          <w:sz w:val="24"/>
        </w:rPr>
        <w:t>CURRENT REPORT</w:t>
      </w:r>
    </w:p>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Pursuant to Section 13 or 15(d) of the</w:t>
      </w:r>
    </w:p>
    <w:p>
      <w:pPr>
        <w:pStyle w:val="TextBody"/>
        <w:bidi w:val="0"/>
        <w:spacing w:lineRule="auto" w:line="288" w:before="0" w:after="120"/>
        <w:jc w:val="center"/>
        <w:rPr>
          <w:rFonts w:ascii="Helvetica;sans-serif" w:hAnsi="Helvetica;sans-serif"/>
          <w:b w:val="false"/>
          <w:color w:val="000000"/>
          <w:sz w:val="20"/>
        </w:rPr>
      </w:pPr>
      <w:r>
        <w:rPr>
          <w:rFonts w:ascii="Helvetica;sans-serif" w:hAnsi="Helvetica;sans-serif"/>
          <w:b w:val="false"/>
          <w:color w:val="000000"/>
          <w:sz w:val="20"/>
        </w:rPr>
        <w:t>Securities Exchange Act of 1934</w:t>
      </w:r>
    </w:p>
    <w:p>
      <w:pPr>
        <w:pStyle w:val="TextBody"/>
        <w:bidi w:val="0"/>
        <w:spacing w:lineRule="auto" w:line="288" w:before="0" w:after="0"/>
        <w:jc w:val="center"/>
        <w:rPr>
          <w:rFonts w:ascii="Helvetica;sans-serif" w:hAnsi="Helvetica;sans-serif"/>
          <w:b/>
          <w:color w:val="000000"/>
          <w:sz w:val="24"/>
        </w:rPr>
      </w:pPr>
      <w:r>
        <w:rPr>
          <w:rFonts w:ascii="Helvetica;sans-serif" w:hAnsi="Helvetica;sans-serif"/>
          <w:b/>
          <w:color w:val="000000"/>
          <w:sz w:val="24"/>
        </w:rPr>
        <w:t>Date of Report (Date of earliest event reported): June 16, 2026</w:t>
      </w:r>
    </w:p>
    <w:p>
      <w:pPr>
        <w:pStyle w:val="TextBody"/>
        <w:bidi w:val="0"/>
        <w:spacing w:before="0" w:after="0"/>
        <w:jc w:val="center"/>
        <w:rPr/>
      </w:pPr>
      <w:r>
        <w:rPr/>
      </w:r>
    </w:p>
    <w:p>
      <w:pPr>
        <w:pStyle w:val="TextBody"/>
        <w:bidi w:val="0"/>
        <w:spacing w:lineRule="auto" w:line="288" w:before="0" w:after="0"/>
        <w:jc w:val="center"/>
        <w:rPr>
          <w:rFonts w:ascii="Helvetica;sans-serif" w:hAnsi="Helvetica;sans-serif"/>
          <w:b/>
          <w:color w:val="000000"/>
          <w:sz w:val="40"/>
        </w:rPr>
      </w:pPr>
      <w:r>
        <w:rPr>
          <w:rFonts w:ascii="Helvetica;sans-serif" w:hAnsi="Helvetica;sans-serif"/>
          <w:b/>
          <w:color w:val="000000"/>
          <w:sz w:val="40"/>
        </w:rPr>
        <w:t>Robinhood Markets, Inc.</w:t>
      </w:r>
    </w:p>
    <w:p>
      <w:pPr>
        <w:pStyle w:val="TextBody"/>
        <w:bidi w:val="0"/>
        <w:spacing w:lineRule="auto" w:line="288" w:before="0" w:after="100"/>
        <w:jc w:val="center"/>
        <w:rPr>
          <w:rFonts w:ascii="Helvetica;sans-serif" w:hAnsi="Helvetica;sans-serif"/>
          <w:b w:val="false"/>
          <w:color w:val="000000"/>
          <w:sz w:val="20"/>
        </w:rPr>
      </w:pPr>
      <w:r>
        <w:rPr>
          <w:rFonts w:ascii="Helvetica;sans-serif" w:hAnsi="Helvetica;sans-serif"/>
          <w:b w:val="false"/>
          <w:color w:val="000000"/>
          <w:sz w:val="20"/>
        </w:rPr>
        <w:t>(Exact name of registrant as specified in its charter)</w:t>
      </w:r>
    </w:p>
    <w:tbl>
      <w:tblPr>
        <w:tblW w:w="5619" w:type="dxa"/>
        <w:jc w:val="left"/>
        <w:tblInd w:w="0" w:type="dxa"/>
        <w:tblLayout w:type="fixed"/>
        <w:tblCellMar>
          <w:top w:w="28" w:type="dxa"/>
          <w:left w:w="28" w:type="dxa"/>
          <w:bottom w:w="28" w:type="dxa"/>
          <w:right w:w="28" w:type="dxa"/>
        </w:tblCellMar>
      </w:tblPr>
      <w:tblGrid>
        <w:gridCol w:w="797"/>
        <w:gridCol w:w="701"/>
        <w:gridCol w:w="707"/>
        <w:gridCol w:w="109"/>
        <w:gridCol w:w="109"/>
        <w:gridCol w:w="109"/>
        <w:gridCol w:w="394"/>
        <w:gridCol w:w="394"/>
        <w:gridCol w:w="398"/>
        <w:gridCol w:w="109"/>
        <w:gridCol w:w="109"/>
        <w:gridCol w:w="109"/>
        <w:gridCol w:w="459"/>
        <w:gridCol w:w="459"/>
        <w:gridCol w:w="656"/>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561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20"/>
              </w:rPr>
            </w:pPr>
            <w:r>
              <w:rPr>
                <w:rFonts w:ascii="Helvetica;sans-serif" w:hAnsi="Helvetica;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20"/>
              </w:rPr>
            </w:pPr>
            <w:r>
              <w:rPr>
                <w:rFonts w:ascii="Helvetica;sans-serif" w:hAnsi="Helvetica;sans-serif"/>
                <w:b/>
                <w:color w:val="000000"/>
                <w:sz w:val="20"/>
              </w:rPr>
              <w:t>001-40691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20"/>
              </w:rPr>
            </w:pPr>
            <w:r>
              <w:rPr>
                <w:rFonts w:ascii="Helvetica;sans-serif" w:hAnsi="Helvetica;sans-serif"/>
                <w:b/>
                <w:color w:val="000000"/>
                <w:sz w:val="20"/>
              </w:rPr>
              <w:t>46-4364776</w:t>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Helvetica;sans-serif" w:hAnsi="Helvetica;sans-serif"/>
                <w:b w:val="false"/>
                <w:color w:val="000000"/>
                <w:sz w:val="18"/>
              </w:rPr>
            </w:pPr>
            <w:r>
              <w:rPr>
                <w:rFonts w:ascii="Helvetica;sans-serif" w:hAnsi="Helvetica;sans-serif"/>
                <w:b w:val="false"/>
                <w:color w:val="000000"/>
                <w:sz w:val="18"/>
              </w:rPr>
              <w:t>(State or other jurisdiction</w:t>
            </w:r>
          </w:p>
          <w:p>
            <w:pPr>
              <w:pStyle w:val="TableContents"/>
              <w:bidi w:val="0"/>
              <w:spacing w:lineRule="auto" w:line="288" w:before="0" w:after="30"/>
              <w:jc w:val="center"/>
              <w:rPr>
                <w:rFonts w:ascii="Helvetica;sans-serif" w:hAnsi="Helvetica;sans-serif"/>
                <w:b w:val="false"/>
                <w:color w:val="000000"/>
                <w:sz w:val="18"/>
              </w:rPr>
            </w:pPr>
            <w:r>
              <w:rPr>
                <w:rFonts w:ascii="Helvetica;sans-serif" w:hAnsi="Helvetica;sans-serif"/>
                <w:b w:val="false"/>
                <w:color w:val="000000"/>
                <w:sz w:val="18"/>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Helvetica;sans-serif" w:hAnsi="Helvetica;sans-serif"/>
                <w:b w:val="false"/>
                <w:color w:val="000000"/>
                <w:sz w:val="18"/>
              </w:rPr>
            </w:pPr>
            <w:r>
              <w:rPr>
                <w:rFonts w:ascii="Helvetica;sans-serif" w:hAnsi="Helvetica;sans-serif"/>
                <w:b w:val="false"/>
                <w:color w:val="000000"/>
                <w:sz w:val="18"/>
              </w:rPr>
              <w:t>(Commission</w:t>
            </w:r>
          </w:p>
          <w:p>
            <w:pPr>
              <w:pStyle w:val="TableContents"/>
              <w:bidi w:val="0"/>
              <w:spacing w:lineRule="auto" w:line="288" w:before="0" w:after="30"/>
              <w:jc w:val="center"/>
              <w:rPr>
                <w:rFonts w:ascii="Helvetica;sans-serif" w:hAnsi="Helvetica;sans-serif"/>
                <w:b w:val="false"/>
                <w:color w:val="000000"/>
                <w:sz w:val="18"/>
              </w:rPr>
            </w:pPr>
            <w:r>
              <w:rPr>
                <w:rFonts w:ascii="Helvetica;sans-serif" w:hAnsi="Helvetica;sans-serif"/>
                <w:b w:val="false"/>
                <w:color w:val="000000"/>
                <w:sz w:val="18"/>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Helvetica;sans-serif" w:hAnsi="Helvetica;sans-serif"/>
                <w:b w:val="false"/>
                <w:color w:val="000000"/>
                <w:sz w:val="18"/>
              </w:rPr>
            </w:pPr>
            <w:r>
              <w:rPr>
                <w:rFonts w:ascii="Helvetica;sans-serif" w:hAnsi="Helvetica;sans-serif"/>
                <w:b w:val="false"/>
                <w:color w:val="000000"/>
                <w:sz w:val="18"/>
              </w:rPr>
              <w:t>(IRS Employer</w:t>
            </w:r>
          </w:p>
          <w:p>
            <w:pPr>
              <w:pStyle w:val="TableContents"/>
              <w:bidi w:val="0"/>
              <w:spacing w:lineRule="auto" w:line="288" w:before="0" w:after="30"/>
              <w:jc w:val="center"/>
              <w:rPr>
                <w:rFonts w:ascii="Helvetica;sans-serif" w:hAnsi="Helvetica;sans-serif"/>
                <w:b w:val="false"/>
                <w:color w:val="000000"/>
                <w:sz w:val="18"/>
              </w:rPr>
            </w:pPr>
            <w:r>
              <w:rPr>
                <w:rFonts w:ascii="Helvetica;sans-serif" w:hAnsi="Helvetica;sans-serif"/>
                <w:b w:val="false"/>
                <w:color w:val="000000"/>
                <w:sz w:val="18"/>
              </w:rPr>
              <w:t>Identification No.)</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0" w:after="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85 Willow Road</w:t>
      </w:r>
    </w:p>
    <w:p>
      <w:pPr>
        <w:pStyle w:val="TextBody"/>
        <w:bidi w:val="0"/>
        <w:spacing w:lineRule="auto" w:line="288" w:before="0" w:after="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Menlo Park, CA 94025</w:t>
      </w:r>
    </w:p>
    <w:p>
      <w:pPr>
        <w:pStyle w:val="TextBody"/>
        <w:bidi w:val="0"/>
        <w:spacing w:lineRule="auto" w:line="288" w:before="0" w:after="0"/>
        <w:jc w:val="center"/>
        <w:rPr>
          <w:rFonts w:ascii="Helvetica;sans-serif" w:hAnsi="Helvetica;sans-serif"/>
          <w:b w:val="false"/>
          <w:color w:val="000000"/>
          <w:sz w:val="18"/>
        </w:rPr>
      </w:pPr>
      <w:r>
        <w:rPr>
          <w:rFonts w:ascii="Helvetica;sans-serif" w:hAnsi="Helvetica;sans-serif"/>
          <w:b w:val="false"/>
          <w:color w:val="000000"/>
          <w:sz w:val="18"/>
        </w:rPr>
        <w:t>(Address of principal executive offices) (Zip Code)</w:t>
      </w:r>
    </w:p>
    <w:p>
      <w:pPr>
        <w:pStyle w:val="TextBody"/>
        <w:bidi w:val="0"/>
        <w:spacing w:before="0" w:after="0"/>
        <w:jc w:val="left"/>
        <w:rPr/>
      </w:pPr>
      <w:r>
        <w:rPr/>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(844) 428-5411</w:t>
      </w:r>
    </w:p>
    <w:p>
      <w:pPr>
        <w:pStyle w:val="TextBody"/>
        <w:bidi w:val="0"/>
        <w:spacing w:lineRule="auto" w:line="288" w:before="0" w:after="0"/>
        <w:jc w:val="center"/>
        <w:rPr>
          <w:rFonts w:ascii="Helvetica;sans-serif" w:hAnsi="Helvetica;sans-serif"/>
          <w:b w:val="false"/>
          <w:color w:val="000000"/>
          <w:sz w:val="18"/>
        </w:rPr>
      </w:pPr>
      <w:r>
        <w:rPr>
          <w:rFonts w:ascii="Helvetica;sans-serif" w:hAnsi="Helvetica;sans-serif"/>
          <w:b w:val="false"/>
          <w:color w:val="000000"/>
          <w:sz w:val="18"/>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 Applicable</w:t>
      </w:r>
    </w:p>
    <w:p>
      <w:pPr>
        <w:pStyle w:val="TextBody"/>
        <w:bidi w:val="0"/>
        <w:spacing w:lineRule="auto" w:line="288" w:before="0" w:after="120"/>
        <w:jc w:val="center"/>
        <w:rPr>
          <w:rFonts w:ascii="Helvetica;sans-serif" w:hAnsi="Helvetica;sans-serif"/>
          <w:b w:val="false"/>
          <w:color w:val="000000"/>
          <w:sz w:val="18"/>
        </w:rPr>
      </w:pPr>
      <w:r>
        <w:rPr>
          <w:rFonts w:ascii="Helvetica;sans-serif" w:hAnsi="Helvetica;sans-serif"/>
          <w:b w:val="false"/>
          <w:color w:val="000000"/>
          <w:sz w:val="18"/>
        </w:rPr>
        <w:t>(Former name or former address, if changed since last report)</w:t>
      </w:r>
    </w:p>
    <w:p>
      <w:pPr>
        <w:pStyle w:val="TextBody"/>
        <w:bidi w:val="0"/>
        <w:spacing w:before="0" w:after="0"/>
        <w:jc w:val="center"/>
        <w:rPr/>
      </w:pPr>
      <w:r>
        <w:rPr/>
      </w:r>
    </w:p>
    <w:p>
      <w:pPr>
        <w:pStyle w:val="TextBody"/>
        <w:bidi w:val="0"/>
        <w:spacing w:lineRule="auto" w:line="333" w:before="0" w:after="100"/>
        <w:jc w:val="left"/>
        <w:rPr>
          <w:rFonts w:ascii="Helvetica;sans-serif" w:hAnsi="Helvetica;sans-serif"/>
          <w:b w:val="false"/>
          <w:color w:val="000000"/>
          <w:sz w:val="20"/>
        </w:rPr>
      </w:pPr>
      <w:r>
        <w:rPr>
          <w:rFonts w:ascii="Helvetica;sans-serif" w:hAnsi="Helvetica;sans-serif"/>
          <w:b w:val="false"/>
          <w:color w:val="000000"/>
          <w:sz w:val="20"/>
        </w:rPr>
        <w:t>Check the appropriate box below if the Form 8-K filing is intended to simultaneously satisfy the filing obligation of the registrant under any of the following provisions:</w:t>
      </w:r>
    </w:p>
    <w:tbl>
      <w:tblPr>
        <w:tblW w:w="989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Pre-commencement communications pursuant to Rule 13e-4(c) under the Exchange Act (17 CFR 240.13e-4(c))</w:t>
            </w:r>
          </w:p>
        </w:tc>
      </w:tr>
    </w:tbl>
    <w:tbl>
      <w:tblPr>
        <w:tblW w:w="9242" w:type="dxa"/>
        <w:jc w:val="left"/>
        <w:tblInd w:w="0" w:type="dxa"/>
        <w:tblLayout w:type="fixed"/>
        <w:tblCellMar>
          <w:top w:w="28" w:type="dxa"/>
          <w:left w:w="28" w:type="dxa"/>
          <w:bottom w:w="28" w:type="dxa"/>
          <w:right w:w="28" w:type="dxa"/>
        </w:tblCellMar>
      </w:tblPr>
      <w:tblGrid>
        <w:gridCol w:w="1529"/>
        <w:gridCol w:w="1343"/>
        <w:gridCol w:w="1343"/>
        <w:gridCol w:w="541"/>
        <w:gridCol w:w="541"/>
        <w:gridCol w:w="541"/>
        <w:gridCol w:w="997"/>
        <w:gridCol w:w="997"/>
        <w:gridCol w:w="1410"/>
      </w:tblGrid>
      <w:tr>
        <w:trPr/>
        <w:tc>
          <w:tcPr>
            <w:tcW w:w="152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r>
      <w:tr>
        <w:trPr/>
        <w:tc>
          <w:tcPr>
            <w:tcW w:w="92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Securities registered pursuant to Section 12(b) of the Act:</w:t>
            </w:r>
          </w:p>
        </w:tc>
      </w:tr>
      <w:tr>
        <w:trPr/>
        <w:tc>
          <w:tcPr>
            <w:tcW w:w="42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Title of each class</w:t>
            </w:r>
          </w:p>
        </w:tc>
        <w:tc>
          <w:tcPr>
            <w:tcW w:w="16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Trading Symbol(s)</w:t>
            </w:r>
          </w:p>
        </w:tc>
        <w:tc>
          <w:tcPr>
            <w:tcW w:w="34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Name of each exchange on which registered</w:t>
            </w:r>
          </w:p>
        </w:tc>
      </w:tr>
      <w:tr>
        <w:trPr/>
        <w:tc>
          <w:tcPr>
            <w:tcW w:w="42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Class A Common Stock, $0.0001 par value per share</w:t>
            </w:r>
          </w:p>
        </w:tc>
        <w:tc>
          <w:tcPr>
            <w:tcW w:w="162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HOOD</w:t>
            </w:r>
          </w:p>
        </w:tc>
        <w:tc>
          <w:tcPr>
            <w:tcW w:w="340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The Nasdaq Stock Market LLC</w:t>
            </w:r>
          </w:p>
        </w:tc>
      </w:tr>
    </w:tbl>
    <w:tbl>
      <w:tblPr>
        <w:tblW w:w="10205" w:type="dxa"/>
        <w:jc w:val="left"/>
        <w:tblInd w:w="0" w:type="dxa"/>
        <w:tblLayout w:type="fixed"/>
        <w:tblCellMar>
          <w:top w:w="28" w:type="dxa"/>
          <w:left w:w="28" w:type="dxa"/>
          <w:bottom w:w="28" w:type="dxa"/>
          <w:right w:w="28" w:type="dxa"/>
        </w:tblCellMar>
      </w:tblPr>
      <w:tblGrid>
        <w:gridCol w:w="3445"/>
        <w:gridCol w:w="3025"/>
        <w:gridCol w:w="3035"/>
        <w:gridCol w:w="109"/>
        <w:gridCol w:w="109"/>
        <w:gridCol w:w="109"/>
        <w:gridCol w:w="109"/>
        <w:gridCol w:w="109"/>
        <w:gridCol w:w="155"/>
      </w:tblGrid>
      <w:tr>
        <w:trPr/>
        <w:tc>
          <w:tcPr>
            <w:tcW w:w="3445" w:type="dxa"/>
            <w:tcBorders/>
            <w:vAlign w:val="center"/>
          </w:tcPr>
          <w:p>
            <w:pPr>
              <w:pStyle w:val="TableContents"/>
              <w:bidi w:val="0"/>
              <w:spacing w:before="0" w:after="283"/>
              <w:jc w:val="left"/>
              <w:rPr>
                <w:sz w:val="4"/>
                <w:szCs w:val="4"/>
              </w:rPr>
            </w:pPr>
            <w:r>
              <w:rPr>
                <w:sz w:val="4"/>
                <w:szCs w:val="4"/>
              </w:rPr>
            </w:r>
          </w:p>
        </w:tc>
        <w:tc>
          <w:tcPr>
            <w:tcW w:w="3025"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8"/>
              </w:rPr>
            </w:pPr>
            <w:r>
              <w:rPr>
                <w:rFonts w:ascii="Helvetica;sans-serif" w:hAnsi="Helvetica;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95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95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95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950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8"/>
              </w:rPr>
            </w:pPr>
            <w:r>
              <w:rPr>
                <w:rFonts w:ascii="Helvetica;sans-serif" w:hAnsi="Helvetica;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Helvetica;sans-serif" w:hAnsi="Helvetica;sans-serif"/>
          <w:b/>
          <w:color w:val="000000"/>
          <w:sz w:val="20"/>
        </w:rPr>
      </w:pPr>
      <w:r>
        <w:rPr>
          <w:rFonts w:ascii="Helvetica;sans-serif" w:hAnsi="Helvetica;sans-serif"/>
          <w:b/>
          <w:color w:val="000000"/>
          <w:sz w:val="20"/>
        </w:rPr>
        <w:t>Item 2.05 - Costs Associated with Exit or Disposal Activities.</w:t>
      </w:r>
    </w:p>
    <w:p>
      <w:pPr>
        <w:pStyle w:val="TextBody"/>
        <w:bidi w:val="0"/>
        <w:spacing w:before="0" w:after="0"/>
        <w:jc w:val="left"/>
        <w:rPr/>
      </w:pPr>
      <w:r>
        <w:rPr/>
      </w:r>
    </w:p>
    <w:p>
      <w:pPr>
        <w:pStyle w:val="TextBody"/>
        <w:bidi w:val="0"/>
        <w:spacing w:lineRule="auto" w:line="268" w:before="0" w:after="0"/>
        <w:jc w:val="both"/>
        <w:rPr>
          <w:rFonts w:ascii="Helvetica;sans-serif" w:hAnsi="Helvetica;sans-serif"/>
          <w:b w:val="false"/>
          <w:i/>
          <w:color w:val="000000"/>
          <w:sz w:val="20"/>
        </w:rPr>
      </w:pPr>
      <w:r>
        <w:rPr>
          <w:rFonts w:ascii="Helvetica;sans-serif" w:hAnsi="Helvetica;sans-serif"/>
          <w:b w:val="false"/>
          <w:i/>
          <w:color w:val="000000"/>
          <w:sz w:val="20"/>
        </w:rPr>
        <w:t>Workforce Reduction</w:t>
      </w:r>
    </w:p>
    <w:p>
      <w:pPr>
        <w:pStyle w:val="TextBody"/>
        <w:bidi w:val="0"/>
        <w:spacing w:before="0" w:after="0"/>
        <w:jc w:val="left"/>
        <w:rPr/>
      </w:pPr>
      <w:r>
        <w:rPr/>
      </w:r>
    </w:p>
    <w:p>
      <w:pPr>
        <w:pStyle w:val="TextBody"/>
        <w:bidi w:val="0"/>
        <w:spacing w:lineRule="auto" w:line="288" w:before="0" w:after="0"/>
        <w:ind w:left="0" w:right="0" w:firstLine="720"/>
        <w:jc w:val="both"/>
        <w:rPr>
          <w:rFonts w:ascii="Helvetica;sans-serif" w:hAnsi="Helvetica;sans-serif"/>
          <w:b w:val="false"/>
          <w:color w:val="000000"/>
          <w:sz w:val="20"/>
        </w:rPr>
      </w:pPr>
      <w:r>
        <w:rPr>
          <w:rFonts w:ascii="Helvetica;sans-serif" w:hAnsi="Helvetica;sans-serif"/>
          <w:b w:val="false"/>
          <w:color w:val="000000"/>
          <w:sz w:val="20"/>
        </w:rPr>
        <w:t>On June 16, 2026, Robinhood Markets, Inc. (the “Company” or “we”) announced a reduction in force as part of its efforts to maintain a high performance culture, further accelerate product velocity, and remain lean and disciplined. The Company is taking this action from a position of business strength, including June month-to-date average daily trading volumes at record levels across equities, options, and prediction markets.</w:t>
      </w:r>
    </w:p>
    <w:p>
      <w:pPr>
        <w:pStyle w:val="TextBody"/>
        <w:bidi w:val="0"/>
        <w:spacing w:before="0" w:after="0"/>
        <w:jc w:val="both"/>
        <w:rPr/>
      </w:pPr>
      <w:r>
        <w:rPr/>
      </w:r>
    </w:p>
    <w:p>
      <w:pPr>
        <w:pStyle w:val="TextBody"/>
        <w:bidi w:val="0"/>
        <w:spacing w:lineRule="auto" w:line="288" w:before="0" w:after="0"/>
        <w:ind w:left="0" w:right="0" w:firstLine="720"/>
        <w:jc w:val="both"/>
        <w:rPr>
          <w:rFonts w:ascii="Helvetica;sans-serif" w:hAnsi="Helvetica;sans-serif"/>
          <w:b w:val="false"/>
          <w:color w:val="000000"/>
          <w:sz w:val="20"/>
        </w:rPr>
      </w:pPr>
      <w:r>
        <w:rPr>
          <w:rFonts w:ascii="Helvetica;sans-serif" w:hAnsi="Helvetica;sans-serif"/>
          <w:b w:val="false"/>
          <w:color w:val="000000"/>
          <w:sz w:val="20"/>
        </w:rPr>
        <w:t>This reduction in force involves approximately 10% of the Company's full-time employees, and additionally involves the closure of a small number of open roles across the Company. The Company estimates that it will incur cash restructuring and related charges comprising approximately $20 million related to employee severance and benefits costs as well as approximately $8 million related to share-based compensation. It expects to recognize the accrual for these charges in the second quarter of 2026.</w:t>
      </w:r>
    </w:p>
    <w:p>
      <w:pPr>
        <w:pStyle w:val="TextBody"/>
        <w:bidi w:val="0"/>
        <w:spacing w:before="0" w:after="0"/>
        <w:jc w:val="both"/>
        <w:rPr/>
      </w:pPr>
      <w:r>
        <w:rPr/>
      </w:r>
    </w:p>
    <w:p>
      <w:pPr>
        <w:pStyle w:val="TextBody"/>
        <w:bidi w:val="0"/>
        <w:spacing w:lineRule="auto" w:line="288" w:before="0" w:after="0"/>
        <w:ind w:left="0" w:right="0" w:firstLine="720"/>
        <w:jc w:val="both"/>
        <w:rPr>
          <w:rFonts w:ascii="Helvetica;sans-serif" w:hAnsi="Helvetica;sans-serif"/>
          <w:b w:val="false"/>
          <w:color w:val="000000"/>
          <w:sz w:val="20"/>
        </w:rPr>
      </w:pPr>
      <w:r>
        <w:rPr>
          <w:rFonts w:ascii="Helvetica;sans-serif" w:hAnsi="Helvetica;sans-serif"/>
          <w:b w:val="false"/>
          <w:color w:val="000000"/>
          <w:sz w:val="20"/>
        </w:rPr>
        <w:t>If we subsequently determine that we will incur additional material restructuring costs or charges or there are material differences from the amounts provided above, we will file an amendment to this Current Report on Form 8-K (this “Current Report”) to disclose any such material costs, charges, or differences.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Helvetica;sans-serif" w:hAnsi="Helvetica;sans-serif"/>
          <w:b w:val="false"/>
          <w:i/>
          <w:color w:val="000000"/>
          <w:sz w:val="20"/>
        </w:rPr>
      </w:pPr>
      <w:r>
        <w:rPr>
          <w:rFonts w:ascii="Helvetica;sans-serif" w:hAnsi="Helvetica;sans-serif"/>
          <w:b w:val="false"/>
          <w:i/>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ind w:left="0" w:right="0" w:firstLine="720"/>
        <w:jc w:val="both"/>
        <w:rPr>
          <w:rFonts w:ascii="Helvetica;sans-serif" w:hAnsi="Helvetica;sans-serif"/>
          <w:b w:val="false"/>
          <w:color w:val="000000"/>
          <w:sz w:val="20"/>
        </w:rPr>
      </w:pPr>
      <w:r>
        <w:rPr>
          <w:rFonts w:ascii="Helvetica;sans-serif" w:hAnsi="Helvetica;sans-serif"/>
          <w:b w:val="false"/>
          <w:color w:val="000000"/>
          <w:sz w:val="20"/>
        </w:rPr>
        <w:t>This Current Report contains forward-looking statements, including with respect to our estimates and expectations in connection with the reduction in force. Our forward-looking statements are subject to a number of known and unknown risks, uncertainties, assumptions, and other factors that may cause our actual future results, performance, or achievements to differ materially from any future results expressed or implied in this Current Report. Factors that contribute to the uncertain nature of our forward-looking statements include, among others: the difficulty of managing our business effectively, including the size of our workforce, and the risk of declining or negative growth; adverse legal, reputational and financial effects on the Company resulting from the reduction in force; and potential operational disruptions as a result of the reduction in force. Because some of these risks and uncertainties cannot be predicted or quantified and some are beyond our control, you should not rely on our forward-looking statements as predictions of future events. More information about potential risks and uncertainties that could affect our business and financial results can be found in Part II, Item 1A of our Quarterly Report on Form 10-Q for the quarter ended March 31, 2026, as well as in our other filings with the SEC, all of which are available on the SEC’s web site at www.sec.gov. Except as otherwise noted, all forward-looking statements are made as of the filing date of this Current Report and are based on information and estimates available to us at this time. Except as required by law, we assume no obligation to update any of the statements in this Current Report whether as a result of any new information, future events, changed circumstances, or otherwise. You should read this Current Report with the understanding that our actual future results, performance, events, and circumstances might be materially different from what we expect.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SIGNATURE</w:t>
      </w:r>
    </w:p>
    <w:p>
      <w:pPr>
        <w:pStyle w:val="TextBody"/>
        <w:bidi w:val="0"/>
        <w:spacing w:lineRule="auto" w:line="333" w:before="0" w:after="100"/>
        <w:jc w:val="left"/>
        <w:rPr>
          <w:rFonts w:ascii="Helvetica;sans-serif" w:hAnsi="Helvetica;sans-serif"/>
          <w:b w:val="false"/>
          <w:color w:val="000000"/>
          <w:sz w:val="20"/>
        </w:rPr>
      </w:pPr>
      <w:r>
        <w:rPr>
          <w:rFonts w:ascii="Helvetica;sans-serif" w:hAnsi="Helvetica;sans-serif"/>
          <w:b w:val="false"/>
          <w:color w:val="000000"/>
          <w:sz w:val="20"/>
        </w:rPr>
        <w:t>Pursuant to the requirements of the Securities Exchange Act of 1934, the Registrant has duly caused this report to be signed on its behalf by the undersigned hereunto duly authorized.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630" w:type="dxa"/>
        <w:jc w:val="left"/>
        <w:tblInd w:w="0" w:type="dxa"/>
        <w:tblLayout w:type="fixed"/>
        <w:tblCellMar>
          <w:top w:w="28" w:type="dxa"/>
          <w:left w:w="28" w:type="dxa"/>
          <w:bottom w:w="28" w:type="dxa"/>
          <w:right w:w="28" w:type="dxa"/>
        </w:tblCellMar>
      </w:tblPr>
      <w:tblGrid>
        <w:gridCol w:w="211"/>
        <w:gridCol w:w="186"/>
        <w:gridCol w:w="188"/>
        <w:gridCol w:w="444"/>
        <w:gridCol w:w="444"/>
        <w:gridCol w:w="447"/>
        <w:gridCol w:w="377"/>
        <w:gridCol w:w="377"/>
        <w:gridCol w:w="377"/>
        <w:gridCol w:w="748"/>
        <w:gridCol w:w="748"/>
        <w:gridCol w:w="1083"/>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563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7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1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Robinhood Markets, Inc.</w:t>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7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Date:</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June 16, 2026</w:t>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2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 Shiv Verma</w:t>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Name: Shiv Verma</w:t>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Title: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863</Words>
  <Characters>4767</Characters>
  <CharactersWithSpaces>5626</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