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5450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45084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Tenev Vladimir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ROBINHOOD MARKETS,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85 WILLOW ROAD</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Robinhood Markets,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HOOD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04/06/2026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76"/>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3"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MENLO PARK</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94025</w:t>
            </w:r>
          </w:p>
        </w:tc>
      </w:tr>
      <w:tr>
        <w:trPr>
          <w:trHeight w:val="146"/>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3"/>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3"/>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14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2"/>
          </w:tcPr>
          <w:p>
            <w:pPr>
              <w:ind w:left="62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0000FF"/>
              </w:rPr>
              <w:t>04/06/2026</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375,000</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20" w:type="dxa"/>
            <w:vAlign w:val="bottom"/>
          </w:tcPr>
          <w:p>
            <w:pPr>
              <w:jc w:val="center"/>
              <w:ind w:left="55"/>
              <w:spacing w:after="0"/>
              <w:rPr>
                <w:sz w:val="20"/>
                <w:szCs w:val="20"/>
                <w:color w:val="auto"/>
              </w:rPr>
            </w:pPr>
            <w:r>
              <w:rPr>
                <w:rFonts w:ascii="Times New Roman" w:cs="Times New Roman" w:eastAsia="Times New Roman" w:hAnsi="Times New Roman"/>
                <w:sz w:val="11"/>
                <w:szCs w:val="11"/>
                <w:color w:val="008000"/>
                <w:w w:val="93"/>
              </w:rPr>
              <w:t>(1)</w:t>
            </w:r>
          </w:p>
        </w:tc>
        <w:tc>
          <w:tcPr>
            <w:tcW w:w="14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375,000</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04/06/2026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182,667</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69.5343</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192,333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04/06/2026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192,333</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70.1184</w:t>
            </w:r>
            <w:r>
              <w:rPr>
                <w:rFonts w:ascii="Times New Roman" w:cs="Times New Roman" w:eastAsia="Times New Roman" w:hAnsi="Times New Roman"/>
                <w:sz w:val="21"/>
                <w:szCs w:val="21"/>
                <w:color w:val="008000"/>
                <w:w w:val="93"/>
                <w:vertAlign w:val="superscript"/>
              </w:rPr>
              <w:t>(4)</w:t>
            </w: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480"/>
              <w:spacing w:after="0"/>
              <w:rPr>
                <w:sz w:val="20"/>
                <w:szCs w:val="20"/>
                <w:color w:val="auto"/>
              </w:rPr>
            </w:pPr>
            <w:r>
              <w:rPr>
                <w:rFonts w:ascii="Times New Roman" w:cs="Times New Roman" w:eastAsia="Times New Roman" w:hAnsi="Times New Roman"/>
                <w:sz w:val="17"/>
                <w:szCs w:val="17"/>
                <w:color w:val="0000FF"/>
                <w:w w:val="93"/>
              </w:rPr>
              <w:t>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6,907</w:t>
            </w:r>
          </w:p>
        </w:tc>
        <w:tc>
          <w:tcPr>
            <w:tcW w:w="30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6140" w:type="dxa"/>
            <w:vAlign w:val="bottom"/>
            <w:tcBorders>
              <w:bottom w:val="single" w:sz="8" w:color="2C2C2C"/>
            </w:tcBorders>
            <w:gridSpan w:val="10"/>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0"/>
          </w:tcPr>
          <w:p>
            <w:pPr>
              <w:ind w:left="4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960" w:type="dxa"/>
            <w:vAlign w:val="bottom"/>
            <w:gridSpan w:val="2"/>
          </w:tcPr>
          <w:p>
            <w:pPr>
              <w:ind w:left="10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960" w:type="dxa"/>
            <w:vAlign w:val="bottom"/>
            <w:gridSpan w:val="2"/>
          </w:tcPr>
          <w:p>
            <w:pPr>
              <w:ind w:left="10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1"/>
                <w:szCs w:val="11"/>
                <w:color w:val="auto"/>
              </w:rPr>
            </w:pP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of 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375,000</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right"/>
              <w:ind w:right="161"/>
              <w:spacing w:after="0" w:line="140" w:lineRule="exact"/>
              <w:rPr>
                <w:sz w:val="20"/>
                <w:szCs w:val="20"/>
                <w:color w:val="auto"/>
              </w:rPr>
            </w:pPr>
            <w:r>
              <w:rPr>
                <w:rFonts w:ascii="Times New Roman" w:cs="Times New Roman" w:eastAsia="Times New Roman" w:hAnsi="Times New Roman"/>
                <w:sz w:val="13"/>
                <w:szCs w:val="13"/>
                <w:color w:val="0000FF"/>
              </w:rPr>
              <w:t>04/06/2026</w:t>
            </w:r>
          </w:p>
        </w:tc>
        <w:tc>
          <w:tcPr>
            <w:tcW w:w="1080" w:type="dxa"/>
            <w:vAlign w:val="bottom"/>
          </w:tcPr>
          <w:p>
            <w:pPr>
              <w:spacing w:after="0"/>
              <w:rPr>
                <w:sz w:val="12"/>
                <w:szCs w:val="12"/>
                <w:color w:val="auto"/>
              </w:rPr>
            </w:pPr>
          </w:p>
        </w:tc>
        <w:tc>
          <w:tcPr>
            <w:tcW w:w="580" w:type="dxa"/>
            <w:vAlign w:val="bottom"/>
          </w:tcPr>
          <w:p>
            <w:pPr>
              <w:ind w:left="18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220" w:type="dxa"/>
            <w:vAlign w:val="bottom"/>
          </w:tcPr>
          <w:p>
            <w:pPr>
              <w:spacing w:after="0"/>
              <w:rPr>
                <w:sz w:val="12"/>
                <w:szCs w:val="12"/>
                <w:color w:val="auto"/>
              </w:rPr>
            </w:pPr>
          </w:p>
        </w:tc>
        <w:tc>
          <w:tcPr>
            <w:tcW w:w="800" w:type="dxa"/>
            <w:vAlign w:val="bottom"/>
          </w:tcPr>
          <w:p>
            <w:pPr>
              <w:ind w:left="360"/>
              <w:spacing w:after="0" w:line="140" w:lineRule="exact"/>
              <w:rPr>
                <w:sz w:val="20"/>
                <w:szCs w:val="20"/>
                <w:color w:val="auto"/>
              </w:rPr>
            </w:pPr>
            <w:r>
              <w:rPr>
                <w:rFonts w:ascii="Times New Roman" w:cs="Times New Roman" w:eastAsia="Times New Roman" w:hAnsi="Times New Roman"/>
                <w:sz w:val="13"/>
                <w:szCs w:val="13"/>
                <w:color w:val="0000FF"/>
                <w:w w:val="99"/>
              </w:rPr>
              <w:t>375,000</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60" w:type="dxa"/>
            <w:vAlign w:val="bottom"/>
            <w:gridSpan w:val="2"/>
          </w:tcPr>
          <w:p>
            <w:pPr>
              <w:ind w:left="220"/>
              <w:spacing w:after="0" w:line="140" w:lineRule="exact"/>
              <w:rPr>
                <w:sz w:val="20"/>
                <w:szCs w:val="20"/>
                <w:color w:val="auto"/>
              </w:rPr>
            </w:pPr>
            <w:r>
              <w:rPr>
                <w:rFonts w:ascii="Times New Roman" w:cs="Times New Roman" w:eastAsia="Times New Roman" w:hAnsi="Times New Roman"/>
                <w:sz w:val="13"/>
                <w:szCs w:val="13"/>
                <w:color w:val="0000FF"/>
              </w:rPr>
              <w:t>48,669,572</w:t>
            </w: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part of the transaction effected on April 6, 2026 pursuant to the Rule 10b5-1 trading plan adopted by the Reporting Person on September 5, 2025 ("Tenev 10b5-1 plan"), the Reporting Person sold 375,000 shares of his Class B Common Stock, resulting in an automatic conversion of the shares into Class A Common Stock upon execution of the sale.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the Tenev 10b5-1 plan.</w:t>
      </w:r>
    </w:p>
    <w:p>
      <w:pPr>
        <w:spacing w:after="0" w:line="41" w:lineRule="exact"/>
        <w:rPr>
          <w:rFonts w:ascii="Times New Roman" w:cs="Times New Roman" w:eastAsia="Times New Roman" w:hAnsi="Times New Roman"/>
          <w:sz w:val="13"/>
          <w:szCs w:val="13"/>
          <w:color w:val="008000"/>
        </w:rPr>
      </w:pPr>
    </w:p>
    <w:p>
      <w:pPr>
        <w:ind w:left="40" w:right="2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$68.80 to $69.79. The weighted-average price is reported above. The Reporting Person hereby undertakes to provide to the SEC staff, the Issuer, or any security holder of the Issuer, upon request, full information regarding the number of shares and prices at which the trades were made.</w:t>
      </w:r>
    </w:p>
    <w:p>
      <w:pPr>
        <w:spacing w:after="0" w:line="19" w:lineRule="exact"/>
        <w:rPr>
          <w:rFonts w:ascii="Times New Roman" w:cs="Times New Roman" w:eastAsia="Times New Roman" w:hAnsi="Times New Roman"/>
          <w:sz w:val="13"/>
          <w:szCs w:val="13"/>
          <w:color w:val="008000"/>
        </w:rPr>
      </w:pPr>
    </w:p>
    <w:p>
      <w:pPr>
        <w:ind w:left="40" w:right="2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$69.80 to $70.77. The weighted-average price is reported above. The Reporting Person hereby undertakes to provide to the SEC staff, the Issuer, or any security holder of the Issuer, upon request, full information regarding the number of shares and prices at which the trades were made.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Matthew Yorkavich,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-10160</wp:posOffset>
            </wp:positionV>
            <wp:extent cx="9848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48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Vladimir</w:t>
      </w:r>
      <w:r>
        <w:rPr>
          <w:sz w:val="20"/>
          <w:szCs w:val="20"/>
          <w:color w:val="auto"/>
        </w:rPr>
        <w:tab/>
      </w:r>
      <w:r>
        <w:rPr>
          <w:rFonts w:ascii="Times New Roman" w:cs="Times New Roman" w:eastAsia="Times New Roman" w:hAnsi="Times New Roman"/>
          <w:sz w:val="16"/>
          <w:szCs w:val="16"/>
          <w:color w:val="0000FF"/>
        </w:rPr>
        <w:t>04/08/2026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1877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Tenev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2552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5527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71006" TargetMode="External"/><Relationship Id="rId14" Type="http://schemas.openxmlformats.org/officeDocument/2006/relationships/hyperlink" Target="http://www.sec.gov/cgi-bin/browse-edgar?action=getcompany&amp;CIK=00017838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2026-04-08T15:46:00Z</dcterms:created>
  <dcterms:modified xsi:type="dcterms:W3CDTF">2026-04-08T15:46:00Z</dcterms:modified>
</cp:coreProperties>
</file>