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t>UNITED STATES</w:t>
      </w:r>
    </w:p>
    <w:p>
      <w:pPr>
        <w:spacing w:after="0" w:line="49"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78" w:lineRule="exact"/>
        <w:rPr>
          <w:sz w:val="24"/>
          <w:szCs w:val="24"/>
          <w:color w:val="auto"/>
        </w:rPr>
      </w:pPr>
    </w:p>
    <w:p>
      <w:pPr>
        <w:jc w:val="center"/>
        <w:ind w:right="-339"/>
        <w:spacing w:after="0"/>
        <w:rPr>
          <w:sz w:val="20"/>
          <w:szCs w:val="20"/>
          <w:color w:val="auto"/>
        </w:rPr>
      </w:pPr>
      <w:r>
        <w:rPr>
          <w:rFonts w:ascii="Arial" w:cs="Arial" w:eastAsia="Arial" w:hAnsi="Arial"/>
          <w:sz w:val="29"/>
          <w:szCs w:val="29"/>
          <w:b w:val="1"/>
          <w:bCs w:val="1"/>
          <w:color w:val="auto"/>
        </w:rPr>
        <w:t>FORM 10-Q</w:t>
      </w:r>
    </w:p>
    <w:p>
      <w:pPr>
        <w:spacing w:after="0" w:line="59"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131" w:lineRule="exact"/>
        <w:rPr>
          <w:sz w:val="24"/>
          <w:szCs w:val="24"/>
          <w:color w:val="auto"/>
        </w:rPr>
      </w:pPr>
    </w:p>
    <w:p>
      <w:pPr>
        <w:ind w:left="3740" w:right="1080" w:hanging="2740"/>
        <w:spacing w:after="0" w:line="419" w:lineRule="auto"/>
        <w:tabs>
          <w:tab w:leader="none" w:pos="185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For the quarterly period ended </w:t>
      </w:r>
      <w:r>
        <w:rPr>
          <w:rFonts w:ascii="Arial" w:cs="Arial" w:eastAsia="Arial" w:hAnsi="Arial"/>
          <w:sz w:val="17"/>
          <w:szCs w:val="17"/>
          <w:b w:val="1"/>
          <w:bCs w:val="1"/>
          <w:color w:val="auto"/>
        </w:rPr>
        <w:t>September 30, 2026</w:t>
      </w:r>
    </w:p>
    <w:p>
      <w:pPr>
        <w:spacing w:after="0" w:line="26"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3780" w:right="1080" w:hanging="2780"/>
        <w:spacing w:after="0" w:line="420" w:lineRule="auto"/>
        <w:tabs>
          <w:tab w:leader="none" w:pos="18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spacing w:after="0" w:line="5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001-40691</w:t>
      </w:r>
    </w:p>
    <w:p>
      <w:pPr>
        <w:spacing w:after="0" w:line="35"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3468370</wp:posOffset>
            </wp:positionH>
            <wp:positionV relativeFrom="paragraph">
              <wp:posOffset>-1270</wp:posOffset>
            </wp:positionV>
            <wp:extent cx="41148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148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Robinhood Markets, Inc.</w:t>
      </w:r>
    </w:p>
    <w:p>
      <w:pPr>
        <w:spacing w:after="0" w:line="107" w:lineRule="exact"/>
        <w:rPr>
          <w:sz w:val="24"/>
          <w:szCs w:val="24"/>
          <w:color w:val="auto"/>
        </w:rPr>
      </w:pPr>
    </w:p>
    <w:p>
      <w:pPr>
        <w:jc w:val="center"/>
        <w:ind w:right="-339"/>
        <w:spacing w:after="0"/>
        <w:rPr>
          <w:sz w:val="20"/>
          <w:szCs w:val="20"/>
          <w:color w:val="auto"/>
        </w:rPr>
      </w:pPr>
      <w:r>
        <w:rPr>
          <w:rFonts w:ascii="Arial" w:cs="Arial" w:eastAsia="Arial" w:hAnsi="Arial"/>
          <w:sz w:val="14"/>
          <w:szCs w:val="14"/>
          <w:color w:val="auto"/>
        </w:rPr>
        <w:t>(Exact name of registrant as specified in its charter)</w:t>
      </w:r>
    </w:p>
    <w:p>
      <w:pPr>
        <w:spacing w:after="0" w:line="63"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464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2400" w:type="dxa"/>
            <w:vAlign w:val="bottom"/>
          </w:tcPr>
          <w:p>
            <w:pPr>
              <w:spacing w:after="0"/>
              <w:rPr>
                <w:sz w:val="20"/>
                <w:szCs w:val="20"/>
                <w:color w:val="auto"/>
              </w:rPr>
            </w:pPr>
          </w:p>
        </w:tc>
        <w:tc>
          <w:tcPr>
            <w:tcW w:w="4200" w:type="dxa"/>
            <w:vAlign w:val="bottom"/>
          </w:tcPr>
          <w:p>
            <w:pPr>
              <w:jc w:val="center"/>
              <w:ind w:right="723"/>
              <w:spacing w:after="0"/>
              <w:rPr>
                <w:sz w:val="20"/>
                <w:szCs w:val="20"/>
                <w:color w:val="auto"/>
              </w:rPr>
            </w:pPr>
            <w:r>
              <w:rPr>
                <w:rFonts w:ascii="Arial" w:cs="Arial" w:eastAsia="Arial" w:hAnsi="Arial"/>
                <w:sz w:val="18"/>
                <w:szCs w:val="18"/>
                <w:b w:val="1"/>
                <w:bCs w:val="1"/>
                <w:color w:val="auto"/>
                <w:w w:val="99"/>
              </w:rPr>
              <w:t>46-4364776</w:t>
            </w:r>
          </w:p>
        </w:tc>
      </w:tr>
      <w:tr>
        <w:trPr>
          <w:trHeight w:val="148"/>
        </w:trPr>
        <w:tc>
          <w:tcPr>
            <w:tcW w:w="4640" w:type="dxa"/>
            <w:vAlign w:val="bottom"/>
          </w:tcPr>
          <w:p>
            <w:pPr>
              <w:jc w:val="center"/>
              <w:spacing w:after="0" w:line="149" w:lineRule="exact"/>
              <w:rPr>
                <w:sz w:val="20"/>
                <w:szCs w:val="20"/>
                <w:color w:val="auto"/>
              </w:rPr>
            </w:pPr>
            <w:r>
              <w:rPr>
                <w:rFonts w:ascii="Arial" w:cs="Arial" w:eastAsia="Arial" w:hAnsi="Arial"/>
                <w:sz w:val="14"/>
                <w:szCs w:val="14"/>
                <w:color w:val="auto"/>
              </w:rPr>
              <w:t>(State or other jurisdiction of</w:t>
            </w:r>
          </w:p>
        </w:tc>
        <w:tc>
          <w:tcPr>
            <w:tcW w:w="2400" w:type="dxa"/>
            <w:vAlign w:val="bottom"/>
          </w:tcPr>
          <w:p>
            <w:pPr>
              <w:spacing w:after="0"/>
              <w:rPr>
                <w:sz w:val="12"/>
                <w:szCs w:val="12"/>
                <w:color w:val="auto"/>
              </w:rPr>
            </w:pPr>
          </w:p>
        </w:tc>
        <w:tc>
          <w:tcPr>
            <w:tcW w:w="4200" w:type="dxa"/>
            <w:vAlign w:val="bottom"/>
          </w:tcPr>
          <w:p>
            <w:pPr>
              <w:jc w:val="center"/>
              <w:ind w:right="703"/>
              <w:spacing w:after="0" w:line="149" w:lineRule="exact"/>
              <w:rPr>
                <w:sz w:val="20"/>
                <w:szCs w:val="20"/>
                <w:color w:val="auto"/>
              </w:rPr>
            </w:pPr>
            <w:r>
              <w:rPr>
                <w:rFonts w:ascii="Arial" w:cs="Arial" w:eastAsia="Arial" w:hAnsi="Arial"/>
                <w:sz w:val="14"/>
                <w:szCs w:val="14"/>
                <w:color w:val="auto"/>
              </w:rPr>
              <w:t>(IRS Employer</w:t>
            </w:r>
          </w:p>
        </w:tc>
      </w:tr>
      <w:tr>
        <w:trPr>
          <w:trHeight w:val="190"/>
        </w:trPr>
        <w:tc>
          <w:tcPr>
            <w:tcW w:w="4640" w:type="dxa"/>
            <w:vAlign w:val="bottom"/>
          </w:tcPr>
          <w:p>
            <w:pPr>
              <w:jc w:val="center"/>
              <w:spacing w:after="0"/>
              <w:rPr>
                <w:sz w:val="20"/>
                <w:szCs w:val="20"/>
                <w:color w:val="auto"/>
              </w:rPr>
            </w:pPr>
            <w:r>
              <w:rPr>
                <w:rFonts w:ascii="Arial" w:cs="Arial" w:eastAsia="Arial" w:hAnsi="Arial"/>
                <w:sz w:val="14"/>
                <w:szCs w:val="14"/>
                <w:color w:val="auto"/>
              </w:rPr>
              <w:t>incorporation or organization)</w:t>
            </w:r>
          </w:p>
        </w:tc>
        <w:tc>
          <w:tcPr>
            <w:tcW w:w="2400" w:type="dxa"/>
            <w:vAlign w:val="bottom"/>
          </w:tcPr>
          <w:p>
            <w:pPr>
              <w:spacing w:after="0"/>
              <w:rPr>
                <w:sz w:val="16"/>
                <w:szCs w:val="16"/>
                <w:color w:val="auto"/>
              </w:rPr>
            </w:pPr>
          </w:p>
        </w:tc>
        <w:tc>
          <w:tcPr>
            <w:tcW w:w="4200" w:type="dxa"/>
            <w:vAlign w:val="bottom"/>
          </w:tcPr>
          <w:p>
            <w:pPr>
              <w:jc w:val="center"/>
              <w:ind w:right="723"/>
              <w:spacing w:after="0"/>
              <w:rPr>
                <w:sz w:val="20"/>
                <w:szCs w:val="20"/>
                <w:color w:val="auto"/>
              </w:rPr>
            </w:pPr>
            <w:r>
              <w:rPr>
                <w:rFonts w:ascii="Arial" w:cs="Arial" w:eastAsia="Arial" w:hAnsi="Arial"/>
                <w:sz w:val="14"/>
                <w:szCs w:val="14"/>
                <w:color w:val="auto"/>
              </w:rPr>
              <w:t>Identification No.)</w:t>
            </w:r>
          </w:p>
        </w:tc>
      </w:tr>
      <w:tr>
        <w:trPr>
          <w:trHeight w:val="286"/>
        </w:trPr>
        <w:tc>
          <w:tcPr>
            <w:tcW w:w="4640" w:type="dxa"/>
            <w:vAlign w:val="bottom"/>
          </w:tcPr>
          <w:p>
            <w:pPr>
              <w:spacing w:after="0"/>
              <w:rPr>
                <w:sz w:val="24"/>
                <w:szCs w:val="24"/>
                <w:color w:val="auto"/>
              </w:rPr>
            </w:pPr>
          </w:p>
        </w:tc>
        <w:tc>
          <w:tcPr>
            <w:tcW w:w="2400" w:type="dxa"/>
            <w:vAlign w:val="bottom"/>
          </w:tcPr>
          <w:p>
            <w:pPr>
              <w:jc w:val="center"/>
              <w:ind w:right="15"/>
              <w:spacing w:after="0"/>
              <w:rPr>
                <w:sz w:val="20"/>
                <w:szCs w:val="20"/>
                <w:color w:val="auto"/>
              </w:rPr>
            </w:pPr>
            <w:r>
              <w:rPr>
                <w:rFonts w:ascii="Arial" w:cs="Arial" w:eastAsia="Arial" w:hAnsi="Arial"/>
                <w:sz w:val="18"/>
                <w:szCs w:val="18"/>
                <w:b w:val="1"/>
                <w:bCs w:val="1"/>
                <w:color w:val="auto"/>
                <w:w w:val="99"/>
              </w:rPr>
              <w:t>85 Willow Rd</w:t>
            </w:r>
          </w:p>
        </w:tc>
        <w:tc>
          <w:tcPr>
            <w:tcW w:w="4200" w:type="dxa"/>
            <w:vAlign w:val="bottom"/>
          </w:tcPr>
          <w:p>
            <w:pPr>
              <w:spacing w:after="0"/>
              <w:rPr>
                <w:sz w:val="24"/>
                <w:szCs w:val="24"/>
                <w:color w:val="auto"/>
              </w:rPr>
            </w:pPr>
          </w:p>
        </w:tc>
      </w:tr>
      <w:tr>
        <w:trPr>
          <w:trHeight w:val="226"/>
        </w:trPr>
        <w:tc>
          <w:tcPr>
            <w:tcW w:w="4640" w:type="dxa"/>
            <w:vAlign w:val="bottom"/>
          </w:tcPr>
          <w:p>
            <w:pPr>
              <w:spacing w:after="0"/>
              <w:rPr>
                <w:sz w:val="19"/>
                <w:szCs w:val="19"/>
                <w:color w:val="auto"/>
              </w:rPr>
            </w:pPr>
          </w:p>
        </w:tc>
        <w:tc>
          <w:tcPr>
            <w:tcW w:w="2400" w:type="dxa"/>
            <w:vAlign w:val="bottom"/>
          </w:tcPr>
          <w:p>
            <w:pPr>
              <w:jc w:val="center"/>
              <w:ind w:right="15"/>
              <w:spacing w:after="0"/>
              <w:rPr>
                <w:sz w:val="20"/>
                <w:szCs w:val="20"/>
                <w:color w:val="auto"/>
              </w:rPr>
            </w:pPr>
            <w:r>
              <w:rPr>
                <w:rFonts w:ascii="Arial" w:cs="Arial" w:eastAsia="Arial" w:hAnsi="Arial"/>
                <w:sz w:val="18"/>
                <w:szCs w:val="18"/>
                <w:b w:val="1"/>
                <w:bCs w:val="1"/>
                <w:color w:val="auto"/>
                <w:w w:val="99"/>
              </w:rPr>
              <w:t>Menlo Park, CA 94025</w:t>
            </w:r>
          </w:p>
        </w:tc>
        <w:tc>
          <w:tcPr>
            <w:tcW w:w="4200" w:type="dxa"/>
            <w:vAlign w:val="bottom"/>
          </w:tcPr>
          <w:p>
            <w:pPr>
              <w:spacing w:after="0"/>
              <w:rPr>
                <w:sz w:val="19"/>
                <w:szCs w:val="19"/>
                <w:color w:val="auto"/>
              </w:rPr>
            </w:pPr>
          </w:p>
        </w:tc>
      </w:tr>
      <w:tr>
        <w:trPr>
          <w:trHeight w:val="190"/>
        </w:trPr>
        <w:tc>
          <w:tcPr>
            <w:tcW w:w="11240" w:type="dxa"/>
            <w:vAlign w:val="bottom"/>
            <w:gridSpan w:val="3"/>
          </w:tcPr>
          <w:p>
            <w:pPr>
              <w:jc w:val="center"/>
              <w:ind w:left="244"/>
              <w:spacing w:after="0"/>
              <w:rPr>
                <w:sz w:val="20"/>
                <w:szCs w:val="20"/>
                <w:color w:val="auto"/>
              </w:rPr>
            </w:pPr>
            <w:r>
              <w:rPr>
                <w:rFonts w:ascii="Arial" w:cs="Arial" w:eastAsia="Arial" w:hAnsi="Arial"/>
                <w:sz w:val="14"/>
                <w:szCs w:val="14"/>
                <w:color w:val="auto"/>
              </w:rPr>
              <w:t>(Address of principal executive offices, including zip code)</w:t>
            </w:r>
          </w:p>
        </w:tc>
      </w:tr>
      <w:tr>
        <w:trPr>
          <w:trHeight w:val="309"/>
        </w:trPr>
        <w:tc>
          <w:tcPr>
            <w:tcW w:w="4640" w:type="dxa"/>
            <w:vAlign w:val="bottom"/>
          </w:tcPr>
          <w:p>
            <w:pPr>
              <w:spacing w:after="0"/>
              <w:rPr>
                <w:sz w:val="24"/>
                <w:szCs w:val="24"/>
                <w:color w:val="auto"/>
              </w:rPr>
            </w:pPr>
          </w:p>
        </w:tc>
        <w:tc>
          <w:tcPr>
            <w:tcW w:w="2400" w:type="dxa"/>
            <w:vAlign w:val="bottom"/>
          </w:tcPr>
          <w:p>
            <w:pPr>
              <w:jc w:val="center"/>
              <w:ind w:right="15"/>
              <w:spacing w:after="0"/>
              <w:rPr>
                <w:sz w:val="20"/>
                <w:szCs w:val="20"/>
                <w:color w:val="auto"/>
              </w:rPr>
            </w:pPr>
            <w:r>
              <w:rPr>
                <w:rFonts w:ascii="Arial" w:cs="Arial" w:eastAsia="Arial" w:hAnsi="Arial"/>
                <w:sz w:val="18"/>
                <w:szCs w:val="18"/>
                <w:b w:val="1"/>
                <w:bCs w:val="1"/>
                <w:color w:val="auto"/>
                <w:w w:val="99"/>
              </w:rPr>
              <w:t>(844) 428-5411</w:t>
            </w:r>
          </w:p>
        </w:tc>
        <w:tc>
          <w:tcPr>
            <w:tcW w:w="4200" w:type="dxa"/>
            <w:vAlign w:val="bottom"/>
          </w:tcPr>
          <w:p>
            <w:pPr>
              <w:spacing w:after="0"/>
              <w:rPr>
                <w:sz w:val="24"/>
                <w:szCs w:val="24"/>
                <w:color w:val="auto"/>
              </w:rPr>
            </w:pPr>
          </w:p>
        </w:tc>
      </w:tr>
      <w:tr>
        <w:trPr>
          <w:trHeight w:val="190"/>
        </w:trPr>
        <w:tc>
          <w:tcPr>
            <w:tcW w:w="11240" w:type="dxa"/>
            <w:vAlign w:val="bottom"/>
            <w:gridSpan w:val="3"/>
          </w:tcPr>
          <w:p>
            <w:pPr>
              <w:jc w:val="center"/>
              <w:ind w:left="264"/>
              <w:spacing w:after="0"/>
              <w:rPr>
                <w:sz w:val="20"/>
                <w:szCs w:val="20"/>
                <w:color w:val="auto"/>
              </w:rPr>
            </w:pPr>
            <w:r>
              <w:rPr>
                <w:rFonts w:ascii="Arial" w:cs="Arial" w:eastAsia="Arial" w:hAnsi="Arial"/>
                <w:sz w:val="14"/>
                <w:szCs w:val="14"/>
                <w:color w:val="auto"/>
              </w:rPr>
              <w:t>(Registrant’s telephone number, including area code)</w:t>
            </w:r>
          </w:p>
        </w:tc>
      </w:tr>
      <w:tr>
        <w:trPr>
          <w:trHeight w:val="446"/>
        </w:trPr>
        <w:tc>
          <w:tcPr>
            <w:tcW w:w="4640" w:type="dxa"/>
            <w:vAlign w:val="bottom"/>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4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16"/>
        </w:trPr>
        <w:tc>
          <w:tcPr>
            <w:tcW w:w="464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r>
      <w:tr>
        <w:trPr>
          <w:trHeight w:val="20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5"/>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A Common Stock - $0.0001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HOOD</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56"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96"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96"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9" w:lineRule="exact"/>
        <w:rPr>
          <w:sz w:val="24"/>
          <w:szCs w:val="24"/>
          <w:color w:val="auto"/>
        </w:rPr>
      </w:pPr>
    </w:p>
    <w:p>
      <w:pPr>
        <w:spacing w:after="0" w:line="184" w:lineRule="exact"/>
        <w:tabs>
          <w:tab w:leader="none" w:pos="2000" w:val="left"/>
          <w:tab w:leader="none" w:pos="35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ab/>
        <w:t xml:space="preserve">Non-accelerated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both"/>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21, 2026, the numbers of shares of the issuer’s Class A and Class B common stock outstanding were 793,425,151 and 107,066,126.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3" w:right="339" w:bottom="1440" w:gutter="0" w:footer="0" w:header="0"/>
        </w:sectPr>
      </w:pPr>
    </w:p>
    <w:bookmarkStart w:id="1" w:name="page2"/>
    <w:bookmarkEnd w:id="1"/>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TABLE OF CONTENTS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shd w:val="clear" w:color="auto" w:fill="CCEEFF"/>
          </w:tcPr>
          <w:p>
            <w:pPr>
              <w:spacing w:after="0"/>
              <w:rPr>
                <w:sz w:val="19"/>
                <w:szCs w:val="19"/>
                <w:color w:val="auto"/>
              </w:rPr>
            </w:pPr>
          </w:p>
        </w:tc>
        <w:tc>
          <w:tcPr>
            <w:tcW w:w="9340" w:type="dxa"/>
            <w:vAlign w:val="bottom"/>
            <w:gridSpan w:val="37"/>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880" w:type="dxa"/>
            <w:vAlign w:val="bottom"/>
            <w:gridSpan w:val="6"/>
            <w:shd w:val="clear" w:color="auto" w:fill="CCEEFF"/>
          </w:tcPr>
          <w:p>
            <w:pPr>
              <w:ind w:left="1040"/>
              <w:spacing w:after="0"/>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00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8340" w:type="dxa"/>
            <w:vAlign w:val="bottom"/>
            <w:gridSpan w:val="36"/>
          </w:tcPr>
          <w:p>
            <w:pPr>
              <w:ind w:left="200"/>
              <w:spacing w:after="0" w:line="189" w:lineRule="exact"/>
              <w:rPr>
                <w:sz w:val="20"/>
                <w:szCs w:val="20"/>
                <w:color w:val="auto"/>
              </w:rPr>
            </w:pPr>
            <w:r>
              <w:rPr>
                <w:rFonts w:ascii="Arial" w:cs="Arial" w:eastAsia="Arial" w:hAnsi="Arial"/>
                <w:sz w:val="18"/>
                <w:szCs w:val="18"/>
                <w:color w:val="0000FF"/>
              </w:rPr>
              <w:t>Unaudited Financial Statements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34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Balance Sheets</w:t>
            </w:r>
          </w:p>
        </w:tc>
        <w:tc>
          <w:tcPr>
            <w:tcW w:w="4800" w:type="dxa"/>
            <w:vAlign w:val="bottom"/>
            <w:gridSpan w:val="17"/>
            <w:shd w:val="clear" w:color="auto" w:fill="CCEEFF"/>
          </w:tcPr>
          <w:p>
            <w:pPr>
              <w:spacing w:after="0"/>
              <w:rPr>
                <w:sz w:val="16"/>
                <w:szCs w:val="16"/>
                <w:color w:val="auto"/>
              </w:rPr>
            </w:pPr>
          </w:p>
        </w:tc>
        <w:tc>
          <w:tcPr>
            <w:tcW w:w="1360" w:type="dxa"/>
            <w:vAlign w:val="bottom"/>
            <w:gridSpan w:val="2"/>
            <w:shd w:val="clear" w:color="auto" w:fill="CCEEFF"/>
          </w:tcPr>
          <w:p>
            <w:pPr>
              <w:spacing w:after="0"/>
              <w:rPr>
                <w:sz w:val="16"/>
                <w:szCs w:val="16"/>
                <w:color w:val="auto"/>
              </w:rPr>
            </w:pPr>
          </w:p>
        </w:tc>
        <w:tc>
          <w:tcPr>
            <w:tcW w:w="200" w:type="dxa"/>
            <w:vAlign w:val="bottom"/>
            <w:gridSpan w:val="2"/>
            <w:shd w:val="clear" w:color="auto" w:fill="CCEEFF"/>
          </w:tcPr>
          <w:p>
            <w:pPr>
              <w:jc w:val="center"/>
              <w:ind w:right="20"/>
              <w:spacing w:after="0" w:line="189" w:lineRule="exact"/>
              <w:rPr>
                <w:sz w:val="20"/>
                <w:szCs w:val="20"/>
                <w:color w:val="auto"/>
              </w:rPr>
            </w:pPr>
            <w:r>
              <w:rPr>
                <w:rFonts w:ascii="Arial" w:cs="Arial" w:eastAsia="Arial" w:hAnsi="Arial"/>
                <w:sz w:val="18"/>
                <w:szCs w:val="18"/>
                <w:color w:val="0000FF"/>
                <w:w w:val="89"/>
              </w:rPr>
              <w:t>11</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40" w:type="dxa"/>
            <w:vAlign w:val="bottom"/>
            <w:gridSpan w:val="35"/>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12</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140" w:type="dxa"/>
            <w:vAlign w:val="bottom"/>
            <w:gridSpan w:val="31"/>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Comprehensive Income</w:t>
            </w:r>
          </w:p>
        </w:tc>
        <w:tc>
          <w:tcPr>
            <w:tcW w:w="3000" w:type="dxa"/>
            <w:vAlign w:val="bottom"/>
            <w:gridSpan w:val="4"/>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13</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40" w:type="dxa"/>
            <w:vAlign w:val="bottom"/>
            <w:gridSpan w:val="31"/>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3000" w:type="dxa"/>
            <w:vAlign w:val="bottom"/>
            <w:gridSpan w:val="4"/>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14</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140" w:type="dxa"/>
            <w:vAlign w:val="bottom"/>
            <w:gridSpan w:val="35"/>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Stockholders’ Equity</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16</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40" w:type="dxa"/>
            <w:vAlign w:val="bottom"/>
            <w:gridSpan w:val="35"/>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4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w w:val="99"/>
              </w:rPr>
              <w:t>Note 1 - Description of Business and Summary of Significant Accounting Policies</w:t>
            </w:r>
          </w:p>
        </w:tc>
        <w:tc>
          <w:tcPr>
            <w:tcW w:w="1480" w:type="dxa"/>
            <w:vAlign w:val="bottom"/>
            <w:gridSpan w:val="2"/>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18</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40" w:type="dxa"/>
            <w:vAlign w:val="bottom"/>
            <w:gridSpan w:val="32"/>
          </w:tcPr>
          <w:p>
            <w:pPr>
              <w:spacing w:after="0" w:line="189" w:lineRule="exact"/>
              <w:rPr>
                <w:sz w:val="20"/>
                <w:szCs w:val="20"/>
                <w:color w:val="auto"/>
              </w:rPr>
            </w:pPr>
            <w:r>
              <w:rPr>
                <w:rFonts w:ascii="Arial" w:cs="Arial" w:eastAsia="Arial" w:hAnsi="Arial"/>
                <w:sz w:val="18"/>
                <w:szCs w:val="18"/>
                <w:color w:val="0000FF"/>
              </w:rPr>
              <w:t>Note 2 - Recent Accounting Pronouncements</w:t>
            </w:r>
          </w:p>
        </w:tc>
        <w:tc>
          <w:tcPr>
            <w:tcW w:w="1480" w:type="dxa"/>
            <w:vAlign w:val="bottom"/>
            <w:gridSpan w:val="2"/>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21</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9"/>
              </w:rPr>
              <w:t>Note 3 - Business Combinations</w:t>
            </w:r>
          </w:p>
        </w:tc>
        <w:tc>
          <w:tcPr>
            <w:tcW w:w="5340" w:type="dxa"/>
            <w:vAlign w:val="bottom"/>
            <w:gridSpan w:val="20"/>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22</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14"/>
          </w:tcPr>
          <w:p>
            <w:pPr>
              <w:spacing w:after="0" w:line="189" w:lineRule="exact"/>
              <w:rPr>
                <w:sz w:val="20"/>
                <w:szCs w:val="20"/>
                <w:color w:val="auto"/>
              </w:rPr>
            </w:pPr>
            <w:r>
              <w:rPr>
                <w:rFonts w:ascii="Arial" w:cs="Arial" w:eastAsia="Arial" w:hAnsi="Arial"/>
                <w:sz w:val="18"/>
                <w:szCs w:val="18"/>
                <w:color w:val="0000FF"/>
              </w:rPr>
              <w:t>Note 4 - Deconsolidation</w:t>
            </w:r>
          </w:p>
        </w:tc>
        <w:tc>
          <w:tcPr>
            <w:tcW w:w="5340" w:type="dxa"/>
            <w:vAlign w:val="bottom"/>
            <w:gridSpan w:val="20"/>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26</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16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w w:val="99"/>
              </w:rPr>
              <w:t>Note 5 - Goodwill and Intangible Assets</w:t>
            </w:r>
          </w:p>
        </w:tc>
        <w:tc>
          <w:tcPr>
            <w:tcW w:w="4760" w:type="dxa"/>
            <w:vAlign w:val="bottom"/>
            <w:gridSpan w:val="16"/>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28</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18"/>
          </w:tcPr>
          <w:p>
            <w:pPr>
              <w:spacing w:after="0" w:line="189" w:lineRule="exact"/>
              <w:rPr>
                <w:sz w:val="20"/>
                <w:szCs w:val="20"/>
                <w:color w:val="auto"/>
              </w:rPr>
            </w:pPr>
            <w:r>
              <w:rPr>
                <w:rFonts w:ascii="Arial" w:cs="Arial" w:eastAsia="Arial" w:hAnsi="Arial"/>
                <w:sz w:val="18"/>
                <w:szCs w:val="18"/>
                <w:color w:val="0000FF"/>
              </w:rPr>
              <w:t>Note 6 - Revenues</w:t>
            </w:r>
          </w:p>
        </w:tc>
        <w:tc>
          <w:tcPr>
            <w:tcW w:w="4760" w:type="dxa"/>
            <w:vAlign w:val="bottom"/>
            <w:gridSpan w:val="16"/>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29</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4"/>
            <w:shd w:val="clear" w:color="auto" w:fill="CCEEFF"/>
          </w:tcPr>
          <w:p>
            <w:pPr>
              <w:spacing w:after="0" w:line="189" w:lineRule="exact"/>
              <w:rPr>
                <w:sz w:val="20"/>
                <w:szCs w:val="20"/>
                <w:color w:val="auto"/>
              </w:rPr>
            </w:pPr>
            <w:r>
              <w:rPr>
                <w:rFonts w:ascii="Arial" w:cs="Arial" w:eastAsia="Arial" w:hAnsi="Arial"/>
                <w:sz w:val="18"/>
                <w:szCs w:val="18"/>
                <w:color w:val="0000FF"/>
              </w:rPr>
              <w:t>Note 7 - Allowance for Credit Losses</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31</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4"/>
          </w:tcPr>
          <w:p>
            <w:pPr>
              <w:spacing w:after="0" w:line="189" w:lineRule="exact"/>
              <w:rPr>
                <w:sz w:val="20"/>
                <w:szCs w:val="20"/>
                <w:color w:val="auto"/>
              </w:rPr>
            </w:pPr>
            <w:r>
              <w:rPr>
                <w:rFonts w:ascii="Arial" w:cs="Arial" w:eastAsia="Arial" w:hAnsi="Arial"/>
                <w:sz w:val="18"/>
                <w:szCs w:val="18"/>
                <w:color w:val="0000FF"/>
              </w:rPr>
              <w:t>Note 8 - Investments and Fair Value Measurement</w:t>
            </w: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33</w:t>
            </w: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4"/>
            <w:shd w:val="clear" w:color="auto" w:fill="CCEEFF"/>
          </w:tcPr>
          <w:p>
            <w:pPr>
              <w:spacing w:after="0" w:line="189" w:lineRule="exact"/>
              <w:rPr>
                <w:sz w:val="20"/>
                <w:szCs w:val="20"/>
                <w:color w:val="auto"/>
              </w:rPr>
            </w:pPr>
            <w:r>
              <w:rPr>
                <w:rFonts w:ascii="Arial" w:cs="Arial" w:eastAsia="Arial" w:hAnsi="Arial"/>
                <w:sz w:val="18"/>
                <w:szCs w:val="18"/>
                <w:color w:val="0000FF"/>
              </w:rPr>
              <w:t>Note 9 - Income Taxes</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35</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4"/>
          </w:tcPr>
          <w:p>
            <w:pPr>
              <w:spacing w:after="0" w:line="189" w:lineRule="exact"/>
              <w:rPr>
                <w:sz w:val="20"/>
                <w:szCs w:val="20"/>
                <w:color w:val="auto"/>
              </w:rPr>
            </w:pPr>
            <w:r>
              <w:rPr>
                <w:rFonts w:ascii="Arial" w:cs="Arial" w:eastAsia="Arial" w:hAnsi="Arial"/>
                <w:sz w:val="18"/>
                <w:szCs w:val="18"/>
                <w:color w:val="0000FF"/>
              </w:rPr>
              <w:t>Note 10 - Securities Borrowing and Lending</w:t>
            </w: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36</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920" w:type="dxa"/>
            <w:vAlign w:val="bottom"/>
            <w:gridSpan w:val="34"/>
            <w:shd w:val="clear" w:color="auto" w:fill="CCEEFF"/>
          </w:tcPr>
          <w:p>
            <w:pPr>
              <w:spacing w:after="0" w:line="189" w:lineRule="exact"/>
              <w:rPr>
                <w:sz w:val="20"/>
                <w:szCs w:val="20"/>
                <w:color w:val="auto"/>
              </w:rPr>
            </w:pPr>
            <w:r>
              <w:rPr>
                <w:rFonts w:ascii="Arial" w:cs="Arial" w:eastAsia="Arial" w:hAnsi="Arial"/>
                <w:sz w:val="18"/>
                <w:szCs w:val="18"/>
                <w:color w:val="0000FF"/>
              </w:rPr>
              <w:t>Note 11 - Financing Activities and Off-Balance Sheet Risk</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38</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80" w:type="dxa"/>
            <w:vAlign w:val="bottom"/>
            <w:gridSpan w:val="28"/>
          </w:tcPr>
          <w:p>
            <w:pPr>
              <w:spacing w:after="0" w:line="189" w:lineRule="exact"/>
              <w:rPr>
                <w:sz w:val="20"/>
                <w:szCs w:val="20"/>
                <w:color w:val="auto"/>
              </w:rPr>
            </w:pPr>
            <w:r>
              <w:rPr>
                <w:rFonts w:ascii="Arial" w:cs="Arial" w:eastAsia="Arial" w:hAnsi="Arial"/>
                <w:sz w:val="18"/>
                <w:szCs w:val="18"/>
                <w:color w:val="0000FF"/>
              </w:rPr>
              <w:t>Note 12 - Derivatives and Hedging Activities</w:t>
            </w:r>
          </w:p>
        </w:tc>
        <w:tc>
          <w:tcPr>
            <w:tcW w:w="3340" w:type="dxa"/>
            <w:vAlign w:val="bottom"/>
            <w:gridSpan w:val="6"/>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43</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60" w:type="dxa"/>
            <w:vAlign w:val="bottom"/>
            <w:gridSpan w:val="26"/>
            <w:shd w:val="clear" w:color="auto" w:fill="CCEEFF"/>
          </w:tcPr>
          <w:p>
            <w:pPr>
              <w:spacing w:after="0" w:line="189" w:lineRule="exact"/>
              <w:rPr>
                <w:sz w:val="20"/>
                <w:szCs w:val="20"/>
                <w:color w:val="auto"/>
              </w:rPr>
            </w:pPr>
            <w:r>
              <w:rPr>
                <w:rFonts w:ascii="Arial" w:cs="Arial" w:eastAsia="Arial" w:hAnsi="Arial"/>
                <w:sz w:val="18"/>
                <w:szCs w:val="18"/>
                <w:color w:val="0000FF"/>
                <w:w w:val="99"/>
              </w:rPr>
              <w:t>Note 13 - Common Stock and Stockholders’ Equity</w:t>
            </w:r>
          </w:p>
        </w:tc>
        <w:tc>
          <w:tcPr>
            <w:tcW w:w="3860" w:type="dxa"/>
            <w:vAlign w:val="bottom"/>
            <w:gridSpan w:val="8"/>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43</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gridSpan w:val="26"/>
          </w:tcPr>
          <w:p>
            <w:pPr>
              <w:spacing w:after="0" w:line="189" w:lineRule="exact"/>
              <w:rPr>
                <w:sz w:val="20"/>
                <w:szCs w:val="20"/>
                <w:color w:val="auto"/>
              </w:rPr>
            </w:pPr>
            <w:r>
              <w:rPr>
                <w:rFonts w:ascii="Arial" w:cs="Arial" w:eastAsia="Arial" w:hAnsi="Arial"/>
                <w:sz w:val="18"/>
                <w:szCs w:val="18"/>
                <w:color w:val="0000FF"/>
              </w:rPr>
              <w:t>Note 14 - Net Income (Loss) per Share</w:t>
            </w:r>
          </w:p>
        </w:tc>
        <w:tc>
          <w:tcPr>
            <w:tcW w:w="3860" w:type="dxa"/>
            <w:vAlign w:val="bottom"/>
            <w:gridSpan w:val="8"/>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47</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w w:val="99"/>
              </w:rPr>
              <w:t>Note 15 - Leases</w:t>
            </w:r>
          </w:p>
        </w:tc>
        <w:tc>
          <w:tcPr>
            <w:tcW w:w="6540" w:type="dxa"/>
            <w:vAlign w:val="bottom"/>
            <w:gridSpan w:val="27"/>
            <w:shd w:val="clear" w:color="auto" w:fill="CCEEFF"/>
          </w:tcPr>
          <w:p>
            <w:pPr>
              <w:spacing w:after="0"/>
              <w:rPr>
                <w:sz w:val="16"/>
                <w:szCs w:val="16"/>
                <w:color w:val="auto"/>
              </w:rPr>
            </w:pP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49</w:t>
            </w:r>
          </w:p>
        </w:tc>
        <w:tc>
          <w:tcPr>
            <w:tcW w:w="2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20" w:type="dxa"/>
            <w:vAlign w:val="bottom"/>
            <w:gridSpan w:val="34"/>
          </w:tcPr>
          <w:p>
            <w:pPr>
              <w:spacing w:after="0" w:line="189" w:lineRule="exact"/>
              <w:rPr>
                <w:sz w:val="20"/>
                <w:szCs w:val="20"/>
                <w:color w:val="auto"/>
              </w:rPr>
            </w:pPr>
            <w:r>
              <w:rPr>
                <w:rFonts w:ascii="Arial" w:cs="Arial" w:eastAsia="Arial" w:hAnsi="Arial"/>
                <w:sz w:val="18"/>
                <w:szCs w:val="18"/>
                <w:color w:val="0000FF"/>
              </w:rPr>
              <w:t>Note 16 - Commitments &amp; Contingencies</w:t>
            </w: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49</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2.</w:t>
            </w:r>
          </w:p>
        </w:tc>
        <w:tc>
          <w:tcPr>
            <w:tcW w:w="200" w:type="dxa"/>
            <w:vAlign w:val="bottom"/>
            <w:shd w:val="clear" w:color="auto" w:fill="CCEEFF"/>
          </w:tcPr>
          <w:p>
            <w:pPr>
              <w:spacing w:after="0"/>
              <w:rPr>
                <w:sz w:val="16"/>
                <w:szCs w:val="16"/>
                <w:color w:val="auto"/>
              </w:rPr>
            </w:pPr>
          </w:p>
        </w:tc>
        <w:tc>
          <w:tcPr>
            <w:tcW w:w="8140" w:type="dxa"/>
            <w:vAlign w:val="bottom"/>
            <w:gridSpan w:val="35"/>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57</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3.</w:t>
            </w:r>
          </w:p>
        </w:tc>
        <w:tc>
          <w:tcPr>
            <w:tcW w:w="200" w:type="dxa"/>
            <w:vAlign w:val="bottom"/>
          </w:tcPr>
          <w:p>
            <w:pPr>
              <w:spacing w:after="0"/>
              <w:rPr>
                <w:sz w:val="16"/>
                <w:szCs w:val="16"/>
                <w:color w:val="auto"/>
              </w:rPr>
            </w:pPr>
          </w:p>
        </w:tc>
        <w:tc>
          <w:tcPr>
            <w:tcW w:w="7080" w:type="dxa"/>
            <w:vAlign w:val="bottom"/>
            <w:gridSpan w:val="34"/>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060" w:type="dxa"/>
            <w:vAlign w:val="bottom"/>
          </w:tcPr>
          <w:p>
            <w:pPr>
              <w:spacing w:after="0"/>
              <w:rPr>
                <w:sz w:val="16"/>
                <w:szCs w:val="16"/>
                <w:color w:val="auto"/>
              </w:rPr>
            </w:pPr>
          </w:p>
        </w:tc>
        <w:tc>
          <w:tcPr>
            <w:tcW w:w="1600" w:type="dxa"/>
            <w:vAlign w:val="bottom"/>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74</w:t>
            </w:r>
          </w:p>
        </w:tc>
        <w:tc>
          <w:tcPr>
            <w:tcW w:w="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4.</w:t>
            </w:r>
          </w:p>
        </w:tc>
        <w:tc>
          <w:tcPr>
            <w:tcW w:w="8340" w:type="dxa"/>
            <w:vAlign w:val="bottom"/>
            <w:gridSpan w:val="36"/>
            <w:shd w:val="clear" w:color="auto" w:fill="CCEEFF"/>
          </w:tcPr>
          <w:p>
            <w:pPr>
              <w:ind w:left="200"/>
              <w:spacing w:after="0" w:line="189" w:lineRule="exact"/>
              <w:rPr>
                <w:sz w:val="20"/>
                <w:szCs w:val="20"/>
                <w:color w:val="auto"/>
              </w:rPr>
            </w:pPr>
            <w:r>
              <w:rPr>
                <w:rFonts w:ascii="Arial" w:cs="Arial" w:eastAsia="Arial" w:hAnsi="Arial"/>
                <w:sz w:val="18"/>
                <w:szCs w:val="18"/>
                <w:color w:val="0000FF"/>
              </w:rPr>
              <w:t>Controls and Procedures</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75</w:t>
            </w:r>
          </w:p>
        </w:tc>
        <w:tc>
          <w:tcPr>
            <w:tcW w:w="280" w:type="dxa"/>
            <w:vAlign w:val="bottom"/>
            <w:shd w:val="clear" w:color="auto" w:fill="CCEEFF"/>
          </w:tcPr>
          <w:p>
            <w:pPr>
              <w:spacing w:after="0"/>
              <w:rPr>
                <w:sz w:val="18"/>
                <w:szCs w:val="18"/>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1200" w:type="dxa"/>
            <w:vAlign w:val="bottom"/>
            <w:tcBorders>
              <w:top w:val="single" w:sz="8" w:color="CCEEFF"/>
            </w:tcBorders>
            <w:gridSpan w:val="2"/>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32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1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r>
      <w:tr>
        <w:trPr>
          <w:trHeight w:val="210"/>
        </w:trPr>
        <w:tc>
          <w:tcPr>
            <w:tcW w:w="20" w:type="dxa"/>
            <w:vAlign w:val="bottom"/>
            <w:shd w:val="clear" w:color="auto" w:fill="CCEEFF"/>
          </w:tcPr>
          <w:p>
            <w:pPr>
              <w:spacing w:after="0"/>
              <w:rPr>
                <w:sz w:val="18"/>
                <w:szCs w:val="18"/>
                <w:color w:val="auto"/>
              </w:rPr>
            </w:pPr>
          </w:p>
        </w:tc>
        <w:tc>
          <w:tcPr>
            <w:tcW w:w="9340" w:type="dxa"/>
            <w:vAlign w:val="bottom"/>
            <w:gridSpan w:val="37"/>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000" w:type="dxa"/>
            <w:vAlign w:val="bottom"/>
            <w:tcBorders>
              <w:top w:val="single" w:sz="8" w:color="0000FF"/>
            </w:tcBorders>
          </w:tcPr>
          <w:p>
            <w:pPr>
              <w:ind w:left="40"/>
              <w:spacing w:after="0" w:line="189" w:lineRule="exact"/>
              <w:rPr>
                <w:sz w:val="20"/>
                <w:szCs w:val="20"/>
                <w:color w:val="auto"/>
              </w:rPr>
            </w:pPr>
            <w:r>
              <w:rPr>
                <w:rFonts w:ascii="Arial" w:cs="Arial" w:eastAsia="Arial" w:hAnsi="Arial"/>
                <w:sz w:val="18"/>
                <w:szCs w:val="18"/>
                <w:color w:val="auto"/>
              </w:rPr>
              <w:t>ITEM 1.</w:t>
            </w:r>
          </w:p>
        </w:tc>
        <w:tc>
          <w:tcPr>
            <w:tcW w:w="1720" w:type="dxa"/>
            <w:vAlign w:val="bottom"/>
            <w:tcBorders>
              <w:top w:val="single" w:sz="8" w:color="0000FF"/>
            </w:tcBorders>
            <w:gridSpan w:val="8"/>
          </w:tcPr>
          <w:p>
            <w:pPr>
              <w:ind w:left="200"/>
              <w:spacing w:after="0" w:line="189" w:lineRule="exact"/>
              <w:rPr>
                <w:sz w:val="20"/>
                <w:szCs w:val="20"/>
                <w:color w:val="auto"/>
              </w:rPr>
            </w:pPr>
            <w:r>
              <w:rPr>
                <w:rFonts w:ascii="Arial" w:cs="Arial" w:eastAsia="Arial" w:hAnsi="Arial"/>
                <w:sz w:val="18"/>
                <w:szCs w:val="18"/>
                <w:color w:val="0000FF"/>
              </w:rPr>
              <w:t>Legal Proceedings</w:t>
            </w:r>
          </w:p>
        </w:tc>
        <w:tc>
          <w:tcPr>
            <w:tcW w:w="6620" w:type="dxa"/>
            <w:vAlign w:val="bottom"/>
            <w:tcBorders>
              <w:top w:val="single" w:sz="8" w:color="CCEEFF"/>
            </w:tcBorders>
            <w:gridSpan w:val="28"/>
          </w:tcPr>
          <w:p>
            <w:pPr>
              <w:spacing w:after="0"/>
              <w:rPr>
                <w:sz w:val="16"/>
                <w:szCs w:val="16"/>
                <w:color w:val="auto"/>
              </w:rPr>
            </w:pPr>
          </w:p>
        </w:tc>
        <w:tc>
          <w:tcPr>
            <w:tcW w:w="1600" w:type="dxa"/>
            <w:vAlign w:val="bottom"/>
            <w:tcBorders>
              <w:top w:val="single" w:sz="8" w:color="CCEEFF"/>
            </w:tcBorders>
            <w:gridSpan w:val="5"/>
          </w:tcPr>
          <w:p>
            <w:pPr>
              <w:jc w:val="center"/>
              <w:ind w:left="1230"/>
              <w:spacing w:after="0" w:line="189" w:lineRule="exact"/>
              <w:rPr>
                <w:sz w:val="20"/>
                <w:szCs w:val="20"/>
                <w:color w:val="auto"/>
              </w:rPr>
            </w:pPr>
            <w:r>
              <w:rPr>
                <w:rFonts w:ascii="Arial" w:cs="Arial" w:eastAsia="Arial" w:hAnsi="Arial"/>
                <w:sz w:val="18"/>
                <w:szCs w:val="18"/>
                <w:color w:val="0000FF"/>
                <w:w w:val="99"/>
              </w:rPr>
              <w:t>77</w:t>
            </w:r>
          </w:p>
        </w:tc>
        <w:tc>
          <w:tcPr>
            <w:tcW w:w="28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1A.</w:t>
            </w:r>
          </w:p>
        </w:tc>
        <w:tc>
          <w:tcPr>
            <w:tcW w:w="200" w:type="dxa"/>
            <w:vAlign w:val="bottom"/>
            <w:shd w:val="clear" w:color="auto" w:fill="CCEEFF"/>
          </w:tcPr>
          <w:p>
            <w:pPr>
              <w:spacing w:after="0"/>
              <w:rPr>
                <w:sz w:val="16"/>
                <w:szCs w:val="16"/>
                <w:color w:val="auto"/>
              </w:rPr>
            </w:pPr>
          </w:p>
        </w:tc>
        <w:tc>
          <w:tcPr>
            <w:tcW w:w="8140" w:type="dxa"/>
            <w:vAlign w:val="bottom"/>
            <w:gridSpan w:val="35"/>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1600" w:type="dxa"/>
            <w:vAlign w:val="bottom"/>
            <w:gridSpan w:val="5"/>
            <w:shd w:val="clear" w:color="auto" w:fill="CCEEFF"/>
          </w:tcPr>
          <w:p>
            <w:pPr>
              <w:jc w:val="center"/>
              <w:ind w:left="1230"/>
              <w:spacing w:after="0" w:line="189" w:lineRule="exact"/>
              <w:rPr>
                <w:sz w:val="20"/>
                <w:szCs w:val="20"/>
                <w:color w:val="auto"/>
              </w:rPr>
            </w:pPr>
            <w:r>
              <w:rPr>
                <w:rFonts w:ascii="Arial" w:cs="Arial" w:eastAsia="Arial" w:hAnsi="Arial"/>
                <w:sz w:val="18"/>
                <w:szCs w:val="18"/>
                <w:color w:val="0000FF"/>
                <w:w w:val="99"/>
              </w:rPr>
              <w:t>78</w:t>
            </w:r>
          </w:p>
        </w:tc>
        <w:tc>
          <w:tcPr>
            <w:tcW w:w="2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6"/>
                <w:szCs w:val="16"/>
                <w:color w:val="auto"/>
              </w:rPr>
            </w:pPr>
          </w:p>
        </w:tc>
        <w:tc>
          <w:tcPr>
            <w:tcW w:w="8140" w:type="dxa"/>
            <w:vAlign w:val="bottom"/>
            <w:gridSpan w:val="35"/>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1880" w:type="dxa"/>
            <w:vAlign w:val="bottom"/>
            <w:gridSpan w:val="6"/>
          </w:tcPr>
          <w:p>
            <w:pPr>
              <w:jc w:val="center"/>
              <w:ind w:left="930"/>
              <w:spacing w:after="0" w:line="189" w:lineRule="exact"/>
              <w:rPr>
                <w:sz w:val="20"/>
                <w:szCs w:val="20"/>
                <w:color w:val="auto"/>
              </w:rPr>
            </w:pPr>
            <w:r>
              <w:rPr>
                <w:rFonts w:ascii="Arial" w:cs="Arial" w:eastAsia="Arial" w:hAnsi="Arial"/>
                <w:sz w:val="18"/>
                <w:szCs w:val="18"/>
                <w:color w:val="0000FF"/>
                <w:w w:val="99"/>
              </w:rPr>
              <w:t>160</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3.</w:t>
            </w:r>
          </w:p>
        </w:tc>
        <w:tc>
          <w:tcPr>
            <w:tcW w:w="200" w:type="dxa"/>
            <w:vAlign w:val="bottom"/>
            <w:shd w:val="clear" w:color="auto" w:fill="CCEEFF"/>
          </w:tcPr>
          <w:p>
            <w:pPr>
              <w:spacing w:after="0"/>
              <w:rPr>
                <w:sz w:val="16"/>
                <w:szCs w:val="16"/>
                <w:color w:val="auto"/>
              </w:rPr>
            </w:pPr>
          </w:p>
        </w:tc>
        <w:tc>
          <w:tcPr>
            <w:tcW w:w="256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9"/>
              </w:rPr>
              <w:t>Defaults Upon Senior Securities</w:t>
            </w:r>
          </w:p>
        </w:tc>
        <w:tc>
          <w:tcPr>
            <w:tcW w:w="5580" w:type="dxa"/>
            <w:vAlign w:val="bottom"/>
            <w:gridSpan w:val="21"/>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80" w:type="dxa"/>
            <w:vAlign w:val="bottom"/>
            <w:gridSpan w:val="5"/>
            <w:shd w:val="clear" w:color="auto" w:fill="CCEEFF"/>
          </w:tcPr>
          <w:p>
            <w:pPr>
              <w:jc w:val="center"/>
              <w:ind w:right="280"/>
              <w:spacing w:after="0" w:line="189" w:lineRule="exact"/>
              <w:rPr>
                <w:sz w:val="20"/>
                <w:szCs w:val="20"/>
                <w:color w:val="auto"/>
              </w:rPr>
            </w:pPr>
            <w:r>
              <w:rPr>
                <w:rFonts w:ascii="Arial" w:cs="Arial" w:eastAsia="Arial" w:hAnsi="Arial"/>
                <w:sz w:val="18"/>
                <w:szCs w:val="18"/>
                <w:color w:val="0000FF"/>
                <w:w w:val="99"/>
              </w:rPr>
              <w:t>161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6"/>
                <w:szCs w:val="16"/>
                <w:color w:val="auto"/>
              </w:rPr>
            </w:pPr>
          </w:p>
        </w:tc>
        <w:tc>
          <w:tcPr>
            <w:tcW w:w="2560" w:type="dxa"/>
            <w:vAlign w:val="bottom"/>
            <w:gridSpan w:val="14"/>
          </w:tcPr>
          <w:p>
            <w:pPr>
              <w:spacing w:after="0" w:line="189" w:lineRule="exact"/>
              <w:rPr>
                <w:sz w:val="20"/>
                <w:szCs w:val="20"/>
                <w:color w:val="auto"/>
              </w:rPr>
            </w:pPr>
            <w:r>
              <w:rPr>
                <w:rFonts w:ascii="Arial" w:cs="Arial" w:eastAsia="Arial" w:hAnsi="Arial"/>
                <w:sz w:val="18"/>
                <w:szCs w:val="18"/>
                <w:color w:val="0000FF"/>
              </w:rPr>
              <w:t>Mine Safety Disclosures</w:t>
            </w:r>
          </w:p>
        </w:tc>
        <w:tc>
          <w:tcPr>
            <w:tcW w:w="5580" w:type="dxa"/>
            <w:vAlign w:val="bottom"/>
            <w:gridSpan w:val="21"/>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gridSpan w:val="5"/>
          </w:tcPr>
          <w:p>
            <w:pPr>
              <w:jc w:val="center"/>
              <w:ind w:right="280"/>
              <w:spacing w:after="0" w:line="189" w:lineRule="exact"/>
              <w:rPr>
                <w:sz w:val="20"/>
                <w:szCs w:val="20"/>
                <w:color w:val="auto"/>
              </w:rPr>
            </w:pPr>
            <w:r>
              <w:rPr>
                <w:rFonts w:ascii="Arial" w:cs="Arial" w:eastAsia="Arial" w:hAnsi="Arial"/>
                <w:sz w:val="18"/>
                <w:szCs w:val="18"/>
                <w:color w:val="0000FF"/>
                <w:w w:val="99"/>
              </w:rPr>
              <w:t>161</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5.</w:t>
            </w:r>
          </w:p>
        </w:tc>
        <w:tc>
          <w:tcPr>
            <w:tcW w:w="200" w:type="dxa"/>
            <w:vAlign w:val="bottom"/>
            <w:shd w:val="clear" w:color="auto" w:fill="CCEEFF"/>
          </w:tcPr>
          <w:p>
            <w:pPr>
              <w:spacing w:after="0"/>
              <w:rPr>
                <w:sz w:val="16"/>
                <w:szCs w:val="16"/>
                <w:color w:val="auto"/>
              </w:rPr>
            </w:pPr>
          </w:p>
        </w:tc>
        <w:tc>
          <w:tcPr>
            <w:tcW w:w="8140" w:type="dxa"/>
            <w:vAlign w:val="bottom"/>
            <w:gridSpan w:val="35"/>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1880" w:type="dxa"/>
            <w:vAlign w:val="bottom"/>
            <w:gridSpan w:val="6"/>
            <w:shd w:val="clear" w:color="auto" w:fill="CCEEFF"/>
          </w:tcPr>
          <w:p>
            <w:pPr>
              <w:jc w:val="center"/>
              <w:ind w:left="930"/>
              <w:spacing w:after="0" w:line="189" w:lineRule="exact"/>
              <w:rPr>
                <w:sz w:val="20"/>
                <w:szCs w:val="20"/>
                <w:color w:val="auto"/>
              </w:rPr>
            </w:pPr>
            <w:r>
              <w:rPr>
                <w:rFonts w:ascii="Arial" w:cs="Arial" w:eastAsia="Arial" w:hAnsi="Arial"/>
                <w:sz w:val="18"/>
                <w:szCs w:val="18"/>
                <w:color w:val="0000FF"/>
                <w:w w:val="99"/>
              </w:rPr>
              <w:t>161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ind w:left="40"/>
              <w:spacing w:after="0" w:line="189" w:lineRule="exact"/>
              <w:rPr>
                <w:sz w:val="20"/>
                <w:szCs w:val="20"/>
                <w:color w:val="auto"/>
              </w:rPr>
            </w:pPr>
            <w:r>
              <w:rPr>
                <w:rFonts w:ascii="Arial" w:cs="Arial" w:eastAsia="Arial" w:hAnsi="Arial"/>
                <w:sz w:val="18"/>
                <w:szCs w:val="18"/>
                <w:color w:val="auto"/>
              </w:rPr>
              <w:t>ITEM 6.</w:t>
            </w:r>
          </w:p>
        </w:tc>
        <w:tc>
          <w:tcPr>
            <w:tcW w:w="200" w:type="dxa"/>
            <w:vAlign w:val="bottom"/>
          </w:tcPr>
          <w:p>
            <w:pPr>
              <w:spacing w:after="0"/>
              <w:rPr>
                <w:sz w:val="16"/>
                <w:szCs w:val="16"/>
                <w:color w:val="auto"/>
              </w:rPr>
            </w:pPr>
          </w:p>
        </w:tc>
        <w:tc>
          <w:tcPr>
            <w:tcW w:w="1400" w:type="dxa"/>
            <w:vAlign w:val="bottom"/>
            <w:gridSpan w:val="5"/>
          </w:tcPr>
          <w:p>
            <w:pPr>
              <w:spacing w:after="0" w:line="189" w:lineRule="exact"/>
              <w:rPr>
                <w:sz w:val="20"/>
                <w:szCs w:val="20"/>
                <w:color w:val="auto"/>
              </w:rPr>
            </w:pPr>
            <w:r>
              <w:rPr>
                <w:rFonts w:ascii="Arial" w:cs="Arial" w:eastAsia="Arial" w:hAnsi="Arial"/>
                <w:sz w:val="18"/>
                <w:szCs w:val="18"/>
                <w:color w:val="0000FF"/>
              </w:rPr>
              <w:t>Exhibit Index</w:t>
            </w:r>
          </w:p>
        </w:tc>
        <w:tc>
          <w:tcPr>
            <w:tcW w:w="6740" w:type="dxa"/>
            <w:vAlign w:val="bottom"/>
            <w:gridSpan w:val="30"/>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gridSpan w:val="5"/>
          </w:tcPr>
          <w:p>
            <w:pPr>
              <w:jc w:val="center"/>
              <w:ind w:right="280"/>
              <w:spacing w:after="0" w:line="189" w:lineRule="exact"/>
              <w:rPr>
                <w:sz w:val="20"/>
                <w:szCs w:val="20"/>
                <w:color w:val="auto"/>
              </w:rPr>
            </w:pPr>
            <w:r>
              <w:rPr>
                <w:rFonts w:ascii="Arial" w:cs="Arial" w:eastAsia="Arial" w:hAnsi="Arial"/>
                <w:sz w:val="18"/>
                <w:szCs w:val="18"/>
                <w:color w:val="0000FF"/>
                <w:w w:val="99"/>
              </w:rPr>
              <w:t>162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340" w:type="dxa"/>
            <w:vAlign w:val="bottom"/>
            <w:gridSpan w:val="36"/>
            <w:shd w:val="clear" w:color="auto" w:fill="CCEEFF"/>
          </w:tcPr>
          <w:p>
            <w:pPr>
              <w:ind w:left="200"/>
              <w:spacing w:after="0" w:line="189" w:lineRule="exact"/>
              <w:rPr>
                <w:sz w:val="20"/>
                <w:szCs w:val="20"/>
                <w:color w:val="auto"/>
              </w:rPr>
            </w:pPr>
            <w:r>
              <w:rPr>
                <w:rFonts w:ascii="Arial" w:cs="Arial" w:eastAsia="Arial" w:hAnsi="Arial"/>
                <w:sz w:val="18"/>
                <w:szCs w:val="18"/>
                <w:color w:val="0000FF"/>
              </w:rPr>
              <w:t>Signatures</w:t>
            </w:r>
          </w:p>
        </w:tc>
        <w:tc>
          <w:tcPr>
            <w:tcW w:w="1880" w:type="dxa"/>
            <w:vAlign w:val="bottom"/>
            <w:gridSpan w:val="6"/>
            <w:shd w:val="clear" w:color="auto" w:fill="CCEEFF"/>
          </w:tcPr>
          <w:p>
            <w:pPr>
              <w:jc w:val="center"/>
              <w:ind w:left="930"/>
              <w:spacing w:after="0" w:line="189" w:lineRule="exact"/>
              <w:rPr>
                <w:sz w:val="20"/>
                <w:szCs w:val="20"/>
                <w:color w:val="auto"/>
              </w:rPr>
            </w:pPr>
            <w:r>
              <w:rPr>
                <w:rFonts w:ascii="Arial" w:cs="Arial" w:eastAsia="Arial" w:hAnsi="Arial"/>
                <w:sz w:val="18"/>
                <w:szCs w:val="18"/>
                <w:color w:val="0000FF"/>
                <w:w w:val="99"/>
              </w:rPr>
              <w:t>163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Glossary of Terms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terms, abbreviations and acronyms are used to identify frequently used terms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Abbreviation and Meaning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1940 Act</w:t>
            </w:r>
          </w:p>
        </w:tc>
        <w:tc>
          <w:tcPr>
            <w:tcW w:w="4600" w:type="dxa"/>
            <w:vAlign w:val="bottom"/>
          </w:tcPr>
          <w:p>
            <w:pPr>
              <w:ind w:left="140"/>
              <w:spacing w:after="0"/>
              <w:rPr>
                <w:sz w:val="20"/>
                <w:szCs w:val="20"/>
                <w:color w:val="auto"/>
              </w:rPr>
            </w:pPr>
            <w:r>
              <w:rPr>
                <w:rFonts w:ascii="Arial" w:cs="Arial" w:eastAsia="Arial" w:hAnsi="Arial"/>
                <w:sz w:val="10"/>
                <w:szCs w:val="10"/>
                <w:color w:val="auto"/>
              </w:rPr>
              <w:t>Investment Company Act of 1940, as amended</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DFAL</w:t>
            </w:r>
          </w:p>
        </w:tc>
        <w:tc>
          <w:tcPr>
            <w:tcW w:w="4540" w:type="dxa"/>
            <w:vAlign w:val="bottom"/>
          </w:tcPr>
          <w:p>
            <w:pPr>
              <w:ind w:left="60"/>
              <w:spacing w:after="0"/>
              <w:rPr>
                <w:sz w:val="20"/>
                <w:szCs w:val="20"/>
                <w:color w:val="auto"/>
              </w:rPr>
            </w:pPr>
            <w:r>
              <w:rPr>
                <w:rFonts w:ascii="Arial" w:cs="Arial" w:eastAsia="Arial" w:hAnsi="Arial"/>
                <w:sz w:val="10"/>
                <w:szCs w:val="10"/>
                <w:color w:val="auto"/>
              </w:rPr>
              <w:t>Digital Financial Assets Law</w:t>
            </w:r>
          </w:p>
        </w:tc>
      </w:tr>
      <w:tr>
        <w:trPr>
          <w:trHeight w:val="158"/>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2013 Plan</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Amended and Restated 2013 Stock Plan, as amended</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DFSA</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Dubai Financial Services Authority</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2020 Plan</w:t>
            </w:r>
          </w:p>
        </w:tc>
        <w:tc>
          <w:tcPr>
            <w:tcW w:w="4600" w:type="dxa"/>
            <w:vAlign w:val="bottom"/>
          </w:tcPr>
          <w:p>
            <w:pPr>
              <w:ind w:left="140"/>
              <w:spacing w:after="0"/>
              <w:rPr>
                <w:sz w:val="20"/>
                <w:szCs w:val="20"/>
                <w:color w:val="auto"/>
              </w:rPr>
            </w:pPr>
            <w:r>
              <w:rPr>
                <w:rFonts w:ascii="Arial" w:cs="Arial" w:eastAsia="Arial" w:hAnsi="Arial"/>
                <w:sz w:val="10"/>
                <w:szCs w:val="10"/>
                <w:color w:val="auto"/>
              </w:rPr>
              <w:t>2020 Equity Incentive Plan, as amended</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DIFC</w:t>
            </w:r>
          </w:p>
        </w:tc>
        <w:tc>
          <w:tcPr>
            <w:tcW w:w="4540" w:type="dxa"/>
            <w:vAlign w:val="bottom"/>
          </w:tcPr>
          <w:p>
            <w:pPr>
              <w:ind w:left="60"/>
              <w:spacing w:after="0"/>
              <w:rPr>
                <w:sz w:val="20"/>
                <w:szCs w:val="20"/>
                <w:color w:val="auto"/>
              </w:rPr>
            </w:pPr>
            <w:r>
              <w:rPr>
                <w:rFonts w:ascii="Arial" w:cs="Arial" w:eastAsia="Arial" w:hAnsi="Arial"/>
                <w:sz w:val="10"/>
                <w:szCs w:val="10"/>
                <w:color w:val="auto"/>
              </w:rPr>
              <w:t>Dubai International Financial Centre</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2021 Plan</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2021 Omnibus Incentive Plan</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DOJ</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U.S. Department of Justice</w:t>
            </w:r>
          </w:p>
        </w:tc>
      </w:tr>
      <w:tr>
        <w:trPr>
          <w:trHeight w:val="153"/>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Adjusted EBITDA</w:t>
            </w:r>
          </w:p>
        </w:tc>
        <w:tc>
          <w:tcPr>
            <w:tcW w:w="4600" w:type="dxa"/>
            <w:vAlign w:val="bottom"/>
          </w:tcPr>
          <w:p>
            <w:pPr>
              <w:ind w:left="140"/>
              <w:spacing w:after="0"/>
              <w:rPr>
                <w:sz w:val="20"/>
                <w:szCs w:val="20"/>
                <w:color w:val="auto"/>
              </w:rPr>
            </w:pPr>
            <w:r>
              <w:rPr>
                <w:rFonts w:ascii="Arial" w:cs="Arial" w:eastAsia="Arial" w:hAnsi="Arial"/>
                <w:sz w:val="10"/>
                <w:szCs w:val="10"/>
                <w:color w:val="auto"/>
              </w:rPr>
              <w:t>Adjusted earnings before interest, taxes, depreciation, and amortization</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DTC</w:t>
            </w:r>
          </w:p>
        </w:tc>
        <w:tc>
          <w:tcPr>
            <w:tcW w:w="4540" w:type="dxa"/>
            <w:vAlign w:val="bottom"/>
          </w:tcPr>
          <w:p>
            <w:pPr>
              <w:ind w:left="60"/>
              <w:spacing w:after="0"/>
              <w:rPr>
                <w:sz w:val="20"/>
                <w:szCs w:val="20"/>
                <w:color w:val="auto"/>
              </w:rPr>
            </w:pPr>
            <w:r>
              <w:rPr>
                <w:rFonts w:ascii="Arial" w:cs="Arial" w:eastAsia="Arial" w:hAnsi="Arial"/>
                <w:sz w:val="10"/>
                <w:szCs w:val="10"/>
                <w:color w:val="auto"/>
              </w:rPr>
              <w:t>The Depository Trust Company</w:t>
            </w:r>
          </w:p>
        </w:tc>
      </w:tr>
      <w:tr>
        <w:trPr>
          <w:trHeight w:val="17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Advisers Act</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Investment Advisers Act of 1940</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EBS</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Electronic Blue Sheets</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AI</w:t>
            </w:r>
          </w:p>
        </w:tc>
        <w:tc>
          <w:tcPr>
            <w:tcW w:w="4600" w:type="dxa"/>
            <w:vAlign w:val="bottom"/>
          </w:tcPr>
          <w:p>
            <w:pPr>
              <w:ind w:left="140"/>
              <w:spacing w:after="0"/>
              <w:rPr>
                <w:sz w:val="20"/>
                <w:szCs w:val="20"/>
                <w:color w:val="auto"/>
              </w:rPr>
            </w:pPr>
            <w:r>
              <w:rPr>
                <w:rFonts w:ascii="Arial" w:cs="Arial" w:eastAsia="Arial" w:hAnsi="Arial"/>
                <w:sz w:val="10"/>
                <w:szCs w:val="10"/>
                <w:color w:val="auto"/>
              </w:rPr>
              <w:t>Artificial Intelligence</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EEA</w:t>
            </w:r>
          </w:p>
        </w:tc>
        <w:tc>
          <w:tcPr>
            <w:tcW w:w="4540" w:type="dxa"/>
            <w:vAlign w:val="bottom"/>
          </w:tcPr>
          <w:p>
            <w:pPr>
              <w:ind w:left="60"/>
              <w:spacing w:after="0"/>
              <w:rPr>
                <w:sz w:val="20"/>
                <w:szCs w:val="20"/>
                <w:color w:val="auto"/>
              </w:rPr>
            </w:pPr>
            <w:r>
              <w:rPr>
                <w:rFonts w:ascii="Arial" w:cs="Arial" w:eastAsia="Arial" w:hAnsi="Arial"/>
                <w:sz w:val="10"/>
                <w:szCs w:val="10"/>
                <w:color w:val="auto"/>
              </w:rPr>
              <w:t>European Economic Area</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AML</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Anti-money Laundering</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EFTA</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Electronic Funds Transfer Act</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ASC</w:t>
            </w:r>
          </w:p>
        </w:tc>
        <w:tc>
          <w:tcPr>
            <w:tcW w:w="4600" w:type="dxa"/>
            <w:vAlign w:val="bottom"/>
          </w:tcPr>
          <w:p>
            <w:pPr>
              <w:ind w:left="140"/>
              <w:spacing w:after="0"/>
              <w:rPr>
                <w:sz w:val="20"/>
                <w:szCs w:val="20"/>
                <w:color w:val="auto"/>
              </w:rPr>
            </w:pPr>
            <w:r>
              <w:rPr>
                <w:rFonts w:ascii="Arial" w:cs="Arial" w:eastAsia="Arial" w:hAnsi="Arial"/>
                <w:sz w:val="10"/>
                <w:szCs w:val="10"/>
                <w:color w:val="auto"/>
              </w:rPr>
              <w:t>Accounting Standards Codification</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EPS</w:t>
            </w:r>
          </w:p>
        </w:tc>
        <w:tc>
          <w:tcPr>
            <w:tcW w:w="4540" w:type="dxa"/>
            <w:vAlign w:val="bottom"/>
          </w:tcPr>
          <w:p>
            <w:pPr>
              <w:ind w:left="60"/>
              <w:spacing w:after="0"/>
              <w:rPr>
                <w:sz w:val="20"/>
                <w:szCs w:val="20"/>
                <w:color w:val="auto"/>
              </w:rPr>
            </w:pPr>
            <w:r>
              <w:rPr>
                <w:rFonts w:ascii="Arial" w:cs="Arial" w:eastAsia="Arial" w:hAnsi="Arial"/>
                <w:sz w:val="10"/>
                <w:szCs w:val="10"/>
                <w:color w:val="auto"/>
              </w:rPr>
              <w:t>Earnings (loss) per share</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ASU</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Accounting Standards Update</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ERM</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Enterprise Risk Management</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Barclays</w:t>
            </w:r>
          </w:p>
        </w:tc>
        <w:tc>
          <w:tcPr>
            <w:tcW w:w="4600" w:type="dxa"/>
            <w:vAlign w:val="bottom"/>
          </w:tcPr>
          <w:p>
            <w:pPr>
              <w:ind w:left="140"/>
              <w:spacing w:after="0"/>
              <w:rPr>
                <w:sz w:val="20"/>
                <w:szCs w:val="20"/>
                <w:color w:val="auto"/>
              </w:rPr>
            </w:pPr>
            <w:r>
              <w:rPr>
                <w:rFonts w:ascii="Arial" w:cs="Arial" w:eastAsia="Arial" w:hAnsi="Arial"/>
                <w:sz w:val="10"/>
                <w:szCs w:val="10"/>
                <w:color w:val="auto"/>
              </w:rPr>
              <w:t>Barclays Bank PLC</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ESPP</w:t>
            </w:r>
          </w:p>
        </w:tc>
        <w:tc>
          <w:tcPr>
            <w:tcW w:w="4540" w:type="dxa"/>
            <w:vAlign w:val="bottom"/>
          </w:tcPr>
          <w:p>
            <w:pPr>
              <w:ind w:left="60"/>
              <w:spacing w:after="0"/>
              <w:rPr>
                <w:sz w:val="20"/>
                <w:szCs w:val="20"/>
                <w:color w:val="auto"/>
              </w:rPr>
            </w:pPr>
            <w:r>
              <w:rPr>
                <w:rFonts w:ascii="Arial" w:cs="Arial" w:eastAsia="Arial" w:hAnsi="Arial"/>
                <w:sz w:val="10"/>
                <w:szCs w:val="10"/>
                <w:color w:val="auto"/>
              </w:rPr>
              <w:t>Employee Share Purchase Plan</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Binance</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Binance Holdings Ltd., and its affiliated U.S. entity, among others</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ETPs</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Exchange Traded Products</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Bitstamp</w:t>
            </w:r>
          </w:p>
        </w:tc>
        <w:tc>
          <w:tcPr>
            <w:tcW w:w="4600" w:type="dxa"/>
            <w:vAlign w:val="bottom"/>
          </w:tcPr>
          <w:p>
            <w:pPr>
              <w:ind w:left="140"/>
              <w:spacing w:after="0"/>
              <w:rPr>
                <w:sz w:val="20"/>
                <w:szCs w:val="20"/>
                <w:color w:val="auto"/>
              </w:rPr>
            </w:pPr>
            <w:r>
              <w:rPr>
                <w:rFonts w:ascii="Arial" w:cs="Arial" w:eastAsia="Arial" w:hAnsi="Arial"/>
                <w:sz w:val="10"/>
                <w:szCs w:val="10"/>
                <w:color w:val="auto"/>
              </w:rPr>
              <w:t>Bitstamp Ltd.</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ETR</w:t>
            </w:r>
          </w:p>
        </w:tc>
        <w:tc>
          <w:tcPr>
            <w:tcW w:w="4540" w:type="dxa"/>
            <w:vAlign w:val="bottom"/>
          </w:tcPr>
          <w:p>
            <w:pPr>
              <w:ind w:left="60"/>
              <w:spacing w:after="0"/>
              <w:rPr>
                <w:sz w:val="20"/>
                <w:szCs w:val="20"/>
                <w:color w:val="auto"/>
              </w:rPr>
            </w:pPr>
            <w:r>
              <w:rPr>
                <w:rFonts w:ascii="Arial" w:cs="Arial" w:eastAsia="Arial" w:hAnsi="Arial"/>
                <w:sz w:val="10"/>
                <w:szCs w:val="10"/>
                <w:color w:val="auto"/>
              </w:rPr>
              <w:t>Estimated annual effective tax rate</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BOATS</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Blue Oceans ATS, LLC</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EU</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The European Union</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BSV</w:t>
            </w:r>
          </w:p>
        </w:tc>
        <w:tc>
          <w:tcPr>
            <w:tcW w:w="4600" w:type="dxa"/>
            <w:vAlign w:val="bottom"/>
          </w:tcPr>
          <w:p>
            <w:pPr>
              <w:ind w:left="140"/>
              <w:spacing w:after="0"/>
              <w:rPr>
                <w:sz w:val="20"/>
                <w:szCs w:val="20"/>
                <w:color w:val="auto"/>
              </w:rPr>
            </w:pPr>
            <w:r>
              <w:rPr>
                <w:rFonts w:ascii="Arial" w:cs="Arial" w:eastAsia="Arial" w:hAnsi="Arial"/>
                <w:sz w:val="10"/>
                <w:szCs w:val="10"/>
                <w:color w:val="auto"/>
              </w:rPr>
              <w:t>Bitcoin SV</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Exchange Act</w:t>
            </w:r>
          </w:p>
        </w:tc>
        <w:tc>
          <w:tcPr>
            <w:tcW w:w="4540" w:type="dxa"/>
            <w:vAlign w:val="bottom"/>
          </w:tcPr>
          <w:p>
            <w:pPr>
              <w:ind w:left="60"/>
              <w:spacing w:after="0"/>
              <w:rPr>
                <w:sz w:val="20"/>
                <w:szCs w:val="20"/>
                <w:color w:val="auto"/>
              </w:rPr>
            </w:pPr>
            <w:r>
              <w:rPr>
                <w:rFonts w:ascii="Arial" w:cs="Arial" w:eastAsia="Arial" w:hAnsi="Arial"/>
                <w:sz w:val="10"/>
                <w:szCs w:val="10"/>
                <w:color w:val="auto"/>
              </w:rPr>
              <w:t>Securities Exchange Act of 1934, as amended</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Bylaws</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Amended and Restated Bylaws</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FASB</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Financial Accounting Standards Board</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CAGO</w:t>
            </w:r>
          </w:p>
        </w:tc>
        <w:tc>
          <w:tcPr>
            <w:tcW w:w="4600" w:type="dxa"/>
            <w:vAlign w:val="bottom"/>
          </w:tcPr>
          <w:p>
            <w:pPr>
              <w:ind w:left="140"/>
              <w:spacing w:after="0"/>
              <w:rPr>
                <w:sz w:val="20"/>
                <w:szCs w:val="20"/>
                <w:color w:val="auto"/>
              </w:rPr>
            </w:pPr>
            <w:r>
              <w:rPr>
                <w:rFonts w:ascii="Arial" w:cs="Arial" w:eastAsia="Arial" w:hAnsi="Arial"/>
                <w:sz w:val="10"/>
                <w:szCs w:val="10"/>
                <w:color w:val="auto"/>
              </w:rPr>
              <w:t>California Attorney General’s Office</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FCA</w:t>
            </w:r>
          </w:p>
        </w:tc>
        <w:tc>
          <w:tcPr>
            <w:tcW w:w="4540" w:type="dxa"/>
            <w:vAlign w:val="bottom"/>
          </w:tcPr>
          <w:p>
            <w:pPr>
              <w:ind w:left="60"/>
              <w:spacing w:after="0"/>
              <w:rPr>
                <w:sz w:val="20"/>
                <w:szCs w:val="20"/>
                <w:color w:val="auto"/>
              </w:rPr>
            </w:pPr>
            <w:r>
              <w:rPr>
                <w:rFonts w:ascii="Arial" w:cs="Arial" w:eastAsia="Arial" w:hAnsi="Arial"/>
                <w:sz w:val="10"/>
                <w:szCs w:val="10"/>
                <w:color w:val="auto"/>
              </w:rPr>
              <w:t>Financial Conduct Authority</w:t>
            </w:r>
          </w:p>
        </w:tc>
      </w:tr>
      <w:tr>
        <w:trPr>
          <w:trHeight w:val="146"/>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Capped Calls</w:t>
            </w:r>
          </w:p>
        </w:tc>
        <w:tc>
          <w:tcPr>
            <w:tcW w:w="460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FCM</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Futures Commission Merchant</w:t>
            </w:r>
          </w:p>
        </w:tc>
      </w:tr>
      <w:tr>
        <w:trPr>
          <w:trHeight w:val="153"/>
        </w:trPr>
        <w:tc>
          <w:tcPr>
            <w:tcW w:w="1000" w:type="dxa"/>
            <w:vAlign w:val="bottom"/>
            <w:shd w:val="clear" w:color="auto" w:fill="CCEEFF"/>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On June 22, 2026, in connection with the pricing of the Convertible Notes, and on June 23, 2026, in</w:t>
            </w:r>
          </w:p>
        </w:tc>
        <w:tc>
          <w:tcPr>
            <w:tcW w:w="110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r>
      <w:tr>
        <w:trPr>
          <w:trHeight w:val="94"/>
        </w:trPr>
        <w:tc>
          <w:tcPr>
            <w:tcW w:w="1000" w:type="dxa"/>
            <w:vAlign w:val="bottom"/>
            <w:shd w:val="clear" w:color="auto" w:fill="CCEEFF"/>
          </w:tcPr>
          <w:p>
            <w:pPr>
              <w:spacing w:after="0"/>
              <w:rPr>
                <w:sz w:val="8"/>
                <w:szCs w:val="8"/>
                <w:color w:val="auto"/>
              </w:rPr>
            </w:pPr>
          </w:p>
        </w:tc>
        <w:tc>
          <w:tcPr>
            <w:tcW w:w="4600" w:type="dxa"/>
            <w:vAlign w:val="bottom"/>
            <w:shd w:val="clear" w:color="auto" w:fill="CCEEFF"/>
          </w:tcPr>
          <w:p>
            <w:pPr>
              <w:ind w:left="140"/>
              <w:spacing w:after="0" w:line="95" w:lineRule="exact"/>
              <w:rPr>
                <w:sz w:val="20"/>
                <w:szCs w:val="20"/>
                <w:color w:val="auto"/>
              </w:rPr>
            </w:pPr>
            <w:r>
              <w:rPr>
                <w:rFonts w:ascii="Arial" w:cs="Arial" w:eastAsia="Arial" w:hAnsi="Arial"/>
                <w:sz w:val="10"/>
                <w:szCs w:val="10"/>
                <w:color w:val="auto"/>
              </w:rPr>
              <w:t>connection with the initial purchasers’ exercise in full of their option to purchase additional Notes, we</w:t>
            </w:r>
          </w:p>
        </w:tc>
        <w:tc>
          <w:tcPr>
            <w:tcW w:w="1100" w:type="dxa"/>
            <w:vAlign w:val="bottom"/>
            <w:shd w:val="clear" w:color="auto" w:fill="CCEEFF"/>
          </w:tcPr>
          <w:p>
            <w:pPr>
              <w:spacing w:after="0"/>
              <w:rPr>
                <w:sz w:val="8"/>
                <w:szCs w:val="8"/>
                <w:color w:val="auto"/>
              </w:rPr>
            </w:pPr>
          </w:p>
        </w:tc>
        <w:tc>
          <w:tcPr>
            <w:tcW w:w="4540" w:type="dxa"/>
            <w:vAlign w:val="bottom"/>
            <w:shd w:val="clear" w:color="auto" w:fill="CCEEFF"/>
          </w:tcPr>
          <w:p>
            <w:pPr>
              <w:spacing w:after="0"/>
              <w:rPr>
                <w:sz w:val="8"/>
                <w:szCs w:val="8"/>
                <w:color w:val="auto"/>
              </w:rPr>
            </w:pPr>
          </w:p>
        </w:tc>
      </w:tr>
      <w:tr>
        <w:trPr>
          <w:trHeight w:val="105"/>
        </w:trPr>
        <w:tc>
          <w:tcPr>
            <w:tcW w:w="1000" w:type="dxa"/>
            <w:vAlign w:val="bottom"/>
            <w:shd w:val="clear" w:color="auto" w:fill="CCEEFF"/>
          </w:tcPr>
          <w:p>
            <w:pPr>
              <w:spacing w:after="0"/>
              <w:rPr>
                <w:sz w:val="9"/>
                <w:szCs w:val="9"/>
                <w:color w:val="auto"/>
              </w:rPr>
            </w:pPr>
          </w:p>
        </w:tc>
        <w:tc>
          <w:tcPr>
            <w:tcW w:w="460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entered into privately negotiated capped calls transactions with certain of the initial purchasers or</w:t>
            </w:r>
          </w:p>
        </w:tc>
        <w:tc>
          <w:tcPr>
            <w:tcW w:w="1100" w:type="dxa"/>
            <w:vAlign w:val="bottom"/>
            <w:shd w:val="clear" w:color="auto" w:fill="CCEEFF"/>
          </w:tcPr>
          <w:p>
            <w:pPr>
              <w:spacing w:after="0"/>
              <w:rPr>
                <w:sz w:val="9"/>
                <w:szCs w:val="9"/>
                <w:color w:val="auto"/>
              </w:rPr>
            </w:pPr>
          </w:p>
        </w:tc>
        <w:tc>
          <w:tcPr>
            <w:tcW w:w="4540" w:type="dxa"/>
            <w:vAlign w:val="bottom"/>
            <w:shd w:val="clear" w:color="auto" w:fill="CCEEFF"/>
          </w:tcPr>
          <w:p>
            <w:pPr>
              <w:spacing w:after="0"/>
              <w:rPr>
                <w:sz w:val="9"/>
                <w:szCs w:val="9"/>
                <w:color w:val="auto"/>
              </w:rPr>
            </w:pPr>
          </w:p>
        </w:tc>
      </w:tr>
      <w:tr>
        <w:trPr>
          <w:trHeight w:val="138"/>
        </w:trPr>
        <w:tc>
          <w:tcPr>
            <w:tcW w:w="1000" w:type="dxa"/>
            <w:vAlign w:val="bottom"/>
            <w:shd w:val="clear" w:color="auto" w:fill="CCEEFF"/>
          </w:tcPr>
          <w:p>
            <w:pPr>
              <w:spacing w:after="0"/>
              <w:rPr>
                <w:sz w:val="12"/>
                <w:szCs w:val="12"/>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their respective affiliates and certain other financial institutions.</w:t>
            </w:r>
          </w:p>
        </w:tc>
        <w:tc>
          <w:tcPr>
            <w:tcW w:w="110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12"/>
                <w:szCs w:val="12"/>
                <w:color w:val="auto"/>
              </w:rPr>
            </w:pP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CAT</w:t>
            </w:r>
          </w:p>
        </w:tc>
        <w:tc>
          <w:tcPr>
            <w:tcW w:w="4600" w:type="dxa"/>
            <w:vAlign w:val="bottom"/>
          </w:tcPr>
          <w:p>
            <w:pPr>
              <w:ind w:left="140"/>
              <w:spacing w:after="0"/>
              <w:rPr>
                <w:sz w:val="20"/>
                <w:szCs w:val="20"/>
                <w:color w:val="auto"/>
              </w:rPr>
            </w:pPr>
            <w:r>
              <w:rPr>
                <w:rFonts w:ascii="Arial" w:cs="Arial" w:eastAsia="Arial" w:hAnsi="Arial"/>
                <w:sz w:val="10"/>
                <w:szCs w:val="10"/>
                <w:color w:val="auto"/>
              </w:rPr>
              <w:t>Consolidated Audit Trail</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FCPA</w:t>
            </w:r>
          </w:p>
        </w:tc>
        <w:tc>
          <w:tcPr>
            <w:tcW w:w="4540" w:type="dxa"/>
            <w:vAlign w:val="bottom"/>
          </w:tcPr>
          <w:p>
            <w:pPr>
              <w:ind w:left="60"/>
              <w:spacing w:after="0"/>
              <w:rPr>
                <w:sz w:val="20"/>
                <w:szCs w:val="20"/>
                <w:color w:val="auto"/>
              </w:rPr>
            </w:pPr>
            <w:r>
              <w:rPr>
                <w:rFonts w:ascii="Arial" w:cs="Arial" w:eastAsia="Arial" w:hAnsi="Arial"/>
                <w:sz w:val="10"/>
                <w:szCs w:val="10"/>
                <w:color w:val="auto"/>
              </w:rPr>
              <w:t>Foreign Corrupt Practices Act</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CCML</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Coinsquare Capital Markets Ltd.</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FDIC</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Federal Deposit Insurance Corporation</w:t>
            </w:r>
          </w:p>
        </w:tc>
      </w:tr>
      <w:tr>
        <w:trPr>
          <w:trHeight w:val="118"/>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CEA</w:t>
            </w:r>
          </w:p>
        </w:tc>
        <w:tc>
          <w:tcPr>
            <w:tcW w:w="4600" w:type="dxa"/>
            <w:vAlign w:val="bottom"/>
          </w:tcPr>
          <w:p>
            <w:pPr>
              <w:ind w:left="140"/>
              <w:spacing w:after="0"/>
              <w:rPr>
                <w:sz w:val="20"/>
                <w:szCs w:val="20"/>
                <w:color w:val="auto"/>
              </w:rPr>
            </w:pPr>
            <w:r>
              <w:rPr>
                <w:rFonts w:ascii="Arial" w:cs="Arial" w:eastAsia="Arial" w:hAnsi="Arial"/>
                <w:sz w:val="10"/>
                <w:szCs w:val="10"/>
                <w:color w:val="auto"/>
              </w:rPr>
              <w:t>U.S. Commodity Exchange Act</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Final Rules</w:t>
            </w:r>
          </w:p>
        </w:tc>
        <w:tc>
          <w:tcPr>
            <w:tcW w:w="4540" w:type="dxa"/>
            <w:vAlign w:val="bottom"/>
          </w:tcPr>
          <w:p>
            <w:pPr>
              <w:ind w:left="60"/>
              <w:spacing w:after="0"/>
              <w:rPr>
                <w:sz w:val="20"/>
                <w:szCs w:val="20"/>
                <w:color w:val="auto"/>
              </w:rPr>
            </w:pPr>
            <w:r>
              <w:rPr>
                <w:rFonts w:ascii="Arial" w:cs="Arial" w:eastAsia="Arial" w:hAnsi="Arial"/>
                <w:sz w:val="10"/>
                <w:szCs w:val="10"/>
                <w:color w:val="auto"/>
              </w:rPr>
              <w:t>Final  rules  under  SEC  Release  No.  34-99678  and  No.  33-11275,  “The  Enhancement  and</w:t>
            </w:r>
          </w:p>
        </w:tc>
      </w:tr>
      <w:tr>
        <w:trPr>
          <w:trHeight w:val="134"/>
        </w:trPr>
        <w:tc>
          <w:tcPr>
            <w:tcW w:w="10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540" w:type="dxa"/>
            <w:vAlign w:val="bottom"/>
          </w:tcPr>
          <w:p>
            <w:pPr>
              <w:ind w:left="60"/>
              <w:spacing w:after="0"/>
              <w:rPr>
                <w:sz w:val="20"/>
                <w:szCs w:val="20"/>
                <w:color w:val="auto"/>
              </w:rPr>
            </w:pPr>
            <w:r>
              <w:rPr>
                <w:rFonts w:ascii="Arial" w:cs="Arial" w:eastAsia="Arial" w:hAnsi="Arial"/>
                <w:sz w:val="10"/>
                <w:szCs w:val="10"/>
                <w:color w:val="auto"/>
              </w:rPr>
              <w:t>Standardization of Climate-Related Disclosures for Investors”</w:t>
            </w:r>
          </w:p>
        </w:tc>
      </w:tr>
      <w:tr>
        <w:trPr>
          <w:trHeight w:val="153"/>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CEO</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Chief Executive Officer</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FinCEN</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Financial Crimes Enforcement Network</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CFPB</w:t>
            </w:r>
          </w:p>
        </w:tc>
        <w:tc>
          <w:tcPr>
            <w:tcW w:w="4600" w:type="dxa"/>
            <w:vAlign w:val="bottom"/>
          </w:tcPr>
          <w:p>
            <w:pPr>
              <w:ind w:left="140"/>
              <w:spacing w:after="0"/>
              <w:rPr>
                <w:sz w:val="20"/>
                <w:szCs w:val="20"/>
                <w:color w:val="auto"/>
              </w:rPr>
            </w:pPr>
            <w:r>
              <w:rPr>
                <w:rFonts w:ascii="Arial" w:cs="Arial" w:eastAsia="Arial" w:hAnsi="Arial"/>
                <w:sz w:val="10"/>
                <w:szCs w:val="10"/>
                <w:color w:val="auto"/>
              </w:rPr>
              <w:t>Consumer Financial Protection Bureau</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FINRA</w:t>
            </w:r>
          </w:p>
        </w:tc>
        <w:tc>
          <w:tcPr>
            <w:tcW w:w="4540" w:type="dxa"/>
            <w:vAlign w:val="bottom"/>
          </w:tcPr>
          <w:p>
            <w:pPr>
              <w:ind w:left="60"/>
              <w:spacing w:after="0"/>
              <w:rPr>
                <w:sz w:val="20"/>
                <w:szCs w:val="20"/>
                <w:color w:val="auto"/>
              </w:rPr>
            </w:pPr>
            <w:r>
              <w:rPr>
                <w:rFonts w:ascii="Arial" w:cs="Arial" w:eastAsia="Arial" w:hAnsi="Arial"/>
                <w:sz w:val="10"/>
                <w:szCs w:val="10"/>
                <w:color w:val="auto"/>
              </w:rPr>
              <w:t>Financial Industry Regulatory Authority</w:t>
            </w:r>
          </w:p>
        </w:tc>
      </w:tr>
      <w:tr>
        <w:trPr>
          <w:trHeight w:val="119"/>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CFTC</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Commodity Futures Trading Commission</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Fixed-Term Securities</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Fixed-term securities lending agreements with two financial institution counterparties, as described</w:t>
            </w:r>
          </w:p>
        </w:tc>
      </w:tr>
      <w:tr>
        <w:trPr>
          <w:trHeight w:val="140"/>
        </w:trPr>
        <w:tc>
          <w:tcPr>
            <w:tcW w:w="100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Lending Agreements</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below</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Charter</w:t>
            </w:r>
          </w:p>
        </w:tc>
        <w:tc>
          <w:tcPr>
            <w:tcW w:w="4600" w:type="dxa"/>
            <w:vAlign w:val="bottom"/>
          </w:tcPr>
          <w:p>
            <w:pPr>
              <w:ind w:left="140"/>
              <w:spacing w:after="0"/>
              <w:rPr>
                <w:sz w:val="20"/>
                <w:szCs w:val="20"/>
                <w:color w:val="auto"/>
              </w:rPr>
            </w:pPr>
            <w:r>
              <w:rPr>
                <w:rFonts w:ascii="Arial" w:cs="Arial" w:eastAsia="Arial" w:hAnsi="Arial"/>
                <w:sz w:val="10"/>
                <w:szCs w:val="10"/>
                <w:color w:val="auto"/>
              </w:rPr>
              <w:t>Amended and Restated Certificate of Incorporation</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Founder Affiliates</w:t>
            </w:r>
          </w:p>
        </w:tc>
        <w:tc>
          <w:tcPr>
            <w:tcW w:w="4540" w:type="dxa"/>
            <w:vAlign w:val="bottom"/>
          </w:tcPr>
          <w:p>
            <w:pPr>
              <w:ind w:left="60"/>
              <w:spacing w:after="0"/>
              <w:rPr>
                <w:sz w:val="20"/>
                <w:szCs w:val="20"/>
                <w:color w:val="auto"/>
              </w:rPr>
            </w:pPr>
            <w:r>
              <w:rPr>
                <w:rFonts w:ascii="Arial" w:cs="Arial" w:eastAsia="Arial" w:hAnsi="Arial"/>
                <w:sz w:val="10"/>
                <w:szCs w:val="10"/>
                <w:color w:val="auto"/>
              </w:rPr>
              <w:t>Founders related entities</w:t>
            </w:r>
          </w:p>
        </w:tc>
      </w:tr>
      <w:tr>
        <w:trPr>
          <w:trHeight w:val="119"/>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CIP</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Customer identification program</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Founders’ Voting</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w w:val="99"/>
              </w:rPr>
              <w:t>Voting Agreement, dated July 26, 2021, among RHM, Baiju Bhatt, Vladimir Tenev, and certain related</w:t>
            </w:r>
          </w:p>
        </w:tc>
      </w:tr>
      <w:tr>
        <w:trPr>
          <w:trHeight w:val="140"/>
        </w:trPr>
        <w:tc>
          <w:tcPr>
            <w:tcW w:w="100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Agreement</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entities</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Circle</w:t>
            </w:r>
          </w:p>
        </w:tc>
        <w:tc>
          <w:tcPr>
            <w:tcW w:w="4600" w:type="dxa"/>
            <w:vAlign w:val="bottom"/>
          </w:tcPr>
          <w:p>
            <w:pPr>
              <w:ind w:left="140"/>
              <w:spacing w:after="0"/>
              <w:rPr>
                <w:sz w:val="20"/>
                <w:szCs w:val="20"/>
                <w:color w:val="auto"/>
              </w:rPr>
            </w:pPr>
            <w:r>
              <w:rPr>
                <w:rFonts w:ascii="Arial" w:cs="Arial" w:eastAsia="Arial" w:hAnsi="Arial"/>
                <w:sz w:val="10"/>
                <w:szCs w:val="10"/>
                <w:color w:val="auto"/>
              </w:rPr>
              <w:t>Circle Internet Financial, LLC</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Fourth parties</w:t>
            </w:r>
          </w:p>
        </w:tc>
        <w:tc>
          <w:tcPr>
            <w:tcW w:w="4540" w:type="dxa"/>
            <w:vAlign w:val="bottom"/>
          </w:tcPr>
          <w:p>
            <w:pPr>
              <w:ind w:left="60"/>
              <w:spacing w:after="0"/>
              <w:rPr>
                <w:sz w:val="20"/>
                <w:szCs w:val="20"/>
                <w:color w:val="auto"/>
              </w:rPr>
            </w:pPr>
            <w:r>
              <w:rPr>
                <w:rFonts w:ascii="Arial" w:cs="Arial" w:eastAsia="Arial" w:hAnsi="Arial"/>
                <w:sz w:val="10"/>
                <w:szCs w:val="10"/>
                <w:color w:val="auto"/>
              </w:rPr>
              <w:t>Third parties’ common suppliers or vendors</w:t>
            </w:r>
          </w:p>
        </w:tc>
      </w:tr>
      <w:tr>
        <w:trPr>
          <w:trHeight w:val="12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CIRO</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Canadian Investment Regulatory Organization</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Funds</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w w:val="99"/>
              </w:rPr>
              <w:t>Collectively, RVI, RVII, and any additional investment vehicles regulated under the 1940 Act for which</w:t>
            </w:r>
          </w:p>
        </w:tc>
      </w:tr>
      <w:tr>
        <w:trPr>
          <w:trHeight w:val="138"/>
        </w:trPr>
        <w:tc>
          <w:tcPr>
            <w:tcW w:w="1000" w:type="dxa"/>
            <w:vAlign w:val="bottom"/>
            <w:shd w:val="clear" w:color="auto" w:fill="CCEEFF"/>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RHV serves as investment adviser.</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CLARITY Act</w:t>
            </w:r>
          </w:p>
        </w:tc>
        <w:tc>
          <w:tcPr>
            <w:tcW w:w="4600" w:type="dxa"/>
            <w:vAlign w:val="bottom"/>
          </w:tcPr>
          <w:p>
            <w:pPr>
              <w:ind w:left="140"/>
              <w:spacing w:after="0"/>
              <w:rPr>
                <w:sz w:val="20"/>
                <w:szCs w:val="20"/>
                <w:color w:val="auto"/>
              </w:rPr>
            </w:pPr>
            <w:r>
              <w:rPr>
                <w:rFonts w:ascii="Arial" w:cs="Arial" w:eastAsia="Arial" w:hAnsi="Arial"/>
                <w:sz w:val="10"/>
                <w:szCs w:val="10"/>
                <w:color w:val="auto"/>
              </w:rPr>
              <w:t>Digital Asset Market Clarity Act of 2025</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Futures</w:t>
            </w:r>
          </w:p>
        </w:tc>
        <w:tc>
          <w:tcPr>
            <w:tcW w:w="4540" w:type="dxa"/>
            <w:vAlign w:val="bottom"/>
          </w:tcPr>
          <w:p>
            <w:pPr>
              <w:ind w:left="60"/>
              <w:spacing w:after="0"/>
              <w:rPr>
                <w:sz w:val="20"/>
                <w:szCs w:val="20"/>
                <w:color w:val="auto"/>
              </w:rPr>
            </w:pPr>
            <w:r>
              <w:rPr>
                <w:rFonts w:ascii="Arial" w:cs="Arial" w:eastAsia="Arial" w:hAnsi="Arial"/>
                <w:sz w:val="10"/>
                <w:szCs w:val="10"/>
                <w:color w:val="auto"/>
              </w:rPr>
              <w:t>Futures contracts, which includes options on futures and swaps, including event contracts</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Coastal Bank</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Coastal Community Bank</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GAAP</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Generally accepted accounting principles in the United States</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Code</w:t>
            </w:r>
          </w:p>
        </w:tc>
        <w:tc>
          <w:tcPr>
            <w:tcW w:w="4600" w:type="dxa"/>
            <w:vAlign w:val="bottom"/>
          </w:tcPr>
          <w:p>
            <w:pPr>
              <w:ind w:left="140"/>
              <w:spacing w:after="0"/>
              <w:rPr>
                <w:sz w:val="20"/>
                <w:szCs w:val="20"/>
                <w:color w:val="auto"/>
              </w:rPr>
            </w:pPr>
            <w:r>
              <w:rPr>
                <w:rFonts w:ascii="Arial" w:cs="Arial" w:eastAsia="Arial" w:hAnsi="Arial"/>
                <w:sz w:val="10"/>
                <w:szCs w:val="10"/>
                <w:color w:val="auto"/>
              </w:rPr>
              <w:t>Internal Revenue Code of 1986, as amended</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Gemini</w:t>
            </w:r>
          </w:p>
        </w:tc>
        <w:tc>
          <w:tcPr>
            <w:tcW w:w="4540" w:type="dxa"/>
            <w:vAlign w:val="bottom"/>
          </w:tcPr>
          <w:p>
            <w:pPr>
              <w:ind w:left="60"/>
              <w:spacing w:after="0"/>
              <w:rPr>
                <w:sz w:val="20"/>
                <w:szCs w:val="20"/>
                <w:color w:val="auto"/>
              </w:rPr>
            </w:pPr>
            <w:r>
              <w:rPr>
                <w:rFonts w:ascii="Arial" w:cs="Arial" w:eastAsia="Arial" w:hAnsi="Arial"/>
                <w:sz w:val="10"/>
                <w:szCs w:val="10"/>
                <w:color w:val="auto"/>
              </w:rPr>
              <w:t>Gemini Trust Company, LLC</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Coinbase</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Coinbase Global, Inc., and Coinbase, Inc.</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Genesis</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Genesis Global Capital, LLC</w:t>
            </w: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Convertible Notes</w:t>
            </w:r>
          </w:p>
        </w:tc>
        <w:tc>
          <w:tcPr>
            <w:tcW w:w="4600" w:type="dxa"/>
            <w:vAlign w:val="bottom"/>
          </w:tcPr>
          <w:p>
            <w:pPr>
              <w:ind w:left="140"/>
              <w:spacing w:after="0"/>
              <w:rPr>
                <w:sz w:val="20"/>
                <w:szCs w:val="20"/>
                <w:color w:val="auto"/>
              </w:rPr>
            </w:pPr>
            <w:r>
              <w:rPr>
                <w:rFonts w:ascii="Arial" w:cs="Arial" w:eastAsia="Arial" w:hAnsi="Arial"/>
                <w:sz w:val="10"/>
                <w:szCs w:val="10"/>
                <w:color w:val="auto"/>
              </w:rPr>
              <w:t>0.00% convertible senior notes issued on June 25, 2026.</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GENIUS Act</w:t>
            </w:r>
          </w:p>
        </w:tc>
        <w:tc>
          <w:tcPr>
            <w:tcW w:w="4540" w:type="dxa"/>
            <w:vAlign w:val="bottom"/>
          </w:tcPr>
          <w:p>
            <w:pPr>
              <w:ind w:left="60"/>
              <w:spacing w:after="0"/>
              <w:rPr>
                <w:sz w:val="20"/>
                <w:szCs w:val="20"/>
                <w:color w:val="auto"/>
              </w:rPr>
            </w:pPr>
            <w:r>
              <w:rPr>
                <w:rFonts w:ascii="Arial" w:cs="Arial" w:eastAsia="Arial" w:hAnsi="Arial"/>
                <w:sz w:val="10"/>
                <w:szCs w:val="10"/>
                <w:color w:val="auto"/>
              </w:rPr>
              <w:t>Guiding and Establishing National Innovation for U.S. Stablecoins Act</w:t>
            </w:r>
          </w:p>
        </w:tc>
      </w:tr>
      <w:tr>
        <w:trPr>
          <w:trHeight w:val="119"/>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Crypto Listing</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Our internal policies and procedures with respect to the listing of cryptocurrencies on our platforms</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GHG</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Greenhouse gas</w:t>
            </w:r>
          </w:p>
        </w:tc>
      </w:tr>
      <w:tr>
        <w:trPr>
          <w:trHeight w:val="140"/>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Frameworks</w:t>
            </w:r>
          </w:p>
        </w:tc>
        <w:tc>
          <w:tcPr>
            <w:tcW w:w="46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12"/>
                <w:szCs w:val="12"/>
                <w:color w:val="auto"/>
              </w:rPr>
            </w:pPr>
          </w:p>
        </w:tc>
      </w:tr>
      <w:tr>
        <w:trPr>
          <w:trHeight w:val="146"/>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Crypto Transfers</w:t>
            </w:r>
          </w:p>
        </w:tc>
        <w:tc>
          <w:tcPr>
            <w:tcW w:w="4600" w:type="dxa"/>
            <w:vAlign w:val="bottom"/>
          </w:tcPr>
          <w:p>
            <w:pPr>
              <w:ind w:left="140"/>
              <w:spacing w:after="0"/>
              <w:rPr>
                <w:sz w:val="20"/>
                <w:szCs w:val="20"/>
                <w:color w:val="auto"/>
              </w:rPr>
            </w:pPr>
            <w:r>
              <w:rPr>
                <w:rFonts w:ascii="Arial" w:cs="Arial" w:eastAsia="Arial" w:hAnsi="Arial"/>
                <w:sz w:val="10"/>
                <w:szCs w:val="10"/>
                <w:color w:val="auto"/>
              </w:rPr>
              <w:t>Cryptocurrency transfers</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Goldman Sachs</w:t>
            </w:r>
          </w:p>
        </w:tc>
        <w:tc>
          <w:tcPr>
            <w:tcW w:w="4540" w:type="dxa"/>
            <w:vAlign w:val="bottom"/>
          </w:tcPr>
          <w:p>
            <w:pPr>
              <w:ind w:left="60"/>
              <w:spacing w:after="0"/>
              <w:rPr>
                <w:sz w:val="20"/>
                <w:szCs w:val="20"/>
                <w:color w:val="auto"/>
              </w:rPr>
            </w:pPr>
            <w:r>
              <w:rPr>
                <w:rFonts w:ascii="Arial" w:cs="Arial" w:eastAsia="Arial" w:hAnsi="Arial"/>
                <w:sz w:val="10"/>
                <w:szCs w:val="10"/>
                <w:color w:val="auto"/>
              </w:rPr>
              <w:t>Goldman Sachs USA</w:t>
            </w:r>
          </w:p>
        </w:tc>
      </w:tr>
      <w:tr>
        <w:trPr>
          <w:trHeight w:val="151"/>
        </w:trPr>
        <w:tc>
          <w:tcPr>
            <w:tcW w:w="10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DCM</w:t>
            </w:r>
          </w:p>
        </w:tc>
        <w:tc>
          <w:tcPr>
            <w:tcW w:w="46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Designated contract markets</w:t>
            </w:r>
          </w:p>
        </w:tc>
        <w:tc>
          <w:tcPr>
            <w:tcW w:w="1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Indenture</w:t>
            </w:r>
          </w:p>
        </w:tc>
        <w:tc>
          <w:tcPr>
            <w:tcW w:w="454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Indenture for Convertible Notes.</w:t>
            </w:r>
          </w:p>
        </w:tc>
      </w:tr>
      <w:tr>
        <w:trPr>
          <w:trHeight w:val="144"/>
        </w:trPr>
        <w:tc>
          <w:tcPr>
            <w:tcW w:w="1000" w:type="dxa"/>
            <w:vAlign w:val="bottom"/>
          </w:tcPr>
          <w:p>
            <w:pPr>
              <w:ind w:left="20"/>
              <w:spacing w:after="0"/>
              <w:rPr>
                <w:sz w:val="20"/>
                <w:szCs w:val="20"/>
                <w:color w:val="auto"/>
              </w:rPr>
            </w:pPr>
            <w:r>
              <w:rPr>
                <w:rFonts w:ascii="Arial" w:cs="Arial" w:eastAsia="Arial" w:hAnsi="Arial"/>
                <w:sz w:val="10"/>
                <w:szCs w:val="10"/>
                <w:b w:val="1"/>
                <w:bCs w:val="1"/>
                <w:color w:val="auto"/>
              </w:rPr>
              <w:t>DCO</w:t>
            </w:r>
          </w:p>
        </w:tc>
        <w:tc>
          <w:tcPr>
            <w:tcW w:w="4600" w:type="dxa"/>
            <w:vAlign w:val="bottom"/>
          </w:tcPr>
          <w:p>
            <w:pPr>
              <w:ind w:left="140"/>
              <w:spacing w:after="0"/>
              <w:rPr>
                <w:sz w:val="20"/>
                <w:szCs w:val="20"/>
                <w:color w:val="auto"/>
              </w:rPr>
            </w:pPr>
            <w:r>
              <w:rPr>
                <w:rFonts w:ascii="Arial" w:cs="Arial" w:eastAsia="Arial" w:hAnsi="Arial"/>
                <w:sz w:val="10"/>
                <w:szCs w:val="10"/>
                <w:color w:val="auto"/>
              </w:rPr>
              <w:t>Derivatives clearing organization</w:t>
            </w:r>
          </w:p>
        </w:tc>
        <w:tc>
          <w:tcPr>
            <w:tcW w:w="1100" w:type="dxa"/>
            <w:vAlign w:val="bottom"/>
          </w:tcPr>
          <w:p>
            <w:pPr>
              <w:ind w:left="20"/>
              <w:spacing w:after="0"/>
              <w:rPr>
                <w:sz w:val="20"/>
                <w:szCs w:val="20"/>
                <w:color w:val="auto"/>
              </w:rPr>
            </w:pPr>
            <w:r>
              <w:rPr>
                <w:rFonts w:ascii="Arial" w:cs="Arial" w:eastAsia="Arial" w:hAnsi="Arial"/>
                <w:sz w:val="10"/>
                <w:szCs w:val="10"/>
                <w:b w:val="1"/>
                <w:bCs w:val="1"/>
                <w:color w:val="auto"/>
              </w:rPr>
              <w:t>IPO</w:t>
            </w:r>
          </w:p>
        </w:tc>
        <w:tc>
          <w:tcPr>
            <w:tcW w:w="4540" w:type="dxa"/>
            <w:vAlign w:val="bottom"/>
          </w:tcPr>
          <w:p>
            <w:pPr>
              <w:ind w:left="60"/>
              <w:spacing w:after="0"/>
              <w:rPr>
                <w:sz w:val="20"/>
                <w:szCs w:val="20"/>
                <w:color w:val="auto"/>
              </w:rPr>
            </w:pPr>
            <w:r>
              <w:rPr>
                <w:rFonts w:ascii="Arial" w:cs="Arial" w:eastAsia="Arial" w:hAnsi="Arial"/>
                <w:sz w:val="10"/>
                <w:szCs w:val="10"/>
                <w:color w:val="auto"/>
              </w:rPr>
              <w:t>Initial public offering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IRA</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Individual Retirement Account</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RIAs</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Registered Investment Advisors</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ISOs</w:t>
            </w:r>
          </w:p>
        </w:tc>
        <w:tc>
          <w:tcPr>
            <w:tcW w:w="4520" w:type="dxa"/>
            <w:vAlign w:val="bottom"/>
          </w:tcPr>
          <w:p>
            <w:pPr>
              <w:ind w:left="60"/>
              <w:spacing w:after="0"/>
              <w:rPr>
                <w:sz w:val="20"/>
                <w:szCs w:val="20"/>
                <w:color w:val="auto"/>
              </w:rPr>
            </w:pPr>
            <w:r>
              <w:rPr>
                <w:rFonts w:ascii="Arial" w:cs="Arial" w:eastAsia="Arial" w:hAnsi="Arial"/>
                <w:sz w:val="10"/>
                <w:szCs w:val="10"/>
                <w:color w:val="auto"/>
              </w:rPr>
              <w:t>Incentive stock options</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RITA</w:t>
            </w:r>
          </w:p>
        </w:tc>
        <w:tc>
          <w:tcPr>
            <w:tcW w:w="4580" w:type="dxa"/>
            <w:vAlign w:val="bottom"/>
          </w:tcPr>
          <w:p>
            <w:pPr>
              <w:ind w:left="100"/>
              <w:spacing w:after="0"/>
              <w:rPr>
                <w:sz w:val="20"/>
                <w:szCs w:val="20"/>
                <w:color w:val="auto"/>
              </w:rPr>
            </w:pPr>
            <w:r>
              <w:rPr>
                <w:rFonts w:ascii="Arial" w:cs="Arial" w:eastAsia="Arial" w:hAnsi="Arial"/>
                <w:sz w:val="10"/>
                <w:szCs w:val="10"/>
                <w:color w:val="auto"/>
              </w:rPr>
              <w:t>Residual Interest Targeted Amount</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KalshiEx</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KalshiEx LLC</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Robinhood Credit</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Robinhood Credit, Inc.</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Kraken</w:t>
            </w:r>
          </w:p>
        </w:tc>
        <w:tc>
          <w:tcPr>
            <w:tcW w:w="4520" w:type="dxa"/>
            <w:vAlign w:val="bottom"/>
          </w:tcPr>
          <w:p>
            <w:pPr>
              <w:ind w:left="60"/>
              <w:spacing w:after="0"/>
              <w:rPr>
                <w:sz w:val="20"/>
                <w:szCs w:val="20"/>
                <w:color w:val="auto"/>
              </w:rPr>
            </w:pPr>
            <w:r>
              <w:rPr>
                <w:rFonts w:ascii="Arial" w:cs="Arial" w:eastAsia="Arial" w:hAnsi="Arial"/>
                <w:sz w:val="10"/>
                <w:szCs w:val="10"/>
                <w:color w:val="auto"/>
              </w:rPr>
              <w:t>Payward, Inc. and Payward Ventures Inc.</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Rothera</w:t>
            </w:r>
          </w:p>
        </w:tc>
        <w:tc>
          <w:tcPr>
            <w:tcW w:w="4580" w:type="dxa"/>
            <w:vAlign w:val="bottom"/>
          </w:tcPr>
          <w:p>
            <w:pPr>
              <w:ind w:left="100"/>
              <w:spacing w:after="0"/>
              <w:rPr>
                <w:sz w:val="20"/>
                <w:szCs w:val="20"/>
                <w:color w:val="auto"/>
              </w:rPr>
            </w:pPr>
            <w:r>
              <w:rPr>
                <w:rFonts w:ascii="Arial" w:cs="Arial" w:eastAsia="Arial" w:hAnsi="Arial"/>
                <w:sz w:val="10"/>
                <w:szCs w:val="10"/>
                <w:color w:val="auto"/>
              </w:rPr>
              <w:t>Rothera LLC</w:t>
            </w:r>
          </w:p>
        </w:tc>
      </w:tr>
      <w:tr>
        <w:trPr>
          <w:trHeight w:val="12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Liquidity Providers</w:t>
            </w:r>
          </w:p>
        </w:tc>
        <w:tc>
          <w:tcPr>
            <w:tcW w:w="55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 xml:space="preserve">Collectively, the market makers, wholesalers and other liquidity providers to which we route equity, </w:t>
            </w:r>
            <w:r>
              <w:rPr>
                <w:rFonts w:ascii="Arial" w:cs="Arial" w:eastAsia="Arial" w:hAnsi="Arial"/>
                <w:sz w:val="10"/>
                <w:szCs w:val="10"/>
                <w:b w:val="1"/>
                <w:bCs w:val="1"/>
                <w:color w:val="auto"/>
              </w:rPr>
              <w:t>Rothera E&amp;C</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Rothera Exchange and Clearing LLC (formerly LedgerX LLC, doing business as MIAXdx)</w:t>
            </w:r>
          </w:p>
        </w:tc>
      </w:tr>
      <w:tr>
        <w:trPr>
          <w:trHeight w:val="138"/>
        </w:trPr>
        <w:tc>
          <w:tcPr>
            <w:tcW w:w="1080" w:type="dxa"/>
            <w:vAlign w:val="bottom"/>
            <w:shd w:val="clear" w:color="auto" w:fill="CCEEFF"/>
          </w:tcPr>
          <w:p>
            <w:pPr>
              <w:spacing w:after="0"/>
              <w:rPr>
                <w:sz w:val="12"/>
                <w:szCs w:val="12"/>
                <w:color w:val="auto"/>
              </w:rPr>
            </w:pP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option and cryptocurrency trade orders for execution.</w:t>
            </w:r>
          </w:p>
        </w:tc>
        <w:tc>
          <w:tcPr>
            <w:tcW w:w="106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rPr>
                <w:sz w:val="12"/>
                <w:szCs w:val="12"/>
                <w:color w:val="auto"/>
              </w:rPr>
            </w:pP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Market Makers</w:t>
            </w:r>
          </w:p>
        </w:tc>
        <w:tc>
          <w:tcPr>
            <w:tcW w:w="4520" w:type="dxa"/>
            <w:vAlign w:val="bottom"/>
          </w:tcPr>
          <w:p>
            <w:pPr>
              <w:ind w:left="60"/>
              <w:spacing w:after="0"/>
              <w:rPr>
                <w:sz w:val="20"/>
                <w:szCs w:val="20"/>
                <w:color w:val="auto"/>
              </w:rPr>
            </w:pPr>
            <w:r>
              <w:rPr>
                <w:rFonts w:ascii="Arial" w:cs="Arial" w:eastAsia="Arial" w:hAnsi="Arial"/>
                <w:sz w:val="10"/>
                <w:szCs w:val="10"/>
                <w:color w:val="auto"/>
              </w:rPr>
              <w:t>Non-exchange liquidity providers</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RSAs</w:t>
            </w:r>
          </w:p>
        </w:tc>
        <w:tc>
          <w:tcPr>
            <w:tcW w:w="4580" w:type="dxa"/>
            <w:vAlign w:val="bottom"/>
          </w:tcPr>
          <w:p>
            <w:pPr>
              <w:ind w:left="100"/>
              <w:spacing w:after="0"/>
              <w:rPr>
                <w:sz w:val="20"/>
                <w:szCs w:val="20"/>
                <w:color w:val="auto"/>
              </w:rPr>
            </w:pPr>
            <w:r>
              <w:rPr>
                <w:rFonts w:ascii="Arial" w:cs="Arial" w:eastAsia="Arial" w:hAnsi="Arial"/>
                <w:sz w:val="10"/>
                <w:szCs w:val="10"/>
                <w:color w:val="auto"/>
              </w:rPr>
              <w:t>Restricted stock awards</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MAS</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Monetary Authority of Singapore</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RSUs</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Restricted stock units</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MIAXdx</w:t>
            </w:r>
          </w:p>
        </w:tc>
        <w:tc>
          <w:tcPr>
            <w:tcW w:w="4520" w:type="dxa"/>
            <w:vAlign w:val="bottom"/>
          </w:tcPr>
          <w:p>
            <w:pPr>
              <w:ind w:left="60"/>
              <w:spacing w:after="0"/>
              <w:rPr>
                <w:sz w:val="20"/>
                <w:szCs w:val="20"/>
                <w:color w:val="auto"/>
              </w:rPr>
            </w:pPr>
            <w:r>
              <w:rPr>
                <w:rFonts w:ascii="Arial" w:cs="Arial" w:eastAsia="Arial" w:hAnsi="Arial"/>
                <w:sz w:val="10"/>
                <w:szCs w:val="10"/>
                <w:color w:val="auto"/>
              </w:rPr>
              <w:t>MIAX Derivatives Exchange</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RVI</w:t>
            </w:r>
          </w:p>
        </w:tc>
        <w:tc>
          <w:tcPr>
            <w:tcW w:w="4580" w:type="dxa"/>
            <w:vAlign w:val="bottom"/>
          </w:tcPr>
          <w:p>
            <w:pPr>
              <w:ind w:left="100"/>
              <w:spacing w:after="0"/>
              <w:rPr>
                <w:sz w:val="20"/>
                <w:szCs w:val="20"/>
                <w:color w:val="auto"/>
              </w:rPr>
            </w:pPr>
            <w:r>
              <w:rPr>
                <w:rFonts w:ascii="Arial" w:cs="Arial" w:eastAsia="Arial" w:hAnsi="Arial"/>
                <w:sz w:val="10"/>
                <w:szCs w:val="10"/>
                <w:color w:val="auto"/>
              </w:rPr>
              <w:t>Robinhood Ventures Fund I</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MiCA</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Markets in Crypto-Assets Regulation</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RVII</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Robinhood Ventures Fund II</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MiFID</w:t>
            </w:r>
          </w:p>
        </w:tc>
        <w:tc>
          <w:tcPr>
            <w:tcW w:w="4520" w:type="dxa"/>
            <w:vAlign w:val="bottom"/>
          </w:tcPr>
          <w:p>
            <w:pPr>
              <w:ind w:left="60"/>
              <w:spacing w:after="0"/>
              <w:rPr>
                <w:sz w:val="20"/>
                <w:szCs w:val="20"/>
                <w:color w:val="auto"/>
              </w:rPr>
            </w:pPr>
            <w:r>
              <w:rPr>
                <w:rFonts w:ascii="Arial" w:cs="Arial" w:eastAsia="Arial" w:hAnsi="Arial"/>
                <w:sz w:val="10"/>
                <w:szCs w:val="10"/>
                <w:color w:val="auto"/>
              </w:rPr>
              <w:t>Markets in Financial Instruments Directive II</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Safety Committee</w:t>
            </w:r>
          </w:p>
        </w:tc>
        <w:tc>
          <w:tcPr>
            <w:tcW w:w="4580" w:type="dxa"/>
            <w:vAlign w:val="bottom"/>
          </w:tcPr>
          <w:p>
            <w:pPr>
              <w:ind w:left="100"/>
              <w:spacing w:after="0"/>
              <w:rPr>
                <w:sz w:val="20"/>
                <w:szCs w:val="20"/>
                <w:color w:val="auto"/>
              </w:rPr>
            </w:pPr>
            <w:r>
              <w:rPr>
                <w:rFonts w:ascii="Arial" w:cs="Arial" w:eastAsia="Arial" w:hAnsi="Arial"/>
                <w:sz w:val="10"/>
                <w:szCs w:val="10"/>
                <w:color w:val="auto"/>
              </w:rPr>
              <w:t>Safety, Risk and Regulatory Committee of the board of directors</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Mizuho</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Mizuho Bank, Ltd</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SAR</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Suspicious activity reporting</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MSD</w:t>
            </w:r>
          </w:p>
        </w:tc>
        <w:tc>
          <w:tcPr>
            <w:tcW w:w="4520" w:type="dxa"/>
            <w:vAlign w:val="bottom"/>
          </w:tcPr>
          <w:p>
            <w:pPr>
              <w:ind w:left="60"/>
              <w:spacing w:after="0"/>
              <w:rPr>
                <w:sz w:val="20"/>
                <w:szCs w:val="20"/>
                <w:color w:val="auto"/>
              </w:rPr>
            </w:pPr>
            <w:r>
              <w:rPr>
                <w:rFonts w:ascii="Arial" w:cs="Arial" w:eastAsia="Arial" w:hAnsi="Arial"/>
                <w:sz w:val="10"/>
                <w:szCs w:val="10"/>
                <w:color w:val="auto"/>
              </w:rPr>
              <w:t>Massachusetts Securities Division</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SARs</w:t>
            </w:r>
          </w:p>
        </w:tc>
        <w:tc>
          <w:tcPr>
            <w:tcW w:w="4580" w:type="dxa"/>
            <w:vAlign w:val="bottom"/>
          </w:tcPr>
          <w:p>
            <w:pPr>
              <w:ind w:left="100"/>
              <w:spacing w:after="0"/>
              <w:rPr>
                <w:sz w:val="20"/>
                <w:szCs w:val="20"/>
                <w:color w:val="auto"/>
              </w:rPr>
            </w:pPr>
            <w:r>
              <w:rPr>
                <w:rFonts w:ascii="Arial" w:cs="Arial" w:eastAsia="Arial" w:hAnsi="Arial"/>
                <w:sz w:val="10"/>
                <w:szCs w:val="10"/>
                <w:color w:val="auto"/>
              </w:rPr>
              <w:t>Stock appreciation rights</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MSLA</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Master securities loan agreement</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SBC</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Share-based compensation</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NASAA</w:t>
            </w:r>
          </w:p>
        </w:tc>
        <w:tc>
          <w:tcPr>
            <w:tcW w:w="4520" w:type="dxa"/>
            <w:vAlign w:val="bottom"/>
          </w:tcPr>
          <w:p>
            <w:pPr>
              <w:ind w:left="60"/>
              <w:spacing w:after="0"/>
              <w:rPr>
                <w:sz w:val="20"/>
                <w:szCs w:val="20"/>
                <w:color w:val="auto"/>
              </w:rPr>
            </w:pPr>
            <w:r>
              <w:rPr>
                <w:rFonts w:ascii="Arial" w:cs="Arial" w:eastAsia="Arial" w:hAnsi="Arial"/>
                <w:sz w:val="10"/>
                <w:szCs w:val="10"/>
                <w:color w:val="auto"/>
              </w:rPr>
              <w:t>North American Securities Administrators Association</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SEC</w:t>
            </w:r>
          </w:p>
        </w:tc>
        <w:tc>
          <w:tcPr>
            <w:tcW w:w="4580" w:type="dxa"/>
            <w:vAlign w:val="bottom"/>
          </w:tcPr>
          <w:p>
            <w:pPr>
              <w:ind w:left="100"/>
              <w:spacing w:after="0"/>
              <w:rPr>
                <w:sz w:val="20"/>
                <w:szCs w:val="20"/>
                <w:color w:val="auto"/>
              </w:rPr>
            </w:pPr>
            <w:r>
              <w:rPr>
                <w:rFonts w:ascii="Arial" w:cs="Arial" w:eastAsia="Arial" w:hAnsi="Arial"/>
                <w:sz w:val="10"/>
                <w:szCs w:val="10"/>
                <w:color w:val="auto"/>
              </w:rPr>
              <w:t>U.S. Securities and Exchange Commission</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NAV</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Net asset value</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SEC Staff</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The Staff of the SEC</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Net Capital Rule</w:t>
            </w:r>
          </w:p>
        </w:tc>
        <w:tc>
          <w:tcPr>
            <w:tcW w:w="4520" w:type="dxa"/>
            <w:vAlign w:val="bottom"/>
          </w:tcPr>
          <w:p>
            <w:pPr>
              <w:ind w:left="60"/>
              <w:spacing w:after="0"/>
              <w:rPr>
                <w:sz w:val="20"/>
                <w:szCs w:val="20"/>
                <w:color w:val="auto"/>
              </w:rPr>
            </w:pPr>
            <w:r>
              <w:rPr>
                <w:rFonts w:ascii="Arial" w:cs="Arial" w:eastAsia="Arial" w:hAnsi="Arial"/>
                <w:sz w:val="10"/>
                <w:szCs w:val="10"/>
                <w:color w:val="auto"/>
              </w:rPr>
              <w:t>Rule 15c3-1 under the Securities Exchange Act of 1934, as amended</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Securities Act</w:t>
            </w:r>
          </w:p>
        </w:tc>
        <w:tc>
          <w:tcPr>
            <w:tcW w:w="4580" w:type="dxa"/>
            <w:vAlign w:val="bottom"/>
          </w:tcPr>
          <w:p>
            <w:pPr>
              <w:ind w:left="100"/>
              <w:spacing w:after="0"/>
              <w:rPr>
                <w:sz w:val="20"/>
                <w:szCs w:val="20"/>
                <w:color w:val="auto"/>
              </w:rPr>
            </w:pPr>
            <w:r>
              <w:rPr>
                <w:rFonts w:ascii="Arial" w:cs="Arial" w:eastAsia="Arial" w:hAnsi="Arial"/>
                <w:sz w:val="10"/>
                <w:szCs w:val="10"/>
                <w:color w:val="auto"/>
              </w:rPr>
              <w:t>Securities Act of 1933, as amended</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NFA</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National Futures Association</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SEF</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Swap Execution Facility</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NMS</w:t>
            </w:r>
          </w:p>
        </w:tc>
        <w:tc>
          <w:tcPr>
            <w:tcW w:w="4520" w:type="dxa"/>
            <w:vAlign w:val="bottom"/>
          </w:tcPr>
          <w:p>
            <w:pPr>
              <w:ind w:left="60"/>
              <w:spacing w:after="0"/>
              <w:rPr>
                <w:sz w:val="20"/>
                <w:szCs w:val="20"/>
                <w:color w:val="auto"/>
              </w:rPr>
            </w:pPr>
            <w:r>
              <w:rPr>
                <w:rFonts w:ascii="Arial" w:cs="Arial" w:eastAsia="Arial" w:hAnsi="Arial"/>
                <w:sz w:val="10"/>
                <w:szCs w:val="10"/>
                <w:color w:val="auto"/>
              </w:rPr>
              <w:t>National market system</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Series 2026-1 notes</w:t>
            </w:r>
          </w:p>
        </w:tc>
        <w:tc>
          <w:tcPr>
            <w:tcW w:w="4580" w:type="dxa"/>
            <w:vAlign w:val="bottom"/>
          </w:tcPr>
          <w:p>
            <w:pPr>
              <w:ind w:left="100"/>
              <w:spacing w:after="0"/>
              <w:rPr>
                <w:sz w:val="20"/>
                <w:szCs w:val="20"/>
                <w:color w:val="auto"/>
              </w:rPr>
            </w:pPr>
            <w:r>
              <w:rPr>
                <w:rFonts w:ascii="Arial" w:cs="Arial" w:eastAsia="Arial" w:hAnsi="Arial"/>
                <w:sz w:val="10"/>
                <w:szCs w:val="10"/>
                <w:color w:val="auto"/>
              </w:rPr>
              <w:t>Series 2026-1 asset-backed notes</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NOLs</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Net operating loss carryforwards</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Series 2026-2 notes</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Series 2026-2 asset-backed notes</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NSCC</w:t>
            </w:r>
          </w:p>
        </w:tc>
        <w:tc>
          <w:tcPr>
            <w:tcW w:w="4520" w:type="dxa"/>
            <w:vAlign w:val="bottom"/>
          </w:tcPr>
          <w:p>
            <w:pPr>
              <w:ind w:left="60"/>
              <w:spacing w:after="0"/>
              <w:rPr>
                <w:sz w:val="20"/>
                <w:szCs w:val="20"/>
                <w:color w:val="auto"/>
              </w:rPr>
            </w:pPr>
            <w:r>
              <w:rPr>
                <w:rFonts w:ascii="Arial" w:cs="Arial" w:eastAsia="Arial" w:hAnsi="Arial"/>
                <w:sz w:val="10"/>
                <w:szCs w:val="10"/>
                <w:color w:val="auto"/>
              </w:rPr>
              <w:t>National Securities Clearing Corporation</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Sherwood Media</w:t>
            </w:r>
          </w:p>
        </w:tc>
        <w:tc>
          <w:tcPr>
            <w:tcW w:w="4580" w:type="dxa"/>
            <w:vAlign w:val="bottom"/>
          </w:tcPr>
          <w:p>
            <w:pPr>
              <w:ind w:left="100"/>
              <w:spacing w:after="0"/>
              <w:rPr>
                <w:sz w:val="20"/>
                <w:szCs w:val="20"/>
                <w:color w:val="auto"/>
              </w:rPr>
            </w:pPr>
            <w:r>
              <w:rPr>
                <w:rFonts w:ascii="Arial" w:cs="Arial" w:eastAsia="Arial" w:hAnsi="Arial"/>
                <w:sz w:val="10"/>
                <w:szCs w:val="10"/>
                <w:color w:val="auto"/>
              </w:rPr>
              <w:t>Sherwood Media, LLC</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NSOs</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Non-statutory stock options</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SIG</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Susquehanna International Group</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NYDFS</w:t>
            </w:r>
          </w:p>
        </w:tc>
        <w:tc>
          <w:tcPr>
            <w:tcW w:w="4520" w:type="dxa"/>
            <w:vAlign w:val="bottom"/>
          </w:tcPr>
          <w:p>
            <w:pPr>
              <w:ind w:left="60"/>
              <w:spacing w:after="0"/>
              <w:rPr>
                <w:sz w:val="20"/>
                <w:szCs w:val="20"/>
                <w:color w:val="auto"/>
              </w:rPr>
            </w:pPr>
            <w:r>
              <w:rPr>
                <w:rFonts w:ascii="Arial" w:cs="Arial" w:eastAsia="Arial" w:hAnsi="Arial"/>
                <w:sz w:val="10"/>
                <w:szCs w:val="10"/>
                <w:color w:val="auto"/>
              </w:rPr>
              <w:t>New York State Department of Financial Services</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SIPC</w:t>
            </w:r>
          </w:p>
        </w:tc>
        <w:tc>
          <w:tcPr>
            <w:tcW w:w="4580" w:type="dxa"/>
            <w:vAlign w:val="bottom"/>
          </w:tcPr>
          <w:p>
            <w:pPr>
              <w:ind w:left="100"/>
              <w:spacing w:after="0"/>
              <w:rPr>
                <w:sz w:val="20"/>
                <w:szCs w:val="20"/>
                <w:color w:val="auto"/>
              </w:rPr>
            </w:pPr>
            <w:r>
              <w:rPr>
                <w:rFonts w:ascii="Arial" w:cs="Arial" w:eastAsia="Arial" w:hAnsi="Arial"/>
                <w:sz w:val="10"/>
                <w:szCs w:val="10"/>
                <w:color w:val="auto"/>
              </w:rPr>
              <w:t>Securities Investor Protection Corporation</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NYSE</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New York Stock Exchange</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SIPS</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Securities Information Processors</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OCC</w:t>
            </w:r>
          </w:p>
        </w:tc>
        <w:tc>
          <w:tcPr>
            <w:tcW w:w="4520" w:type="dxa"/>
            <w:vAlign w:val="bottom"/>
          </w:tcPr>
          <w:p>
            <w:pPr>
              <w:ind w:left="60"/>
              <w:spacing w:after="0"/>
              <w:rPr>
                <w:sz w:val="20"/>
                <w:szCs w:val="20"/>
                <w:color w:val="auto"/>
              </w:rPr>
            </w:pPr>
            <w:r>
              <w:rPr>
                <w:rFonts w:ascii="Arial" w:cs="Arial" w:eastAsia="Arial" w:hAnsi="Arial"/>
                <w:sz w:val="10"/>
                <w:szCs w:val="10"/>
                <w:color w:val="auto"/>
              </w:rPr>
              <w:t>The Options Clearing Corporation</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SOFR</w:t>
            </w:r>
          </w:p>
        </w:tc>
        <w:tc>
          <w:tcPr>
            <w:tcW w:w="4580" w:type="dxa"/>
            <w:vAlign w:val="bottom"/>
          </w:tcPr>
          <w:p>
            <w:pPr>
              <w:ind w:left="100"/>
              <w:spacing w:after="0"/>
              <w:rPr>
                <w:sz w:val="20"/>
                <w:szCs w:val="20"/>
                <w:color w:val="auto"/>
              </w:rPr>
            </w:pPr>
            <w:r>
              <w:rPr>
                <w:rFonts w:ascii="Arial" w:cs="Arial" w:eastAsia="Arial" w:hAnsi="Arial"/>
                <w:sz w:val="10"/>
                <w:szCs w:val="10"/>
                <w:color w:val="auto"/>
              </w:rPr>
              <w:t>Secured Overnight Financing Rate</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OECD</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Organization for Economic Cooperation and Development</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SPV</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Special purpose vehicle</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OFAC</w:t>
            </w:r>
          </w:p>
        </w:tc>
        <w:tc>
          <w:tcPr>
            <w:tcW w:w="4520" w:type="dxa"/>
            <w:vAlign w:val="bottom"/>
          </w:tcPr>
          <w:p>
            <w:pPr>
              <w:ind w:left="60"/>
              <w:spacing w:after="0"/>
              <w:rPr>
                <w:sz w:val="20"/>
                <w:szCs w:val="20"/>
                <w:color w:val="auto"/>
              </w:rPr>
            </w:pPr>
            <w:r>
              <w:rPr>
                <w:rFonts w:ascii="Arial" w:cs="Arial" w:eastAsia="Arial" w:hAnsi="Arial"/>
                <w:sz w:val="10"/>
                <w:szCs w:val="10"/>
                <w:color w:val="auto"/>
              </w:rPr>
              <w:t>U.S. Department of the Treasury’s Office of Foreign Assets Control</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SROs</w:t>
            </w:r>
          </w:p>
        </w:tc>
        <w:tc>
          <w:tcPr>
            <w:tcW w:w="4580" w:type="dxa"/>
            <w:vAlign w:val="bottom"/>
          </w:tcPr>
          <w:p>
            <w:pPr>
              <w:ind w:left="100"/>
              <w:spacing w:after="0"/>
              <w:rPr>
                <w:sz w:val="20"/>
                <w:szCs w:val="20"/>
                <w:color w:val="auto"/>
              </w:rPr>
            </w:pPr>
            <w:r>
              <w:rPr>
                <w:rFonts w:ascii="Arial" w:cs="Arial" w:eastAsia="Arial" w:hAnsi="Arial"/>
                <w:sz w:val="10"/>
                <w:szCs w:val="10"/>
                <w:color w:val="auto"/>
              </w:rPr>
              <w:t>Self-Regulatory Organizations</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Paxos</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Paxos Digital Singapore Pte. Ltd.</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Stock Tokens</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Stock tokens launched in July 2026</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PFOF</w:t>
            </w:r>
          </w:p>
        </w:tc>
        <w:tc>
          <w:tcPr>
            <w:tcW w:w="4520" w:type="dxa"/>
            <w:vAlign w:val="bottom"/>
          </w:tcPr>
          <w:p>
            <w:pPr>
              <w:ind w:left="60"/>
              <w:spacing w:after="0"/>
              <w:rPr>
                <w:sz w:val="20"/>
                <w:szCs w:val="20"/>
                <w:color w:val="auto"/>
              </w:rPr>
            </w:pPr>
            <w:r>
              <w:rPr>
                <w:rFonts w:ascii="Arial" w:cs="Arial" w:eastAsia="Arial" w:hAnsi="Arial"/>
                <w:sz w:val="10"/>
                <w:szCs w:val="10"/>
                <w:color w:val="auto"/>
              </w:rPr>
              <w:t>Payment for order flow</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Sutton</w:t>
            </w:r>
          </w:p>
        </w:tc>
        <w:tc>
          <w:tcPr>
            <w:tcW w:w="4580" w:type="dxa"/>
            <w:vAlign w:val="bottom"/>
          </w:tcPr>
          <w:p>
            <w:pPr>
              <w:ind w:left="100"/>
              <w:spacing w:after="0"/>
              <w:rPr>
                <w:sz w:val="20"/>
                <w:szCs w:val="20"/>
                <w:color w:val="auto"/>
              </w:rPr>
            </w:pPr>
            <w:r>
              <w:rPr>
                <w:rFonts w:ascii="Arial" w:cs="Arial" w:eastAsia="Arial" w:hAnsi="Arial"/>
                <w:sz w:val="10"/>
                <w:szCs w:val="10"/>
                <w:color w:val="auto"/>
              </w:rPr>
              <w:t>Sutton Bank</w:t>
            </w:r>
          </w:p>
        </w:tc>
      </w:tr>
      <w:tr>
        <w:trPr>
          <w:trHeight w:val="119"/>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Prior Repurchase</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Prior share repurchase authorizations previously approved by the board of directors.</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SVB</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Silicon Valley Bank</w:t>
            </w:r>
          </w:p>
        </w:tc>
      </w:tr>
      <w:tr>
        <w:trPr>
          <w:trHeight w:val="140"/>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Program</w:t>
            </w:r>
          </w:p>
        </w:tc>
        <w:tc>
          <w:tcPr>
            <w:tcW w:w="4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rPr>
                <w:sz w:val="12"/>
                <w:szCs w:val="12"/>
                <w:color w:val="auto"/>
              </w:rPr>
            </w:pP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Product-market fit</w:t>
            </w:r>
          </w:p>
        </w:tc>
        <w:tc>
          <w:tcPr>
            <w:tcW w:w="4520" w:type="dxa"/>
            <w:vAlign w:val="bottom"/>
          </w:tcPr>
          <w:p>
            <w:pPr>
              <w:ind w:left="60"/>
              <w:spacing w:after="0"/>
              <w:rPr>
                <w:sz w:val="20"/>
                <w:szCs w:val="20"/>
                <w:color w:val="auto"/>
              </w:rPr>
            </w:pPr>
            <w:r>
              <w:rPr>
                <w:rFonts w:ascii="Arial" w:cs="Arial" w:eastAsia="Arial" w:hAnsi="Arial"/>
                <w:sz w:val="10"/>
                <w:szCs w:val="10"/>
                <w:color w:val="auto"/>
              </w:rPr>
              <w:t>The need to adapt, localize, and position our products for specific countries</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Time-Based RSUs</w:t>
            </w:r>
          </w:p>
        </w:tc>
        <w:tc>
          <w:tcPr>
            <w:tcW w:w="4580" w:type="dxa"/>
            <w:vAlign w:val="bottom"/>
          </w:tcPr>
          <w:p>
            <w:pPr>
              <w:ind w:left="100"/>
              <w:spacing w:after="0"/>
              <w:rPr>
                <w:sz w:val="20"/>
                <w:szCs w:val="20"/>
                <w:color w:val="auto"/>
              </w:rPr>
            </w:pPr>
            <w:r>
              <w:rPr>
                <w:rFonts w:ascii="Arial" w:cs="Arial" w:eastAsia="Arial" w:hAnsi="Arial"/>
                <w:sz w:val="10"/>
                <w:szCs w:val="10"/>
                <w:color w:val="auto"/>
              </w:rPr>
              <w:t>Time-based RSUs that vest upon the satisfaction of a time-based service condition</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RAM</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Robinhood Asset Management, LLC</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TradePMR</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Trade-PMR, Inc.</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REF</w:t>
            </w:r>
          </w:p>
        </w:tc>
        <w:tc>
          <w:tcPr>
            <w:tcW w:w="4520" w:type="dxa"/>
            <w:vAlign w:val="bottom"/>
          </w:tcPr>
          <w:p>
            <w:pPr>
              <w:ind w:left="60"/>
              <w:spacing w:after="0"/>
              <w:rPr>
                <w:sz w:val="20"/>
                <w:szCs w:val="20"/>
                <w:color w:val="auto"/>
              </w:rPr>
            </w:pPr>
            <w:r>
              <w:rPr>
                <w:rFonts w:ascii="Arial" w:cs="Arial" w:eastAsia="Arial" w:hAnsi="Arial"/>
                <w:sz w:val="10"/>
                <w:szCs w:val="10"/>
                <w:color w:val="auto"/>
              </w:rPr>
              <w:t>Robinhood Employee Fund, LP</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Treasury</w:t>
            </w:r>
          </w:p>
        </w:tc>
        <w:tc>
          <w:tcPr>
            <w:tcW w:w="4580" w:type="dxa"/>
            <w:vAlign w:val="bottom"/>
          </w:tcPr>
          <w:p>
            <w:pPr>
              <w:ind w:left="100"/>
              <w:spacing w:after="0"/>
              <w:rPr>
                <w:sz w:val="20"/>
                <w:szCs w:val="20"/>
                <w:color w:val="auto"/>
              </w:rPr>
            </w:pPr>
            <w:r>
              <w:rPr>
                <w:rFonts w:ascii="Arial" w:cs="Arial" w:eastAsia="Arial" w:hAnsi="Arial"/>
                <w:sz w:val="10"/>
                <w:szCs w:val="10"/>
                <w:color w:val="auto"/>
              </w:rPr>
              <w:t>U.S. Department of the Treasury</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Repurchase Program</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Share repurchase program</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TRF</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Trade Reporting Facilities</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RHC</w:t>
            </w:r>
          </w:p>
        </w:tc>
        <w:tc>
          <w:tcPr>
            <w:tcW w:w="4520" w:type="dxa"/>
            <w:vAlign w:val="bottom"/>
          </w:tcPr>
          <w:p>
            <w:pPr>
              <w:ind w:left="60"/>
              <w:spacing w:after="0"/>
              <w:rPr>
                <w:sz w:val="20"/>
                <w:szCs w:val="20"/>
                <w:color w:val="auto"/>
              </w:rPr>
            </w:pPr>
            <w:r>
              <w:rPr>
                <w:rFonts w:ascii="Arial" w:cs="Arial" w:eastAsia="Arial" w:hAnsi="Arial"/>
                <w:sz w:val="10"/>
                <w:szCs w:val="10"/>
                <w:color w:val="auto"/>
              </w:rPr>
              <w:t>Robinhood Crypto, LLC</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Trust</w:t>
            </w:r>
          </w:p>
        </w:tc>
        <w:tc>
          <w:tcPr>
            <w:tcW w:w="4580" w:type="dxa"/>
            <w:vAlign w:val="bottom"/>
          </w:tcPr>
          <w:p>
            <w:pPr>
              <w:ind w:left="100"/>
              <w:spacing w:after="0"/>
              <w:rPr>
                <w:sz w:val="20"/>
                <w:szCs w:val="20"/>
                <w:color w:val="auto"/>
              </w:rPr>
            </w:pPr>
            <w:r>
              <w:rPr>
                <w:rFonts w:ascii="Arial" w:cs="Arial" w:eastAsia="Arial" w:hAnsi="Arial"/>
                <w:sz w:val="10"/>
                <w:szCs w:val="10"/>
                <w:color w:val="auto"/>
              </w:rPr>
              <w:t>Credit Card Funding Trust</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RHD</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Robinhood Derivatives, LLC</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UAE</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United Arab Emirates</w:t>
            </w: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RHEU</w:t>
            </w:r>
          </w:p>
        </w:tc>
        <w:tc>
          <w:tcPr>
            <w:tcW w:w="4520" w:type="dxa"/>
            <w:vAlign w:val="bottom"/>
          </w:tcPr>
          <w:p>
            <w:pPr>
              <w:ind w:left="60"/>
              <w:spacing w:after="0"/>
              <w:rPr>
                <w:sz w:val="20"/>
                <w:szCs w:val="20"/>
                <w:color w:val="auto"/>
              </w:rPr>
            </w:pPr>
            <w:r>
              <w:rPr>
                <w:rFonts w:ascii="Arial" w:cs="Arial" w:eastAsia="Arial" w:hAnsi="Arial"/>
                <w:sz w:val="10"/>
                <w:szCs w:val="10"/>
                <w:color w:val="auto"/>
              </w:rPr>
              <w:t>Robinhood Europe, UAB</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U.K.</w:t>
            </w:r>
          </w:p>
        </w:tc>
        <w:tc>
          <w:tcPr>
            <w:tcW w:w="4580" w:type="dxa"/>
            <w:vAlign w:val="bottom"/>
          </w:tcPr>
          <w:p>
            <w:pPr>
              <w:ind w:left="100"/>
              <w:spacing w:after="0"/>
              <w:rPr>
                <w:sz w:val="20"/>
                <w:szCs w:val="20"/>
                <w:color w:val="auto"/>
              </w:rPr>
            </w:pPr>
            <w:r>
              <w:rPr>
                <w:rFonts w:ascii="Arial" w:cs="Arial" w:eastAsia="Arial" w:hAnsi="Arial"/>
                <w:sz w:val="10"/>
                <w:szCs w:val="10"/>
                <w:color w:val="auto"/>
              </w:rPr>
              <w:t>United Kingdom</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RHF</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Robinhood Financial LLC</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USAO</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The United States Attorney’s Office for the Northern District of California</w:t>
            </w:r>
          </w:p>
        </w:tc>
      </w:tr>
      <w:tr>
        <w:trPr>
          <w:trHeight w:val="118"/>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RHJ</w:t>
            </w:r>
          </w:p>
        </w:tc>
        <w:tc>
          <w:tcPr>
            <w:tcW w:w="4520" w:type="dxa"/>
            <w:vAlign w:val="bottom"/>
          </w:tcPr>
          <w:p>
            <w:pPr>
              <w:ind w:left="60"/>
              <w:spacing w:after="0"/>
              <w:rPr>
                <w:sz w:val="20"/>
                <w:szCs w:val="20"/>
                <w:color w:val="auto"/>
              </w:rPr>
            </w:pPr>
            <w:r>
              <w:rPr>
                <w:rFonts w:ascii="Arial" w:cs="Arial" w:eastAsia="Arial" w:hAnsi="Arial"/>
                <w:sz w:val="10"/>
                <w:szCs w:val="10"/>
                <w:color w:val="auto"/>
              </w:rPr>
              <w:t>Robinhood Assets (Jersey) Limited</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USA PATRIOT Act</w:t>
            </w:r>
          </w:p>
        </w:tc>
        <w:tc>
          <w:tcPr>
            <w:tcW w:w="4580" w:type="dxa"/>
            <w:vAlign w:val="bottom"/>
          </w:tcPr>
          <w:p>
            <w:pPr>
              <w:ind w:left="100"/>
              <w:spacing w:after="0"/>
              <w:rPr>
                <w:sz w:val="20"/>
                <w:szCs w:val="20"/>
                <w:color w:val="auto"/>
              </w:rPr>
            </w:pPr>
            <w:r>
              <w:rPr>
                <w:rFonts w:ascii="Arial" w:cs="Arial" w:eastAsia="Arial" w:hAnsi="Arial"/>
                <w:sz w:val="10"/>
                <w:szCs w:val="10"/>
                <w:color w:val="auto"/>
                <w:w w:val="98"/>
              </w:rPr>
              <w:t>Uniting and Strengthening America by Providing Appropriate Tools Required to Intercept and Obstruct</w:t>
            </w:r>
          </w:p>
        </w:tc>
      </w:tr>
      <w:tr>
        <w:trPr>
          <w:trHeight w:val="134"/>
        </w:trPr>
        <w:tc>
          <w:tcPr>
            <w:tcW w:w="10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580" w:type="dxa"/>
            <w:vAlign w:val="bottom"/>
          </w:tcPr>
          <w:p>
            <w:pPr>
              <w:ind w:left="100"/>
              <w:spacing w:after="0"/>
              <w:rPr>
                <w:sz w:val="20"/>
                <w:szCs w:val="20"/>
                <w:color w:val="auto"/>
              </w:rPr>
            </w:pPr>
            <w:r>
              <w:rPr>
                <w:rFonts w:ascii="Arial" w:cs="Arial" w:eastAsia="Arial" w:hAnsi="Arial"/>
                <w:sz w:val="10"/>
                <w:szCs w:val="10"/>
                <w:color w:val="auto"/>
              </w:rPr>
              <w:t>Terrorism Act of 2001</w:t>
            </w:r>
          </w:p>
        </w:tc>
      </w:tr>
      <w:tr>
        <w:trPr>
          <w:trHeight w:val="12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RHM March 2026</w:t>
            </w:r>
          </w:p>
        </w:tc>
        <w:tc>
          <w:tcPr>
            <w:tcW w:w="55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 xml:space="preserve">Third Amended and Restated Credit Agreement, dated as of March 21, 2025, among RHM, as </w:t>
            </w:r>
            <w:r>
              <w:rPr>
                <w:rFonts w:ascii="Arial" w:cs="Arial" w:eastAsia="Arial" w:hAnsi="Arial"/>
                <w:sz w:val="10"/>
                <w:szCs w:val="10"/>
                <w:b w:val="1"/>
                <w:bCs w:val="1"/>
                <w:color w:val="auto"/>
              </w:rPr>
              <w:t>USDC</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US Dollar Coin, issued by Circle Internet Group, Inc</w:t>
            </w:r>
          </w:p>
        </w:tc>
      </w:tr>
      <w:tr>
        <w:trPr>
          <w:trHeight w:val="100"/>
        </w:trPr>
        <w:tc>
          <w:tcPr>
            <w:tcW w:w="108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b w:val="1"/>
                <w:bCs w:val="1"/>
                <w:color w:val="auto"/>
              </w:rPr>
              <w:t>Credit Agreement</w:t>
            </w:r>
          </w:p>
        </w:tc>
        <w:tc>
          <w:tcPr>
            <w:tcW w:w="4520" w:type="dxa"/>
            <w:vAlign w:val="bottom"/>
            <w:shd w:val="clear" w:color="auto" w:fill="CCEEFF"/>
          </w:tcPr>
          <w:p>
            <w:pPr>
              <w:ind w:left="60"/>
              <w:spacing w:after="0" w:line="100" w:lineRule="exact"/>
              <w:rPr>
                <w:sz w:val="20"/>
                <w:szCs w:val="20"/>
                <w:color w:val="auto"/>
              </w:rPr>
            </w:pPr>
            <w:r>
              <w:rPr>
                <w:rFonts w:ascii="Arial" w:cs="Arial" w:eastAsia="Arial" w:hAnsi="Arial"/>
                <w:sz w:val="10"/>
                <w:szCs w:val="10"/>
                <w:color w:val="auto"/>
              </w:rPr>
              <w:t>borrower, and a syndicate of banks, as amended by the Second Amendment, dated as of March 9,</w:t>
            </w:r>
          </w:p>
        </w:tc>
        <w:tc>
          <w:tcPr>
            <w:tcW w:w="1060" w:type="dxa"/>
            <w:vAlign w:val="bottom"/>
            <w:shd w:val="clear" w:color="auto" w:fill="CCEEFF"/>
          </w:tcPr>
          <w:p>
            <w:pPr>
              <w:spacing w:after="0"/>
              <w:rPr>
                <w:sz w:val="8"/>
                <w:szCs w:val="8"/>
                <w:color w:val="auto"/>
              </w:rPr>
            </w:pPr>
          </w:p>
        </w:tc>
        <w:tc>
          <w:tcPr>
            <w:tcW w:w="4580" w:type="dxa"/>
            <w:vAlign w:val="bottom"/>
            <w:shd w:val="clear" w:color="auto" w:fill="CCEEFF"/>
          </w:tcPr>
          <w:p>
            <w:pPr>
              <w:spacing w:after="0"/>
              <w:rPr>
                <w:sz w:val="8"/>
                <w:szCs w:val="8"/>
                <w:color w:val="auto"/>
              </w:rPr>
            </w:pPr>
          </w:p>
        </w:tc>
      </w:tr>
      <w:tr>
        <w:trPr>
          <w:trHeight w:val="135"/>
        </w:trPr>
        <w:tc>
          <w:tcPr>
            <w:tcW w:w="1080" w:type="dxa"/>
            <w:vAlign w:val="bottom"/>
            <w:shd w:val="clear" w:color="auto" w:fill="CCEEFF"/>
          </w:tcPr>
          <w:p>
            <w:pPr>
              <w:spacing w:after="0"/>
              <w:rPr>
                <w:sz w:val="11"/>
                <w:szCs w:val="11"/>
                <w:color w:val="auto"/>
              </w:rPr>
            </w:pP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2026</w:t>
            </w:r>
          </w:p>
        </w:tc>
        <w:tc>
          <w:tcPr>
            <w:tcW w:w="1060" w:type="dxa"/>
            <w:vAlign w:val="bottom"/>
            <w:shd w:val="clear" w:color="auto" w:fill="CCEEFF"/>
          </w:tcPr>
          <w:p>
            <w:pPr>
              <w:spacing w:after="0"/>
              <w:rPr>
                <w:sz w:val="11"/>
                <w:szCs w:val="11"/>
                <w:color w:val="auto"/>
              </w:rPr>
            </w:pPr>
          </w:p>
        </w:tc>
        <w:tc>
          <w:tcPr>
            <w:tcW w:w="4580" w:type="dxa"/>
            <w:vAlign w:val="bottom"/>
            <w:shd w:val="clear" w:color="auto" w:fill="CCEEFF"/>
          </w:tcPr>
          <w:p>
            <w:pPr>
              <w:spacing w:after="0"/>
              <w:rPr>
                <w:sz w:val="11"/>
                <w:szCs w:val="11"/>
                <w:color w:val="auto"/>
              </w:rPr>
            </w:pP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RHS</w:t>
            </w:r>
          </w:p>
        </w:tc>
        <w:tc>
          <w:tcPr>
            <w:tcW w:w="4520" w:type="dxa"/>
            <w:vAlign w:val="bottom"/>
          </w:tcPr>
          <w:p>
            <w:pPr>
              <w:ind w:left="60"/>
              <w:spacing w:after="0"/>
              <w:rPr>
                <w:sz w:val="20"/>
                <w:szCs w:val="20"/>
                <w:color w:val="auto"/>
              </w:rPr>
            </w:pPr>
            <w:r>
              <w:rPr>
                <w:rFonts w:ascii="Arial" w:cs="Arial" w:eastAsia="Arial" w:hAnsi="Arial"/>
                <w:sz w:val="10"/>
                <w:szCs w:val="10"/>
                <w:color w:val="auto"/>
              </w:rPr>
              <w:t>Robinhood Securities, LLC</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USDG</w:t>
            </w:r>
          </w:p>
        </w:tc>
        <w:tc>
          <w:tcPr>
            <w:tcW w:w="4580" w:type="dxa"/>
            <w:vAlign w:val="bottom"/>
          </w:tcPr>
          <w:p>
            <w:pPr>
              <w:ind w:left="100"/>
              <w:spacing w:after="0"/>
              <w:rPr>
                <w:sz w:val="20"/>
                <w:szCs w:val="20"/>
                <w:color w:val="auto"/>
              </w:rPr>
            </w:pPr>
            <w:r>
              <w:rPr>
                <w:rFonts w:ascii="Arial" w:cs="Arial" w:eastAsia="Arial" w:hAnsi="Arial"/>
                <w:sz w:val="10"/>
                <w:szCs w:val="10"/>
                <w:color w:val="auto"/>
              </w:rPr>
              <w:t>Global Dollar, issued by Paxos</w:t>
            </w:r>
          </w:p>
        </w:tc>
      </w:tr>
      <w:tr>
        <w:trPr>
          <w:trHeight w:val="119"/>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RHS March 2026</w:t>
            </w:r>
          </w:p>
        </w:tc>
        <w:tc>
          <w:tcPr>
            <w:tcW w:w="55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 xml:space="preserve">Fifth Amended and Restated Credit Agreement, dated as of March 20, 2026, among RHS, as </w:t>
            </w:r>
            <w:r>
              <w:rPr>
                <w:rFonts w:ascii="Arial" w:cs="Arial" w:eastAsia="Arial" w:hAnsi="Arial"/>
                <w:sz w:val="10"/>
                <w:szCs w:val="10"/>
                <w:b w:val="1"/>
                <w:bCs w:val="1"/>
                <w:color w:val="auto"/>
              </w:rPr>
              <w:t>VIE</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Variable interest entity</w:t>
            </w:r>
          </w:p>
        </w:tc>
      </w:tr>
      <w:tr>
        <w:trPr>
          <w:trHeight w:val="140"/>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Credit Agreement</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borrower, the lenders party thereto, and JPMorgan Chase Bank, N.A., as administrative agent</w:t>
            </w:r>
          </w:p>
        </w:tc>
        <w:tc>
          <w:tcPr>
            <w:tcW w:w="1060" w:type="dxa"/>
            <w:vAlign w:val="bottom"/>
            <w:shd w:val="clear" w:color="auto" w:fill="CCEEFF"/>
          </w:tcPr>
          <w:p>
            <w:pPr>
              <w:spacing w:after="0"/>
              <w:rPr>
                <w:sz w:val="12"/>
                <w:szCs w:val="12"/>
                <w:color w:val="auto"/>
              </w:rPr>
            </w:pPr>
          </w:p>
        </w:tc>
        <w:tc>
          <w:tcPr>
            <w:tcW w:w="4580" w:type="dxa"/>
            <w:vAlign w:val="bottom"/>
            <w:shd w:val="clear" w:color="auto" w:fill="CCEEFF"/>
          </w:tcPr>
          <w:p>
            <w:pPr>
              <w:spacing w:after="0"/>
              <w:rPr>
                <w:sz w:val="12"/>
                <w:szCs w:val="12"/>
                <w:color w:val="auto"/>
              </w:rPr>
            </w:pPr>
          </w:p>
        </w:tc>
      </w:tr>
      <w:tr>
        <w:trPr>
          <w:trHeight w:val="146"/>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RHUK</w:t>
            </w:r>
          </w:p>
        </w:tc>
        <w:tc>
          <w:tcPr>
            <w:tcW w:w="4520" w:type="dxa"/>
            <w:vAlign w:val="bottom"/>
          </w:tcPr>
          <w:p>
            <w:pPr>
              <w:ind w:left="60"/>
              <w:spacing w:after="0"/>
              <w:rPr>
                <w:sz w:val="20"/>
                <w:szCs w:val="20"/>
                <w:color w:val="auto"/>
              </w:rPr>
            </w:pPr>
            <w:r>
              <w:rPr>
                <w:rFonts w:ascii="Arial" w:cs="Arial" w:eastAsia="Arial" w:hAnsi="Arial"/>
                <w:sz w:val="10"/>
                <w:szCs w:val="10"/>
                <w:color w:val="auto"/>
              </w:rPr>
              <w:t>Robinhood U.K. Ltd</w:t>
            </w:r>
          </w:p>
        </w:tc>
        <w:tc>
          <w:tcPr>
            <w:tcW w:w="1060" w:type="dxa"/>
            <w:vAlign w:val="bottom"/>
          </w:tcPr>
          <w:p>
            <w:pPr>
              <w:ind w:left="20"/>
              <w:spacing w:after="0"/>
              <w:rPr>
                <w:sz w:val="20"/>
                <w:szCs w:val="20"/>
                <w:color w:val="auto"/>
              </w:rPr>
            </w:pPr>
            <w:r>
              <w:rPr>
                <w:rFonts w:ascii="Arial" w:cs="Arial" w:eastAsia="Arial" w:hAnsi="Arial"/>
                <w:sz w:val="10"/>
                <w:szCs w:val="10"/>
                <w:b w:val="1"/>
                <w:bCs w:val="1"/>
                <w:color w:val="auto"/>
              </w:rPr>
              <w:t>WF</w:t>
            </w:r>
          </w:p>
        </w:tc>
        <w:tc>
          <w:tcPr>
            <w:tcW w:w="4580" w:type="dxa"/>
            <w:vAlign w:val="bottom"/>
          </w:tcPr>
          <w:p>
            <w:pPr>
              <w:ind w:left="100"/>
              <w:spacing w:after="0"/>
              <w:rPr>
                <w:sz w:val="20"/>
                <w:szCs w:val="20"/>
                <w:color w:val="auto"/>
              </w:rPr>
            </w:pPr>
            <w:r>
              <w:rPr>
                <w:rFonts w:ascii="Arial" w:cs="Arial" w:eastAsia="Arial" w:hAnsi="Arial"/>
                <w:sz w:val="10"/>
                <w:szCs w:val="10"/>
                <w:color w:val="auto"/>
              </w:rPr>
              <w:t>Wells Fargo Bank</w:t>
            </w: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RHV</w:t>
            </w:r>
          </w:p>
        </w:tc>
        <w:tc>
          <w:tcPr>
            <w:tcW w:w="4520" w:type="dxa"/>
            <w:vAlign w:val="bottom"/>
            <w:shd w:val="clear" w:color="auto" w:fill="CCEEFF"/>
          </w:tcPr>
          <w:p>
            <w:pPr>
              <w:ind w:left="60"/>
              <w:spacing w:after="0"/>
              <w:rPr>
                <w:sz w:val="20"/>
                <w:szCs w:val="20"/>
                <w:color w:val="auto"/>
              </w:rPr>
            </w:pPr>
            <w:r>
              <w:rPr>
                <w:rFonts w:ascii="Arial" w:cs="Arial" w:eastAsia="Arial" w:hAnsi="Arial"/>
                <w:sz w:val="10"/>
                <w:szCs w:val="10"/>
                <w:color w:val="auto"/>
              </w:rPr>
              <w:t>Robinhood Ventures DE, LLC</w:t>
            </w:r>
          </w:p>
        </w:tc>
        <w:tc>
          <w:tcPr>
            <w:tcW w:w="1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WonderFi</w:t>
            </w:r>
          </w:p>
        </w:tc>
        <w:tc>
          <w:tcPr>
            <w:tcW w:w="45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WonderFi Technologies Inc.</w:t>
            </w:r>
          </w:p>
        </w:tc>
      </w:tr>
      <w:tr>
        <w:trPr>
          <w:trHeight w:val="144"/>
        </w:trPr>
        <w:tc>
          <w:tcPr>
            <w:tcW w:w="1080" w:type="dxa"/>
            <w:vAlign w:val="bottom"/>
          </w:tcPr>
          <w:p>
            <w:pPr>
              <w:ind w:left="20"/>
              <w:spacing w:after="0"/>
              <w:rPr>
                <w:sz w:val="20"/>
                <w:szCs w:val="20"/>
                <w:color w:val="auto"/>
              </w:rPr>
            </w:pPr>
            <w:r>
              <w:rPr>
                <w:rFonts w:ascii="Arial" w:cs="Arial" w:eastAsia="Arial" w:hAnsi="Arial"/>
                <w:sz w:val="10"/>
                <w:szCs w:val="10"/>
                <w:b w:val="1"/>
                <w:bCs w:val="1"/>
                <w:color w:val="auto"/>
              </w:rPr>
              <w:t>RHY</w:t>
            </w:r>
          </w:p>
        </w:tc>
        <w:tc>
          <w:tcPr>
            <w:tcW w:w="4520" w:type="dxa"/>
            <w:vAlign w:val="bottom"/>
          </w:tcPr>
          <w:p>
            <w:pPr>
              <w:ind w:left="60"/>
              <w:spacing w:after="0"/>
              <w:rPr>
                <w:sz w:val="20"/>
                <w:szCs w:val="20"/>
                <w:color w:val="auto"/>
              </w:rPr>
            </w:pPr>
            <w:r>
              <w:rPr>
                <w:rFonts w:ascii="Arial" w:cs="Arial" w:eastAsia="Arial" w:hAnsi="Arial"/>
                <w:sz w:val="10"/>
                <w:szCs w:val="10"/>
                <w:color w:val="auto"/>
              </w:rPr>
              <w:t>Robinhood Money, LLC</w:t>
            </w:r>
          </w:p>
        </w:tc>
        <w:tc>
          <w:tcPr>
            <w:tcW w:w="1060" w:type="dxa"/>
            <w:vAlign w:val="bottom"/>
          </w:tcPr>
          <w:p>
            <w:pPr>
              <w:spacing w:after="0"/>
              <w:rPr>
                <w:sz w:val="12"/>
                <w:szCs w:val="12"/>
                <w:color w:val="auto"/>
              </w:rPr>
            </w:pPr>
          </w:p>
        </w:tc>
        <w:tc>
          <w:tcPr>
            <w:tcW w:w="458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7140575" cy="2143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Key Performance Metrics Terms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We use the following key performance metrics to help us evaluate our business, identify trends affecting our business, formulate business plans, and make strategic decisions.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Borders>
              <w:top w:val="single" w:sz="8" w:color="auto"/>
              <w:right w:val="single" w:sz="8" w:color="auto"/>
            </w:tcBorders>
            <w:shd w:val="clear" w:color="auto" w:fill="CCEEFF"/>
          </w:tcPr>
          <w:p>
            <w:pPr>
              <w:ind w:left="40"/>
              <w:spacing w:after="0" w:line="138" w:lineRule="exact"/>
              <w:rPr>
                <w:sz w:val="20"/>
                <w:szCs w:val="20"/>
                <w:color w:val="auto"/>
              </w:rPr>
            </w:pPr>
            <w:r>
              <w:rPr>
                <w:rFonts w:ascii="Arial" w:cs="Arial" w:eastAsia="Arial" w:hAnsi="Arial"/>
                <w:sz w:val="13"/>
                <w:szCs w:val="13"/>
                <w:b w:val="1"/>
                <w:bCs w:val="1"/>
                <w:color w:val="auto"/>
              </w:rPr>
              <w:t>ARPU</w:t>
            </w:r>
          </w:p>
        </w:tc>
        <w:tc>
          <w:tcPr>
            <w:tcW w:w="9620" w:type="dxa"/>
            <w:vAlign w:val="bottom"/>
            <w:tcBorders>
              <w:top w:val="single" w:sz="8" w:color="auto"/>
            </w:tcBorders>
            <w:shd w:val="clear" w:color="auto" w:fill="CCEEFF"/>
          </w:tcPr>
          <w:p>
            <w:pPr>
              <w:ind w:left="20"/>
              <w:spacing w:after="0" w:line="138" w:lineRule="exact"/>
              <w:rPr>
                <w:sz w:val="20"/>
                <w:szCs w:val="20"/>
                <w:color w:val="auto"/>
              </w:rPr>
            </w:pPr>
            <w:r>
              <w:rPr>
                <w:rFonts w:ascii="Arial" w:cs="Arial" w:eastAsia="Arial" w:hAnsi="Arial"/>
                <w:sz w:val="13"/>
                <w:szCs w:val="13"/>
                <w:color w:val="auto"/>
                <w:w w:val="97"/>
              </w:rPr>
              <w:t>We define Average Revenue Per User, or ARPU, as total revenue for a given period divided by the average number of Funded Customers on the last day of that period and</w:t>
            </w:r>
          </w:p>
        </w:tc>
        <w:tc>
          <w:tcPr>
            <w:tcW w:w="20" w:type="dxa"/>
            <w:vAlign w:val="bottom"/>
            <w:tcBorders>
              <w:top w:val="single" w:sz="8" w:color="auto"/>
            </w:tcBorders>
          </w:tcPr>
          <w:p>
            <w:pPr>
              <w:spacing w:after="0"/>
              <w:rPr>
                <w:sz w:val="12"/>
                <w:szCs w:val="12"/>
                <w:color w:val="auto"/>
              </w:rPr>
            </w:pPr>
          </w:p>
        </w:tc>
      </w:tr>
      <w:tr>
        <w:trPr>
          <w:trHeight w:val="173"/>
        </w:trPr>
        <w:tc>
          <w:tcPr>
            <w:tcW w:w="1620" w:type="dxa"/>
            <w:vAlign w:val="bottom"/>
            <w:tcBorders>
              <w:bottom w:val="single" w:sz="8" w:color="auto"/>
              <w:right w:val="single" w:sz="8" w:color="auto"/>
            </w:tcBorders>
            <w:shd w:val="clear" w:color="auto" w:fill="CCEEFF"/>
          </w:tcPr>
          <w:p>
            <w:pPr>
              <w:spacing w:after="0"/>
              <w:rPr>
                <w:sz w:val="15"/>
                <w:szCs w:val="15"/>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the last day of the immediately preceding period. Figures in this Form 10-Q represent ARPU annualized for each three-month period presented.</w:t>
            </w:r>
          </w:p>
        </w:tc>
        <w:tc>
          <w:tcPr>
            <w:tcW w:w="20" w:type="dxa"/>
            <w:vAlign w:val="bottom"/>
            <w:tcBorders>
              <w:bottom w:val="single" w:sz="8" w:color="auto"/>
            </w:tcBorders>
          </w:tcPr>
          <w:p>
            <w:pPr>
              <w:spacing w:after="0"/>
              <w:rPr>
                <w:sz w:val="15"/>
                <w:szCs w:val="15"/>
                <w:color w:val="auto"/>
              </w:rPr>
            </w:pPr>
          </w:p>
        </w:tc>
      </w:tr>
      <w:tr>
        <w:trPr>
          <w:trHeight w:val="131"/>
        </w:trPr>
        <w:tc>
          <w:tcPr>
            <w:tcW w:w="1620" w:type="dxa"/>
            <w:vAlign w:val="bottom"/>
            <w:tcBorders>
              <w:right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Funded Customers</w:t>
            </w:r>
          </w:p>
        </w:tc>
        <w:tc>
          <w:tcPr>
            <w:tcW w:w="9620" w:type="dxa"/>
            <w:vAlign w:val="bottom"/>
          </w:tcPr>
          <w:p>
            <w:pPr>
              <w:ind w:left="20"/>
              <w:spacing w:after="0" w:line="131" w:lineRule="exact"/>
              <w:rPr>
                <w:sz w:val="20"/>
                <w:szCs w:val="20"/>
                <w:color w:val="auto"/>
              </w:rPr>
            </w:pPr>
            <w:r>
              <w:rPr>
                <w:rFonts w:ascii="Arial" w:cs="Arial" w:eastAsia="Arial" w:hAnsi="Arial"/>
                <w:sz w:val="13"/>
                <w:szCs w:val="13"/>
                <w:color w:val="auto"/>
                <w:w w:val="97"/>
              </w:rPr>
              <w:t>We define a Funded Customer as a unique person who has at least one account with a Robinhood entity and, within the past 45 calendar days (a) had an account balance</w:t>
            </w:r>
          </w:p>
        </w:tc>
        <w:tc>
          <w:tcPr>
            <w:tcW w:w="20" w:type="dxa"/>
            <w:vAlign w:val="bottom"/>
          </w:tcPr>
          <w:p>
            <w:pPr>
              <w:spacing w:after="0"/>
              <w:rPr>
                <w:sz w:val="11"/>
                <w:szCs w:val="11"/>
                <w:color w:val="auto"/>
              </w:rPr>
            </w:pPr>
          </w:p>
        </w:tc>
      </w:tr>
      <w:tr>
        <w:trPr>
          <w:trHeight w:val="126"/>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6" w:lineRule="exact"/>
              <w:rPr>
                <w:sz w:val="20"/>
                <w:szCs w:val="20"/>
                <w:color w:val="auto"/>
              </w:rPr>
            </w:pPr>
            <w:r>
              <w:rPr>
                <w:rFonts w:ascii="Arial" w:cs="Arial" w:eastAsia="Arial" w:hAnsi="Arial"/>
                <w:sz w:val="13"/>
                <w:szCs w:val="13"/>
                <w:color w:val="auto"/>
              </w:rPr>
              <w:t>that was greater than zero (excluding amounts that are deposited into a Funded Customer account by the Company with no action taken by the unique person) or (b)</w:t>
            </w:r>
          </w:p>
        </w:tc>
        <w:tc>
          <w:tcPr>
            <w:tcW w:w="20" w:type="dxa"/>
            <w:vAlign w:val="bottom"/>
          </w:tcPr>
          <w:p>
            <w:pPr>
              <w:spacing w:after="0"/>
              <w:rPr>
                <w:sz w:val="10"/>
                <w:szCs w:val="10"/>
                <w:color w:val="auto"/>
              </w:rPr>
            </w:pPr>
          </w:p>
        </w:tc>
      </w:tr>
      <w:tr>
        <w:trPr>
          <w:trHeight w:val="122"/>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2" w:lineRule="exact"/>
              <w:rPr>
                <w:sz w:val="20"/>
                <w:szCs w:val="20"/>
                <w:color w:val="auto"/>
              </w:rPr>
            </w:pPr>
            <w:r>
              <w:rPr>
                <w:rFonts w:ascii="Arial" w:cs="Arial" w:eastAsia="Arial" w:hAnsi="Arial"/>
                <w:sz w:val="13"/>
                <w:szCs w:val="13"/>
                <w:color w:val="auto"/>
                <w:w w:val="99"/>
              </w:rPr>
              <w:t>completed a transaction using any such account. Individuals who share a funded joint investing account are each considered to be a Funded Customer. Starting in June</w:t>
            </w:r>
          </w:p>
        </w:tc>
        <w:tc>
          <w:tcPr>
            <w:tcW w:w="20" w:type="dxa"/>
            <w:vAlign w:val="bottom"/>
          </w:tcPr>
          <w:p>
            <w:pPr>
              <w:spacing w:after="0"/>
              <w:rPr>
                <w:sz w:val="10"/>
                <w:szCs w:val="10"/>
                <w:color w:val="auto"/>
              </w:rPr>
            </w:pPr>
          </w:p>
        </w:tc>
      </w:tr>
      <w:tr>
        <w:trPr>
          <w:trHeight w:val="171"/>
        </w:trPr>
        <w:tc>
          <w:tcPr>
            <w:tcW w:w="162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2026, customers of WonderFi are also considered Funded Customers.</w:t>
            </w:r>
          </w:p>
        </w:tc>
        <w:tc>
          <w:tcPr>
            <w:tcW w:w="20" w:type="dxa"/>
            <w:vAlign w:val="bottom"/>
            <w:tcBorders>
              <w:bottom w:val="single" w:sz="8" w:color="auto"/>
            </w:tcBorders>
          </w:tcPr>
          <w:p>
            <w:pPr>
              <w:spacing w:after="0"/>
              <w:rPr>
                <w:sz w:val="14"/>
                <w:szCs w:val="14"/>
                <w:color w:val="auto"/>
              </w:rPr>
            </w:pPr>
          </w:p>
        </w:tc>
      </w:tr>
      <w:tr>
        <w:trPr>
          <w:trHeight w:val="129"/>
        </w:trPr>
        <w:tc>
          <w:tcPr>
            <w:tcW w:w="1620" w:type="dxa"/>
            <w:vAlign w:val="bottom"/>
            <w:tcBorders>
              <w:right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Net Deposits</w:t>
            </w:r>
          </w:p>
        </w:tc>
        <w:tc>
          <w:tcPr>
            <w:tcW w:w="96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We define Net Deposits as all cash deposits and asset transfers from customers, as well as dividends, interest, staking rewards, and cash or assets earned in connection</w:t>
            </w:r>
          </w:p>
        </w:tc>
        <w:tc>
          <w:tcPr>
            <w:tcW w:w="20" w:type="dxa"/>
            <w:vAlign w:val="bottom"/>
          </w:tcPr>
          <w:p>
            <w:pPr>
              <w:spacing w:after="0"/>
              <w:rPr>
                <w:sz w:val="11"/>
                <w:szCs w:val="11"/>
                <w:color w:val="auto"/>
              </w:rPr>
            </w:pPr>
          </w:p>
        </w:tc>
      </w:tr>
      <w:tr>
        <w:trPr>
          <w:trHeight w:val="126"/>
        </w:trPr>
        <w:tc>
          <w:tcPr>
            <w:tcW w:w="1620" w:type="dxa"/>
            <w:vAlign w:val="bottom"/>
            <w:tcBorders>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with Company promotions (such as account transfer and retirement match incentives, free stock bonuses) received by customers, net of reversals, customer cash</w:t>
            </w:r>
          </w:p>
        </w:tc>
        <w:tc>
          <w:tcPr>
            <w:tcW w:w="20" w:type="dxa"/>
            <w:vAlign w:val="bottom"/>
          </w:tcPr>
          <w:p>
            <w:pPr>
              <w:spacing w:after="0"/>
              <w:rPr>
                <w:sz w:val="10"/>
                <w:szCs w:val="10"/>
                <w:color w:val="auto"/>
              </w:rPr>
            </w:pPr>
          </w:p>
        </w:tc>
      </w:tr>
      <w:tr>
        <w:trPr>
          <w:trHeight w:val="122"/>
        </w:trPr>
        <w:tc>
          <w:tcPr>
            <w:tcW w:w="1620" w:type="dxa"/>
            <w:vAlign w:val="bottom"/>
            <w:tcBorders>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8"/>
              </w:rPr>
              <w:t>withdrawals, margin and lending interest, Robinhood Gold subscription fees, and assets transferred off of our platforms for a stated period. As previously disclosed, due to</w:t>
            </w:r>
          </w:p>
        </w:tc>
        <w:tc>
          <w:tcPr>
            <w:tcW w:w="20" w:type="dxa"/>
            <w:vAlign w:val="bottom"/>
          </w:tcPr>
          <w:p>
            <w:pPr>
              <w:spacing w:after="0"/>
              <w:rPr>
                <w:sz w:val="10"/>
                <w:szCs w:val="10"/>
                <w:color w:val="auto"/>
              </w:rPr>
            </w:pPr>
          </w:p>
        </w:tc>
      </w:tr>
      <w:tr>
        <w:trPr>
          <w:trHeight w:val="131"/>
        </w:trPr>
        <w:tc>
          <w:tcPr>
            <w:tcW w:w="1620" w:type="dxa"/>
            <w:vAlign w:val="bottom"/>
            <w:tcBorders>
              <w:right w:val="single" w:sz="8" w:color="auto"/>
            </w:tcBorders>
            <w:shd w:val="clear" w:color="auto" w:fill="CCEEFF"/>
          </w:tcPr>
          <w:p>
            <w:pPr>
              <w:spacing w:after="0"/>
              <w:rPr>
                <w:sz w:val="11"/>
                <w:szCs w:val="11"/>
                <w:color w:val="auto"/>
              </w:rPr>
            </w:pPr>
          </w:p>
        </w:tc>
        <w:tc>
          <w:tcPr>
            <w:tcW w:w="96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w w:val="98"/>
              </w:rPr>
              <w:t>data limitations we did not include TradePMR client figures in our Net Deposits key performance metric prior to March 2026. Starting in March 2026, Net Deposits include</w:t>
            </w:r>
          </w:p>
        </w:tc>
        <w:tc>
          <w:tcPr>
            <w:tcW w:w="20" w:type="dxa"/>
            <w:vAlign w:val="bottom"/>
          </w:tcPr>
          <w:p>
            <w:pPr>
              <w:spacing w:after="0"/>
              <w:rPr>
                <w:sz w:val="11"/>
                <w:szCs w:val="11"/>
                <w:color w:val="auto"/>
              </w:rPr>
            </w:pPr>
          </w:p>
        </w:tc>
      </w:tr>
      <w:tr>
        <w:trPr>
          <w:trHeight w:val="126"/>
        </w:trPr>
        <w:tc>
          <w:tcPr>
            <w:tcW w:w="1620" w:type="dxa"/>
            <w:vAlign w:val="bottom"/>
            <w:tcBorders>
              <w:right w:val="single" w:sz="8" w:color="auto"/>
            </w:tcBorders>
            <w:shd w:val="clear" w:color="auto" w:fill="CCEEFF"/>
          </w:tcPr>
          <w:p>
            <w:pPr>
              <w:spacing w:after="0"/>
              <w:rPr>
                <w:sz w:val="10"/>
                <w:szCs w:val="10"/>
                <w:color w:val="auto"/>
              </w:rPr>
            </w:pPr>
          </w:p>
        </w:tc>
        <w:tc>
          <w:tcPr>
            <w:tcW w:w="96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results from TradePMR. Starting in June 2026, Net Deposits also include results from WonderFi. Starting in July 2026, Net Deposits include Trump Account contributions</w:t>
            </w:r>
          </w:p>
        </w:tc>
        <w:tc>
          <w:tcPr>
            <w:tcW w:w="20" w:type="dxa"/>
            <w:vAlign w:val="bottom"/>
          </w:tcPr>
          <w:p>
            <w:pPr>
              <w:spacing w:after="0"/>
              <w:rPr>
                <w:sz w:val="10"/>
                <w:szCs w:val="10"/>
                <w:color w:val="auto"/>
              </w:rPr>
            </w:pPr>
          </w:p>
        </w:tc>
      </w:tr>
      <w:tr>
        <w:trPr>
          <w:trHeight w:val="171"/>
        </w:trPr>
        <w:tc>
          <w:tcPr>
            <w:tcW w:w="1620" w:type="dxa"/>
            <w:vAlign w:val="bottom"/>
            <w:tcBorders>
              <w:bottom w:val="single" w:sz="8" w:color="auto"/>
              <w:right w:val="single" w:sz="8" w:color="auto"/>
            </w:tcBorders>
            <w:shd w:val="clear" w:color="auto" w:fill="CCEEFF"/>
          </w:tcPr>
          <w:p>
            <w:pPr>
              <w:spacing w:after="0"/>
              <w:rPr>
                <w:sz w:val="14"/>
                <w:szCs w:val="14"/>
                <w:color w:val="auto"/>
              </w:rPr>
            </w:pP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and seed funding from Treasury.</w:t>
            </w:r>
          </w:p>
        </w:tc>
        <w:tc>
          <w:tcPr>
            <w:tcW w:w="20" w:type="dxa"/>
            <w:vAlign w:val="bottom"/>
            <w:tcBorders>
              <w:bottom w:val="single" w:sz="8" w:color="auto"/>
            </w:tcBorders>
          </w:tcPr>
          <w:p>
            <w:pPr>
              <w:spacing w:after="0"/>
              <w:rPr>
                <w:sz w:val="14"/>
                <w:szCs w:val="14"/>
                <w:color w:val="auto"/>
              </w:rPr>
            </w:pPr>
          </w:p>
        </w:tc>
      </w:tr>
      <w:tr>
        <w:trPr>
          <w:trHeight w:val="129"/>
        </w:trPr>
        <w:tc>
          <w:tcPr>
            <w:tcW w:w="1620" w:type="dxa"/>
            <w:vAlign w:val="bottom"/>
            <w:tcBorders>
              <w:right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Total Platform Assets</w:t>
            </w:r>
          </w:p>
        </w:tc>
        <w:tc>
          <w:tcPr>
            <w:tcW w:w="9620" w:type="dxa"/>
            <w:vAlign w:val="bottom"/>
          </w:tcPr>
          <w:p>
            <w:pPr>
              <w:ind w:left="20"/>
              <w:spacing w:after="0" w:line="129" w:lineRule="exact"/>
              <w:rPr>
                <w:sz w:val="20"/>
                <w:szCs w:val="20"/>
                <w:color w:val="auto"/>
              </w:rPr>
            </w:pPr>
            <w:r>
              <w:rPr>
                <w:rFonts w:ascii="Arial" w:cs="Arial" w:eastAsia="Arial" w:hAnsi="Arial"/>
                <w:sz w:val="13"/>
                <w:szCs w:val="13"/>
                <w:color w:val="auto"/>
              </w:rPr>
              <w:t>We define Total Platform Assets as the sum of the fair value of all equities, options, cryptocurrency, futures (including options on futures and swaps, including event</w:t>
            </w:r>
          </w:p>
        </w:tc>
        <w:tc>
          <w:tcPr>
            <w:tcW w:w="20" w:type="dxa"/>
            <w:vAlign w:val="bottom"/>
          </w:tcPr>
          <w:p>
            <w:pPr>
              <w:spacing w:after="0"/>
              <w:rPr>
                <w:sz w:val="11"/>
                <w:szCs w:val="11"/>
                <w:color w:val="auto"/>
              </w:rPr>
            </w:pPr>
          </w:p>
        </w:tc>
      </w:tr>
      <w:tr>
        <w:trPr>
          <w:trHeight w:val="126"/>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6" w:lineRule="exact"/>
              <w:rPr>
                <w:sz w:val="20"/>
                <w:szCs w:val="20"/>
                <w:color w:val="auto"/>
              </w:rPr>
            </w:pPr>
            <w:r>
              <w:rPr>
                <w:rFonts w:ascii="Arial" w:cs="Arial" w:eastAsia="Arial" w:hAnsi="Arial"/>
                <w:sz w:val="13"/>
                <w:szCs w:val="13"/>
                <w:color w:val="auto"/>
                <w:w w:val="97"/>
              </w:rPr>
              <w:t>contracts), cash held by users in their accounts, net of receivables from users (previously reported as Assets Under Custody), and any such assets managed by RIAs using</w:t>
            </w:r>
          </w:p>
        </w:tc>
        <w:tc>
          <w:tcPr>
            <w:tcW w:w="20" w:type="dxa"/>
            <w:vAlign w:val="bottom"/>
          </w:tcPr>
          <w:p>
            <w:pPr>
              <w:spacing w:after="0"/>
              <w:rPr>
                <w:sz w:val="10"/>
                <w:szCs w:val="10"/>
                <w:color w:val="auto"/>
              </w:rPr>
            </w:pPr>
          </w:p>
        </w:tc>
      </w:tr>
      <w:tr>
        <w:trPr>
          <w:trHeight w:val="122"/>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2" w:lineRule="exact"/>
              <w:rPr>
                <w:sz w:val="20"/>
                <w:szCs w:val="20"/>
                <w:color w:val="auto"/>
              </w:rPr>
            </w:pPr>
            <w:r>
              <w:rPr>
                <w:rFonts w:ascii="Arial" w:cs="Arial" w:eastAsia="Arial" w:hAnsi="Arial"/>
                <w:sz w:val="13"/>
                <w:szCs w:val="13"/>
                <w:color w:val="auto"/>
                <w:w w:val="99"/>
              </w:rPr>
              <w:t>TradePMR’s platform that are not custodied by Robinhood, as of a stated date or period end on a trade date basis. Net Deposits and net market gains (losses) drive the</w:t>
            </w:r>
          </w:p>
        </w:tc>
        <w:tc>
          <w:tcPr>
            <w:tcW w:w="20" w:type="dxa"/>
            <w:vAlign w:val="bottom"/>
          </w:tcPr>
          <w:p>
            <w:pPr>
              <w:spacing w:after="0"/>
              <w:rPr>
                <w:sz w:val="10"/>
                <w:szCs w:val="10"/>
                <w:color w:val="auto"/>
              </w:rPr>
            </w:pPr>
          </w:p>
        </w:tc>
      </w:tr>
      <w:tr>
        <w:trPr>
          <w:trHeight w:val="131"/>
        </w:trPr>
        <w:tc>
          <w:tcPr>
            <w:tcW w:w="1620" w:type="dxa"/>
            <w:vAlign w:val="bottom"/>
            <w:tcBorders>
              <w:right w:val="single" w:sz="8" w:color="auto"/>
            </w:tcBorders>
          </w:tcPr>
          <w:p>
            <w:pPr>
              <w:spacing w:after="0"/>
              <w:rPr>
                <w:sz w:val="11"/>
                <w:szCs w:val="11"/>
                <w:color w:val="auto"/>
              </w:rPr>
            </w:pPr>
          </w:p>
        </w:tc>
        <w:tc>
          <w:tcPr>
            <w:tcW w:w="9620" w:type="dxa"/>
            <w:vAlign w:val="bottom"/>
          </w:tcPr>
          <w:p>
            <w:pPr>
              <w:ind w:left="20"/>
              <w:spacing w:after="0" w:line="131" w:lineRule="exact"/>
              <w:rPr>
                <w:sz w:val="20"/>
                <w:szCs w:val="20"/>
                <w:color w:val="auto"/>
              </w:rPr>
            </w:pPr>
            <w:r>
              <w:rPr>
                <w:rFonts w:ascii="Arial" w:cs="Arial" w:eastAsia="Arial" w:hAnsi="Arial"/>
                <w:sz w:val="13"/>
                <w:szCs w:val="13"/>
                <w:color w:val="auto"/>
                <w:w w:val="99"/>
              </w:rPr>
              <w:t>change in Total Platform Assets in any given period. Starting in June 2026, the fair value of all cryptocurrency also includes cryptocurrency on WonderFi. Starting in July</w:t>
            </w:r>
          </w:p>
        </w:tc>
        <w:tc>
          <w:tcPr>
            <w:tcW w:w="20" w:type="dxa"/>
            <w:vAlign w:val="bottom"/>
          </w:tcPr>
          <w:p>
            <w:pPr>
              <w:spacing w:after="0"/>
              <w:rPr>
                <w:sz w:val="11"/>
                <w:szCs w:val="11"/>
                <w:color w:val="auto"/>
              </w:rPr>
            </w:pPr>
          </w:p>
        </w:tc>
      </w:tr>
      <w:tr>
        <w:trPr>
          <w:trHeight w:val="126"/>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6" w:lineRule="exact"/>
              <w:rPr>
                <w:sz w:val="20"/>
                <w:szCs w:val="20"/>
                <w:color w:val="auto"/>
              </w:rPr>
            </w:pPr>
            <w:r>
              <w:rPr>
                <w:rFonts w:ascii="Arial" w:cs="Arial" w:eastAsia="Arial" w:hAnsi="Arial"/>
                <w:sz w:val="13"/>
                <w:szCs w:val="13"/>
                <w:color w:val="auto"/>
                <w:w w:val="96"/>
              </w:rPr>
              <w:t>2026, Total Platform Assets include Trump Account assets custodied by Robinhood. Total Platform Assets also include cryptocurrency lent through platform-enabled lending</w:t>
            </w:r>
          </w:p>
        </w:tc>
        <w:tc>
          <w:tcPr>
            <w:tcW w:w="20" w:type="dxa"/>
            <w:vAlign w:val="bottom"/>
          </w:tcPr>
          <w:p>
            <w:pPr>
              <w:spacing w:after="0"/>
              <w:rPr>
                <w:sz w:val="10"/>
                <w:szCs w:val="10"/>
                <w:color w:val="auto"/>
              </w:rPr>
            </w:pPr>
          </w:p>
        </w:tc>
      </w:tr>
      <w:tr>
        <w:trPr>
          <w:trHeight w:val="122"/>
        </w:trPr>
        <w:tc>
          <w:tcPr>
            <w:tcW w:w="1620" w:type="dxa"/>
            <w:vAlign w:val="bottom"/>
            <w:tcBorders>
              <w:right w:val="single" w:sz="8" w:color="auto"/>
            </w:tcBorders>
          </w:tcPr>
          <w:p>
            <w:pPr>
              <w:spacing w:after="0"/>
              <w:rPr>
                <w:sz w:val="10"/>
                <w:szCs w:val="10"/>
                <w:color w:val="auto"/>
              </w:rPr>
            </w:pPr>
          </w:p>
        </w:tc>
        <w:tc>
          <w:tcPr>
            <w:tcW w:w="9620" w:type="dxa"/>
            <w:vAlign w:val="bottom"/>
          </w:tcPr>
          <w:p>
            <w:pPr>
              <w:ind w:left="20"/>
              <w:spacing w:after="0" w:line="122" w:lineRule="exact"/>
              <w:rPr>
                <w:sz w:val="20"/>
                <w:szCs w:val="20"/>
                <w:color w:val="auto"/>
              </w:rPr>
            </w:pPr>
            <w:r>
              <w:rPr>
                <w:rFonts w:ascii="Arial" w:cs="Arial" w:eastAsia="Arial" w:hAnsi="Arial"/>
                <w:sz w:val="13"/>
                <w:szCs w:val="13"/>
                <w:color w:val="auto"/>
                <w:w w:val="98"/>
              </w:rPr>
              <w:t>programs and total value locked in Robinhood Earn, representing customer assets deposited into Robinhood Earn programs, where customers may recall such assets at</w:t>
            </w:r>
          </w:p>
        </w:tc>
        <w:tc>
          <w:tcPr>
            <w:tcW w:w="20" w:type="dxa"/>
            <w:vAlign w:val="bottom"/>
          </w:tcPr>
          <w:p>
            <w:pPr>
              <w:spacing w:after="0"/>
              <w:rPr>
                <w:sz w:val="10"/>
                <w:szCs w:val="10"/>
                <w:color w:val="auto"/>
              </w:rPr>
            </w:pPr>
          </w:p>
        </w:tc>
      </w:tr>
      <w:tr>
        <w:trPr>
          <w:trHeight w:val="171"/>
        </w:trPr>
        <w:tc>
          <w:tcPr>
            <w:tcW w:w="1620" w:type="dxa"/>
            <w:vAlign w:val="bottom"/>
            <w:tcBorders>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any time through the platform, but exclude assets held in Robinhood Non-custodial Wallet for which the customer holds full or partial keys.</w:t>
            </w:r>
          </w:p>
        </w:tc>
        <w:tc>
          <w:tcPr>
            <w:tcW w:w="20" w:type="dxa"/>
            <w:vAlign w:val="bottom"/>
            <w:tcBorders>
              <w:bottom w:val="single" w:sz="8" w:color="auto"/>
            </w:tcBorders>
          </w:tcPr>
          <w:p>
            <w:pPr>
              <w:spacing w:after="0"/>
              <w:rPr>
                <w:sz w:val="14"/>
                <w:szCs w:val="14"/>
                <w:color w:val="auto"/>
              </w:rPr>
            </w:pPr>
          </w:p>
        </w:tc>
      </w:tr>
      <w:tr>
        <w:trPr>
          <w:trHeight w:val="129"/>
        </w:trPr>
        <w:tc>
          <w:tcPr>
            <w:tcW w:w="1620" w:type="dxa"/>
            <w:vAlign w:val="bottom"/>
            <w:tcBorders>
              <w:right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Robinhood Gold</w:t>
            </w:r>
          </w:p>
        </w:tc>
        <w:tc>
          <w:tcPr>
            <w:tcW w:w="96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We define a Robinhood Gold Subscriber as a unique person who has at least one account with a Robinhood entity and who, as of the end of the relevant period (a) is</w:t>
            </w:r>
          </w:p>
        </w:tc>
        <w:tc>
          <w:tcPr>
            <w:tcW w:w="20" w:type="dxa"/>
            <w:vAlign w:val="bottom"/>
          </w:tcPr>
          <w:p>
            <w:pPr>
              <w:spacing w:after="0"/>
              <w:rPr>
                <w:sz w:val="11"/>
                <w:szCs w:val="11"/>
                <w:color w:val="auto"/>
              </w:rPr>
            </w:pPr>
          </w:p>
        </w:tc>
      </w:tr>
      <w:tr>
        <w:trPr>
          <w:trHeight w:val="176"/>
        </w:trPr>
        <w:tc>
          <w:tcPr>
            <w:tcW w:w="16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Subscribers</w:t>
            </w:r>
          </w:p>
        </w:tc>
        <w:tc>
          <w:tcPr>
            <w:tcW w:w="9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subscribed to Robinhood Gold and (b) has made at least one Robinhood Gold subscription fee payment.</w:t>
            </w:r>
          </w:p>
        </w:tc>
        <w:tc>
          <w:tcPr>
            <w:tcW w:w="2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620" w:type="dxa"/>
            <w:vAlign w:val="bottom"/>
            <w:tcBorders>
              <w:top w:val="single" w:sz="8" w:color="auto"/>
              <w:left w:val="single" w:sz="8" w:color="auto"/>
              <w:bottom w:val="single" w:sz="8" w:color="auto"/>
              <w:right w:val="single" w:sz="8" w:color="CCEEFF"/>
            </w:tcBorders>
            <w:shd w:val="clear" w:color="auto" w:fill="CCEEFF"/>
          </w:tcPr>
          <w:p>
            <w:pPr>
              <w:spacing w:after="0"/>
              <w:rPr>
                <w:sz w:val="16"/>
                <w:szCs w:val="16"/>
                <w:color w:val="auto"/>
              </w:rPr>
            </w:pPr>
          </w:p>
        </w:tc>
        <w:tc>
          <w:tcPr>
            <w:tcW w:w="9640" w:type="dxa"/>
            <w:vAlign w:val="bottom"/>
            <w:tcBorders>
              <w:top w:val="single" w:sz="8" w:color="auto"/>
              <w:bottom w:val="single" w:sz="8" w:color="auto"/>
              <w:right w:val="single" w:sz="8" w:color="auto"/>
            </w:tcBorders>
            <w:shd w:val="clear" w:color="auto" w:fill="CCEEFF"/>
          </w:tcPr>
          <w:p>
            <w:pPr>
              <w:ind w:left="3360"/>
              <w:spacing w:after="0"/>
              <w:rPr>
                <w:sz w:val="20"/>
                <w:szCs w:val="20"/>
                <w:color w:val="auto"/>
              </w:rPr>
            </w:pPr>
            <w:r>
              <w:rPr>
                <w:rFonts w:ascii="Arial" w:cs="Arial" w:eastAsia="Arial" w:hAnsi="Arial"/>
                <w:sz w:val="13"/>
                <w:szCs w:val="13"/>
                <w:b w:val="1"/>
                <w:bCs w:val="1"/>
                <w:color w:val="auto"/>
              </w:rPr>
              <w:t>Other Glossary Terms</w:t>
            </w:r>
          </w:p>
        </w:tc>
      </w:tr>
      <w:tr>
        <w:trPr>
          <w:trHeight w:val="126"/>
        </w:trPr>
        <w:tc>
          <w:tcPr>
            <w:tcW w:w="1620" w:type="dxa"/>
            <w:vAlign w:val="bottom"/>
            <w:tcBorders>
              <w:left w:val="single" w:sz="8" w:color="auto"/>
              <w:right w:val="single" w:sz="8" w:color="auto"/>
            </w:tcBorders>
          </w:tcPr>
          <w:p>
            <w:pPr>
              <w:ind w:left="40"/>
              <w:spacing w:after="0" w:line="126" w:lineRule="exact"/>
              <w:rPr>
                <w:sz w:val="20"/>
                <w:szCs w:val="20"/>
                <w:color w:val="auto"/>
              </w:rPr>
            </w:pPr>
            <w:r>
              <w:rPr>
                <w:rFonts w:ascii="Arial" w:cs="Arial" w:eastAsia="Arial" w:hAnsi="Arial"/>
                <w:sz w:val="13"/>
                <w:szCs w:val="13"/>
                <w:b w:val="1"/>
                <w:bCs w:val="1"/>
                <w:color w:val="auto"/>
              </w:rPr>
              <w:t>ACATS</w:t>
            </w:r>
          </w:p>
        </w:tc>
        <w:tc>
          <w:tcPr>
            <w:tcW w:w="964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3"/>
                <w:szCs w:val="13"/>
                <w:color w:val="auto"/>
              </w:rPr>
              <w:t>Automated Customer Account Transfer Service</w:t>
            </w:r>
          </w:p>
        </w:tc>
      </w:tr>
      <w:tr>
        <w:trPr>
          <w:trHeight w:val="173"/>
        </w:trPr>
        <w:tc>
          <w:tcPr>
            <w:tcW w:w="1620" w:type="dxa"/>
            <w:vAlign w:val="bottom"/>
            <w:tcBorders>
              <w:left w:val="single" w:sz="8" w:color="auto"/>
              <w:bottom w:val="single" w:sz="8" w:color="auto"/>
              <w:right w:val="single" w:sz="8" w:color="auto"/>
            </w:tcBorders>
          </w:tcPr>
          <w:p>
            <w:pPr>
              <w:spacing w:after="0"/>
              <w:rPr>
                <w:sz w:val="15"/>
                <w:szCs w:val="15"/>
                <w:color w:val="auto"/>
              </w:rPr>
            </w:pP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 system that automates and standardizes procedures for the transfer of assets in a customer account from one brokerage firm and/or bank to another.</w:t>
            </w:r>
          </w:p>
        </w:tc>
      </w:tr>
      <w:tr>
        <w:trPr>
          <w:trHeight w:val="131"/>
        </w:trPr>
        <w:tc>
          <w:tcPr>
            <w:tcW w:w="162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Cash Sweep</w:t>
            </w:r>
          </w:p>
        </w:tc>
        <w:tc>
          <w:tcPr>
            <w:tcW w:w="9640" w:type="dxa"/>
            <w:vAlign w:val="bottom"/>
            <w:tcBorders>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color w:val="auto"/>
                <w:w w:val="98"/>
              </w:rPr>
              <w:t>We define Cash Sweep as the period-end total amount of participating users’ uninvested brokerage and banking cash that has been automatically “swept” or moved from</w:t>
            </w:r>
          </w:p>
        </w:tc>
      </w:tr>
      <w:tr>
        <w:trPr>
          <w:trHeight w:val="126"/>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w w:val="99"/>
              </w:rPr>
              <w:t>their accounts into deposits for their benefit at a network of program banks. This is an off-balance-sheet amount. Robinhood earns a net interest spread on Cash Sweep</w:t>
            </w:r>
          </w:p>
        </w:tc>
      </w:tr>
      <w:tr>
        <w:trPr>
          <w:trHeight w:val="122"/>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2" w:lineRule="exact"/>
              <w:rPr>
                <w:sz w:val="20"/>
                <w:szCs w:val="20"/>
                <w:color w:val="auto"/>
              </w:rPr>
            </w:pPr>
            <w:r>
              <w:rPr>
                <w:rFonts w:ascii="Arial" w:cs="Arial" w:eastAsia="Arial" w:hAnsi="Arial"/>
                <w:sz w:val="13"/>
                <w:szCs w:val="13"/>
                <w:color w:val="auto"/>
                <w:w w:val="96"/>
              </w:rPr>
              <w:t>balances based on the interest rate offered by the banks less the interest rate given to users as stated in our program terms. This includes balances from customers of RIAs</w:t>
            </w:r>
          </w:p>
        </w:tc>
      </w:tr>
      <w:tr>
        <w:trPr>
          <w:trHeight w:val="131"/>
        </w:trPr>
        <w:tc>
          <w:tcPr>
            <w:tcW w:w="1620" w:type="dxa"/>
            <w:vAlign w:val="bottom"/>
            <w:tcBorders>
              <w:left w:val="single" w:sz="8" w:color="auto"/>
              <w:right w:val="single" w:sz="8" w:color="auto"/>
            </w:tcBorders>
            <w:shd w:val="clear" w:color="auto" w:fill="CCEEFF"/>
          </w:tcPr>
          <w:p>
            <w:pPr>
              <w:spacing w:after="0"/>
              <w:rPr>
                <w:sz w:val="11"/>
                <w:szCs w:val="11"/>
                <w:color w:val="auto"/>
              </w:rPr>
            </w:pPr>
          </w:p>
        </w:tc>
        <w:tc>
          <w:tcPr>
            <w:tcW w:w="9640" w:type="dxa"/>
            <w:vAlign w:val="bottom"/>
            <w:tcBorders>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color w:val="auto"/>
                <w:w w:val="99"/>
              </w:rPr>
              <w:t>using TradePMR’s platform. In February 2026, we updated our brokerage High-Yield Cash program to fund growth in margin lending, resulting in over $6 billion of Cash</w:t>
            </w:r>
          </w:p>
        </w:tc>
      </w:tr>
      <w:tr>
        <w:trPr>
          <w:trHeight w:val="173"/>
        </w:trPr>
        <w:tc>
          <w:tcPr>
            <w:tcW w:w="162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9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Sweep balances moving to Cash and Deposits in the form of customer free credit balances.</w:t>
            </w:r>
          </w:p>
        </w:tc>
      </w:tr>
      <w:tr>
        <w:trPr>
          <w:trHeight w:val="131"/>
        </w:trPr>
        <w:tc>
          <w:tcPr>
            <w:tcW w:w="1620" w:type="dxa"/>
            <w:vAlign w:val="bottom"/>
            <w:tcBorders>
              <w:left w:val="single" w:sz="8" w:color="auto"/>
              <w:right w:val="single" w:sz="8" w:color="auto"/>
            </w:tcBorders>
          </w:tcPr>
          <w:p>
            <w:pPr>
              <w:ind w:left="40"/>
              <w:spacing w:after="0" w:line="131" w:lineRule="exact"/>
              <w:rPr>
                <w:sz w:val="20"/>
                <w:szCs w:val="20"/>
                <w:color w:val="auto"/>
              </w:rPr>
            </w:pPr>
            <w:r>
              <w:rPr>
                <w:rFonts w:ascii="Arial" w:cs="Arial" w:eastAsia="Arial" w:hAnsi="Arial"/>
                <w:sz w:val="13"/>
                <w:szCs w:val="13"/>
                <w:b w:val="1"/>
                <w:bCs w:val="1"/>
                <w:color w:val="auto"/>
              </w:rPr>
              <w:t>Churned Customers</w:t>
            </w:r>
          </w:p>
        </w:tc>
        <w:tc>
          <w:tcPr>
            <w:tcW w:w="964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3"/>
                <w:szCs w:val="13"/>
                <w:color w:val="auto"/>
                <w:w w:val="98"/>
              </w:rPr>
              <w:t>A Funded Customer is considered “Churned” if it was ever a New Funded Customer whose account balance (measured as the fair value of assets in the account less any</w:t>
            </w: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964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3"/>
                <w:szCs w:val="13"/>
                <w:color w:val="auto"/>
                <w:w w:val="97"/>
              </w:rPr>
              <w:t>amount due from the user and excluding amounts that are deposited into a Funded Customer account by the Company with no action taken by the unique person) drops to</w:t>
            </w: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96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w w:val="98"/>
              </w:rPr>
              <w:t>or below zero and has not completed a transaction using any account with a Robinhood entity for at least 45 consecutive calendar days. Negative balances typically result</w:t>
            </w:r>
          </w:p>
        </w:tc>
      </w:tr>
      <w:tr>
        <w:trPr>
          <w:trHeight w:val="131"/>
        </w:trPr>
        <w:tc>
          <w:tcPr>
            <w:tcW w:w="1620" w:type="dxa"/>
            <w:vAlign w:val="bottom"/>
            <w:tcBorders>
              <w:left w:val="single" w:sz="8" w:color="auto"/>
              <w:right w:val="single" w:sz="8" w:color="auto"/>
            </w:tcBorders>
          </w:tcPr>
          <w:p>
            <w:pPr>
              <w:spacing w:after="0"/>
              <w:rPr>
                <w:sz w:val="11"/>
                <w:szCs w:val="11"/>
                <w:color w:val="auto"/>
              </w:rPr>
            </w:pPr>
          </w:p>
        </w:tc>
        <w:tc>
          <w:tcPr>
            <w:tcW w:w="9640" w:type="dxa"/>
            <w:vAlign w:val="bottom"/>
            <w:tcBorders>
              <w:right w:val="single" w:sz="8" w:color="auto"/>
            </w:tcBorders>
          </w:tcPr>
          <w:p>
            <w:pPr>
              <w:ind w:left="20"/>
              <w:spacing w:after="0" w:line="131" w:lineRule="exact"/>
              <w:rPr>
                <w:sz w:val="20"/>
                <w:szCs w:val="20"/>
                <w:color w:val="auto"/>
              </w:rPr>
            </w:pPr>
            <w:r>
              <w:rPr>
                <w:rFonts w:ascii="Arial" w:cs="Arial" w:eastAsia="Arial" w:hAnsi="Arial"/>
                <w:sz w:val="13"/>
                <w:szCs w:val="13"/>
                <w:color w:val="auto"/>
                <w:w w:val="96"/>
              </w:rPr>
              <w:t>from Fraudulent Deposit Transactions (which occur when users initiate deposits into their accounts, make trades on our platforms using a short-term extension of credit from</w:t>
            </w:r>
          </w:p>
        </w:tc>
      </w:tr>
      <w:tr>
        <w:trPr>
          <w:trHeight w:val="173"/>
        </w:trPr>
        <w:tc>
          <w:tcPr>
            <w:tcW w:w="1620" w:type="dxa"/>
            <w:vAlign w:val="bottom"/>
            <w:tcBorders>
              <w:left w:val="single" w:sz="8" w:color="auto"/>
              <w:bottom w:val="single" w:sz="8" w:color="auto"/>
              <w:right w:val="single" w:sz="8" w:color="auto"/>
            </w:tcBorders>
          </w:tcPr>
          <w:p>
            <w:pPr>
              <w:spacing w:after="0"/>
              <w:rPr>
                <w:sz w:val="15"/>
                <w:szCs w:val="15"/>
                <w:color w:val="auto"/>
              </w:rPr>
            </w:pP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us, and then repatriate or reverse the deposits, resulting in a loss to us of the credited amount) and unauthorized debit card use, and less often, from margin loans.</w:t>
            </w:r>
          </w:p>
        </w:tc>
      </w:tr>
      <w:tr>
        <w:trPr>
          <w:trHeight w:val="131"/>
        </w:trPr>
        <w:tc>
          <w:tcPr>
            <w:tcW w:w="1620" w:type="dxa"/>
            <w:vAlign w:val="bottom"/>
            <w:tcBorders>
              <w:left w:val="single" w:sz="8" w:color="auto"/>
              <w:right w:val="single" w:sz="8" w:color="auto"/>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Growth Rate and</w:t>
            </w:r>
          </w:p>
        </w:tc>
        <w:tc>
          <w:tcPr>
            <w:tcW w:w="9640" w:type="dxa"/>
            <w:vAlign w:val="bottom"/>
            <w:tcBorders>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color w:val="auto"/>
                <w:w w:val="96"/>
              </w:rPr>
              <w:t>Growth rate is calculated as aggregate Net Deposits over a specified 12-month period, divided by Total Platform Assets for the fiscal quarter that immediately precedes such</w:t>
            </w:r>
          </w:p>
        </w:tc>
      </w:tr>
      <w:tr>
        <w:trPr>
          <w:trHeight w:val="126"/>
        </w:trPr>
        <w:tc>
          <w:tcPr>
            <w:tcW w:w="1620" w:type="dxa"/>
            <w:vAlign w:val="bottom"/>
            <w:tcBorders>
              <w:left w:val="single" w:sz="8" w:color="auto"/>
              <w:right w:val="single" w:sz="8" w:color="auto"/>
            </w:tcBorders>
            <w:shd w:val="clear" w:color="auto" w:fill="CCEEFF"/>
          </w:tcPr>
          <w:p>
            <w:pPr>
              <w:ind w:left="40"/>
              <w:spacing w:after="0" w:line="126" w:lineRule="exact"/>
              <w:rPr>
                <w:sz w:val="20"/>
                <w:szCs w:val="20"/>
                <w:color w:val="auto"/>
              </w:rPr>
            </w:pPr>
            <w:r>
              <w:rPr>
                <w:rFonts w:ascii="Arial" w:cs="Arial" w:eastAsia="Arial" w:hAnsi="Arial"/>
                <w:sz w:val="13"/>
                <w:szCs w:val="13"/>
                <w:b w:val="1"/>
                <w:bCs w:val="1"/>
                <w:color w:val="auto"/>
              </w:rPr>
              <w:t>Annualized Growth Rate</w:t>
            </w: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rPr>
              <w:t>12-month period. Annualized growth rate is calculated as Net Deposits for a specified quarter multiplied by 4 and divided by Total Platform Assets for the immediately</w:t>
            </w:r>
          </w:p>
        </w:tc>
      </w:tr>
      <w:tr>
        <w:trPr>
          <w:trHeight w:val="122"/>
        </w:trPr>
        <w:tc>
          <w:tcPr>
            <w:tcW w:w="1620" w:type="dxa"/>
            <w:vAlign w:val="bottom"/>
            <w:tcBorders>
              <w:left w:val="single" w:sz="8" w:color="auto"/>
              <w:right w:val="single" w:sz="8" w:color="auto"/>
            </w:tcBorders>
            <w:shd w:val="clear" w:color="auto" w:fill="CCEEFF"/>
          </w:tcPr>
          <w:p>
            <w:pPr>
              <w:ind w:left="40"/>
              <w:spacing w:after="0" w:line="122" w:lineRule="exact"/>
              <w:rPr>
                <w:sz w:val="20"/>
                <w:szCs w:val="20"/>
                <w:color w:val="auto"/>
              </w:rPr>
            </w:pPr>
            <w:r>
              <w:rPr>
                <w:rFonts w:ascii="Arial" w:cs="Arial" w:eastAsia="Arial" w:hAnsi="Arial"/>
                <w:sz w:val="13"/>
                <w:szCs w:val="13"/>
                <w:b w:val="1"/>
                <w:bCs w:val="1"/>
                <w:color w:val="auto"/>
              </w:rPr>
              <w:t>with respect to Net</w:t>
            </w:r>
          </w:p>
        </w:tc>
        <w:tc>
          <w:tcPr>
            <w:tcW w:w="9640" w:type="dxa"/>
            <w:vAlign w:val="bottom"/>
            <w:tcBorders>
              <w:right w:val="single" w:sz="8" w:color="auto"/>
            </w:tcBorders>
            <w:shd w:val="clear" w:color="auto" w:fill="CCEEFF"/>
          </w:tcPr>
          <w:p>
            <w:pPr>
              <w:ind w:left="20"/>
              <w:spacing w:after="0" w:line="122" w:lineRule="exact"/>
              <w:rPr>
                <w:sz w:val="20"/>
                <w:szCs w:val="20"/>
                <w:color w:val="auto"/>
              </w:rPr>
            </w:pPr>
            <w:r>
              <w:rPr>
                <w:rFonts w:ascii="Arial" w:cs="Arial" w:eastAsia="Arial" w:hAnsi="Arial"/>
                <w:sz w:val="13"/>
                <w:szCs w:val="13"/>
                <w:color w:val="auto"/>
              </w:rPr>
              <w:t>preceding quarter.</w:t>
            </w:r>
          </w:p>
        </w:tc>
      </w:tr>
      <w:tr>
        <w:trPr>
          <w:trHeight w:val="174"/>
        </w:trPr>
        <w:tc>
          <w:tcPr>
            <w:tcW w:w="16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Deposits</w:t>
            </w:r>
          </w:p>
        </w:tc>
        <w:tc>
          <w:tcPr>
            <w:tcW w:w="964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26"/>
        </w:trPr>
        <w:tc>
          <w:tcPr>
            <w:tcW w:w="1620" w:type="dxa"/>
            <w:vAlign w:val="bottom"/>
            <w:tcBorders>
              <w:left w:val="single" w:sz="8" w:color="auto"/>
              <w:right w:val="single" w:sz="8" w:color="auto"/>
            </w:tcBorders>
          </w:tcPr>
          <w:p>
            <w:pPr>
              <w:ind w:left="40"/>
              <w:spacing w:after="0" w:line="126" w:lineRule="exact"/>
              <w:rPr>
                <w:sz w:val="20"/>
                <w:szCs w:val="20"/>
                <w:color w:val="auto"/>
              </w:rPr>
            </w:pPr>
            <w:r>
              <w:rPr>
                <w:rFonts w:ascii="Arial" w:cs="Arial" w:eastAsia="Arial" w:hAnsi="Arial"/>
                <w:sz w:val="13"/>
                <w:szCs w:val="13"/>
                <w:b w:val="1"/>
                <w:bCs w:val="1"/>
                <w:color w:val="auto"/>
              </w:rPr>
              <w:t>Investment Accounts</w:t>
            </w:r>
          </w:p>
        </w:tc>
        <w:tc>
          <w:tcPr>
            <w:tcW w:w="964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3"/>
                <w:szCs w:val="13"/>
                <w:color w:val="auto"/>
                <w:w w:val="97"/>
              </w:rPr>
              <w:t>We define an Investment Account as a funded individual brokerage account, a funded joint investing account, a funded IRA, a funded custodial account, or an account with</w:t>
            </w:r>
          </w:p>
        </w:tc>
      </w:tr>
      <w:tr>
        <w:trPr>
          <w:trHeight w:val="126"/>
        </w:trPr>
        <w:tc>
          <w:tcPr>
            <w:tcW w:w="1620" w:type="dxa"/>
            <w:vAlign w:val="bottom"/>
            <w:tcBorders>
              <w:left w:val="single" w:sz="8" w:color="auto"/>
              <w:right w:val="single" w:sz="8" w:color="auto"/>
            </w:tcBorders>
          </w:tcPr>
          <w:p>
            <w:pPr>
              <w:spacing w:after="0"/>
              <w:rPr>
                <w:sz w:val="10"/>
                <w:szCs w:val="10"/>
                <w:color w:val="auto"/>
              </w:rPr>
            </w:pPr>
          </w:p>
        </w:tc>
        <w:tc>
          <w:tcPr>
            <w:tcW w:w="964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3"/>
                <w:szCs w:val="13"/>
                <w:color w:val="auto"/>
                <w:w w:val="96"/>
              </w:rPr>
              <w:t>an RIA using TradePMR’s platform. Starting in September 2025, a Funded Customer can have multiple Investment Accounts - one or more individual brokerage accounts, a</w:t>
            </w:r>
          </w:p>
        </w:tc>
      </w:tr>
      <w:tr>
        <w:trPr>
          <w:trHeight w:val="122"/>
        </w:trPr>
        <w:tc>
          <w:tcPr>
            <w:tcW w:w="1620" w:type="dxa"/>
            <w:vAlign w:val="bottom"/>
            <w:tcBorders>
              <w:left w:val="single" w:sz="8" w:color="auto"/>
              <w:right w:val="single" w:sz="8" w:color="auto"/>
            </w:tcBorders>
          </w:tcPr>
          <w:p>
            <w:pPr>
              <w:spacing w:after="0"/>
              <w:rPr>
                <w:sz w:val="10"/>
                <w:szCs w:val="10"/>
                <w:color w:val="auto"/>
              </w:rPr>
            </w:pPr>
          </w:p>
        </w:tc>
        <w:tc>
          <w:tcPr>
            <w:tcW w:w="96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3"/>
                <w:szCs w:val="13"/>
                <w:color w:val="auto"/>
                <w:w w:val="98"/>
              </w:rPr>
              <w:t>joint investing account, a funded custodial account, a traditional IRA, a Roth IRA, and/or an RIA custody account using TradePMR’s platform. Investment Accounts do not</w:t>
            </w:r>
          </w:p>
        </w:tc>
      </w:tr>
      <w:tr>
        <w:trPr>
          <w:trHeight w:val="171"/>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include Bitstamp or WonderFi as such accounts are not brokerage or other Investment Accounts.</w:t>
            </w:r>
          </w:p>
        </w:tc>
      </w:tr>
      <w:tr>
        <w:trPr>
          <w:trHeight w:val="129"/>
        </w:trPr>
        <w:tc>
          <w:tcPr>
            <w:tcW w:w="1620" w:type="dxa"/>
            <w:vAlign w:val="bottom"/>
            <w:tcBorders>
              <w:left w:val="single" w:sz="8" w:color="auto"/>
              <w:right w:val="single" w:sz="8" w:color="auto"/>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color w:val="auto"/>
              </w:rPr>
              <w:t>Margin Book</w:t>
            </w:r>
          </w:p>
        </w:tc>
        <w:tc>
          <w:tcPr>
            <w:tcW w:w="9640" w:type="dxa"/>
            <w:vAlign w:val="bottom"/>
            <w:tcBorders>
              <w:right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We define Margin Book as our period-end aggregate outstanding margin loan balances receivable (i.e., the period-end total amount we are owed by customers on loans</w:t>
            </w:r>
          </w:p>
        </w:tc>
      </w:tr>
      <w:tr>
        <w:trPr>
          <w:trHeight w:val="126"/>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made for the purchase of securities, supported by a pledge of assets in their margin-enabled brokerage accounts). This includes margin loan balances from customers of</w:t>
            </w:r>
          </w:p>
        </w:tc>
      </w:tr>
      <w:tr>
        <w:trPr>
          <w:trHeight w:val="171"/>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RIAs using TradePMR’s platform.</w:t>
            </w:r>
          </w:p>
        </w:tc>
      </w:tr>
      <w:tr>
        <w:trPr>
          <w:trHeight w:val="172"/>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New Funded Customers</w:t>
            </w: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We define a New Funded Customer as a unique person who became a Funded Customer for the first time during the relevant period.</w:t>
            </w:r>
          </w:p>
        </w:tc>
      </w:tr>
      <w:tr>
        <w:trPr>
          <w:trHeight w:val="126"/>
        </w:trPr>
        <w:tc>
          <w:tcPr>
            <w:tcW w:w="1620" w:type="dxa"/>
            <w:vAlign w:val="bottom"/>
            <w:tcBorders>
              <w:left w:val="single" w:sz="8" w:color="auto"/>
              <w:right w:val="single" w:sz="8" w:color="auto"/>
            </w:tcBorders>
            <w:shd w:val="clear" w:color="auto" w:fill="CCEEFF"/>
          </w:tcPr>
          <w:p>
            <w:pPr>
              <w:ind w:left="40"/>
              <w:spacing w:after="0" w:line="126" w:lineRule="exact"/>
              <w:rPr>
                <w:sz w:val="20"/>
                <w:szCs w:val="20"/>
                <w:color w:val="auto"/>
              </w:rPr>
            </w:pPr>
            <w:r>
              <w:rPr>
                <w:rFonts w:ascii="Arial" w:cs="Arial" w:eastAsia="Arial" w:hAnsi="Arial"/>
                <w:sz w:val="13"/>
                <w:szCs w:val="13"/>
                <w:b w:val="1"/>
                <w:bCs w:val="1"/>
                <w:color w:val="auto"/>
              </w:rPr>
              <w:t>Notional Trading Volume</w:t>
            </w: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We define Notional Trading Volume, or Notional Volume, for any specified asset class as the aggregate dollar value (purchase price or sale price as applicable) of trades</w:t>
            </w:r>
          </w:p>
        </w:tc>
      </w:tr>
      <w:tr>
        <w:trPr>
          <w:trHeight w:val="126"/>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w w:val="97"/>
              </w:rPr>
              <w:t>executed in that asset class on our platforms over a specified period of time. Crypto Notional Volume includes both Robinhood App Notional Volume and Bitstamp Notional</w:t>
            </w:r>
          </w:p>
        </w:tc>
      </w:tr>
      <w:tr>
        <w:trPr>
          <w:trHeight w:val="122"/>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2" w:lineRule="exact"/>
              <w:rPr>
                <w:sz w:val="20"/>
                <w:szCs w:val="20"/>
                <w:color w:val="auto"/>
              </w:rPr>
            </w:pPr>
            <w:r>
              <w:rPr>
                <w:rFonts w:ascii="Arial" w:cs="Arial" w:eastAsia="Arial" w:hAnsi="Arial"/>
                <w:sz w:val="13"/>
                <w:szCs w:val="13"/>
                <w:color w:val="auto"/>
                <w:w w:val="98"/>
              </w:rPr>
              <w:t>Volume. Robinhood App Notional Volume represents the dollar value of executed crypto trades on the Robinhood platform over a specified period of time, and, starting in</w:t>
            </w:r>
          </w:p>
        </w:tc>
      </w:tr>
      <w:tr>
        <w:trPr>
          <w:trHeight w:val="131"/>
        </w:trPr>
        <w:tc>
          <w:tcPr>
            <w:tcW w:w="1620" w:type="dxa"/>
            <w:vAlign w:val="bottom"/>
            <w:tcBorders>
              <w:left w:val="single" w:sz="8" w:color="auto"/>
              <w:right w:val="single" w:sz="8" w:color="auto"/>
            </w:tcBorders>
            <w:shd w:val="clear" w:color="auto" w:fill="CCEEFF"/>
          </w:tcPr>
          <w:p>
            <w:pPr>
              <w:spacing w:after="0"/>
              <w:rPr>
                <w:sz w:val="11"/>
                <w:szCs w:val="11"/>
                <w:color w:val="auto"/>
              </w:rPr>
            </w:pPr>
          </w:p>
        </w:tc>
        <w:tc>
          <w:tcPr>
            <w:tcW w:w="9640" w:type="dxa"/>
            <w:vAlign w:val="bottom"/>
            <w:tcBorders>
              <w:right w:val="single" w:sz="8" w:color="auto"/>
            </w:tcBorders>
            <w:shd w:val="clear" w:color="auto" w:fill="CCEEFF"/>
          </w:tcPr>
          <w:p>
            <w:pPr>
              <w:ind w:left="20"/>
              <w:spacing w:after="0" w:line="131" w:lineRule="exact"/>
              <w:rPr>
                <w:sz w:val="20"/>
                <w:szCs w:val="20"/>
                <w:color w:val="auto"/>
              </w:rPr>
            </w:pPr>
            <w:r>
              <w:rPr>
                <w:rFonts w:ascii="Arial" w:cs="Arial" w:eastAsia="Arial" w:hAnsi="Arial"/>
                <w:sz w:val="13"/>
                <w:szCs w:val="13"/>
                <w:color w:val="auto"/>
                <w:w w:val="98"/>
              </w:rPr>
              <w:t>June 2026, includes the dollar value of executed crypto trades from WonderFi customers. Bitstamp Notional Volume represents the dollar value of executed crypto trades</w:t>
            </w:r>
          </w:p>
        </w:tc>
      </w:tr>
      <w:tr>
        <w:trPr>
          <w:trHeight w:val="126"/>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w w:val="99"/>
              </w:rPr>
              <w:t>on the Bitstamp platform over a specified period of time. For example, each $1 of transaction value executed between a buyer and seller is counted as $1 of transaction</w:t>
            </w:r>
          </w:p>
        </w:tc>
      </w:tr>
      <w:tr>
        <w:trPr>
          <w:trHeight w:val="171"/>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value in the relevant period, rather than $2 if counted for each of the buyer and seller.</w:t>
            </w:r>
          </w:p>
        </w:tc>
      </w:tr>
      <w:tr>
        <w:trPr>
          <w:trHeight w:val="129"/>
        </w:trPr>
        <w:tc>
          <w:tcPr>
            <w:tcW w:w="1620" w:type="dxa"/>
            <w:vAlign w:val="bottom"/>
            <w:tcBorders>
              <w:left w:val="single" w:sz="8" w:color="auto"/>
              <w:right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rPr>
              <w:t>Options Contracts</w:t>
            </w:r>
          </w:p>
        </w:tc>
        <w:tc>
          <w:tcPr>
            <w:tcW w:w="9640" w:type="dxa"/>
            <w:vAlign w:val="bottom"/>
            <w:tcBorders>
              <w:right w:val="single" w:sz="8" w:color="auto"/>
            </w:tcBorders>
          </w:tcPr>
          <w:p>
            <w:pPr>
              <w:ind w:left="20"/>
              <w:spacing w:after="0" w:line="129" w:lineRule="exact"/>
              <w:rPr>
                <w:sz w:val="20"/>
                <w:szCs w:val="20"/>
                <w:color w:val="auto"/>
              </w:rPr>
            </w:pPr>
            <w:r>
              <w:rPr>
                <w:rFonts w:ascii="Arial" w:cs="Arial" w:eastAsia="Arial" w:hAnsi="Arial"/>
                <w:sz w:val="13"/>
                <w:szCs w:val="13"/>
                <w:color w:val="auto"/>
                <w:w w:val="98"/>
              </w:rPr>
              <w:t>We define Options Contracts Traded as the total number of options contracts bought or sold over a specified period of time. Each contract generally entitles the holder to</w:t>
            </w:r>
          </w:p>
        </w:tc>
      </w:tr>
      <w:tr>
        <w:trPr>
          <w:trHeight w:val="176"/>
        </w:trPr>
        <w:tc>
          <w:tcPr>
            <w:tcW w:w="1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Traded</w:t>
            </w:r>
          </w:p>
        </w:tc>
        <w:tc>
          <w:tcPr>
            <w:tcW w:w="9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trade 100 shares of the underlying stock.</w:t>
            </w:r>
          </w:p>
        </w:tc>
      </w:tr>
      <w:tr>
        <w:trPr>
          <w:trHeight w:val="128"/>
        </w:trPr>
        <w:tc>
          <w:tcPr>
            <w:tcW w:w="1620" w:type="dxa"/>
            <w:vAlign w:val="bottom"/>
            <w:tcBorders>
              <w:left w:val="single" w:sz="8" w:color="auto"/>
              <w:right w:val="single" w:sz="8" w:color="auto"/>
            </w:tcBorders>
            <w:shd w:val="clear" w:color="auto" w:fill="CCEEFF"/>
          </w:tcPr>
          <w:p>
            <w:pPr>
              <w:ind w:left="40"/>
              <w:spacing w:after="0" w:line="128" w:lineRule="exact"/>
              <w:rPr>
                <w:sz w:val="20"/>
                <w:szCs w:val="20"/>
                <w:color w:val="auto"/>
              </w:rPr>
            </w:pPr>
            <w:r>
              <w:rPr>
                <w:rFonts w:ascii="Arial" w:cs="Arial" w:eastAsia="Arial" w:hAnsi="Arial"/>
                <w:sz w:val="13"/>
                <w:szCs w:val="13"/>
                <w:b w:val="1"/>
                <w:bCs w:val="1"/>
                <w:color w:val="auto"/>
              </w:rPr>
              <w:t>Resurrected Customers</w:t>
            </w:r>
          </w:p>
        </w:tc>
        <w:tc>
          <w:tcPr>
            <w:tcW w:w="9640" w:type="dxa"/>
            <w:vAlign w:val="bottom"/>
            <w:tcBorders>
              <w:right w:val="single" w:sz="8" w:color="auto"/>
            </w:tcBorders>
            <w:shd w:val="clear" w:color="auto" w:fill="CCEEFF"/>
          </w:tcPr>
          <w:p>
            <w:pPr>
              <w:ind w:left="20"/>
              <w:spacing w:after="0" w:line="128" w:lineRule="exact"/>
              <w:rPr>
                <w:sz w:val="20"/>
                <w:szCs w:val="20"/>
                <w:color w:val="auto"/>
              </w:rPr>
            </w:pPr>
            <w:r>
              <w:rPr>
                <w:rFonts w:ascii="Arial" w:cs="Arial" w:eastAsia="Arial" w:hAnsi="Arial"/>
                <w:sz w:val="13"/>
                <w:szCs w:val="13"/>
                <w:color w:val="auto"/>
              </w:rPr>
              <w:t>A Funded Customer is considered “Resurrected” in a stated period if it was a Churned Customer as of the end of the immediately preceding period and its balance</w:t>
            </w:r>
          </w:p>
        </w:tc>
      </w:tr>
      <w:tr>
        <w:trPr>
          <w:trHeight w:val="126"/>
        </w:trPr>
        <w:tc>
          <w:tcPr>
            <w:tcW w:w="1620" w:type="dxa"/>
            <w:vAlign w:val="bottom"/>
            <w:tcBorders>
              <w:left w:val="single" w:sz="8" w:color="auto"/>
              <w:right w:val="single" w:sz="8" w:color="auto"/>
            </w:tcBorders>
            <w:shd w:val="clear" w:color="auto" w:fill="CCEEFF"/>
          </w:tcPr>
          <w:p>
            <w:pPr>
              <w:spacing w:after="0"/>
              <w:rPr>
                <w:sz w:val="10"/>
                <w:szCs w:val="10"/>
                <w:color w:val="auto"/>
              </w:rPr>
            </w:pPr>
          </w:p>
        </w:tc>
        <w:tc>
          <w:tcPr>
            <w:tcW w:w="9640" w:type="dxa"/>
            <w:vAlign w:val="bottom"/>
            <w:tcBorders>
              <w:right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rPr>
              <w:t>(excluding amounts that are deposited into a Funded Customer account by the Company with no action taken by the unique person) rises above zero or it completes a</w:t>
            </w:r>
          </w:p>
        </w:tc>
      </w:tr>
      <w:tr>
        <w:trPr>
          <w:trHeight w:val="171"/>
        </w:trPr>
        <w:tc>
          <w:tcPr>
            <w:tcW w:w="16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9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transaction using its account.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Supported Cryptocurrencies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currently support trading in the following cryptocurrencies, where available</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Aave (AAVE)</w:t>
            </w:r>
          </w:p>
        </w:tc>
        <w:tc>
          <w:tcPr>
            <w:tcW w:w="1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Aerodrome</w:t>
            </w:r>
          </w:p>
        </w:tc>
        <w:tc>
          <w:tcPr>
            <w:tcW w:w="1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Algorand (ALGO)</w:t>
            </w:r>
          </w:p>
        </w:tc>
        <w:tc>
          <w:tcPr>
            <w:tcW w:w="1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Arbitrum (ARB)</w:t>
            </w:r>
          </w:p>
        </w:tc>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Artificial</w:t>
            </w:r>
          </w:p>
        </w:tc>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Aster (ASTER)*</w:t>
            </w:r>
          </w:p>
        </w:tc>
        <w:tc>
          <w:tcPr>
            <w:tcW w:w="14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9"/>
              </w:rPr>
              <w:t>Avalanche (AVAX)</w:t>
            </w:r>
          </w:p>
        </w:tc>
        <w:tc>
          <w:tcPr>
            <w:tcW w:w="14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Avantis (AVNT)*</w:t>
            </w:r>
          </w:p>
        </w:tc>
      </w:tr>
      <w:tr>
        <w:trPr>
          <w:trHeight w:val="162"/>
        </w:trPr>
        <w:tc>
          <w:tcPr>
            <w:tcW w:w="1380" w:type="dxa"/>
            <w:vAlign w:val="bottom"/>
            <w:shd w:val="clear" w:color="auto" w:fill="CCEEFF"/>
          </w:tcPr>
          <w:p>
            <w:pPr>
              <w:spacing w:after="0"/>
              <w:rPr>
                <w:sz w:val="14"/>
                <w:szCs w:val="14"/>
                <w:color w:val="auto"/>
              </w:rPr>
            </w:pPr>
          </w:p>
        </w:tc>
        <w:tc>
          <w:tcPr>
            <w:tcW w:w="138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Finance (AERO)</w:t>
            </w:r>
          </w:p>
        </w:tc>
        <w:tc>
          <w:tcPr>
            <w:tcW w:w="1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0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rPr>
              <w:t>Superintelligence</w:t>
            </w:r>
          </w:p>
        </w:tc>
        <w:tc>
          <w:tcPr>
            <w:tcW w:w="1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16"/>
        </w:trPr>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Alliance (FET)</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6"/>
                <w:szCs w:val="16"/>
                <w:color w:val="auto"/>
              </w:rPr>
              <w:t>Axie Infinity (AXS)</w:t>
            </w:r>
          </w:p>
        </w:tc>
        <w:tc>
          <w:tcPr>
            <w:tcW w:w="1380" w:type="dxa"/>
            <w:vAlign w:val="bottom"/>
          </w:tcPr>
          <w:p>
            <w:pPr>
              <w:ind w:left="60"/>
              <w:spacing w:after="0" w:line="162" w:lineRule="exact"/>
              <w:rPr>
                <w:sz w:val="20"/>
                <w:szCs w:val="20"/>
                <w:color w:val="auto"/>
              </w:rPr>
            </w:pPr>
            <w:r>
              <w:rPr>
                <w:rFonts w:ascii="Arial" w:cs="Arial" w:eastAsia="Arial" w:hAnsi="Arial"/>
                <w:sz w:val="16"/>
                <w:szCs w:val="16"/>
                <w:color w:val="auto"/>
              </w:rPr>
              <w:t>Basic Attention</w:t>
            </w: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Billions Network</w:t>
            </w:r>
          </w:p>
        </w:tc>
        <w:tc>
          <w:tcPr>
            <w:tcW w:w="1420" w:type="dxa"/>
            <w:vAlign w:val="bottom"/>
          </w:tcPr>
          <w:p>
            <w:pPr>
              <w:ind w:left="60"/>
              <w:spacing w:after="0" w:line="162" w:lineRule="exact"/>
              <w:rPr>
                <w:sz w:val="20"/>
                <w:szCs w:val="20"/>
                <w:color w:val="auto"/>
              </w:rPr>
            </w:pPr>
            <w:r>
              <w:rPr>
                <w:rFonts w:ascii="Arial" w:cs="Arial" w:eastAsia="Arial" w:hAnsi="Arial"/>
                <w:sz w:val="16"/>
                <w:szCs w:val="16"/>
                <w:color w:val="auto"/>
              </w:rPr>
              <w:t>Bio Protocol (BIO)</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Bitcoin (BTC)</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Bitcoin Cash</w:t>
            </w:r>
          </w:p>
        </w:tc>
        <w:tc>
          <w:tcPr>
            <w:tcW w:w="1400" w:type="dxa"/>
            <w:vAlign w:val="bottom"/>
          </w:tcPr>
          <w:p>
            <w:pPr>
              <w:ind w:left="60"/>
              <w:spacing w:after="0" w:line="162" w:lineRule="exact"/>
              <w:rPr>
                <w:sz w:val="20"/>
                <w:szCs w:val="20"/>
                <w:color w:val="auto"/>
              </w:rPr>
            </w:pPr>
            <w:r>
              <w:rPr>
                <w:rFonts w:ascii="Arial" w:cs="Arial" w:eastAsia="Arial" w:hAnsi="Arial"/>
                <w:sz w:val="16"/>
                <w:szCs w:val="16"/>
                <w:color w:val="auto"/>
              </w:rPr>
              <w:t>BNB (BNB)*</w:t>
            </w:r>
          </w:p>
        </w:tc>
        <w:tc>
          <w:tcPr>
            <w:tcW w:w="1440" w:type="dxa"/>
            <w:vAlign w:val="bottom"/>
          </w:tcPr>
          <w:p>
            <w:pPr>
              <w:ind w:left="60"/>
              <w:spacing w:after="0" w:line="162" w:lineRule="exact"/>
              <w:rPr>
                <w:sz w:val="20"/>
                <w:szCs w:val="20"/>
                <w:color w:val="auto"/>
              </w:rPr>
            </w:pPr>
            <w:r>
              <w:rPr>
                <w:rFonts w:ascii="Arial" w:cs="Arial" w:eastAsia="Arial" w:hAnsi="Arial"/>
                <w:sz w:val="16"/>
                <w:szCs w:val="16"/>
                <w:color w:val="auto"/>
              </w:rPr>
              <w:t>BONK (BONK)</w:t>
            </w:r>
          </w:p>
        </w:tc>
      </w:tr>
      <w:tr>
        <w:trPr>
          <w:trHeight w:val="215"/>
        </w:trPr>
        <w:tc>
          <w:tcPr>
            <w:tcW w:w="1380" w:type="dxa"/>
            <w:vAlign w:val="bottom"/>
          </w:tcPr>
          <w:p>
            <w:pPr>
              <w:spacing w:after="0"/>
              <w:rPr>
                <w:sz w:val="18"/>
                <w:szCs w:val="18"/>
                <w:color w:val="auto"/>
              </w:rPr>
            </w:pPr>
          </w:p>
        </w:tc>
        <w:tc>
          <w:tcPr>
            <w:tcW w:w="1380" w:type="dxa"/>
            <w:vAlign w:val="bottom"/>
          </w:tcPr>
          <w:p>
            <w:pPr>
              <w:ind w:left="60"/>
              <w:spacing w:after="0"/>
              <w:rPr>
                <w:sz w:val="20"/>
                <w:szCs w:val="20"/>
                <w:color w:val="auto"/>
              </w:rPr>
            </w:pPr>
            <w:r>
              <w:rPr>
                <w:rFonts w:ascii="Arial" w:cs="Arial" w:eastAsia="Arial" w:hAnsi="Arial"/>
                <w:sz w:val="16"/>
                <w:szCs w:val="16"/>
                <w:color w:val="auto"/>
              </w:rPr>
              <w:t>Token (BAT)</w:t>
            </w:r>
          </w:p>
        </w:tc>
        <w:tc>
          <w:tcPr>
            <w:tcW w:w="1420" w:type="dxa"/>
            <w:vAlign w:val="bottom"/>
          </w:tcPr>
          <w:p>
            <w:pPr>
              <w:ind w:left="80"/>
              <w:spacing w:after="0"/>
              <w:rPr>
                <w:sz w:val="20"/>
                <w:szCs w:val="20"/>
                <w:color w:val="auto"/>
              </w:rPr>
            </w:pPr>
            <w:r>
              <w:rPr>
                <w:rFonts w:ascii="Arial" w:cs="Arial" w:eastAsia="Arial" w:hAnsi="Arial"/>
                <w:sz w:val="16"/>
                <w:szCs w:val="16"/>
                <w:color w:val="auto"/>
              </w:rPr>
              <w:t>(BILL)*</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ind w:left="40"/>
              <w:spacing w:after="0"/>
              <w:rPr>
                <w:sz w:val="20"/>
                <w:szCs w:val="20"/>
                <w:color w:val="auto"/>
              </w:rPr>
            </w:pPr>
            <w:r>
              <w:rPr>
                <w:rFonts w:ascii="Arial" w:cs="Arial" w:eastAsia="Arial" w:hAnsi="Arial"/>
                <w:sz w:val="16"/>
                <w:szCs w:val="16"/>
                <w:color w:val="auto"/>
              </w:rPr>
              <w:t>(BCH)</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63"/>
        </w:trPr>
        <w:tc>
          <w:tcPr>
            <w:tcW w:w="13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Canton Coin (CC)</w:t>
            </w:r>
          </w:p>
        </w:tc>
        <w:tc>
          <w:tcPr>
            <w:tcW w:w="138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Cardano (ADA)</w:t>
            </w:r>
          </w:p>
        </w:tc>
        <w:tc>
          <w:tcPr>
            <w:tcW w:w="142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Cash Cat</w:t>
            </w:r>
          </w:p>
        </w:tc>
        <w:tc>
          <w:tcPr>
            <w:tcW w:w="14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cat in a dogs</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Chainlink (LINK)</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Compound</w:t>
            </w:r>
          </w:p>
        </w:tc>
        <w:tc>
          <w:tcPr>
            <w:tcW w:w="140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Cosmos (ATOM)</w:t>
            </w:r>
          </w:p>
        </w:tc>
        <w:tc>
          <w:tcPr>
            <w:tcW w:w="14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Curve DAO (CRV)</w:t>
            </w:r>
          </w:p>
        </w:tc>
      </w:tr>
      <w:tr>
        <w:trPr>
          <w:trHeight w:val="216"/>
        </w:trPr>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(CASHCAT)*</w:t>
            </w:r>
          </w:p>
        </w:tc>
        <w:tc>
          <w:tcPr>
            <w:tcW w:w="1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world (MEW)*</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w:t>
            </w: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6"/>
                <w:szCs w:val="16"/>
                <w:color w:val="auto"/>
              </w:rPr>
              <w:t>Dogecoin (DOGE)</w:t>
            </w:r>
          </w:p>
        </w:tc>
        <w:tc>
          <w:tcPr>
            <w:tcW w:w="1380" w:type="dxa"/>
            <w:vAlign w:val="bottom"/>
          </w:tcPr>
          <w:p>
            <w:pPr>
              <w:ind w:left="60"/>
              <w:spacing w:after="0" w:line="162" w:lineRule="exact"/>
              <w:rPr>
                <w:sz w:val="20"/>
                <w:szCs w:val="20"/>
                <w:color w:val="auto"/>
              </w:rPr>
            </w:pPr>
            <w:r>
              <w:rPr>
                <w:rFonts w:ascii="Arial" w:cs="Arial" w:eastAsia="Arial" w:hAnsi="Arial"/>
                <w:sz w:val="16"/>
                <w:szCs w:val="16"/>
                <w:color w:val="auto"/>
              </w:rPr>
              <w:t>Dogwifhat (WIF)</w:t>
            </w: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EigenCloud</w:t>
            </w:r>
          </w:p>
        </w:tc>
        <w:tc>
          <w:tcPr>
            <w:tcW w:w="1420" w:type="dxa"/>
            <w:vAlign w:val="bottom"/>
          </w:tcPr>
          <w:p>
            <w:pPr>
              <w:ind w:left="60"/>
              <w:spacing w:after="0" w:line="162" w:lineRule="exact"/>
              <w:rPr>
                <w:sz w:val="20"/>
                <w:szCs w:val="20"/>
                <w:color w:val="auto"/>
              </w:rPr>
            </w:pPr>
            <w:r>
              <w:rPr>
                <w:rFonts w:ascii="Arial" w:cs="Arial" w:eastAsia="Arial" w:hAnsi="Arial"/>
                <w:sz w:val="16"/>
                <w:szCs w:val="16"/>
                <w:color w:val="auto"/>
              </w:rPr>
              <w:t>Ethena (ENA)</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Ethereum (ETH)</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Ethereum Classic</w:t>
            </w:r>
          </w:p>
        </w:tc>
        <w:tc>
          <w:tcPr>
            <w:tcW w:w="1400" w:type="dxa"/>
            <w:vAlign w:val="bottom"/>
          </w:tcPr>
          <w:p>
            <w:pPr>
              <w:ind w:left="60"/>
              <w:spacing w:after="0" w:line="162" w:lineRule="exact"/>
              <w:rPr>
                <w:sz w:val="20"/>
                <w:szCs w:val="20"/>
                <w:color w:val="auto"/>
              </w:rPr>
            </w:pPr>
            <w:r>
              <w:rPr>
                <w:rFonts w:ascii="Arial" w:cs="Arial" w:eastAsia="Arial" w:hAnsi="Arial"/>
                <w:sz w:val="16"/>
                <w:szCs w:val="16"/>
                <w:color w:val="auto"/>
              </w:rPr>
              <w:t>Flare (FLR)</w:t>
            </w:r>
          </w:p>
        </w:tc>
        <w:tc>
          <w:tcPr>
            <w:tcW w:w="1440" w:type="dxa"/>
            <w:vAlign w:val="bottom"/>
          </w:tcPr>
          <w:p>
            <w:pPr>
              <w:ind w:left="60"/>
              <w:spacing w:after="0" w:line="162" w:lineRule="exact"/>
              <w:rPr>
                <w:sz w:val="20"/>
                <w:szCs w:val="20"/>
                <w:color w:val="auto"/>
              </w:rPr>
            </w:pPr>
            <w:r>
              <w:rPr>
                <w:rFonts w:ascii="Arial" w:cs="Arial" w:eastAsia="Arial" w:hAnsi="Arial"/>
                <w:sz w:val="16"/>
                <w:szCs w:val="16"/>
                <w:color w:val="auto"/>
              </w:rPr>
              <w:t>Floki (FLOKI)*</w:t>
            </w:r>
          </w:p>
        </w:tc>
      </w:tr>
      <w:tr>
        <w:trPr>
          <w:trHeight w:val="215"/>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(EIGEN)*</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ind w:left="40"/>
              <w:spacing w:after="0"/>
              <w:rPr>
                <w:sz w:val="20"/>
                <w:szCs w:val="20"/>
                <w:color w:val="auto"/>
              </w:rPr>
            </w:pPr>
            <w:r>
              <w:rPr>
                <w:rFonts w:ascii="Arial" w:cs="Arial" w:eastAsia="Arial" w:hAnsi="Arial"/>
                <w:sz w:val="16"/>
                <w:szCs w:val="16"/>
                <w:color w:val="auto"/>
              </w:rPr>
              <w:t>(ETC)</w:t>
            </w: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63"/>
        </w:trPr>
        <w:tc>
          <w:tcPr>
            <w:tcW w:w="13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Global Dollar</w:t>
            </w:r>
          </w:p>
        </w:tc>
        <w:tc>
          <w:tcPr>
            <w:tcW w:w="138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Gram (GRAM)*</w:t>
            </w:r>
          </w:p>
        </w:tc>
        <w:tc>
          <w:tcPr>
            <w:tcW w:w="142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Hedera (HBAR)</w:t>
            </w:r>
          </w:p>
        </w:tc>
        <w:tc>
          <w:tcPr>
            <w:tcW w:w="14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Hyperliquid</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Immutable (IMX)</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Injective (INJ)</w:t>
            </w:r>
          </w:p>
        </w:tc>
        <w:tc>
          <w:tcPr>
            <w:tcW w:w="140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Jito (JTO)*</w:t>
            </w:r>
          </w:p>
        </w:tc>
        <w:tc>
          <w:tcPr>
            <w:tcW w:w="14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LayerZero (ZRO)*</w:t>
            </w:r>
          </w:p>
        </w:tc>
      </w:tr>
      <w:tr>
        <w:trPr>
          <w:trHeight w:val="216"/>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(USDG)*</w:t>
            </w: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(HYPE)*</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6"/>
                <w:szCs w:val="16"/>
                <w:color w:val="auto"/>
              </w:rPr>
              <w:t>Lido DAO (LDO)</w:t>
            </w:r>
          </w:p>
        </w:tc>
        <w:tc>
          <w:tcPr>
            <w:tcW w:w="1380" w:type="dxa"/>
            <w:vAlign w:val="bottom"/>
          </w:tcPr>
          <w:p>
            <w:pPr>
              <w:ind w:left="60"/>
              <w:spacing w:after="0" w:line="162" w:lineRule="exact"/>
              <w:rPr>
                <w:sz w:val="20"/>
                <w:szCs w:val="20"/>
                <w:color w:val="auto"/>
              </w:rPr>
            </w:pPr>
            <w:r>
              <w:rPr>
                <w:rFonts w:ascii="Arial" w:cs="Arial" w:eastAsia="Arial" w:hAnsi="Arial"/>
                <w:sz w:val="16"/>
                <w:szCs w:val="16"/>
                <w:color w:val="auto"/>
              </w:rPr>
              <w:t>Lighter (LIT)*</w:t>
            </w: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Litecoin (LTC)</w:t>
            </w:r>
          </w:p>
        </w:tc>
        <w:tc>
          <w:tcPr>
            <w:tcW w:w="1420" w:type="dxa"/>
            <w:vAlign w:val="bottom"/>
          </w:tcPr>
          <w:p>
            <w:pPr>
              <w:ind w:left="60"/>
              <w:spacing w:after="0" w:line="162" w:lineRule="exact"/>
              <w:rPr>
                <w:sz w:val="20"/>
                <w:szCs w:val="20"/>
                <w:color w:val="auto"/>
              </w:rPr>
            </w:pPr>
            <w:r>
              <w:rPr>
                <w:rFonts w:ascii="Arial" w:cs="Arial" w:eastAsia="Arial" w:hAnsi="Arial"/>
                <w:sz w:val="16"/>
                <w:szCs w:val="16"/>
                <w:color w:val="auto"/>
              </w:rPr>
              <w:t>Mantle (MNT)</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Maple Finance</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MegaETH</w:t>
            </w:r>
          </w:p>
        </w:tc>
        <w:tc>
          <w:tcPr>
            <w:tcW w:w="1400" w:type="dxa"/>
            <w:vAlign w:val="bottom"/>
          </w:tcPr>
          <w:p>
            <w:pPr>
              <w:ind w:left="60"/>
              <w:spacing w:after="0" w:line="162" w:lineRule="exact"/>
              <w:rPr>
                <w:sz w:val="20"/>
                <w:szCs w:val="20"/>
                <w:color w:val="auto"/>
              </w:rPr>
            </w:pPr>
            <w:r>
              <w:rPr>
                <w:rFonts w:ascii="Arial" w:cs="Arial" w:eastAsia="Arial" w:hAnsi="Arial"/>
                <w:sz w:val="16"/>
                <w:szCs w:val="16"/>
                <w:color w:val="auto"/>
              </w:rPr>
              <w:t>Monad (MON)*</w:t>
            </w:r>
          </w:p>
        </w:tc>
        <w:tc>
          <w:tcPr>
            <w:tcW w:w="1440" w:type="dxa"/>
            <w:vAlign w:val="bottom"/>
          </w:tcPr>
          <w:p>
            <w:pPr>
              <w:ind w:left="60"/>
              <w:spacing w:after="0" w:line="162" w:lineRule="exact"/>
              <w:rPr>
                <w:sz w:val="20"/>
                <w:szCs w:val="20"/>
                <w:color w:val="auto"/>
              </w:rPr>
            </w:pPr>
            <w:r>
              <w:rPr>
                <w:rFonts w:ascii="Arial" w:cs="Arial" w:eastAsia="Arial" w:hAnsi="Arial"/>
                <w:sz w:val="16"/>
                <w:szCs w:val="16"/>
                <w:color w:val="auto"/>
              </w:rPr>
              <w:t>Moo Deng</w:t>
            </w:r>
          </w:p>
        </w:tc>
      </w:tr>
      <w:tr>
        <w:trPr>
          <w:trHeight w:val="215"/>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ind w:left="40"/>
              <w:spacing w:after="0"/>
              <w:rPr>
                <w:sz w:val="20"/>
                <w:szCs w:val="20"/>
                <w:color w:val="auto"/>
              </w:rPr>
            </w:pPr>
            <w:r>
              <w:rPr>
                <w:rFonts w:ascii="Arial" w:cs="Arial" w:eastAsia="Arial" w:hAnsi="Arial"/>
                <w:sz w:val="16"/>
                <w:szCs w:val="16"/>
                <w:color w:val="auto"/>
              </w:rPr>
              <w:t>(SYRUP)</w:t>
            </w:r>
          </w:p>
        </w:tc>
        <w:tc>
          <w:tcPr>
            <w:tcW w:w="1400" w:type="dxa"/>
            <w:vAlign w:val="bottom"/>
          </w:tcPr>
          <w:p>
            <w:pPr>
              <w:ind w:left="40"/>
              <w:spacing w:after="0"/>
              <w:rPr>
                <w:sz w:val="20"/>
                <w:szCs w:val="20"/>
                <w:color w:val="auto"/>
              </w:rPr>
            </w:pPr>
            <w:r>
              <w:rPr>
                <w:rFonts w:ascii="Arial" w:cs="Arial" w:eastAsia="Arial" w:hAnsi="Arial"/>
                <w:sz w:val="16"/>
                <w:szCs w:val="16"/>
                <w:color w:val="auto"/>
              </w:rPr>
              <w:t>(MEGA)*</w:t>
            </w:r>
          </w:p>
        </w:tc>
        <w:tc>
          <w:tcPr>
            <w:tcW w:w="140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auto"/>
              </w:rPr>
              <w:t>(MOODENG)*</w:t>
            </w:r>
          </w:p>
        </w:tc>
      </w:tr>
      <w:tr>
        <w:trPr>
          <w:trHeight w:val="163"/>
        </w:trPr>
        <w:tc>
          <w:tcPr>
            <w:tcW w:w="13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Morpho</w:t>
            </w:r>
          </w:p>
        </w:tc>
        <w:tc>
          <w:tcPr>
            <w:tcW w:w="138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NEAR Protocol</w:t>
            </w:r>
          </w:p>
        </w:tc>
        <w:tc>
          <w:tcPr>
            <w:tcW w:w="2840" w:type="dxa"/>
            <w:vAlign w:val="bottom"/>
            <w:gridSpan w:val="2"/>
            <w:shd w:val="clear" w:color="auto" w:fill="CCEEFF"/>
          </w:tcPr>
          <w:p>
            <w:pPr>
              <w:ind w:left="80"/>
              <w:spacing w:after="0" w:line="163" w:lineRule="exact"/>
              <w:rPr>
                <w:sz w:val="20"/>
                <w:szCs w:val="20"/>
                <w:color w:val="auto"/>
              </w:rPr>
            </w:pPr>
            <w:r>
              <w:rPr>
                <w:rFonts w:ascii="Arial" w:cs="Arial" w:eastAsia="Arial" w:hAnsi="Arial"/>
                <w:sz w:val="16"/>
                <w:szCs w:val="16"/>
                <w:color w:val="auto"/>
              </w:rPr>
              <w:t>OFFICIAL TRUMP Ondo (ONDO)*</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Onyxcoin (XCN)</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Optimism (OP)</w:t>
            </w:r>
          </w:p>
        </w:tc>
        <w:tc>
          <w:tcPr>
            <w:tcW w:w="140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Orca (ORCA)</w:t>
            </w:r>
          </w:p>
        </w:tc>
        <w:tc>
          <w:tcPr>
            <w:tcW w:w="14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Pax Gold (PAXG)*</w:t>
            </w:r>
          </w:p>
        </w:tc>
      </w:tr>
      <w:tr>
        <w:trPr>
          <w:trHeight w:val="216"/>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(MORPHO)</w:t>
            </w:r>
          </w:p>
        </w:tc>
        <w:tc>
          <w:tcPr>
            <w:tcW w:w="1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(NEAR)</w:t>
            </w:r>
          </w:p>
        </w:tc>
        <w:tc>
          <w:tcPr>
            <w:tcW w:w="1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(TRUMP)*</w:t>
            </w: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6"/>
                <w:szCs w:val="16"/>
                <w:color w:val="auto"/>
              </w:rPr>
              <w:t>Peanut the</w:t>
            </w:r>
          </w:p>
        </w:tc>
        <w:tc>
          <w:tcPr>
            <w:tcW w:w="1380" w:type="dxa"/>
            <w:vAlign w:val="bottom"/>
          </w:tcPr>
          <w:p>
            <w:pPr>
              <w:ind w:left="60"/>
              <w:spacing w:after="0" w:line="162" w:lineRule="exact"/>
              <w:rPr>
                <w:sz w:val="20"/>
                <w:szCs w:val="20"/>
                <w:color w:val="auto"/>
              </w:rPr>
            </w:pPr>
            <w:r>
              <w:rPr>
                <w:rFonts w:ascii="Arial" w:cs="Arial" w:eastAsia="Arial" w:hAnsi="Arial"/>
                <w:sz w:val="16"/>
                <w:szCs w:val="16"/>
                <w:color w:val="auto"/>
              </w:rPr>
              <w:t>Pepecoin (PEPE)</w:t>
            </w: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Plasma (XPL)*</w:t>
            </w:r>
          </w:p>
        </w:tc>
        <w:tc>
          <w:tcPr>
            <w:tcW w:w="1420" w:type="dxa"/>
            <w:vAlign w:val="bottom"/>
          </w:tcPr>
          <w:p>
            <w:pPr>
              <w:ind w:left="60"/>
              <w:spacing w:after="0" w:line="162" w:lineRule="exact"/>
              <w:rPr>
                <w:sz w:val="20"/>
                <w:szCs w:val="20"/>
                <w:color w:val="auto"/>
              </w:rPr>
            </w:pPr>
            <w:r>
              <w:rPr>
                <w:rFonts w:ascii="Arial" w:cs="Arial" w:eastAsia="Arial" w:hAnsi="Arial"/>
                <w:sz w:val="16"/>
                <w:szCs w:val="16"/>
                <w:color w:val="auto"/>
              </w:rPr>
              <w:t>Polkadot (DOT)</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Popcat</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Pudgy Penguins</w:t>
            </w:r>
          </w:p>
        </w:tc>
        <w:tc>
          <w:tcPr>
            <w:tcW w:w="1400" w:type="dxa"/>
            <w:vAlign w:val="bottom"/>
          </w:tcPr>
          <w:p>
            <w:pPr>
              <w:ind w:left="60"/>
              <w:spacing w:after="0" w:line="162" w:lineRule="exact"/>
              <w:rPr>
                <w:sz w:val="20"/>
                <w:szCs w:val="20"/>
                <w:color w:val="auto"/>
              </w:rPr>
            </w:pPr>
            <w:r>
              <w:rPr>
                <w:rFonts w:ascii="Arial" w:cs="Arial" w:eastAsia="Arial" w:hAnsi="Arial"/>
                <w:sz w:val="16"/>
                <w:szCs w:val="16"/>
                <w:color w:val="auto"/>
              </w:rPr>
              <w:t>Pyth Network</w:t>
            </w:r>
          </w:p>
        </w:tc>
        <w:tc>
          <w:tcPr>
            <w:tcW w:w="1440" w:type="dxa"/>
            <w:vAlign w:val="bottom"/>
          </w:tcPr>
          <w:p>
            <w:pPr>
              <w:ind w:left="60"/>
              <w:spacing w:after="0" w:line="162" w:lineRule="exact"/>
              <w:rPr>
                <w:sz w:val="20"/>
                <w:szCs w:val="20"/>
                <w:color w:val="auto"/>
              </w:rPr>
            </w:pPr>
            <w:r>
              <w:rPr>
                <w:rFonts w:ascii="Arial" w:cs="Arial" w:eastAsia="Arial" w:hAnsi="Arial"/>
                <w:sz w:val="16"/>
                <w:szCs w:val="16"/>
                <w:color w:val="auto"/>
              </w:rPr>
              <w:t>Quant (QNT)</w:t>
            </w: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Squirrel (PNUT)*</w:t>
            </w: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ind w:left="40"/>
              <w:spacing w:after="0"/>
              <w:rPr>
                <w:sz w:val="20"/>
                <w:szCs w:val="20"/>
                <w:color w:val="auto"/>
              </w:rPr>
            </w:pPr>
            <w:r>
              <w:rPr>
                <w:rFonts w:ascii="Arial" w:cs="Arial" w:eastAsia="Arial" w:hAnsi="Arial"/>
                <w:sz w:val="16"/>
                <w:szCs w:val="16"/>
                <w:color w:val="auto"/>
              </w:rPr>
              <w:t>(POPCAT)*</w:t>
            </w:r>
          </w:p>
        </w:tc>
        <w:tc>
          <w:tcPr>
            <w:tcW w:w="1400" w:type="dxa"/>
            <w:vAlign w:val="bottom"/>
          </w:tcPr>
          <w:p>
            <w:pPr>
              <w:ind w:left="40"/>
              <w:spacing w:after="0"/>
              <w:rPr>
                <w:sz w:val="20"/>
                <w:szCs w:val="20"/>
                <w:color w:val="auto"/>
              </w:rPr>
            </w:pPr>
            <w:r>
              <w:rPr>
                <w:rFonts w:ascii="Arial" w:cs="Arial" w:eastAsia="Arial" w:hAnsi="Arial"/>
                <w:sz w:val="16"/>
                <w:szCs w:val="16"/>
                <w:color w:val="auto"/>
              </w:rPr>
              <w:t>(PENGU)*</w:t>
            </w:r>
          </w:p>
        </w:tc>
        <w:tc>
          <w:tcPr>
            <w:tcW w:w="1400" w:type="dxa"/>
            <w:vAlign w:val="bottom"/>
          </w:tcPr>
          <w:p>
            <w:pPr>
              <w:ind w:left="60"/>
              <w:spacing w:after="0"/>
              <w:rPr>
                <w:sz w:val="20"/>
                <w:szCs w:val="20"/>
                <w:color w:val="auto"/>
              </w:rPr>
            </w:pPr>
            <w:r>
              <w:rPr>
                <w:rFonts w:ascii="Arial" w:cs="Arial" w:eastAsia="Arial" w:hAnsi="Arial"/>
                <w:sz w:val="16"/>
                <w:szCs w:val="16"/>
                <w:color w:val="auto"/>
              </w:rPr>
              <w:t>(PYTH)</w:t>
            </w:r>
          </w:p>
        </w:tc>
        <w:tc>
          <w:tcPr>
            <w:tcW w:w="1440" w:type="dxa"/>
            <w:vAlign w:val="bottom"/>
          </w:tcPr>
          <w:p>
            <w:pPr>
              <w:spacing w:after="0"/>
              <w:rPr>
                <w:sz w:val="18"/>
                <w:szCs w:val="18"/>
                <w:color w:val="auto"/>
              </w:rPr>
            </w:pPr>
          </w:p>
        </w:tc>
      </w:tr>
      <w:tr>
        <w:trPr>
          <w:trHeight w:val="163"/>
        </w:trPr>
        <w:tc>
          <w:tcPr>
            <w:tcW w:w="13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Raydium (RAY)</w:t>
            </w:r>
          </w:p>
        </w:tc>
        <w:tc>
          <w:tcPr>
            <w:tcW w:w="138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RE (RE)*</w:t>
            </w:r>
          </w:p>
        </w:tc>
        <w:tc>
          <w:tcPr>
            <w:tcW w:w="142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Render</w:t>
            </w:r>
          </w:p>
        </w:tc>
        <w:tc>
          <w:tcPr>
            <w:tcW w:w="14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Seeker (SKR)</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SEI (SEI)</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Sentient (SENT)*</w:t>
            </w:r>
          </w:p>
        </w:tc>
        <w:tc>
          <w:tcPr>
            <w:tcW w:w="140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Shiba Inu (SHIB)</w:t>
            </w:r>
          </w:p>
        </w:tc>
        <w:tc>
          <w:tcPr>
            <w:tcW w:w="14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Sky (SKY)*</w:t>
            </w:r>
          </w:p>
        </w:tc>
      </w:tr>
      <w:tr>
        <w:trPr>
          <w:trHeight w:val="216"/>
        </w:trPr>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(RENDER)</w:t>
            </w: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62"/>
        </w:trPr>
        <w:tc>
          <w:tcPr>
            <w:tcW w:w="1380" w:type="dxa"/>
            <w:vAlign w:val="bottom"/>
          </w:tcPr>
          <w:p>
            <w:pPr>
              <w:ind w:left="20"/>
              <w:spacing w:after="0" w:line="162" w:lineRule="exact"/>
              <w:rPr>
                <w:sz w:val="20"/>
                <w:szCs w:val="20"/>
                <w:color w:val="auto"/>
              </w:rPr>
            </w:pPr>
            <w:r>
              <w:rPr>
                <w:rFonts w:ascii="Arial" w:cs="Arial" w:eastAsia="Arial" w:hAnsi="Arial"/>
                <w:sz w:val="16"/>
                <w:szCs w:val="16"/>
                <w:color w:val="auto"/>
              </w:rPr>
              <w:t>Solana (SOL)</w:t>
            </w:r>
          </w:p>
        </w:tc>
        <w:tc>
          <w:tcPr>
            <w:tcW w:w="1380" w:type="dxa"/>
            <w:vAlign w:val="bottom"/>
          </w:tcPr>
          <w:p>
            <w:pPr>
              <w:ind w:left="60"/>
              <w:spacing w:after="0" w:line="162" w:lineRule="exact"/>
              <w:rPr>
                <w:sz w:val="20"/>
                <w:szCs w:val="20"/>
                <w:color w:val="auto"/>
              </w:rPr>
            </w:pPr>
            <w:r>
              <w:rPr>
                <w:rFonts w:ascii="Arial" w:cs="Arial" w:eastAsia="Arial" w:hAnsi="Arial"/>
                <w:sz w:val="16"/>
                <w:szCs w:val="16"/>
                <w:color w:val="auto"/>
              </w:rPr>
              <w:t>Starknet (STRK)</w:t>
            </w:r>
          </w:p>
        </w:tc>
        <w:tc>
          <w:tcPr>
            <w:tcW w:w="1420" w:type="dxa"/>
            <w:vAlign w:val="bottom"/>
          </w:tcPr>
          <w:p>
            <w:pPr>
              <w:ind w:left="80"/>
              <w:spacing w:after="0" w:line="162" w:lineRule="exact"/>
              <w:rPr>
                <w:sz w:val="20"/>
                <w:szCs w:val="20"/>
                <w:color w:val="auto"/>
              </w:rPr>
            </w:pPr>
            <w:r>
              <w:rPr>
                <w:rFonts w:ascii="Arial" w:cs="Arial" w:eastAsia="Arial" w:hAnsi="Arial"/>
                <w:sz w:val="16"/>
                <w:szCs w:val="16"/>
                <w:color w:val="auto"/>
              </w:rPr>
              <w:t>Stellar Lumens</w:t>
            </w:r>
          </w:p>
        </w:tc>
        <w:tc>
          <w:tcPr>
            <w:tcW w:w="1420" w:type="dxa"/>
            <w:vAlign w:val="bottom"/>
          </w:tcPr>
          <w:p>
            <w:pPr>
              <w:ind w:left="60"/>
              <w:spacing w:after="0" w:line="162" w:lineRule="exact"/>
              <w:rPr>
                <w:sz w:val="20"/>
                <w:szCs w:val="20"/>
                <w:color w:val="auto"/>
              </w:rPr>
            </w:pPr>
            <w:r>
              <w:rPr>
                <w:rFonts w:ascii="Arial" w:cs="Arial" w:eastAsia="Arial" w:hAnsi="Arial"/>
                <w:sz w:val="16"/>
                <w:szCs w:val="16"/>
                <w:color w:val="auto"/>
              </w:rPr>
              <w:t>SUI (SUI)</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Synthetix (SNX)*</w:t>
            </w:r>
          </w:p>
        </w:tc>
        <w:tc>
          <w:tcPr>
            <w:tcW w:w="1400" w:type="dxa"/>
            <w:vAlign w:val="bottom"/>
          </w:tcPr>
          <w:p>
            <w:pPr>
              <w:ind w:left="40"/>
              <w:spacing w:after="0" w:line="162" w:lineRule="exact"/>
              <w:rPr>
                <w:sz w:val="20"/>
                <w:szCs w:val="20"/>
                <w:color w:val="auto"/>
              </w:rPr>
            </w:pPr>
            <w:r>
              <w:rPr>
                <w:rFonts w:ascii="Arial" w:cs="Arial" w:eastAsia="Arial" w:hAnsi="Arial"/>
                <w:sz w:val="16"/>
                <w:szCs w:val="16"/>
                <w:color w:val="auto"/>
              </w:rPr>
              <w:t>Tezos (XTZ)</w:t>
            </w:r>
          </w:p>
        </w:tc>
        <w:tc>
          <w:tcPr>
            <w:tcW w:w="1400" w:type="dxa"/>
            <w:vAlign w:val="bottom"/>
          </w:tcPr>
          <w:p>
            <w:pPr>
              <w:ind w:left="60"/>
              <w:spacing w:after="0" w:line="162" w:lineRule="exact"/>
              <w:rPr>
                <w:sz w:val="20"/>
                <w:szCs w:val="20"/>
                <w:color w:val="auto"/>
              </w:rPr>
            </w:pPr>
            <w:r>
              <w:rPr>
                <w:rFonts w:ascii="Arial" w:cs="Arial" w:eastAsia="Arial" w:hAnsi="Arial"/>
                <w:sz w:val="16"/>
                <w:szCs w:val="16"/>
                <w:color w:val="auto"/>
              </w:rPr>
              <w:t>The Graph (GRT)</w:t>
            </w:r>
          </w:p>
        </w:tc>
        <w:tc>
          <w:tcPr>
            <w:tcW w:w="1440" w:type="dxa"/>
            <w:vAlign w:val="bottom"/>
          </w:tcPr>
          <w:p>
            <w:pPr>
              <w:ind w:left="60"/>
              <w:spacing w:after="0" w:line="162" w:lineRule="exact"/>
              <w:rPr>
                <w:sz w:val="20"/>
                <w:szCs w:val="20"/>
                <w:color w:val="auto"/>
              </w:rPr>
            </w:pPr>
            <w:r>
              <w:rPr>
                <w:rFonts w:ascii="Arial" w:cs="Arial" w:eastAsia="Arial" w:hAnsi="Arial"/>
                <w:sz w:val="16"/>
                <w:szCs w:val="16"/>
                <w:color w:val="auto"/>
              </w:rPr>
              <w:t>Uniswap (UNI)</w:t>
            </w:r>
          </w:p>
        </w:tc>
      </w:tr>
      <w:tr>
        <w:trPr>
          <w:trHeight w:val="215"/>
        </w:trPr>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Arial" w:cs="Arial" w:eastAsia="Arial" w:hAnsi="Arial"/>
                <w:sz w:val="16"/>
                <w:szCs w:val="16"/>
                <w:color w:val="auto"/>
              </w:rPr>
              <w:t>(XLM)</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63"/>
        </w:trPr>
        <w:tc>
          <w:tcPr>
            <w:tcW w:w="13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USD.AI (CHIP)*</w:t>
            </w:r>
          </w:p>
        </w:tc>
        <w:tc>
          <w:tcPr>
            <w:tcW w:w="138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USD Coin</w:t>
            </w:r>
          </w:p>
        </w:tc>
        <w:tc>
          <w:tcPr>
            <w:tcW w:w="142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Venice Token</w:t>
            </w:r>
          </w:p>
        </w:tc>
        <w:tc>
          <w:tcPr>
            <w:tcW w:w="14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Virtuals Protocol</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Worldcoin (WLD)*</w:t>
            </w:r>
          </w:p>
        </w:tc>
        <w:tc>
          <w:tcPr>
            <w:tcW w:w="140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rPr>
              <w:t>World Liberty</w:t>
            </w:r>
          </w:p>
        </w:tc>
        <w:tc>
          <w:tcPr>
            <w:tcW w:w="140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XDC Network</w:t>
            </w:r>
          </w:p>
        </w:tc>
        <w:tc>
          <w:tcPr>
            <w:tcW w:w="14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XRP (XRP)</w:t>
            </w:r>
          </w:p>
        </w:tc>
      </w:tr>
      <w:tr>
        <w:trPr>
          <w:trHeight w:val="216"/>
        </w:trPr>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ind w:left="60"/>
              <w:spacing w:after="0"/>
              <w:rPr>
                <w:sz w:val="20"/>
                <w:szCs w:val="20"/>
                <w:color w:val="auto"/>
              </w:rPr>
            </w:pPr>
            <w:r>
              <w:rPr>
                <w:rFonts w:ascii="Arial" w:cs="Arial" w:eastAsia="Arial" w:hAnsi="Arial"/>
                <w:sz w:val="16"/>
                <w:szCs w:val="16"/>
                <w:color w:val="auto"/>
              </w:rPr>
              <w:t>(USDC)**</w:t>
            </w:r>
          </w:p>
        </w:tc>
        <w:tc>
          <w:tcPr>
            <w:tcW w:w="1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(VVV)</w:t>
            </w:r>
          </w:p>
        </w:tc>
        <w:tc>
          <w:tcPr>
            <w:tcW w:w="1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(VIRTUAL)</w:t>
            </w:r>
          </w:p>
        </w:tc>
        <w:tc>
          <w:tcPr>
            <w:tcW w:w="1400" w:type="dxa"/>
            <w:vAlign w:val="bottom"/>
            <w:shd w:val="clear" w:color="auto" w:fill="CCEEFF"/>
          </w:tcPr>
          <w:p>
            <w:pPr>
              <w:spacing w:after="0"/>
              <w:rPr>
                <w:sz w:val="18"/>
                <w:szCs w:val="18"/>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Financial (WLFI)*</w:t>
            </w:r>
          </w:p>
        </w:tc>
        <w:tc>
          <w:tcPr>
            <w:tcW w:w="1400" w:type="dxa"/>
            <w:vAlign w:val="bottom"/>
            <w:shd w:val="clear" w:color="auto" w:fill="CCEEFF"/>
          </w:tcPr>
          <w:p>
            <w:pPr>
              <w:ind w:left="60"/>
              <w:spacing w:after="0"/>
              <w:rPr>
                <w:sz w:val="20"/>
                <w:szCs w:val="20"/>
                <w:color w:val="auto"/>
              </w:rPr>
            </w:pPr>
            <w:r>
              <w:rPr>
                <w:rFonts w:ascii="Arial" w:cs="Arial" w:eastAsia="Arial" w:hAnsi="Arial"/>
                <w:sz w:val="16"/>
                <w:szCs w:val="16"/>
                <w:color w:val="auto"/>
              </w:rPr>
              <w:t>(XDC)*</w:t>
            </w:r>
          </w:p>
        </w:tc>
        <w:tc>
          <w:tcPr>
            <w:tcW w:w="1440" w:type="dxa"/>
            <w:vAlign w:val="bottom"/>
            <w:shd w:val="clear" w:color="auto" w:fill="CCEEFF"/>
          </w:tcPr>
          <w:p>
            <w:pPr>
              <w:spacing w:after="0"/>
              <w:rPr>
                <w:sz w:val="18"/>
                <w:szCs w:val="18"/>
                <w:color w:val="auto"/>
              </w:rPr>
            </w:pP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Zcash (ZEC)</w:t>
            </w:r>
          </w:p>
        </w:tc>
        <w:tc>
          <w:tcPr>
            <w:tcW w:w="1380" w:type="dxa"/>
            <w:vAlign w:val="bottom"/>
          </w:tcPr>
          <w:p>
            <w:pPr>
              <w:ind w:left="60"/>
              <w:spacing w:after="0"/>
              <w:rPr>
                <w:sz w:val="20"/>
                <w:szCs w:val="20"/>
                <w:color w:val="auto"/>
              </w:rPr>
            </w:pPr>
            <w:r>
              <w:rPr>
                <w:rFonts w:ascii="Arial" w:cs="Arial" w:eastAsia="Arial" w:hAnsi="Arial"/>
                <w:sz w:val="16"/>
                <w:szCs w:val="16"/>
                <w:color w:val="auto"/>
              </w:rPr>
              <w:t>Zora (ZORA)*</w:t>
            </w:r>
          </w:p>
        </w:tc>
        <w:tc>
          <w:tcPr>
            <w:tcW w:w="1420" w:type="dxa"/>
            <w:vAlign w:val="bottom"/>
          </w:tcPr>
          <w:p>
            <w:pPr>
              <w:ind w:left="80"/>
              <w:spacing w:after="0"/>
              <w:rPr>
                <w:sz w:val="20"/>
                <w:szCs w:val="20"/>
                <w:color w:val="auto"/>
              </w:rPr>
            </w:pPr>
            <w:r>
              <w:rPr>
                <w:rFonts w:ascii="Arial" w:cs="Arial" w:eastAsia="Arial" w:hAnsi="Arial"/>
                <w:sz w:val="16"/>
                <w:szCs w:val="16"/>
                <w:color w:val="auto"/>
              </w:rPr>
              <w:t>0x Protocol (ZRX)</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62" w:lineRule="exact"/>
        <w:rPr>
          <w:sz w:val="20"/>
          <w:szCs w:val="20"/>
          <w:color w:val="auto"/>
        </w:rPr>
      </w:pPr>
    </w:p>
    <w:p>
      <w:pPr>
        <w:ind w:right="360" w:firstLine="8"/>
        <w:spacing w:after="0" w:line="316" w:lineRule="auto"/>
        <w:tabs>
          <w:tab w:leader="none" w:pos="146"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Not all cryptocurrencies are available in every state. An asterisk indicates a cryptocurrency is not currently available for trading in New York; a double asterisk indicates a cryptocurrency is not currently available for trading in New York or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494" w:lineRule="exact"/>
        <w:rPr>
          <w:sz w:val="20"/>
          <w:szCs w:val="20"/>
          <w:color w:val="auto"/>
        </w:rPr>
      </w:pPr>
      <w:r>
        <w:rPr>
          <w:rFonts w:ascii="Arial" w:cs="Arial" w:eastAsia="Arial" w:hAnsi="Arial"/>
          <w:sz w:val="36"/>
          <w:szCs w:val="36"/>
          <w:color w:val="auto"/>
        </w:rPr>
        <w:t>CAUTIONARY NOTE REGARDING FORWARD</w:t>
      </w:r>
      <w:r>
        <w:rPr>
          <w:rFonts w:ascii="MS PGothic" w:cs="MS PGothic" w:eastAsia="MS PGothic" w:hAnsi="MS PGothic"/>
          <w:sz w:val="36"/>
          <w:szCs w:val="36"/>
          <w:color w:val="auto"/>
        </w:rPr>
        <w:t>‑</w:t>
      </w:r>
      <w:r>
        <w:rPr>
          <w:rFonts w:ascii="Arial" w:cs="Arial" w:eastAsia="Arial" w:hAnsi="Arial"/>
          <w:sz w:val="36"/>
          <w:szCs w:val="36"/>
          <w:color w:val="auto"/>
        </w:rPr>
        <w:t>LOOKING STATEMENTS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Quarterly Report on Form 10-Q (this “Quarterly Report”) of Robinhood Markets, Inc. (“RHM” and, together with its subsidiaries, “we,” “us,” “Robinhood,” or the “Company”) contains forward -looking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Quarterly Report includes, among others, forward-looking statements regarding:</w:t>
      </w:r>
    </w:p>
    <w:p>
      <w:pPr>
        <w:spacing w:after="0" w:line="23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existing and potential future legal and regulatory proceedings, rulemakings, and investigations;</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intent to continue expanding our operations outside of the United States;</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that we are continuously introducing new products and diversifying our services that further expand access to the financial system;</w:t>
      </w:r>
    </w:p>
    <w:p>
      <w:pPr>
        <w:spacing w:after="0" w:line="274"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legislative developments and their impact on us, including with respect to the CLARITY Act and the GENIUS Act;</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 that management will exclude WonderFi from its assessment of internal control over financial reporting for 2026;</w:t>
      </w:r>
    </w:p>
    <w:p>
      <w:pPr>
        <w:spacing w:after="0" w:line="260"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about adapting our product and service offerings to reflect local regulatory requirements, customer preferences, and other location-specific factors when pursuing such expansion;</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the Repurchase Program and our current expectations with respect to timing;</w:t>
      </w:r>
    </w:p>
    <w:p>
      <w:pPr>
        <w:spacing w:after="0" w:line="220" w:lineRule="exact"/>
        <w:rPr>
          <w:rFonts w:ascii="Times New Roman" w:cs="Times New Roman" w:eastAsia="Times New Roman" w:hAnsi="Times New Roman"/>
          <w:sz w:val="22"/>
          <w:szCs w:val="22"/>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expect that Robinhood Chain's underlying protocol will need to be upgraded from time to time to remediate newly discovered vulnerabilities, improve network performance, add new functionality, or comply with evolving regulatory requirements;</w:t>
      </w:r>
    </w:p>
    <w:p>
      <w:pPr>
        <w:spacing w:after="0" w:line="220"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belief that, based on our current level of operations, our primary sources of liquidity will be adequate to meet our current liquidity needs for the next 12 months;</w:t>
      </w:r>
    </w:p>
    <w:p>
      <w:pPr>
        <w:spacing w:after="0" w:line="261" w:lineRule="exact"/>
        <w:rPr>
          <w:rFonts w:ascii="Times New Roman" w:cs="Times New Roman" w:eastAsia="Times New Roman" w:hAnsi="Times New Roman"/>
          <w:sz w:val="22"/>
          <w:szCs w:val="22"/>
          <w:color w:val="auto"/>
        </w:rPr>
      </w:pPr>
    </w:p>
    <w:p>
      <w:pPr>
        <w:ind w:left="660" w:right="200" w:hanging="328"/>
        <w:spacing w:after="0" w:line="249"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RVI, RVII, REF, and the Funds (as defined below), including that RHV expects to serve as investment adviser to additional investment vehicles regulated under the 1940 Act in the future and that we expect to continue making balance sheet investments to provide seed or other capital to certain Funds during their early fundraising stages;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328"/>
        <w:spacing w:after="0" w:line="249" w:lineRule="auto"/>
        <w:tabs>
          <w:tab w:leader="none" w:pos="655" w:val="left"/>
        </w:tabs>
        <w:numPr>
          <w:ilvl w:val="0"/>
          <w:numId w:val="5"/>
        </w:numPr>
        <w:rPr>
          <w:rFonts w:ascii="Times New Roman" w:cs="Times New Roman" w:eastAsia="Times New Roman" w:hAnsi="Times New Roman"/>
          <w:sz w:val="22"/>
          <w:szCs w:val="22"/>
          <w:color w:val="auto"/>
        </w:rPr>
      </w:pPr>
      <w:r>
        <w:rPr>
          <w:rFonts w:ascii="Arial" w:cs="Arial" w:eastAsia="Arial" w:hAnsi="Arial"/>
          <w:sz w:val="18"/>
          <w:szCs w:val="18"/>
          <w:color w:val="auto"/>
        </w:rPr>
        <w:t>our expectations regarding our pending applications for a license under the DFAL in connection with our cryptocurrency trading operations in California.</w:t>
      </w:r>
    </w:p>
    <w:p>
      <w:pPr>
        <w:spacing w:after="0" w:line="21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forward-looking statements are subject to a number of known and unknown risks, uncertainties, assumptions, and other factors that may cause our actual future results, performance, or achievements to differ materially from any future results expressed or implied in this Quarterly Report. Reported results should not be considered an indication of future performance. Factors that contribute to the uncertain nature of our forward-looking statements include, among others:</w:t>
      </w:r>
    </w:p>
    <w:p>
      <w:pPr>
        <w:spacing w:after="0" w:line="244" w:lineRule="exact"/>
        <w:rPr>
          <w:sz w:val="20"/>
          <w:szCs w:val="20"/>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our rapid and continuing expansion, including continuing to introduce new products and services on our platforms as well as geographic expansion;</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of managing our business effectively, including the size of our workforce, and the risk of declining or negative growth;</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fluctuations in our financial results and key metrics from quarter to quarter;</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our reliance on transaction-based revenue, including PFOF, the risk of new regulation or bans on PFOF and similar practices, and the addition of our new fee-based model for cryptocurrency;</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our exposure to fluctuations in interest rates and rapidly changing interest rate environments;</w:t>
      </w:r>
    </w:p>
    <w:p>
      <w:pPr>
        <w:spacing w:after="0" w:line="260" w:lineRule="exact"/>
        <w:rPr>
          <w:rFonts w:ascii="Times New Roman" w:cs="Times New Roman" w:eastAsia="Times New Roman" w:hAnsi="Times New Roman"/>
          <w:sz w:val="22"/>
          <w:szCs w:val="22"/>
          <w:color w:val="auto"/>
        </w:rPr>
      </w:pPr>
    </w:p>
    <w:p>
      <w:pPr>
        <w:ind w:left="660" w:hanging="328"/>
        <w:spacing w:after="0" w:line="249"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of raising additional capital (to provide liquidity needs and support business growth and objectives) on reasonable terms, if at all;</w:t>
      </w:r>
    </w:p>
    <w:p>
      <w:pPr>
        <w:spacing w:after="0" w:line="23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need to maintain capital levels required by regulators and SROs;</w:t>
      </w:r>
    </w:p>
    <w:p>
      <w:pPr>
        <w:spacing w:after="0" w:line="260"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risk that we might mishandle the cash, securities, and cryptocurrencies we hold on behalf of customers, and our exposure to liability for processing, operational, or technical errors in clearing functions;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impact of negative publicity on our brand and reputation;</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risk that changes in business, economic, or political conditions that impact the global financial markets, or a systemic market event, might harm our business;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our dependence on key employees and a skilled workforce;</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fact that we do not wholly own or operationally control Rothera, our joint venture with SIG, and its subsidiaries;</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operational and regulatory risks and expenditures prior to and following closing of our acquisitions and investments;</w:t>
      </w:r>
    </w:p>
    <w:p>
      <w:pPr>
        <w:spacing w:after="0" w:line="260"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of complying with an extensive, complex, and changing regulatory environment, the risk of monetary and other penalties for noncompliance and the need to adjust our business model in response to new or modified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possibility of adverse developments in pending litigation and regulatory investigations;</w:t>
      </w:r>
    </w:p>
    <w:p>
      <w:pPr>
        <w:spacing w:after="0" w:line="274"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risk that the outcome of currently ongoing and potential future regulatory enforcement actions and litigation, as well as potential changes in federal or state law, could immediately or subsequently prevent us from offering, or continuing to offer, event contracts or that we have in the past decided, and may in the future decide, to stop offering certain new event contracts as a result of actual or threatened state enforcement actions;</w:t>
      </w:r>
    </w:p>
    <w:p>
      <w:pPr>
        <w:spacing w:after="0" w:line="2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effects of competition;</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our need to innovate and acquire or invest in new products, services, technologies and geographies in order to attract and retain customers and deepen their engagement with us in order to maintain growth;</w:t>
      </w:r>
    </w:p>
    <w:p>
      <w:pPr>
        <w:spacing w:after="0" w:line="261"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our reliance on third parties to perform some key functions and the risk that processing, operational or technological failures could impair the availability or stability of our platforms;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risk of cybersecurity incidents, theft, data breaches, and other online attacks;</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difficulty of processing customer data in compliance with privacy laws;</w:t>
      </w:r>
    </w:p>
    <w:p>
      <w:pPr>
        <w:spacing w:after="0" w:line="274"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our need as a regulated financial services company to develop and maintain effective compliance and risk management infrastructures;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18"/>
          <w:szCs w:val="18"/>
          <w:color w:val="auto"/>
        </w:rPr>
        <w:t>the risks associated with incorporating AI technologies into some of our products and processes;</w:t>
      </w:r>
    </w:p>
    <w:p>
      <w:pPr>
        <w:spacing w:after="0" w:line="260"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regulation, litigation, contractual, operational, and reputational risks associated with our introduction of products such as Robinhood Chain and Stock Tokens globally, continued offering of Classic Stock Tokens (formerly “Robinhood Stock Tokens”) and perpetual futures trading in the European Economic Area, our planned offering of perpetual futures in the U.S., updates to Robinhood Wallet, and our staking and onchain lending services offered in the U.S.; and</w:t>
      </w:r>
    </w:p>
    <w:p>
      <w:pPr>
        <w:spacing w:after="0" w:line="25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risk that substantial future sales of Class A common stock in the public market, or the perception that they may occur, could cause the price of our stock to fall.</w:t>
      </w:r>
    </w:p>
    <w:p>
      <w:pPr>
        <w:spacing w:after="0" w:line="2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Quarterly Report titled “Risk Factors” and our other filings with the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Quarterly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Quarterly Report whether as a result of any new information, future events, changed circumstances,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otherwise. You should read this Quarterly Report with the understanding that our actual future results, performance, events, and circumstances might be materially different from what we expect.</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the “Overview” tab of our Investor Relations website (accessible at investors.robinhood.com/overview) and its Newsroom, (accessible at newsroom.aboutrobinhood.com), as means of disclosing information to the public in a broad, non-exclusionary manner for purposes of the SEC’s Regulation Fair Disclosure (Reg. FD).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Quarterly Report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39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5,829</w:t>
            </w:r>
          </w:p>
        </w:tc>
        <w:tc>
          <w:tcPr>
            <w:tcW w:w="0" w:type="dxa"/>
            <w:vAlign w:val="bottom"/>
          </w:tcPr>
          <w:p>
            <w:pPr>
              <w:spacing w:after="0"/>
              <w:rPr>
                <w:sz w:val="1"/>
                <w:szCs w:val="1"/>
                <w:color w:val="auto"/>
              </w:rPr>
            </w:pPr>
          </w:p>
        </w:tc>
      </w:tr>
      <w:tr>
        <w:trPr>
          <w:trHeight w:val="199"/>
        </w:trPr>
        <w:tc>
          <w:tcPr>
            <w:tcW w:w="8060" w:type="dxa"/>
            <w:vAlign w:val="bottom"/>
          </w:tcPr>
          <w:p>
            <w:pPr>
              <w:ind w:left="24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13,443</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Receivables from brokers, dealers, and clearing organizations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Receivables from users, net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17,994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23,598</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borrowed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Deposits with clearing organizations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User-held fractional shares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5,123</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Deferred customer match incentives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57"/>
        </w:trPr>
        <w:tc>
          <w:tcPr>
            <w:tcW w:w="806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Other current assets, including current prepaid expenses of $127 as of December 31, 2025 and $182 as of September</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30, 2026</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36,305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56,278</w:t>
            </w:r>
          </w:p>
        </w:tc>
        <w:tc>
          <w:tcPr>
            <w:tcW w:w="0" w:type="dxa"/>
            <w:vAlign w:val="bottom"/>
          </w:tcPr>
          <w:p>
            <w:pPr>
              <w:spacing w:after="0"/>
              <w:rPr>
                <w:sz w:val="1"/>
                <w:szCs w:val="1"/>
                <w:color w:val="auto"/>
              </w:rPr>
            </w:pPr>
          </w:p>
        </w:tc>
      </w:tr>
      <w:tr>
        <w:trPr>
          <w:trHeight w:val="200"/>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Property, software, and equipment,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Non-current deferred customer match incentives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57"/>
        </w:trPr>
        <w:tc>
          <w:tcPr>
            <w:tcW w:w="806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Other non-current assets, including non-current prepaid expenses of $11 as of December 31, 2025 and $22 as of</w:t>
            </w: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September 30, 2026</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6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38,137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58,271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Payables to users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18,473</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Securities loaned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19,480</w:t>
            </w:r>
          </w:p>
        </w:tc>
        <w:tc>
          <w:tcPr>
            <w:tcW w:w="0" w:type="dxa"/>
            <w:vAlign w:val="bottom"/>
          </w:tcPr>
          <w:p>
            <w:pPr>
              <w:spacing w:after="0"/>
              <w:rPr>
                <w:sz w:val="1"/>
                <w:szCs w:val="1"/>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auto"/>
              </w:rPr>
              <w:t>Fractional shares repurchase obligation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5,123</w:t>
            </w: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45,243</w:t>
            </w:r>
          </w:p>
        </w:tc>
        <w:tc>
          <w:tcPr>
            <w:tcW w:w="0" w:type="dxa"/>
            <w:vAlign w:val="bottom"/>
          </w:tcPr>
          <w:p>
            <w:pPr>
              <w:spacing w:after="0"/>
              <w:rPr>
                <w:sz w:val="1"/>
                <w:szCs w:val="1"/>
                <w:color w:val="auto"/>
              </w:rPr>
            </w:pPr>
          </w:p>
        </w:tc>
      </w:tr>
      <w:tr>
        <w:trPr>
          <w:trHeight w:val="200"/>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Long-term borrowings</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r>
        <w:trPr>
          <w:trHeight w:val="198"/>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0"/>
        </w:trPr>
        <w:tc>
          <w:tcPr>
            <w:tcW w:w="80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28,986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48,193</w:t>
            </w:r>
          </w:p>
        </w:tc>
        <w:tc>
          <w:tcPr>
            <w:tcW w:w="0" w:type="dxa"/>
            <w:vAlign w:val="bottom"/>
          </w:tcPr>
          <w:p>
            <w:pPr>
              <w:spacing w:after="0"/>
              <w:rPr>
                <w:sz w:val="1"/>
                <w:szCs w:val="1"/>
                <w:color w:val="auto"/>
              </w:rPr>
            </w:pPr>
          </w:p>
        </w:tc>
      </w:tr>
      <w:tr>
        <w:trPr>
          <w:trHeight w:val="178"/>
        </w:trPr>
        <w:tc>
          <w:tcPr>
            <w:tcW w:w="8060" w:type="dxa"/>
            <w:vAlign w:val="bottom"/>
          </w:tcPr>
          <w:p>
            <w:pPr>
              <w:ind w:left="20"/>
              <w:spacing w:after="0"/>
              <w:rPr>
                <w:sz w:val="20"/>
                <w:szCs w:val="20"/>
                <w:color w:val="auto"/>
              </w:rPr>
            </w:pPr>
            <w:r>
              <w:rPr>
                <w:rFonts w:ascii="Arial" w:cs="Arial" w:eastAsia="Arial" w:hAnsi="Arial"/>
                <w:sz w:val="14"/>
                <w:szCs w:val="14"/>
                <w:color w:val="auto"/>
              </w:rPr>
              <w:t>Commitments and contingencies (Note 16)</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300"/>
              <w:spacing w:after="0" w:line="153" w:lineRule="exact"/>
              <w:rPr>
                <w:sz w:val="20"/>
                <w:szCs w:val="20"/>
                <w:color w:val="auto"/>
              </w:rPr>
            </w:pPr>
            <w:r>
              <w:rPr>
                <w:rFonts w:ascii="Arial" w:cs="Arial" w:eastAsia="Arial" w:hAnsi="Arial"/>
                <w:sz w:val="14"/>
                <w:szCs w:val="14"/>
                <w:color w:val="auto"/>
              </w:rPr>
              <w:t>Preferred stock, $0.0001 par value. 210 million shares authorized, no shares issued and outstanding as of December</w:t>
            </w:r>
          </w:p>
        </w:tc>
        <w:tc>
          <w:tcPr>
            <w:tcW w:w="16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tcPr>
          <w:p>
            <w:pPr>
              <w:ind w:left="460"/>
              <w:spacing w:after="0"/>
              <w:rPr>
                <w:sz w:val="20"/>
                <w:szCs w:val="20"/>
                <w:color w:val="auto"/>
              </w:rPr>
            </w:pPr>
            <w:r>
              <w:rPr>
                <w:rFonts w:ascii="Arial" w:cs="Arial" w:eastAsia="Arial" w:hAnsi="Arial"/>
                <w:sz w:val="14"/>
                <w:szCs w:val="14"/>
                <w:color w:val="auto"/>
              </w:rPr>
              <w:t>31, 2025 and September 30, 2026.</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A common stock, $0.0001 par value. 21 billion shares authorized, 790 million shares issued and outstanding as of</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December 31, 2025; 21 billion shares authorized, 793 million shares issued and outstanding as of September 30,</w:t>
            </w:r>
          </w:p>
        </w:tc>
        <w:tc>
          <w:tcPr>
            <w:tcW w:w="16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2026.</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300"/>
              <w:spacing w:after="0" w:line="153" w:lineRule="exact"/>
              <w:rPr>
                <w:sz w:val="20"/>
                <w:szCs w:val="20"/>
                <w:color w:val="auto"/>
              </w:rPr>
            </w:pPr>
            <w:r>
              <w:rPr>
                <w:rFonts w:ascii="Arial" w:cs="Arial" w:eastAsia="Arial" w:hAnsi="Arial"/>
                <w:sz w:val="14"/>
                <w:szCs w:val="14"/>
                <w:color w:val="auto"/>
              </w:rPr>
              <w:t>Class B common stock, $0.0001 par value. 700 million shares authorized, 111 million shares issued and outstanding as</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460"/>
              <w:spacing w:after="0" w:line="149" w:lineRule="exact"/>
              <w:rPr>
                <w:sz w:val="20"/>
                <w:szCs w:val="20"/>
                <w:color w:val="auto"/>
              </w:rPr>
            </w:pPr>
            <w:r>
              <w:rPr>
                <w:rFonts w:ascii="Arial" w:cs="Arial" w:eastAsia="Arial" w:hAnsi="Arial"/>
                <w:sz w:val="14"/>
                <w:szCs w:val="14"/>
                <w:color w:val="auto"/>
              </w:rPr>
              <w:t>of December 31, 2025; 700 million shares authorized, 108 million shares issued and outstanding as of September 30,</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tcPr>
          <w:p>
            <w:pPr>
              <w:ind w:left="460"/>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60" w:type="dxa"/>
            <w:vAlign w:val="bottom"/>
            <w:shd w:val="clear" w:color="auto" w:fill="CCEEFF"/>
          </w:tcPr>
          <w:p>
            <w:pPr>
              <w:ind w:left="300"/>
              <w:spacing w:after="0" w:line="153" w:lineRule="exact"/>
              <w:rPr>
                <w:sz w:val="20"/>
                <w:szCs w:val="20"/>
                <w:color w:val="auto"/>
              </w:rPr>
            </w:pPr>
            <w:r>
              <w:rPr>
                <w:rFonts w:ascii="Arial" w:cs="Arial" w:eastAsia="Arial" w:hAnsi="Arial"/>
                <w:sz w:val="14"/>
                <w:szCs w:val="14"/>
                <w:color w:val="auto"/>
              </w:rPr>
              <w:t>Class C common stock, $0.0001 par value. 7 billion shares authorized, no shares issued and outstanding as of</w:t>
            </w: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December 31, 2025 and September 30, 2026.</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6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10,783</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8060" w:type="dxa"/>
            <w:vAlign w:val="bottom"/>
          </w:tcPr>
          <w:p>
            <w:pPr>
              <w:ind w:left="24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06"/>
        </w:trPr>
        <w:tc>
          <w:tcPr>
            <w:tcW w:w="8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10,078</w:t>
            </w:r>
          </w:p>
        </w:tc>
        <w:tc>
          <w:tcPr>
            <w:tcW w:w="0" w:type="dxa"/>
            <w:vAlign w:val="bottom"/>
          </w:tcPr>
          <w:p>
            <w:pPr>
              <w:spacing w:after="0"/>
              <w:rPr>
                <w:sz w:val="1"/>
                <w:szCs w:val="1"/>
                <w:color w:val="auto"/>
              </w:rPr>
            </w:pPr>
          </w:p>
        </w:tc>
      </w:tr>
      <w:tr>
        <w:trPr>
          <w:trHeight w:val="225"/>
        </w:trPr>
        <w:tc>
          <w:tcPr>
            <w:tcW w:w="8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58,271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for per share data)</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1,852</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184"/>
        </w:trPr>
        <w:tc>
          <w:tcPr>
            <w:tcW w:w="5160" w:type="dxa"/>
            <w:vAlign w:val="bottom"/>
          </w:tcPr>
          <w:p>
            <w:pPr>
              <w:ind w:left="240"/>
              <w:spacing w:after="0" w:line="183" w:lineRule="exact"/>
              <w:rPr>
                <w:sz w:val="20"/>
                <w:szCs w:val="20"/>
                <w:color w:val="auto"/>
              </w:rPr>
            </w:pPr>
            <w:r>
              <w:rPr>
                <w:rFonts w:ascii="Arial" w:cs="Arial" w:eastAsia="Arial" w:hAnsi="Arial"/>
                <w:sz w:val="18"/>
                <w:szCs w:val="18"/>
                <w:color w:val="auto"/>
              </w:rPr>
              <w:t>Less: Net income (loss) attributable to non-controlling</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516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3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Robinhood</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income attributable to Robinhood common stockholders: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1,278</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6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color w:val="auto"/>
              </w:rPr>
              <w:t>Net income per share attributable to Robinhood common</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line="170" w:lineRule="exact"/>
              <w:rPr>
                <w:sz w:val="20"/>
                <w:szCs w:val="20"/>
                <w:color w:val="auto"/>
              </w:rPr>
            </w:pPr>
            <w:r>
              <w:rPr>
                <w:rFonts w:ascii="Arial" w:cs="Arial" w:eastAsia="Arial" w:hAnsi="Arial"/>
                <w:sz w:val="18"/>
                <w:szCs w:val="18"/>
                <w:color w:val="auto"/>
              </w:rPr>
              <w:t>Weighted-average shares used to compute net income per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5160" w:type="dxa"/>
            <w:vAlign w:val="bottom"/>
          </w:tcPr>
          <w:p>
            <w:pPr>
              <w:ind w:left="260"/>
              <w:spacing w:after="0"/>
              <w:rPr>
                <w:sz w:val="20"/>
                <w:szCs w:val="20"/>
                <w:color w:val="auto"/>
              </w:rPr>
            </w:pPr>
            <w:r>
              <w:rPr>
                <w:rFonts w:ascii="Arial" w:cs="Arial" w:eastAsia="Arial" w:hAnsi="Arial"/>
                <w:sz w:val="18"/>
                <w:szCs w:val="18"/>
                <w:color w:val="auto"/>
              </w:rPr>
              <w:t>share attributable to Robinhood common stockholders: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ind w:left="2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918</w:t>
            </w: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911</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919</w:t>
            </w:r>
          </w:p>
        </w:tc>
        <w:tc>
          <w:tcPr>
            <w:tcW w:w="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36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other comprehensive income (loss), net of tax</w:t>
            </w:r>
          </w:p>
        </w:tc>
        <w:tc>
          <w:tcPr>
            <w:tcW w:w="8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40"/>
              <w:spacing w:after="0" w:line="170" w:lineRule="exact"/>
              <w:rPr>
                <w:sz w:val="20"/>
                <w:szCs w:val="20"/>
                <w:color w:val="auto"/>
              </w:rPr>
            </w:pPr>
            <w:r>
              <w:rPr>
                <w:rFonts w:ascii="Arial" w:cs="Arial" w:eastAsia="Arial" w:hAnsi="Arial"/>
                <w:sz w:val="18"/>
                <w:szCs w:val="18"/>
                <w:color w:val="auto"/>
              </w:rPr>
              <w:t>Less: Total comprehensive income (loss) attributable to non-</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5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5540" w:type="dxa"/>
            <w:vAlign w:val="bottom"/>
          </w:tcPr>
          <w:p>
            <w:pPr>
              <w:ind w:left="240"/>
              <w:spacing w:after="0"/>
              <w:rPr>
                <w:sz w:val="20"/>
                <w:szCs w:val="20"/>
                <w:color w:val="auto"/>
              </w:rPr>
            </w:pPr>
            <w:r>
              <w:rPr>
                <w:rFonts w:ascii="Arial" w:cs="Arial" w:eastAsia="Arial" w:hAnsi="Arial"/>
                <w:sz w:val="18"/>
                <w:szCs w:val="18"/>
                <w:color w:val="auto"/>
              </w:rPr>
              <w:t>controlling interests</w:t>
            </w:r>
          </w:p>
        </w:tc>
        <w:tc>
          <w:tcPr>
            <w:tcW w:w="88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attributable to Robinhood</w:t>
            </w:r>
          </w:p>
        </w:tc>
        <w:tc>
          <w:tcPr>
            <w:tcW w:w="88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60" w:type="dxa"/>
            <w:vAlign w:val="bottom"/>
          </w:tcPr>
          <w:p>
            <w:pPr>
              <w:spacing w:after="0"/>
              <w:rPr>
                <w:sz w:val="13"/>
                <w:szCs w:val="13"/>
                <w:color w:val="auto"/>
              </w:rPr>
            </w:pPr>
          </w:p>
        </w:tc>
      </w:tr>
      <w:tr>
        <w:trPr>
          <w:trHeight w:val="173"/>
        </w:trPr>
        <w:tc>
          <w:tcPr>
            <w:tcW w:w="8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7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w w:val="89"/>
              </w:rPr>
              <w:t>2026</w:t>
            </w:r>
          </w:p>
        </w:tc>
      </w:tr>
      <w:tr>
        <w:trPr>
          <w:trHeight w:val="15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1,278</w:t>
            </w:r>
          </w:p>
        </w:tc>
        <w:tc>
          <w:tcPr>
            <w:tcW w:w="80" w:type="dxa"/>
            <w:vAlign w:val="bottom"/>
          </w:tcPr>
          <w:p>
            <w:pPr>
              <w:spacing w:after="0"/>
              <w:rPr>
                <w:sz w:val="14"/>
                <w:szCs w:val="14"/>
                <w:color w:val="auto"/>
              </w:rPr>
            </w:pPr>
          </w:p>
        </w:tc>
        <w:tc>
          <w:tcPr>
            <w:tcW w:w="58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1,395</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(used in) provided by operating activities: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Provision for credit losses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Deferred income taxes</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Gain on deconsolidations</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(107)</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Unrealized and realized (gain) loss on equity securities, net</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Other</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Securities segregated under federal and other regulations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(1,193)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(4,360)</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Receivables from brokers, dealers, and clearing organizations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Receivables from users, net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(5,814)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(4,939)</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Securities borrowed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Deposits with clearing organizations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(951)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(423)</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and non-current deferred customer match incentives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Other current and non-current assets and prepaid expenses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(328)</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 and accrued expenses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Payables to users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3,754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6,447</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Securities loaned</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7,854</w:t>
            </w:r>
          </w:p>
        </w:tc>
      </w:tr>
      <w:tr>
        <w:trPr>
          <w:trHeight w:val="171"/>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and non-current liabilities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w:t>
            </w:r>
          </w:p>
        </w:tc>
      </w:tr>
      <w:tr>
        <w:trPr>
          <w:trHeight w:val="174"/>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cash provided by operating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2,575</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3,983</w:t>
            </w:r>
          </w:p>
        </w:tc>
      </w:tr>
      <w:tr>
        <w:trPr>
          <w:trHeight w:val="154"/>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7"/>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software, and equipment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Capitalization of internally developed software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Consideration transferred for business acquisitions and asset acquisitions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Cash, cash equivalents, and segregated cash acquired in business acquisitions and asset acquisitions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1,193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non-marketable securities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Proceeds from maturities of held-to-maturity investments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credit card receivables by Credit Card Funding Trust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(10,834)</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Collections of purchased credit card receivables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2,526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9,961</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sales of investment in RVI</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Cash derecognized upon deconsolidations</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(225)</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4"/>
        </w:trPr>
        <w:tc>
          <w:tcPr>
            <w:tcW w:w="832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Net cash provided by (used in) investing activities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(1,533)</w:t>
            </w:r>
          </w:p>
        </w:tc>
      </w:tr>
      <w:tr>
        <w:trPr>
          <w:trHeight w:val="16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Proceeds from issuance of long-term borrowings</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2,700</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exercise of stock options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Proceeds from issuance of RVI common stock in connection with initial public offering, net of offering costs</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312</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issuance of common stock under the Employee Share Purchase Plan</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Taxes paid related to net share settlement of equity awards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 of Class A common stock</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Draws on credit facilities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2,701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2,511</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Repayments on credit facilities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(2,511)</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Borrowings by the Credit Card Funding Trust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757</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Repayments on borrowings by the Credit Card Funding Trust</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Payments of debt issuance costs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 of Capped Calls</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Contributions from noncontrolling interests</w:t>
            </w:r>
          </w:p>
        </w:tc>
        <w:tc>
          <w:tcPr>
            <w:tcW w:w="3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64"/>
        </w:trPr>
        <w:tc>
          <w:tcPr>
            <w:tcW w:w="832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Net cash (used in) provided by financing activities</w:t>
            </w: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8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2,439</w:t>
            </w:r>
          </w:p>
        </w:tc>
      </w:tr>
      <w:tr>
        <w:trPr>
          <w:trHeight w:val="174"/>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Effect of foreign exchange rate changes on cash and cash equivalents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4"/>
        </w:trPr>
        <w:tc>
          <w:tcPr>
            <w:tcW w:w="8320" w:type="dxa"/>
            <w:vAlign w:val="bottom"/>
          </w:tcPr>
          <w:p>
            <w:pPr>
              <w:ind w:left="460"/>
              <w:spacing w:after="0"/>
              <w:rPr>
                <w:sz w:val="20"/>
                <w:szCs w:val="20"/>
                <w:color w:val="auto"/>
              </w:rPr>
            </w:pPr>
            <w:r>
              <w:rPr>
                <w:rFonts w:ascii="Arial" w:cs="Arial" w:eastAsia="Arial" w:hAnsi="Arial"/>
                <w:sz w:val="13"/>
                <w:szCs w:val="13"/>
                <w:color w:val="auto"/>
              </w:rPr>
              <w:t>Net increase in cash, cash equivalents, segregated cash, and restricted cash</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2,574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4,861</w:t>
            </w:r>
          </w:p>
        </w:tc>
      </w:tr>
      <w:tr>
        <w:trPr>
          <w:trHeight w:val="17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segregated cash, and restricted cash, beginning of the period</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8,695</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9,893</w:t>
            </w:r>
          </w:p>
        </w:tc>
      </w:tr>
      <w:tr>
        <w:trPr>
          <w:trHeight w:val="174"/>
        </w:trPr>
        <w:tc>
          <w:tcPr>
            <w:tcW w:w="8320" w:type="dxa"/>
            <w:vAlign w:val="bottom"/>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11,269</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14,754</w:t>
            </w:r>
          </w:p>
        </w:tc>
      </w:tr>
      <w:tr>
        <w:trPr>
          <w:trHeight w:val="21"/>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20" w:type="dxa"/>
            <w:vAlign w:val="bottom"/>
          </w:tcPr>
          <w:p>
            <w:pPr>
              <w:ind w:left="20"/>
              <w:spacing w:after="0"/>
              <w:rPr>
                <w:sz w:val="20"/>
                <w:szCs w:val="20"/>
                <w:color w:val="auto"/>
              </w:rPr>
            </w:pPr>
            <w:r>
              <w:rPr>
                <w:rFonts w:ascii="Arial" w:cs="Arial" w:eastAsia="Arial" w:hAnsi="Arial"/>
                <w:sz w:val="13"/>
                <w:szCs w:val="13"/>
                <w:b w:val="1"/>
                <w:bCs w:val="1"/>
                <w:color w:val="auto"/>
              </w:rPr>
              <w:t>Reconciliation of cash, cash equivalents, segregated cash and restricted cash, end of the period:</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 end of the period</w:t>
            </w:r>
          </w:p>
        </w:tc>
        <w:tc>
          <w:tcPr>
            <w:tcW w:w="52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5,829</w:t>
            </w:r>
          </w:p>
        </w:tc>
        <w:tc>
          <w:tcPr>
            <w:tcW w:w="0" w:type="dxa"/>
            <w:vAlign w:val="bottom"/>
          </w:tcPr>
          <w:p>
            <w:pPr>
              <w:spacing w:after="0"/>
              <w:rPr>
                <w:sz w:val="1"/>
                <w:szCs w:val="1"/>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Segregated cash and cash equivalents, end of the period</w:t>
            </w: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6,853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8,883</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cash in other current assets, end of the period</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Restricted cash in other non-current assets, end of the period</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99"/>
        </w:trPr>
        <w:tc>
          <w:tcPr>
            <w:tcW w:w="83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52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11,269</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Supplemental disclosures: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3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paid for interest</w:t>
            </w:r>
          </w:p>
        </w:tc>
        <w:tc>
          <w:tcPr>
            <w:tcW w:w="52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1"/>
        </w:trPr>
        <w:tc>
          <w:tcPr>
            <w:tcW w:w="8320" w:type="dxa"/>
            <w:vAlign w:val="bottom"/>
          </w:tcPr>
          <w:p>
            <w:pPr>
              <w:ind w:left="240"/>
              <w:spacing w:after="0"/>
              <w:rPr>
                <w:sz w:val="20"/>
                <w:szCs w:val="20"/>
                <w:color w:val="auto"/>
              </w:rPr>
            </w:pPr>
            <w:r>
              <w:rPr>
                <w:rFonts w:ascii="Arial" w:cs="Arial" w:eastAsia="Arial" w:hAnsi="Arial"/>
                <w:sz w:val="13"/>
                <w:szCs w:val="13"/>
                <w:color w:val="auto"/>
              </w:rPr>
              <w:t>Cash paid for income taxes, net of refund received</w:t>
            </w: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4"/>
                <w:szCs w:val="14"/>
                <w:color w:val="auto"/>
              </w:rPr>
            </w:pP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Derecognized assets and liabilities (net)</w:t>
            </w:r>
          </w:p>
        </w:tc>
        <w:tc>
          <w:tcPr>
            <w:tcW w:w="52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66"/>
        </w:trPr>
        <w:tc>
          <w:tcPr>
            <w:tcW w:w="8320" w:type="dxa"/>
            <w:vAlign w:val="bottom"/>
          </w:tcPr>
          <w:p>
            <w:pPr>
              <w:ind w:left="240"/>
              <w:spacing w:after="0"/>
              <w:rPr>
                <w:sz w:val="20"/>
                <w:szCs w:val="20"/>
                <w:color w:val="auto"/>
              </w:rPr>
            </w:pPr>
            <w:r>
              <w:rPr>
                <w:rFonts w:ascii="Arial" w:cs="Arial" w:eastAsia="Arial" w:hAnsi="Arial"/>
                <w:sz w:val="13"/>
                <w:szCs w:val="13"/>
                <w:color w:val="auto"/>
              </w:rPr>
              <w:t>Retained RVI and RVII interest at fair value</w:t>
            </w:r>
          </w:p>
        </w:tc>
        <w:tc>
          <w:tcPr>
            <w:tcW w:w="520" w:type="dxa"/>
            <w:vAlign w:val="bottom"/>
          </w:tcPr>
          <w:p>
            <w:pPr>
              <w:jc w:val="right"/>
              <w:ind w:right="377"/>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3"/>
                <w:szCs w:val="13"/>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center"/>
              <w:ind w:right="12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8"/>
          </w:tcPr>
          <w:p>
            <w:pPr>
              <w:ind w:left="220"/>
              <w:spacing w:after="0" w:line="167" w:lineRule="exact"/>
              <w:rPr>
                <w:sz w:val="20"/>
                <w:szCs w:val="20"/>
                <w:color w:val="auto"/>
              </w:rPr>
            </w:pPr>
            <w:r>
              <w:rPr>
                <w:rFonts w:ascii="Arial" w:cs="Arial" w:eastAsia="Arial" w:hAnsi="Arial"/>
                <w:sz w:val="13"/>
                <w:szCs w:val="13"/>
                <w:b w:val="1"/>
                <w:bCs w:val="1"/>
                <w:color w:val="auto"/>
              </w:rPr>
              <w:t xml:space="preserve">Common stock </w:t>
            </w:r>
            <w:r>
              <w:rPr>
                <w:rFonts w:ascii="Arial" w:cs="Arial" w:eastAsia="Arial" w:hAnsi="Arial"/>
                <w:sz w:val="16"/>
                <w:szCs w:val="16"/>
                <w:b w:val="1"/>
                <w:bCs w:val="1"/>
                <w:color w:val="auto"/>
                <w:vertAlign w:val="superscript"/>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8"/>
              </w:rPr>
              <w:t>other</w:t>
            </w:r>
          </w:p>
        </w:tc>
        <w:tc>
          <w:tcPr>
            <w:tcW w:w="60" w:type="dxa"/>
            <w:vAlign w:val="bottom"/>
          </w:tcPr>
          <w:p>
            <w:pPr>
              <w:spacing w:after="0"/>
              <w:rPr>
                <w:sz w:val="14"/>
                <w:szCs w:val="14"/>
                <w:color w:val="auto"/>
              </w:rPr>
            </w:pPr>
          </w:p>
        </w:tc>
        <w:tc>
          <w:tcPr>
            <w:tcW w:w="9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20" w:type="dxa"/>
            <w:vAlign w:val="bottom"/>
            <w:gridSpan w:val="6"/>
          </w:tcPr>
          <w:p>
            <w:pPr>
              <w:jc w:val="center"/>
              <w:ind w:right="100"/>
              <w:spacing w:after="0" w:line="54" w:lineRule="exact"/>
              <w:rPr>
                <w:sz w:val="20"/>
                <w:szCs w:val="20"/>
                <w:color w:val="auto"/>
              </w:rPr>
            </w:pPr>
            <w:r>
              <w:rPr>
                <w:rFonts w:ascii="Arial" w:cs="Arial" w:eastAsia="Arial" w:hAnsi="Arial"/>
                <w:sz w:val="6"/>
                <w:szCs w:val="6"/>
                <w:b w:val="1"/>
                <w:bCs w:val="1"/>
                <w:color w:val="auto"/>
              </w:rPr>
              <w:t>comprehensive</w:t>
            </w:r>
          </w:p>
        </w:tc>
        <w:tc>
          <w:tcPr>
            <w:tcW w:w="6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1"/>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8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7"/>
              </w:rPr>
              <w:t>capital</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69"/>
              <w:spacing w:after="0"/>
              <w:rPr>
                <w:sz w:val="20"/>
                <w:szCs w:val="20"/>
                <w:color w:val="auto"/>
              </w:rPr>
            </w:pPr>
            <w:r>
              <w:rPr>
                <w:rFonts w:ascii="Arial" w:cs="Arial" w:eastAsia="Arial" w:hAnsi="Arial"/>
                <w:sz w:val="13"/>
                <w:szCs w:val="13"/>
                <w:b w:val="1"/>
                <w:bCs w:val="1"/>
                <w:color w:val="auto"/>
                <w:w w:val="96"/>
              </w:rPr>
              <w:t>income</w:t>
            </w:r>
          </w:p>
        </w:tc>
        <w:tc>
          <w:tcPr>
            <w:tcW w:w="8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2025</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11,378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8,072</w:t>
            </w:r>
          </w:p>
        </w:tc>
        <w:tc>
          <w:tcPr>
            <w:tcW w:w="0" w:type="dxa"/>
            <w:vAlign w:val="bottom"/>
          </w:tcPr>
          <w:p>
            <w:pPr>
              <w:spacing w:after="0"/>
              <w:rPr>
                <w:sz w:val="1"/>
                <w:szCs w:val="1"/>
                <w:color w:val="auto"/>
              </w:rPr>
            </w:pPr>
          </w:p>
        </w:tc>
      </w:tr>
      <w:tr>
        <w:trPr>
          <w:trHeight w:val="199"/>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556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stock option exercises</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3"/>
        </w:trPr>
        <w:tc>
          <w:tcPr>
            <w:tcW w:w="536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Issuance of common stock in connection with warrants exercises, net of 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440" w:type="dxa"/>
            <w:vAlign w:val="bottom"/>
          </w:tcPr>
          <w:p>
            <w:pPr>
              <w:ind w:left="180"/>
              <w:spacing w:after="0"/>
              <w:rPr>
                <w:sz w:val="20"/>
                <w:szCs w:val="20"/>
                <w:color w:val="auto"/>
              </w:rPr>
            </w:pPr>
            <w:r>
              <w:rPr>
                <w:rFonts w:ascii="Arial" w:cs="Arial" w:eastAsia="Arial" w:hAnsi="Arial"/>
                <w:sz w:val="14"/>
                <w:szCs w:val="14"/>
                <w:color w:val="auto"/>
              </w:rPr>
              <w:t>withheld</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Employee Share Purchase Plan</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360" w:type="dxa"/>
            <w:vAlign w:val="bottom"/>
            <w:gridSpan w:val="3"/>
          </w:tcPr>
          <w:p>
            <w:pPr>
              <w:ind w:left="20"/>
              <w:spacing w:after="0"/>
              <w:rPr>
                <w:sz w:val="20"/>
                <w:szCs w:val="20"/>
                <w:color w:val="auto"/>
              </w:rPr>
            </w:pPr>
            <w:r>
              <w:rPr>
                <w:rFonts w:ascii="Arial" w:cs="Arial" w:eastAsia="Arial" w:hAnsi="Arial"/>
                <w:sz w:val="14"/>
                <w:szCs w:val="14"/>
                <w:color w:val="auto"/>
              </w:rPr>
              <w:t>Issuance of common stock upon settlement of RSUs, net of shares withheld</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8"/>
        </w:trPr>
        <w:tc>
          <w:tcPr>
            <w:tcW w:w="4440" w:type="dxa"/>
            <w:vAlign w:val="bottom"/>
          </w:tcPr>
          <w:p>
            <w:pPr>
              <w:ind w:left="20"/>
              <w:spacing w:after="0"/>
              <w:rPr>
                <w:sz w:val="20"/>
                <w:szCs w:val="20"/>
                <w:color w:val="auto"/>
              </w:rPr>
            </w:pPr>
            <w:r>
              <w:rPr>
                <w:rFonts w:ascii="Arial" w:cs="Arial" w:eastAsia="Arial" w:hAnsi="Arial"/>
                <w:sz w:val="14"/>
                <w:szCs w:val="14"/>
                <w:color w:val="auto"/>
              </w:rPr>
              <w:t>Change in other comprehensive loss</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0"/>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2025</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11,317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(2,757)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8,567</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5"/>
        </w:trPr>
        <w:tc>
          <w:tcPr>
            <w:tcW w:w="4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7"/>
              </w:rPr>
              <w:t>Additional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1900" w:type="dxa"/>
            <w:vAlign w:val="bottom"/>
            <w:gridSpan w:val="7"/>
          </w:tcPr>
          <w:p>
            <w:pPr>
              <w:ind w:left="420"/>
              <w:spacing w:after="0" w:line="167" w:lineRule="exact"/>
              <w:rPr>
                <w:sz w:val="20"/>
                <w:szCs w:val="20"/>
                <w:color w:val="auto"/>
              </w:rPr>
            </w:pPr>
            <w:r>
              <w:rPr>
                <w:rFonts w:ascii="Arial" w:cs="Arial" w:eastAsia="Arial" w:hAnsi="Arial"/>
                <w:sz w:val="13"/>
                <w:szCs w:val="13"/>
                <w:b w:val="1"/>
                <w:bCs w:val="1"/>
                <w:color w:val="auto"/>
              </w:rPr>
              <w:t xml:space="preserve">Common stock </w:t>
            </w:r>
            <w:r>
              <w:rPr>
                <w:rFonts w:ascii="Arial" w:cs="Arial" w:eastAsia="Arial" w:hAnsi="Arial"/>
                <w:sz w:val="16"/>
                <w:szCs w:val="16"/>
                <w:b w:val="1"/>
                <w:bCs w:val="1"/>
                <w:color w:val="auto"/>
                <w:vertAlign w:val="superscript"/>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8"/>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tcPr>
          <w:p>
            <w:pPr>
              <w:jc w:val="center"/>
              <w:ind w:right="160"/>
              <w:spacing w:after="0" w:line="54" w:lineRule="exact"/>
              <w:rPr>
                <w:sz w:val="20"/>
                <w:szCs w:val="20"/>
                <w:color w:val="auto"/>
              </w:rPr>
            </w:pPr>
            <w:r>
              <w:rPr>
                <w:rFonts w:ascii="Arial" w:cs="Arial" w:eastAsia="Arial" w:hAnsi="Arial"/>
                <w:sz w:val="6"/>
                <w:szCs w:val="6"/>
                <w:b w:val="1"/>
                <w:bCs w:val="1"/>
                <w:color w:val="auto"/>
              </w:rPr>
              <w:t>paid-in</w:t>
            </w:r>
          </w:p>
        </w:tc>
        <w:tc>
          <w:tcPr>
            <w:tcW w:w="40" w:type="dxa"/>
            <w:vAlign w:val="bottom"/>
          </w:tcPr>
          <w:p>
            <w:pPr>
              <w:spacing w:after="0"/>
              <w:rPr>
                <w:sz w:val="4"/>
                <w:szCs w:val="4"/>
                <w:color w:val="auto"/>
              </w:rPr>
            </w:pPr>
          </w:p>
        </w:tc>
        <w:tc>
          <w:tcPr>
            <w:tcW w:w="960" w:type="dxa"/>
            <w:vAlign w:val="bottom"/>
            <w:gridSpan w:val="4"/>
          </w:tcPr>
          <w:p>
            <w:pPr>
              <w:jc w:val="center"/>
              <w:spacing w:after="0" w:line="54" w:lineRule="exact"/>
              <w:rPr>
                <w:sz w:val="20"/>
                <w:szCs w:val="20"/>
                <w:color w:val="auto"/>
              </w:rPr>
            </w:pPr>
            <w:r>
              <w:rPr>
                <w:rFonts w:ascii="Arial" w:cs="Arial" w:eastAsia="Arial" w:hAnsi="Arial"/>
                <w:sz w:val="6"/>
                <w:szCs w:val="6"/>
                <w:b w:val="1"/>
                <w:bCs w:val="1"/>
                <w:color w:val="auto"/>
              </w:rPr>
              <w:t>comprehensive</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tcPr>
          <w:p>
            <w:pPr>
              <w:jc w:val="center"/>
              <w:ind w:right="160"/>
              <w:spacing w:after="0" w:line="54" w:lineRule="exact"/>
              <w:rPr>
                <w:sz w:val="20"/>
                <w:szCs w:val="20"/>
                <w:color w:val="auto"/>
              </w:rPr>
            </w:pPr>
            <w:r>
              <w:rPr>
                <w:rFonts w:ascii="Arial" w:cs="Arial" w:eastAsia="Arial" w:hAnsi="Arial"/>
                <w:sz w:val="6"/>
                <w:szCs w:val="6"/>
                <w:b w:val="1"/>
                <w:bCs w:val="1"/>
                <w:color w:val="auto"/>
              </w:rPr>
              <w:t>controlling</w:t>
            </w:r>
          </w:p>
        </w:tc>
        <w:tc>
          <w:tcPr>
            <w:tcW w:w="20" w:type="dxa"/>
            <w:vAlign w:val="bottom"/>
          </w:tcPr>
          <w:p>
            <w:pPr>
              <w:spacing w:after="0"/>
              <w:rPr>
                <w:sz w:val="4"/>
                <w:szCs w:val="4"/>
                <w:color w:val="auto"/>
              </w:rPr>
            </w:pPr>
          </w:p>
        </w:tc>
        <w:tc>
          <w:tcPr>
            <w:tcW w:w="88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1"/>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Shares</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7"/>
              </w:rPr>
              <w:t>capital</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Interests</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(1,241)</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9,541</w:t>
            </w:r>
          </w:p>
        </w:tc>
        <w:tc>
          <w:tcPr>
            <w:tcW w:w="0" w:type="dxa"/>
            <w:vAlign w:val="bottom"/>
          </w:tcPr>
          <w:p>
            <w:pPr>
              <w:spacing w:after="0"/>
              <w:rPr>
                <w:sz w:val="1"/>
                <w:szCs w:val="1"/>
                <w:color w:val="auto"/>
              </w:rPr>
            </w:pPr>
          </w:p>
        </w:tc>
      </w:tr>
      <w:tr>
        <w:trPr>
          <w:trHeight w:val="198"/>
        </w:trPr>
        <w:tc>
          <w:tcPr>
            <w:tcW w:w="4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57"/>
        </w:trPr>
        <w:tc>
          <w:tcPr>
            <w:tcW w:w="44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common stock in connection with stock option</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9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44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in connection with Employee Share</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440" w:type="dxa"/>
            <w:vAlign w:val="bottom"/>
          </w:tcPr>
          <w:p>
            <w:pPr>
              <w:ind w:left="180"/>
              <w:spacing w:after="0"/>
              <w:rPr>
                <w:sz w:val="20"/>
                <w:szCs w:val="20"/>
                <w:color w:val="auto"/>
              </w:rPr>
            </w:pPr>
            <w:r>
              <w:rPr>
                <w:rFonts w:ascii="Arial" w:cs="Arial" w:eastAsia="Arial" w:hAnsi="Arial"/>
                <w:sz w:val="14"/>
                <w:szCs w:val="14"/>
                <w:color w:val="auto"/>
              </w:rPr>
              <w:t>Purchase Plan</w:t>
            </w:r>
          </w:p>
        </w:tc>
        <w:tc>
          <w:tcPr>
            <w:tcW w:w="9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settlement of RSUs, net of shares</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withheld</w:t>
            </w:r>
          </w:p>
        </w:tc>
        <w:tc>
          <w:tcPr>
            <w:tcW w:w="8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20"/>
              <w:spacing w:after="0"/>
              <w:rPr>
                <w:sz w:val="20"/>
                <w:szCs w:val="20"/>
                <w:color w:val="auto"/>
              </w:rPr>
            </w:pPr>
            <w:r>
              <w:rPr>
                <w:rFonts w:ascii="Arial" w:cs="Arial" w:eastAsia="Arial" w:hAnsi="Arial"/>
                <w:sz w:val="14"/>
                <w:szCs w:val="14"/>
                <w:color w:val="auto"/>
              </w:rPr>
              <w:t>Purchase of Capped Calls</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8"/>
        </w:trPr>
        <w:tc>
          <w:tcPr>
            <w:tcW w:w="444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contributions and other changes in noncontrolling interests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(773)</w:t>
            </w: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10,078</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3"/>
                <w:szCs w:val="13"/>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8"/>
          </w:tcPr>
          <w:p>
            <w:pPr>
              <w:ind w:left="220"/>
              <w:spacing w:after="0" w:line="167" w:lineRule="exact"/>
              <w:rPr>
                <w:sz w:val="20"/>
                <w:szCs w:val="20"/>
                <w:color w:val="auto"/>
              </w:rPr>
            </w:pPr>
            <w:r>
              <w:rPr>
                <w:rFonts w:ascii="Arial" w:cs="Arial" w:eastAsia="Arial" w:hAnsi="Arial"/>
                <w:sz w:val="13"/>
                <w:szCs w:val="13"/>
                <w:b w:val="1"/>
                <w:bCs w:val="1"/>
                <w:color w:val="auto"/>
              </w:rPr>
              <w:t xml:space="preserve">Common stock </w:t>
            </w:r>
            <w:r>
              <w:rPr>
                <w:rFonts w:ascii="Arial" w:cs="Arial" w:eastAsia="Arial" w:hAnsi="Arial"/>
                <w:sz w:val="16"/>
                <w:szCs w:val="16"/>
                <w:b w:val="1"/>
                <w:bCs w:val="1"/>
                <w:color w:val="auto"/>
                <w:vertAlign w:val="superscript"/>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8"/>
              </w:rPr>
              <w:t>other</w:t>
            </w:r>
          </w:p>
        </w:tc>
        <w:tc>
          <w:tcPr>
            <w:tcW w:w="40" w:type="dxa"/>
            <w:vAlign w:val="bottom"/>
          </w:tcPr>
          <w:p>
            <w:pPr>
              <w:spacing w:after="0"/>
              <w:rPr>
                <w:sz w:val="14"/>
                <w:szCs w:val="14"/>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040" w:type="dxa"/>
            <w:vAlign w:val="bottom"/>
            <w:gridSpan w:val="6"/>
          </w:tcPr>
          <w:p>
            <w:pPr>
              <w:jc w:val="center"/>
              <w:ind w:right="80"/>
              <w:spacing w:after="0" w:line="54" w:lineRule="exact"/>
              <w:rPr>
                <w:sz w:val="20"/>
                <w:szCs w:val="20"/>
                <w:color w:val="auto"/>
              </w:rPr>
            </w:pPr>
            <w:r>
              <w:rPr>
                <w:rFonts w:ascii="Arial" w:cs="Arial" w:eastAsia="Arial" w:hAnsi="Arial"/>
                <w:sz w:val="6"/>
                <w:szCs w:val="6"/>
                <w:b w:val="1"/>
                <w:bCs w:val="1"/>
                <w:color w:val="auto"/>
              </w:rPr>
              <w:t>comprehensive</w:t>
            </w:r>
          </w:p>
        </w:tc>
        <w:tc>
          <w:tcPr>
            <w:tcW w:w="4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90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1"/>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7"/>
              </w:rPr>
              <w:t>capital</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8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3"/>
              </w:rPr>
              <w:t>deficit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12,008</w:t>
            </w: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1,278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stock option exercises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3"/>
        </w:trPr>
        <w:tc>
          <w:tcPr>
            <w:tcW w:w="53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Issuance of common stock in connection with warrants exercises, net of 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480" w:type="dxa"/>
            <w:vAlign w:val="bottom"/>
          </w:tcPr>
          <w:p>
            <w:pPr>
              <w:ind w:left="180"/>
              <w:spacing w:after="0"/>
              <w:rPr>
                <w:sz w:val="20"/>
                <w:szCs w:val="20"/>
                <w:color w:val="auto"/>
              </w:rPr>
            </w:pPr>
            <w:r>
              <w:rPr>
                <w:rFonts w:ascii="Arial" w:cs="Arial" w:eastAsia="Arial" w:hAnsi="Arial"/>
                <w:sz w:val="14"/>
                <w:szCs w:val="14"/>
                <w:color w:val="auto"/>
              </w:rPr>
              <w:t>withheld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Employee Share Purchase Plan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Issuance of common stock in connection with business combination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upon settlement of RSUs, net of shares withheld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income</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246</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2025</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11,317</w:t>
            </w:r>
          </w:p>
        </w:tc>
        <w:tc>
          <w:tcPr>
            <w:tcW w:w="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7"/>
              </w:rPr>
              <w:t>Additional</w:t>
            </w:r>
          </w:p>
        </w:tc>
        <w:tc>
          <w:tcPr>
            <w:tcW w:w="40" w:type="dxa"/>
            <w:vAlign w:val="bottom"/>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4"/>
              </w:rPr>
              <w:t>Non-</w:t>
            </w:r>
          </w:p>
        </w:tc>
        <w:tc>
          <w:tcPr>
            <w:tcW w:w="180" w:type="dxa"/>
            <w:vAlign w:val="bottom"/>
          </w:tcPr>
          <w:p>
            <w:pPr>
              <w:spacing w:after="0"/>
              <w:rPr>
                <w:sz w:val="24"/>
                <w:szCs w:val="24"/>
                <w:color w:val="auto"/>
              </w:rPr>
            </w:pPr>
          </w:p>
        </w:tc>
        <w:tc>
          <w:tcPr>
            <w:tcW w:w="720" w:type="dxa"/>
            <w:vAlign w:val="bottom"/>
            <w:vMerge w:val="restart"/>
          </w:tcPr>
          <w:p>
            <w:pPr>
              <w:jc w:val="center"/>
              <w:ind w:right="10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14"/>
                <w:szCs w:val="14"/>
                <w:color w:val="auto"/>
              </w:rPr>
            </w:pPr>
          </w:p>
        </w:tc>
        <w:tc>
          <w:tcPr>
            <w:tcW w:w="1860" w:type="dxa"/>
            <w:vAlign w:val="bottom"/>
            <w:gridSpan w:val="6"/>
          </w:tcPr>
          <w:p>
            <w:pPr>
              <w:ind w:left="400"/>
              <w:spacing w:after="0" w:line="167" w:lineRule="exact"/>
              <w:rPr>
                <w:sz w:val="20"/>
                <w:szCs w:val="20"/>
                <w:color w:val="auto"/>
              </w:rPr>
            </w:pPr>
            <w:r>
              <w:rPr>
                <w:rFonts w:ascii="Arial" w:cs="Arial" w:eastAsia="Arial" w:hAnsi="Arial"/>
                <w:sz w:val="13"/>
                <w:szCs w:val="13"/>
                <w:b w:val="1"/>
                <w:bCs w:val="1"/>
                <w:color w:val="auto"/>
              </w:rPr>
              <w:t xml:space="preserve">Common stock </w:t>
            </w:r>
            <w:r>
              <w:rPr>
                <w:rFonts w:ascii="Arial" w:cs="Arial" w:eastAsia="Arial" w:hAnsi="Arial"/>
                <w:sz w:val="16"/>
                <w:szCs w:val="16"/>
                <w:b w:val="1"/>
                <w:bCs w:val="1"/>
                <w:color w:val="auto"/>
                <w:vertAlign w:val="superscript"/>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vMerge w:val="restart"/>
          </w:tcPr>
          <w:p>
            <w:pPr>
              <w:jc w:val="right"/>
              <w:ind w:right="10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tcPr>
          <w:p>
            <w:pPr>
              <w:jc w:val="center"/>
              <w:ind w:right="160"/>
              <w:spacing w:after="0" w:line="54" w:lineRule="exact"/>
              <w:rPr>
                <w:sz w:val="20"/>
                <w:szCs w:val="20"/>
                <w:color w:val="auto"/>
              </w:rPr>
            </w:pPr>
            <w:r>
              <w:rPr>
                <w:rFonts w:ascii="Arial" w:cs="Arial" w:eastAsia="Arial" w:hAnsi="Arial"/>
                <w:sz w:val="6"/>
                <w:szCs w:val="6"/>
                <w:b w:val="1"/>
                <w:bCs w:val="1"/>
                <w:color w:val="auto"/>
              </w:rPr>
              <w:t>paid-in</w:t>
            </w:r>
          </w:p>
        </w:tc>
        <w:tc>
          <w:tcPr>
            <w:tcW w:w="40" w:type="dxa"/>
            <w:vAlign w:val="bottom"/>
          </w:tcPr>
          <w:p>
            <w:pPr>
              <w:spacing w:after="0"/>
              <w:rPr>
                <w:sz w:val="4"/>
                <w:szCs w:val="4"/>
                <w:color w:val="auto"/>
              </w:rPr>
            </w:pPr>
          </w:p>
        </w:tc>
        <w:tc>
          <w:tcPr>
            <w:tcW w:w="940" w:type="dxa"/>
            <w:vAlign w:val="bottom"/>
            <w:gridSpan w:val="3"/>
          </w:tcPr>
          <w:p>
            <w:pPr>
              <w:jc w:val="center"/>
              <w:spacing w:after="0" w:line="54" w:lineRule="exact"/>
              <w:rPr>
                <w:sz w:val="20"/>
                <w:szCs w:val="20"/>
                <w:color w:val="auto"/>
              </w:rPr>
            </w:pPr>
            <w:r>
              <w:rPr>
                <w:rFonts w:ascii="Arial" w:cs="Arial" w:eastAsia="Arial" w:hAnsi="Arial"/>
                <w:sz w:val="6"/>
                <w:szCs w:val="6"/>
                <w:b w:val="1"/>
                <w:bCs w:val="1"/>
                <w:color w:val="auto"/>
              </w:rPr>
              <w:t>comprehensive</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jc w:val="center"/>
              <w:ind w:right="180"/>
              <w:spacing w:after="0" w:line="54" w:lineRule="exact"/>
              <w:rPr>
                <w:sz w:val="20"/>
                <w:szCs w:val="20"/>
                <w:color w:val="auto"/>
              </w:rPr>
            </w:pPr>
            <w:r>
              <w:rPr>
                <w:rFonts w:ascii="Arial" w:cs="Arial" w:eastAsia="Arial" w:hAnsi="Arial"/>
                <w:sz w:val="6"/>
                <w:szCs w:val="6"/>
                <w:b w:val="1"/>
                <w:bCs w:val="1"/>
                <w:color w:val="auto"/>
              </w:rPr>
              <w:t>controlling</w:t>
            </w:r>
          </w:p>
        </w:tc>
        <w:tc>
          <w:tcPr>
            <w:tcW w:w="90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1"/>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8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7"/>
              </w:rPr>
              <w:t>capital</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deficit</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2025</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(2,152)</w:t>
            </w: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9,151</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connection with stock option exercises</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3"/>
        </w:trPr>
        <w:tc>
          <w:tcPr>
            <w:tcW w:w="448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in connection with Employee Share</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4480" w:type="dxa"/>
            <w:vAlign w:val="bottom"/>
          </w:tcPr>
          <w:p>
            <w:pPr>
              <w:ind w:left="180"/>
              <w:spacing w:after="0"/>
              <w:rPr>
                <w:sz w:val="20"/>
                <w:szCs w:val="20"/>
                <w:color w:val="auto"/>
              </w:rPr>
            </w:pPr>
            <w:r>
              <w:rPr>
                <w:rFonts w:ascii="Arial" w:cs="Arial" w:eastAsia="Arial" w:hAnsi="Arial"/>
                <w:sz w:val="14"/>
                <w:szCs w:val="14"/>
                <w:color w:val="auto"/>
              </w:rPr>
              <w:t>Purchase Plan</w:t>
            </w: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upon settlement of RSUs, net of shares</w:t>
            </w: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withheld</w:t>
            </w: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Purchase of Capped Calls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Change in other comprehensive loss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53"/>
        </w:trPr>
        <w:tc>
          <w:tcPr>
            <w:tcW w:w="4480" w:type="dxa"/>
            <w:vAlign w:val="bottom"/>
          </w:tcPr>
          <w:p>
            <w:pPr>
              <w:ind w:left="20"/>
              <w:spacing w:after="0" w:line="153" w:lineRule="exact"/>
              <w:rPr>
                <w:sz w:val="20"/>
                <w:szCs w:val="20"/>
                <w:color w:val="auto"/>
              </w:rPr>
            </w:pPr>
            <w:r>
              <w:rPr>
                <w:rFonts w:ascii="Arial" w:cs="Arial" w:eastAsia="Arial" w:hAnsi="Arial"/>
                <w:sz w:val="14"/>
                <w:szCs w:val="14"/>
                <w:color w:val="auto"/>
              </w:rPr>
              <w:t>Issuance of RVI common stock in connection with initial public</w:t>
            </w: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5"/>
        </w:trPr>
        <w:tc>
          <w:tcPr>
            <w:tcW w:w="4480" w:type="dxa"/>
            <w:vAlign w:val="bottom"/>
          </w:tcPr>
          <w:p>
            <w:pPr>
              <w:ind w:left="180"/>
              <w:spacing w:after="0"/>
              <w:rPr>
                <w:sz w:val="20"/>
                <w:szCs w:val="20"/>
                <w:color w:val="auto"/>
              </w:rPr>
            </w:pPr>
            <w:r>
              <w:rPr>
                <w:rFonts w:ascii="Arial" w:cs="Arial" w:eastAsia="Arial" w:hAnsi="Arial"/>
                <w:sz w:val="14"/>
                <w:szCs w:val="14"/>
                <w:color w:val="auto"/>
              </w:rPr>
              <w:t>offering, net of offering costs</w:t>
            </w: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Non-controlling interests recognized in connection with business</w:t>
            </w: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combination</w:t>
            </w: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rPr>
                <w:sz w:val="20"/>
                <w:szCs w:val="20"/>
                <w:color w:val="auto"/>
              </w:rPr>
            </w:pPr>
            <w:r>
              <w:rPr>
                <w:rFonts w:ascii="Arial" w:cs="Arial" w:eastAsia="Arial" w:hAnsi="Arial"/>
                <w:sz w:val="14"/>
                <w:szCs w:val="14"/>
                <w:color w:val="auto"/>
              </w:rPr>
              <w:t>Deconsolidation of RVI</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and other changes in noncontrolling interests</w:t>
            </w: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0"/>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2026</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901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10,783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(773)</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10,078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share amounts listed above combine Class A common stock and Class B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ROBINHOOD MARKETS, INC.</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900"/>
        <w:spacing w:after="0" w:line="285"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Robinhood was founded in 2013 and our mission is to democratize finance for all. Our platforms enable customers to buy, sell, and trade equities, options, event contracts, and futures, as well as buy, sell, and transfer cryptocurrencies. We are also responsible for the custody of user-held cryptocurrencies. In addition, we offer credit cards with certain rewards offerings, as well as a cash card and spending account that help our customers in investing, saving, and earning rewards.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continuously introducing new products and diversifying our services that further expand access to the financial system. In February 2025, we acquired TradePMR, a custodial and portfolio management platform for RIAs. In March 2025, we launched Robinhood Strategies, a digital investment advisory service that offers tailored, expert-managed, and goal-based portfolios directly within our mobile platform, featuring low and capped fees. In June 2025, we acquired Bitstamp, a globally-scaled cryptocurrency exchange with institutional and retail customers. In November 2025, we established a joint venture, Rothera, in partnership with SIG, that acquired 90% of the issued and outstanding equity of MIAXdx on January 20, 2026. We consolidate the financial results into our consolidated financial statements due to our ability to exert control over the financial and operating policies of the joint venture.</w:t>
      </w:r>
    </w:p>
    <w:p>
      <w:pPr>
        <w:spacing w:after="0" w:line="2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April 2026, we announced that Robinhood will serve as broker and sole initial trustee for Trump Accounts on behalf of the U.S. Department of the Treasury. Robinhood will work with BNY, which has been selected by the U.S. Department of the Treasury as financial agent for Trump Accounts, to develop and operate the infrastructure required for Trump Accounts, which officially launched on July 4, 2026. This includes providing the necessary technology, building an intuitive front-end experience, creating educational resources, and managing customer support for Trump Accounts for which Robinhood earns revenue. These accounts leverage Robinhood’s technology and infrastructure to power a standalone web and app experience designed uniquely for this initiative. In June 2026, we acquired WonderFi, a Canadian leader in digital asset products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GAAP and pursuant to the rules and regulations of the SEC for interim financial reporting. The condensed consolidated financial statements are unaudited, and in management’s opinion, include all adjustments, including normal recurring adjustments and accruals necessary for a fair presentation of the results for the interim periods presented. Operating results for the periods presented are not necessarily indicative of the results that may be expected for the full fiscal year ending December 31, 2026 or any future period. These unaudited condensed consolidated financial statements should be read in conjunction with the audited annual consolidated financial statements and notes included in our Annual Report on Form 10-K for the year ended December 31, 2025, as amended (“2025 Form 10-K”).</w:t>
      </w:r>
    </w:p>
    <w:p>
      <w:pPr>
        <w:spacing w:after="0" w:line="1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have been no material changes in our significant accounting policies as described in our audited consolidated financial statements included in our 2025 Form 10-K, other than as disclosed below. The unaudited condensed consolidated financial statements include the accounts of RHM and its wholly-owned direct and indirect subsidiaries. All intercompany balances and transactions have been eliminated.</w:t>
      </w:r>
    </w:p>
    <w:p>
      <w:pPr>
        <w:spacing w:after="0" w:line="13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Certain reclassifications have been made to prior period amounts to conform to the current period’s presentation. The impact of these reclassifications is immaterial to the presentation of the unaudited condensed consolidated financial statements taken as a whole and had no impact on previously reported total assets, total liabilities and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Principles of Consolidation</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consolidate entities in which we have a controlling financial interest. We first evaluate whether the entity is a voting interest entity or a VIE. 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is a VIE and that we are the primary beneficiary, we consolidate such entity in the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 We continuously monitor if any changes in the interest or relationship with the entity may impact the determination of whether we are still the primary beneficiary and require us to revise our previous conclusion. We consolidate a voting interest entity if we can exert control over the financial and operating policies of an investee. Other parties’ equity investments are reported as non-controlling interests.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unaudited condensed consolidated financial statements in accordance with GAAP requires management to make estimates and assumptions that affect the reported amounts in the unaudited condensed consolidated financial statements and accompanying notes. We base our estimates on historical experience, and other assumptions we believe to be reasonable under the circumstances. Assumptions and estimates used in preparing our unaudited condensed consolidated financial statements include, but are not limited to, those related to revenue recognition, SBC, the determination of allowances for credit losses, investment valuation, capitalization of internally developed software, useful lives of property, software, and equipment, valuation and useful lives of intangible assets, valuation of reporting units in assessing goodwill for impairment, incremental borrowing rate used to calculate operating lease right-of-use assets and related liabilities, impairment of long-lived assets, uncertain tax positions, realizability of deferred tax assets, accrued and contingent liabilities. Actual results could differ from these estimates and could have a material adverse effect on our operating results.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Concentrations of Revenue and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Revenue</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derived transaction-based revenues from individual market makers and exchanges in excess of 10% of total net revenues,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800" w:type="dxa"/>
            <w:vAlign w:val="bottom"/>
            <w:gridSpan w:val="4"/>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r>
      <w:tr>
        <w:trPr>
          <w:trHeight w:val="185"/>
        </w:trPr>
        <w:tc>
          <w:tcPr>
            <w:tcW w:w="48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r>
      <w:tr>
        <w:trPr>
          <w:trHeight w:val="195"/>
        </w:trPr>
        <w:tc>
          <w:tcPr>
            <w:tcW w:w="5880" w:type="dxa"/>
            <w:vAlign w:val="bottom"/>
            <w:gridSpan w:val="2"/>
          </w:tcPr>
          <w:p>
            <w:pPr>
              <w:ind w:left="5460"/>
              <w:spacing w:after="0"/>
              <w:rPr>
                <w:sz w:val="20"/>
                <w:szCs w:val="20"/>
                <w:color w:val="auto"/>
              </w:rPr>
            </w:pPr>
            <w:r>
              <w:rPr>
                <w:rFonts w:ascii="Arial" w:cs="Arial" w:eastAsia="Arial" w:hAnsi="Arial"/>
                <w:sz w:val="14"/>
                <w:szCs w:val="14"/>
                <w:b w:val="1"/>
                <w:bCs w:val="1"/>
                <w:color w:val="auto"/>
              </w:rPr>
              <w:t>2025</w:t>
            </w:r>
          </w:p>
        </w:tc>
        <w:tc>
          <w:tcPr>
            <w:tcW w:w="1720" w:type="dxa"/>
            <w:vAlign w:val="bottom"/>
            <w:gridSpan w:val="3"/>
          </w:tcPr>
          <w:p>
            <w:pPr>
              <w:ind w:left="1300"/>
              <w:spacing w:after="0"/>
              <w:rPr>
                <w:sz w:val="20"/>
                <w:szCs w:val="20"/>
                <w:color w:val="auto"/>
              </w:rPr>
            </w:pPr>
            <w:r>
              <w:rPr>
                <w:rFonts w:ascii="Arial" w:cs="Arial" w:eastAsia="Arial" w:hAnsi="Arial"/>
                <w:sz w:val="14"/>
                <w:szCs w:val="14"/>
                <w:b w:val="1"/>
                <w:bCs w:val="1"/>
                <w:color w:val="auto"/>
              </w:rPr>
              <w:t>2026</w:t>
            </w: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2026</w:t>
            </w:r>
          </w:p>
        </w:tc>
        <w:tc>
          <w:tcPr>
            <w:tcW w:w="500" w:type="dxa"/>
            <w:vAlign w:val="bottom"/>
          </w:tcPr>
          <w:p>
            <w:pPr>
              <w:spacing w:after="0"/>
              <w:rPr>
                <w:sz w:val="16"/>
                <w:szCs w:val="16"/>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makers and exchanges:</w:t>
            </w:r>
          </w:p>
        </w:tc>
        <w:tc>
          <w:tcPr>
            <w:tcW w:w="10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30"/>
        </w:trPr>
        <w:tc>
          <w:tcPr>
            <w:tcW w:w="5880" w:type="dxa"/>
            <w:vAlign w:val="bottom"/>
            <w:gridSpan w:val="2"/>
          </w:tcPr>
          <w:p>
            <w:pPr>
              <w:ind w:left="260"/>
              <w:spacing w:after="0"/>
              <w:rPr>
                <w:sz w:val="20"/>
                <w:szCs w:val="20"/>
                <w:color w:val="auto"/>
              </w:rPr>
            </w:pPr>
            <w:r>
              <w:rPr>
                <w:rFonts w:ascii="Arial" w:cs="Arial" w:eastAsia="Arial" w:hAnsi="Arial"/>
                <w:sz w:val="18"/>
                <w:szCs w:val="18"/>
                <w:color w:val="auto"/>
              </w:rPr>
              <w:t>Citadel Securities, LLC</w:t>
            </w:r>
          </w:p>
        </w:tc>
        <w:tc>
          <w:tcPr>
            <w:tcW w:w="540" w:type="dxa"/>
            <w:vAlign w:val="bottom"/>
          </w:tcPr>
          <w:p>
            <w:pPr>
              <w:ind w:left="10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4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All others individually less than 10%</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Total as percentage of total net revenues</w:t>
            </w:r>
          </w:p>
        </w:tc>
        <w:tc>
          <w:tcPr>
            <w:tcW w:w="540" w:type="dxa"/>
            <w:vAlign w:val="bottom"/>
          </w:tcPr>
          <w:p>
            <w:pPr>
              <w:ind w:left="100"/>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4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cryptocurrency market makers,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Derivatives and Hedging Activities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the impact of changes in benchmark interest rates and the prices of certain equity instruments used in the normal course of business. We utilize derivative financial instruments to manage certain business risks. All derivative financial instruments are recognized at their fair values as either assets or liabilities at the balance sheet date and reported on a gross basis in accordance with ASC 815, Derivatives and Hedging. The accounting for changes in the fair value of derivatives depends on the intended use of the derivative, whether we have elected to designate the derivative in a hedging relationship and whether the hedging relationship has satisfied the criteria necessary to apply hedge accounting if elected.</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derivative instruments that are not designated as hedges, any gain or loss on the derivatives is recognized in earnings in the current period. A derivative instrument may be designated as a hedge of the exposure to changes in the fair value of an asset, liability, or firm commitment or variability in expected future cash flows, if the hedging relationship is expected to be highly effective in offsetting changes in fair value or cash flows attributable to the hedged risk during the period of designation. For derivative instruments designated as a fair value hedge, the gain or loss on the derivative and the offsetting loss or gain on the hedged asset, liability, or firm commitment are recognized in earnings. For derivative instruments designated as a cash flow hedge, the effective portion of the gain or loss on the derivative instrument is reported as a component of accumulated other comprehensive income and reclassified to earnings in the same period that the hedged transaction affects earnings.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part of our interest rate risk management strategy, we use interest rate swap agreements as fair value hedges on certain fixed rate debt. We assess the effectiveness of the fair value hedges using the shortcut method of accounting under which the hedges are assumed to be perfectly effective, which results in no net impact in the consolidated statements of operations from the fair value of the derivatives. For derivatives designated and that qualify as fair value hedges, changes in fair value of the derivative as well as the offsetting change in fair value on the hedged debt are recognized directly in Net interest revenues in the consolidated statements of operations.</w:t>
      </w:r>
    </w:p>
    <w:p>
      <w:pPr>
        <w:spacing w:after="0" w:line="15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are exposed to credit risk if counterparties to our derivative contracts do not perform pursuant to the terms of our interest rate swap agreements. Should a counterparty fail to perform under the terms of our interest rate swap agreements, our credit exposure is limited to the net positive fair value and accrued interest owed from the failing counterparty. We mitigate counterparty credit risk through credit approvals, credit limits and monitoring procedures, as appropriate.</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enter into master netting agreements with counterparties that permit the net settlement of amounts owed under the derivative contracts. The master netting agreements generally provide for net settlement of all outstanding contracts with a counterparty in the case of an event of default or a termination event. We do not offset fair value amounts recognized for derivative instruments under master netting arrangements. Our derivative contracts do not require collateral to be posted by us or the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Tokens</w:t>
      </w:r>
    </w:p>
    <w:p>
      <w:pPr>
        <w:spacing w:after="0" w:line="1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offer Stock Tokens and Classic Stock Tokens that provide customers with economic exposure to certain underlying securities, primarily U.S. exchange-listed stocks and exchange-traded funds. Each stock token obligates us to pay the holder, upon redemption, cash equal to the market price of the underlying security less any applicable fees and taxes. Neither Stock Tokens nor Classic Stock Tokens convey legal ownership or shareholder rights in the underlying securities. Stock Tokens, launched in July 2026, are tokenized debt securities for which we are required to purchase the underlying securities and hold them as collateral. Classic Stock Tokens, launched in June 2025, are bilateral contracts with eligible customers in certain EEA jurisdictions. We are not required to hold the underlying securities for Classic Stock Tokens, but purchase them to hedge our obligations.</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both stock token programs, we record the underlying securities within Other current assets on our consolidated balance sheet and an offsetting stock token liability recorded within Other current liabilities. The carrying amount of the stock token liability equals the fair value of the underlying securities, reflecting an embedded derivative that is bifurcated, measured at fair value and not designated as a hedging instrument. The fair value of the stock token liability is classified within Level 2 and is determined from the quoted market price of the underlying security. Gains and losses are substantially offset.</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1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September 2025, the FASB issued ASU 2025-07, “Derivatives and Hedging (Topic 815) and Revenue from Contracts with Customers (Topic 606): Derivatives Scope Refinements and Scope Clarification for Share-Based Noncash Consideration from a Customer in a Revenue Contract.” This guidance refines the scope of Topic 815 by providing a scope exception for certain contracts with variables based on operations or activities specific to one of the parties to the contract and clarifies the accounting for certain share-based noncash consideration received from a customer. The Company early adopted ASU 2025-07 effective July 1, 2026 on a prospective basis. The adoption of this guidance did not have a material impact on our unaudited condensed consolidated financial statements and related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Recently Issued Accounting Pronouncements Not Yet Adopted</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2023, the FASB issued ASU 2023-06, “Disclosure Improvements: Codification Amendments in Response to the SEC’s Disclosure Update and Simplification Initiative.” The amendments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amendments on our consolidated financial statements.</w:t>
      </w:r>
    </w:p>
    <w:p>
      <w:pPr>
        <w:spacing w:after="0" w:line="1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2024, the SEC adopted final rules under SEC Release No. 34-99678 and No. 33-11275, “The Enhancement and Standardization of Climate-Related Disclosures for Investors” (the “Final Rules”), which the SEC has proposed to rescind,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We continue to monitor the status of the Final Rules and evaluate the potential impact of the Final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This guidance requires additional disclosures about certain amounts included in the expense captions presented on the statement of operations as well as disclosures about selling expenses. The guidance is effective for annual reporting periods beginning after December 15, 2026, and interim reporting periods beginning after December 15, 2027. Early adoption is permitted. We have not elected to early adopt this guidance. The guidance can either be applied prospectively or retrospectively. We do not expect the adoption of this guidance to have a material impact on our consolidated financial statements and related disclosures.</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September 2025, the FASB issued ASU 2025-06, “Intangibles - Goodwill and Other - Internal-Use Software (Subtopic 350-40): Targeted Improvements to the Accounting for Internal-Use Software.” This guidance simplifies the capitalization guidance for internal-use software costs by removing all references to prescriptive and sequential software development stages under Subtopic 350-40. This guidance is effective for annual reporting periods beginning after December 15, 2027 and interim reporting periods within those annual reporting periods. Early adoption is permitted. We have not elected to early adopt this guidance. The guidance can be applied prospectively, retrospectively or under a modified transition approach. We are currently evaluating the impacts of the amendments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color w:val="auto"/>
        </w:rPr>
        <w:t>NOTE 3: BUSINESS COMBINATIONS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TradePMR</w:t>
      </w:r>
    </w:p>
    <w:p>
      <w:pPr>
        <w:spacing w:after="0" w:line="173"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On February 26, 2025, we acquired all of the outstanding equity of TradePMR, a custodial and portfolio management platform for RIAs. The acquisition of TradePMR allows us to deliver investment advisory capabilities to customers by bringing in a scaled RIA custodial and portfolio management platform that connects financial advisors to a new generation of investors.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acquisition date fair value of the consideration transferred for TradePMR was approximately $169 million following customary purchase price adjustments and was entirely paid in cash. The post-close compensation consisted of approximately 2 million unvested shares of the Company’s Class A common stock, valued at approximately $ 100 million as of the closing date of the acquisition, which will vest over a four-year period post-acquisition, subject to the terms of a vesting agreement. Shares of unvested restricted stock have the same voting rights as all other Class A common stock and are considered to be issued and outstanding. These shares are not part of the equity incentive plans described in Note 13 - Common Stock and Stockholders’ Equity.</w:t>
      </w:r>
    </w:p>
    <w:p>
      <w:pPr>
        <w:spacing w:after="0" w:line="1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summarizes the final purchase price allocation of assets acquired and liabilities assumed based on their respective estimated fair values as of the date of acquisition. During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quarter of 2026, we finalized the purchase price allocation based on changes in management’s estimates and assumptions which did not have a significant impact on the initial purchase price allocation.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Receivables from users, net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TradePMR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Pro forma results of operations for TradePMR have not been presented as the effect of this acquisition was not material to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Bitstamp</w:t>
      </w:r>
    </w:p>
    <w:p>
      <w:pPr>
        <w:spacing w:after="0" w:line="17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June 2, 2025, we acquired all outstanding equity of Bitstamp, a globally-scaled cryptocurrency exchange with institutional and retail customers. This acquisition of Bitstamp accelerates our expansion worldwide, including across the EU, the U.K., and Asia. The acquisition date fair value of the consideration transferred for Bitstamp was approximately $224 million following customary purchase price adjustments and was entirely paid in cash.</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summarizes the final purchase price allocation of assets acquired and liabilities assumed based on their respective estimated fair values as of the date of acquisition. During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quarter of 2026, we finalized the purchase price allocation based on changes in management’s estimates and assumptions which did not have a significant impact on the initial purchase price allocation.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from users, net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Payables to users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9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Bitstamp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Pro forma results of operations for Bitstamp have not been presented as the effect of this acquisition was not material to our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MIAXdx</w:t>
      </w:r>
    </w:p>
    <w:p>
      <w:pPr>
        <w:spacing w:after="0" w:line="17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November 2025, we established a joint venture, Rothera, in partnership with SIG, that acquired 90% of the issued and outstanding equity of MIAXdx on January 20, 2026. Following closing, Rothera renamed MIAXdx to Rothera E&amp;C.</w:t>
      </w:r>
    </w:p>
    <w:p>
      <w:pPr>
        <w:spacing w:after="0" w:line="20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total consideration paid for the acquisition was approximately $79 million in cash. As MIAXdx was acquired through our joint venture, Rothera, SIG contributed $41 million toward the purchase price and related expenses. During the 3-year period following the closing date, Rothera has the ability to purchase half of the outstanding 10% of MIAXdx held by Miami International Holdings, Inc., subject to certain conditions.</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purchase price allocation is based on a preliminary valuation and subject to revision as more detailed analyses are completed and additional information about the fair value of assets acquired and liabilities assumed becomes available, during the measurement period (up to one year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acquisition date). The following table summarizes the preliminary fair value of assets acquired and liabilities assumed as of the date of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Payables to users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9660" w:type="dxa"/>
            <w:vAlign w:val="bottom"/>
          </w:tcPr>
          <w:p>
            <w:pPr>
              <w:ind w:left="260"/>
              <w:spacing w:after="0"/>
              <w:rPr>
                <w:sz w:val="20"/>
                <w:szCs w:val="20"/>
                <w:color w:val="auto"/>
              </w:rPr>
            </w:pPr>
            <w:r>
              <w:rPr>
                <w:rFonts w:ascii="Arial" w:cs="Arial" w:eastAsia="Arial" w:hAnsi="Arial"/>
                <w:sz w:val="18"/>
                <w:szCs w:val="18"/>
                <w:color w:val="auto"/>
              </w:rPr>
              <w:t>Total purchase price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
        </w:trPr>
        <w:tc>
          <w:tcPr>
            <w:tcW w:w="9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3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28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1560" w:type="dxa"/>
            <w:vAlign w:val="bottom"/>
          </w:tcPr>
          <w:p>
            <w:pPr>
              <w:ind w:left="400"/>
              <w:spacing w:after="0"/>
              <w:rPr>
                <w:sz w:val="20"/>
                <w:szCs w:val="20"/>
                <w:color w:val="auto"/>
              </w:rPr>
            </w:pPr>
            <w:r>
              <w:rPr>
                <w:rFonts w:ascii="Arial" w:cs="Arial" w:eastAsia="Arial" w:hAnsi="Arial"/>
                <w:sz w:val="14"/>
                <w:szCs w:val="14"/>
                <w:b w:val="1"/>
                <w:bCs w:val="1"/>
                <w:color w:val="auto"/>
              </w:rPr>
              <w:t>Useful Life</w:t>
            </w:r>
          </w:p>
        </w:tc>
      </w:tr>
      <w:tr>
        <w:trPr>
          <w:trHeight w:val="224"/>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99"/>
              </w:rPr>
              <w:t>N/A</w:t>
            </w: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fair value of the licenses acquired was estimated using the replacement cost method of the cost approach. This method reflects the cost a market participant would incur to re-create the licenses as of the acquisition date.</w:t>
      </w:r>
    </w:p>
    <w:p>
      <w:pPr>
        <w:spacing w:after="0" w:line="12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Pro forma results of operations for MIAXdx have not been presented as the effect of this acquisition was not material to our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WonderFi</w:t>
      </w:r>
    </w:p>
    <w:p>
      <w:pPr>
        <w:spacing w:after="0" w:line="173"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On June 1, 2026, we acquired all outstanding equity of WonderFi, a Canadian leader in digital asset products and services. The acquisition of WonderFi accelerates our expansion into Canada. The acquisition date fair value of the consideration transferred for WonderFi was approximately $178 million and was entirely paid in cash.</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to one year from the acquisition date). The following table summarizes the preliminary fair value of assets acquired and liabilities assumed as of the date of acquisition: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Payables to users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966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1"/>
        </w:trPr>
        <w:tc>
          <w:tcPr>
            <w:tcW w:w="9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WonderFi and anticipated operational synergies. The fair values assigned to tangible and identifiable intangible assets acquired and liabilities assumed are based on management’s estimates and assumptions at the time of acquisition. Tangible net assets were valued at their respective carrying amounts as of the acquisition date, as these amounts approximated fair value.</w:t>
      </w:r>
    </w:p>
    <w:p>
      <w:pPr>
        <w:spacing w:after="0" w:line="15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Useful Life</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Licenses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000" w:type="dxa"/>
            <w:vAlign w:val="bottom"/>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overall weighted average useful life of the identified amortizable intangible assets acquired is 11.02 years. The estimated fair value of the intangible assets acquired approximates the amounts a market participant would pay for these intangible assets as of the acquisition date. We used a multi-period excess earnings method to estimate the fair value of customer relationships acquired, the with and without method to estimate the fair value of the licenses acquired, and the replacement cost method to estimate the fair value of the developed technology acquired.</w:t>
      </w:r>
    </w:p>
    <w:p>
      <w:pPr>
        <w:spacing w:after="0" w:line="1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Pro forma results of operations for WonderFi have not been presented as the effect of this acquisition was not material to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auto"/>
        </w:rPr>
        <w:t>NOTE 4: DECONSOLIDATION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Deconsolidation of RVI</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March 6, 2026, RVI commenced trading on the NYSE in connection with its initial public offering, which closed March 9, 2026. On June 25, 2026, we sold a portion of our ownership interest in RVI, resulting in the loss of a controlling financial interest in RVI. Accordingly, we deconsolidated RVI, and no longer include RVI's assets, liabilities, and results of operations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that date forward. RHV remains the advisor to RVI and charges a management fee of 2% of RVI's NAV.</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deconsolidation, we derecognized all assets and liabilities of RVI at their carrying values of $673 million, net, and the noncontrolling interest in RVI at its carrying value of $322 million, as of June 25, 2026. We received $22 million of cash in consideration for the sale of our shares in RVI. Upon the loss of our controlling financial interest, we remeasured the fair value of our retained interest in RVI at a fair value of $435 million as of June 25, 2026. The fair value of our retained interest in RVI was determined based on the closing market price of RVI common stock on June 25, 2026, a Level 1 input under the fair value hierarchy. Refer to Note 8 - Investments and Fair Value Measurement for further information.</w:t>
      </w:r>
    </w:p>
    <w:p>
      <w:pPr>
        <w:spacing w:after="0" w:line="15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a result, we recognized a gain on deconsolidation of $ 106 million for the nine months ended September 30, 2026, which relates to the remeasurement of our retained interest in RVI to fair value at the deconsolidation date. The gain was recognized in Other income (expense), net in the unaudited condensed consolidated statements of operations.</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Following deconsolidation, we elected the fair value option under ASC 825-10 to account for our retained interest in RVI, with changes in fair value recognized in Other income (expense), net in the period in which they occur. As of September 30, 2026, the fair value of our retained interest was recorded at $361 million and is included in Other current assets in the unaudited condensed consolidated balance sheets.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Deconsolidation of RVII</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13, 2026, RVII commenced trading on the NYSE in connection with its initial public offering, which closed August 14, 2026. Upon closing, the issuance of common stock in the offering diluted our ownership interest in RVII and resulted in the loss of our controlling financial interest. Accordingly, we deconsolidated RVII and no longer include RVII's assets, liabilities, and results of operations in our consolidated financial statements as of that date forward. RHV remains the advisor to RVII and charges a management fee of 2% of RVII's NAV as well as a 20% incentive fee based on realized capital gains.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deconsolidation, we derecognized all assets and liabilities of RVII at their carrying values of $25 million, net, as of August 14, 2026. Upon the loss of our controlling financial interest, we remeasured the fair value of our retained interest in RVII at a fair value of $26 million as of August 14, 2026. The fair value of our retained interest in RVII was determined based on the closing market price of RVII common stock on August 14, 2026, a Level 1 input under the fair value hierarchy. Refer to Note 8 - Investments and Fair Value Measurement for further information.</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a result, we recognized a gain on deconsolidation of $1 million for the three and nine months ended September 30, 2026, which relates to the remeasurement of our retained interest in RVII to fair value at the deconsolidation date. The gain was recognized in Other income (expense), net in the unaudited condensed consolidated statements of operations.</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Following deconsolidation, we elected the fair value option under ASC 825-10 to account for our retained interest in RVII, with changes in fair value recognized in Other income (expense), net in the period in which they occur. As of September 30, 2026, the fair value of our retained interest was recorded at $23 million and is included in Other current assets in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5: GOODWILL AND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 of goodwill for the period indicated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2025</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6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2026</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7"/>
            <w:vMerge w:val="restart"/>
          </w:tcPr>
          <w:p>
            <w:pPr>
              <w:ind w:left="340"/>
              <w:spacing w:after="0"/>
              <w:rPr>
                <w:sz w:val="20"/>
                <w:szCs w:val="20"/>
                <w:color w:val="auto"/>
              </w:rPr>
            </w:pPr>
            <w:r>
              <w:rPr>
                <w:rFonts w:ascii="Arial" w:cs="Arial" w:eastAsia="Arial" w:hAnsi="Arial"/>
                <w:sz w:val="18"/>
                <w:szCs w:val="18"/>
                <w:color w:val="auto"/>
              </w:rPr>
              <w:t>There was no impairment of goodwill during the nine months ended September 30, 2026.</w:t>
            </w: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7780" w:type="dxa"/>
            <w:vAlign w:val="bottom"/>
            <w:gridSpan w:val="7"/>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4440" w:type="dxa"/>
            <w:vAlign w:val="bottom"/>
          </w:tcPr>
          <w:p>
            <w:pPr>
              <w:spacing w:after="0"/>
              <w:rPr>
                <w:sz w:val="20"/>
                <w:szCs w:val="20"/>
                <w:color w:val="auto"/>
              </w:rPr>
            </w:pPr>
            <w:r>
              <w:rPr>
                <w:rFonts w:ascii="Arial" w:cs="Arial" w:eastAsia="Arial" w:hAnsi="Arial"/>
                <w:sz w:val="22"/>
                <w:szCs w:val="22"/>
                <w:b w:val="1"/>
                <w:bCs w:val="1"/>
                <w:i w:val="1"/>
                <w:iCs w:val="1"/>
                <w:color w:val="auto"/>
              </w:rPr>
              <w:t>Intangible Assets</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780" w:type="dxa"/>
            <w:vAlign w:val="bottom"/>
            <w:gridSpan w:val="7"/>
          </w:tcPr>
          <w:p>
            <w:pPr>
              <w:ind w:left="340"/>
              <w:spacing w:after="0"/>
              <w:rPr>
                <w:sz w:val="20"/>
                <w:szCs w:val="20"/>
                <w:color w:val="auto"/>
              </w:rPr>
            </w:pPr>
            <w:r>
              <w:rPr>
                <w:rFonts w:ascii="Arial" w:cs="Arial" w:eastAsia="Arial" w:hAnsi="Arial"/>
                <w:sz w:val="18"/>
                <w:szCs w:val="18"/>
                <w:color w:val="auto"/>
              </w:rPr>
              <w:t>The components of Intangible assets, net as of September 30, 2026 were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ind w:right="1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4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Value</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Net Carrying Value</w:t>
            </w:r>
          </w:p>
        </w:tc>
        <w:tc>
          <w:tcPr>
            <w:tcW w:w="1700" w:type="dxa"/>
            <w:vAlign w:val="bottom"/>
          </w:tcPr>
          <w:p>
            <w:pPr>
              <w:jc w:val="center"/>
              <w:ind w:right="16"/>
              <w:spacing w:after="0" w:line="145" w:lineRule="exact"/>
              <w:rPr>
                <w:sz w:val="20"/>
                <w:szCs w:val="20"/>
                <w:color w:val="auto"/>
              </w:rPr>
            </w:pPr>
            <w:r>
              <w:rPr>
                <w:rFonts w:ascii="Arial" w:cs="Arial" w:eastAsia="Arial" w:hAnsi="Arial"/>
                <w:sz w:val="14"/>
                <w:szCs w:val="14"/>
                <w:b w:val="1"/>
                <w:bCs w:val="1"/>
                <w:color w:val="auto"/>
              </w:rPr>
              <w:t>Remaining Useful Life -</w:t>
            </w:r>
          </w:p>
        </w:tc>
        <w:tc>
          <w:tcPr>
            <w:tcW w:w="0" w:type="dxa"/>
            <w:vAlign w:val="bottom"/>
          </w:tcPr>
          <w:p>
            <w:pPr>
              <w:spacing w:after="0"/>
              <w:rPr>
                <w:sz w:val="1"/>
                <w:szCs w:val="1"/>
                <w:color w:val="auto"/>
              </w:rPr>
            </w:pPr>
          </w:p>
        </w:tc>
      </w:tr>
      <w:tr>
        <w:trPr>
          <w:trHeight w:val="189"/>
        </w:trPr>
        <w:tc>
          <w:tcPr>
            <w:tcW w:w="4440" w:type="dxa"/>
            <w:vAlign w:val="bottom"/>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620" w:type="dxa"/>
            <w:vAlign w:val="bottom"/>
            <w:gridSpan w:val="4"/>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6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Trade names</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tcPr>
          <w:p>
            <w:pPr>
              <w:ind w:left="52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of intangible assets was $9 million and $23 million for the three and nine months ended September 30, 2026.</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2026, the estimated future amortization expense of finite-lived intangible assets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4"/>
                <w:szCs w:val="14"/>
                <w:color w:val="auto"/>
              </w:rPr>
            </w:pPr>
          </w:p>
        </w:tc>
        <w:tc>
          <w:tcPr>
            <w:tcW w:w="1680" w:type="dxa"/>
            <w:vAlign w:val="bottom"/>
          </w:tcPr>
          <w:p>
            <w:pPr>
              <w:jc w:val="right"/>
              <w:ind w:right="94"/>
              <w:spacing w:after="0"/>
              <w:rPr>
                <w:sz w:val="20"/>
                <w:szCs w:val="20"/>
                <w:color w:val="auto"/>
              </w:rPr>
            </w:pPr>
            <w:r>
              <w:rPr>
                <w:rFonts w:ascii="Arial" w:cs="Arial" w:eastAsia="Arial" w:hAnsi="Arial"/>
                <w:sz w:val="14"/>
                <w:szCs w:val="14"/>
                <w:b w:val="1"/>
                <w:bCs w:val="1"/>
                <w:color w:val="auto"/>
              </w:rPr>
              <w:t>Finite-lived Intangible</w:t>
            </w:r>
          </w:p>
        </w:tc>
        <w:tc>
          <w:tcPr>
            <w:tcW w:w="0" w:type="dxa"/>
            <w:vAlign w:val="bottom"/>
          </w:tcPr>
          <w:p>
            <w:pPr>
              <w:spacing w:after="0"/>
              <w:rPr>
                <w:sz w:val="1"/>
                <w:szCs w:val="1"/>
                <w:color w:val="auto"/>
              </w:rPr>
            </w:pPr>
          </w:p>
        </w:tc>
      </w:tr>
      <w:tr>
        <w:trPr>
          <w:trHeight w:val="189"/>
        </w:trPr>
        <w:tc>
          <w:tcPr>
            <w:tcW w:w="94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9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6: REVENUES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Disaggregation of Revenues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revenues disaggregated by revenue source: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2026</w:t>
            </w:r>
          </w:p>
        </w:tc>
        <w:tc>
          <w:tcPr>
            <w:tcW w:w="0" w:type="dxa"/>
            <w:vAlign w:val="bottom"/>
          </w:tcPr>
          <w:p>
            <w:pPr>
              <w:spacing w:after="0"/>
              <w:rPr>
                <w:sz w:val="1"/>
                <w:szCs w:val="1"/>
                <w:color w:val="auto"/>
              </w:rPr>
            </w:pPr>
          </w:p>
        </w:tc>
      </w:tr>
      <w:tr>
        <w:trPr>
          <w:trHeight w:val="21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60"/>
              <w:spacing w:after="0"/>
              <w:rPr>
                <w:sz w:val="20"/>
                <w:szCs w:val="20"/>
                <w:color w:val="auto"/>
              </w:rPr>
            </w:pPr>
            <w:r>
              <w:rPr>
                <w:rFonts w:ascii="Arial" w:cs="Arial" w:eastAsia="Arial" w:hAnsi="Arial"/>
                <w:sz w:val="18"/>
                <w:szCs w:val="18"/>
                <w:color w:val="auto"/>
              </w:rPr>
              <w:t>Options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809</w:t>
            </w:r>
          </w:p>
        </w:tc>
        <w:tc>
          <w:tcPr>
            <w:tcW w:w="14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Event contracts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4620" w:type="dxa"/>
            <w:vAlign w:val="bottom"/>
          </w:tcPr>
          <w:p>
            <w:pPr>
              <w:ind w:left="260"/>
              <w:spacing w:after="0"/>
              <w:rPr>
                <w:sz w:val="20"/>
                <w:szCs w:val="20"/>
                <w:color w:val="auto"/>
              </w:rPr>
            </w:pPr>
            <w:r>
              <w:rPr>
                <w:rFonts w:ascii="Arial" w:cs="Arial" w:eastAsia="Arial" w:hAnsi="Arial"/>
                <w:sz w:val="18"/>
                <w:szCs w:val="18"/>
                <w:color w:val="auto"/>
              </w:rPr>
              <w:t>Cryptocurrencies</w:t>
            </w:r>
          </w:p>
        </w:tc>
        <w:tc>
          <w:tcPr>
            <w:tcW w:w="3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transaction-based revenues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60"/>
              <w:spacing w:after="0"/>
              <w:rPr>
                <w:sz w:val="20"/>
                <w:szCs w:val="20"/>
                <w:color w:val="auto"/>
              </w:rPr>
            </w:pPr>
            <w:r>
              <w:rPr>
                <w:rFonts w:ascii="Arial" w:cs="Arial" w:eastAsia="Arial" w:hAnsi="Arial"/>
                <w:sz w:val="18"/>
                <w:szCs w:val="18"/>
                <w:color w:val="auto"/>
              </w:rPr>
              <w:t>Margin interest</w:t>
            </w:r>
          </w:p>
        </w:tc>
        <w:tc>
          <w:tcPr>
            <w:tcW w:w="3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Interest on segregated cash, cash equivalents,</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and deposits, net</w:t>
            </w:r>
          </w:p>
        </w:tc>
        <w:tc>
          <w:tcPr>
            <w:tcW w:w="3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Cash Sweep</w:t>
            </w:r>
          </w:p>
        </w:tc>
        <w:tc>
          <w:tcPr>
            <w:tcW w:w="3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Credit card,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Interest on corporate cash and investments</w:t>
            </w:r>
          </w:p>
        </w:tc>
        <w:tc>
          <w:tcPr>
            <w:tcW w:w="3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expenses related to credit facilities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Securities lending, net</w:t>
            </w:r>
          </w:p>
        </w:tc>
        <w:tc>
          <w:tcPr>
            <w:tcW w:w="36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interest revenues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1,103</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Gold subscription revenues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Proxy revenues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other revenues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52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1,274</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1,424</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3,190</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interest revenue earned and interest expense paid from securities lending: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8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4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659"/>
              <w:spacing w:after="0"/>
              <w:rPr>
                <w:sz w:val="20"/>
                <w:szCs w:val="20"/>
                <w:color w:val="auto"/>
              </w:rPr>
            </w:pPr>
            <w:r>
              <w:rPr>
                <w:rFonts w:ascii="Arial" w:cs="Arial" w:eastAsia="Arial" w:hAnsi="Arial"/>
                <w:sz w:val="18"/>
                <w:szCs w:val="18"/>
                <w:color w:val="auto"/>
                <w:w w:val="99"/>
              </w:rPr>
              <w:t>465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(125)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19"/>
              <w:spacing w:after="0"/>
              <w:rPr>
                <w:sz w:val="20"/>
                <w:szCs w:val="20"/>
                <w:color w:val="auto"/>
              </w:rPr>
            </w:pPr>
            <w:r>
              <w:rPr>
                <w:rFonts w:ascii="Arial" w:cs="Arial" w:eastAsia="Arial" w:hAnsi="Arial"/>
                <w:sz w:val="18"/>
                <w:szCs w:val="18"/>
                <w:color w:val="auto"/>
                <w:w w:val="99"/>
              </w:rPr>
              <w:t>(301)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248"/>
        </w:trPr>
        <w:tc>
          <w:tcPr>
            <w:tcW w:w="4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Securities lending, net</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659"/>
              <w:spacing w:after="0"/>
              <w:rPr>
                <w:sz w:val="20"/>
                <w:szCs w:val="20"/>
                <w:color w:val="auto"/>
              </w:rPr>
            </w:pPr>
            <w:r>
              <w:rPr>
                <w:rFonts w:ascii="Arial" w:cs="Arial" w:eastAsia="Arial" w:hAnsi="Arial"/>
                <w:sz w:val="18"/>
                <w:szCs w:val="18"/>
                <w:color w:val="auto"/>
                <w:w w:val="99"/>
              </w:rPr>
              <w:t>164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interest revenue earned from segregated cash, cash equivalents, securities, and deposits, and interest expense paid to users on uninvested cash and option deposits:</w:t>
      </w:r>
    </w:p>
    <w:tbl>
      <w:tblPr>
        <w:tblLayout w:type="fixed"/>
        <w:tblInd w:w="0" w:type="dxa"/>
        <w:tblCellMar>
          <w:top w:w="0" w:type="dxa"/>
          <w:left w:w="0" w:type="dxa"/>
          <w:bottom w:w="0" w:type="dxa"/>
          <w:right w:w="0" w:type="dxa"/>
        </w:tblCellMar>
      </w:tblPr>
      <w:tr>
        <w:trPr>
          <w:trHeight w:val="145"/>
        </w:trPr>
        <w:tc>
          <w:tcPr>
            <w:tcW w:w="4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20" w:type="dxa"/>
            <w:vAlign w:val="bottom"/>
            <w:gridSpan w:val="5"/>
          </w:tcPr>
          <w:p>
            <w:pPr>
              <w:ind w:left="520"/>
              <w:spacing w:after="0" w:line="145"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840" w:type="dxa"/>
            <w:vAlign w:val="bottom"/>
            <w:gridSpan w:val="4"/>
          </w:tcPr>
          <w:p>
            <w:pPr>
              <w:jc w:val="right"/>
              <w:ind w:right="835"/>
              <w:spacing w:after="0" w:line="145"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99"/>
              </w:rPr>
              <w:t>318</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center"/>
              <w:ind w:left="475"/>
              <w:spacing w:after="0"/>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55"/>
        </w:trPr>
        <w:tc>
          <w:tcPr>
            <w:tcW w:w="4740" w:type="dxa"/>
            <w:vAlign w:val="bottom"/>
            <w:tcBorders>
              <w:top w:val="single" w:sz="8" w:color="CCEEFF"/>
            </w:tcBorders>
            <w:shd w:val="clear" w:color="auto" w:fill="CCEEFF"/>
          </w:tcPr>
          <w:p>
            <w:pPr>
              <w:ind w:left="300"/>
              <w:spacing w:after="0" w:line="156" w:lineRule="exact"/>
              <w:rPr>
                <w:sz w:val="20"/>
                <w:szCs w:val="20"/>
                <w:color w:val="auto"/>
              </w:rPr>
            </w:pPr>
            <w:r>
              <w:rPr>
                <w:rFonts w:ascii="Arial" w:cs="Arial" w:eastAsia="Arial" w:hAnsi="Arial"/>
                <w:sz w:val="18"/>
                <w:szCs w:val="18"/>
                <w:color w:val="auto"/>
              </w:rPr>
              <w:t>Interest on segregated cash, cash equivalents,</w:t>
            </w: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center"/>
              <w:ind w:left="475"/>
              <w:spacing w:after="0"/>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and deposits, net</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9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Contract assets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related to proxy revenues due from issuers are reported in Other current assets on the unaudited condensed consolidated balance sheets.</w:t>
      </w:r>
    </w:p>
    <w:p>
      <w:pPr>
        <w:spacing w:after="0" w:line="12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of September 30, 2026, contract liabilities include $67 million of unearned Robinhood Gold subscription revenue, recognized when users remit cash payments in advance of the time we satisfy our performance obligations. The unearned subscription revenue was recorded as Other current liabilities on the unaudited condensed consolidated balance sheets. Contract liabilities also include $11 million of TradePMR performance obligations acquired as part of the TradePMR acquisition, with $8 million recorded in Other current liabilities and $3 million in Other non-current liabilities which was recorded on the unaudited condensed consolidated balance sheets. This liability represents consideration received in advance of satisfying the related performance obligations and is subject to repayment if certain contractual conditions are not met.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contract assets and liabilities balances for the period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Contract Assets</w:t>
            </w:r>
          </w:p>
        </w:tc>
        <w:tc>
          <w:tcPr>
            <w:tcW w:w="140" w:type="dxa"/>
            <w:vAlign w:val="bottom"/>
          </w:tcPr>
          <w:p>
            <w:pPr>
              <w:spacing w:after="0"/>
              <w:rPr>
                <w:sz w:val="17"/>
                <w:szCs w:val="17"/>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Contract Liabilities</w:t>
            </w:r>
          </w:p>
        </w:tc>
      </w:tr>
      <w:tr>
        <w:trPr>
          <w:trHeight w:val="224"/>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 January 1, 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the period, September 30, 2026</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difference between the opening and ending balances of our contract assets was primarily driven by higher options and equities Transaction-based revenues, revenue related to Trump Accounts, and the timing differences between our performance and counterparty payments.</w:t>
      </w:r>
    </w:p>
    <w:p>
      <w:pPr>
        <w:spacing w:after="0" w:line="13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difference between the opening and ending balances of our contract liabilities was primarily driven by growth in annual Robinhood Gold subscriptions, including growth in Robinhood Gold Card holders within that subscriber base, partially offset by the recognition of a portion of TradePMR’s performance obligation, as well as timing differences between our performance and customer billing.</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2026, we entered into agreements with Crypto.com and its affiliates under which we may receive, over a three-year term, up to a 10% equity interest in Crypto.com and certain of its affiliates as consideration for routing a selection of event contracts to its CFTC-regulated exchange and clearinghouse. The consideration is entirely variable and allocated to the periods in which the related distinct services are performed. Therefore, we have applied the guidance in ASC 606-10-50-14A(b) and have not disclosed the transaction price allocated to this remaining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7: ALLOWANCE FOR CREDIT LOSSES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Credit Losses - Brokerage Related</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summarizes the brokerage related allowance for credit losses, which is primarily related to fraudulent activities, included in Receivables from users, net on the unaudited condensed consolidated balance sheet: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4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9"/>
        </w:trPr>
        <w:tc>
          <w:tcPr>
            <w:tcW w:w="4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2026</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2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Credit Losses - Credit Card Related</w:t>
      </w:r>
    </w:p>
    <w:p>
      <w:pPr>
        <w:spacing w:after="0" w:line="16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have two types of allowance for credit losses related to credit cards: i) an allowance related to off-balance sheet credit card receivables, shown as part of Accounts payable and accrued expenses on the unaudited condensed consolidated balance sheet, and ii) an allowance related to purchased credit card receivables and interest receivable from customers, included in Receivables from users, net on the unaudited condensed consolidated balance sheet.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allowance related to off-balance sheet credit card receivables: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78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9"/>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2026</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to Coastal Bank</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10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allowance related to purchased credit card receivables and interest receivables from customers: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2026</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tables present the aging analysis of our credit card receivables for the periods presented and the delinquency aging includes all past due principal on loans. Accrued interest receivable of $9 million and $16 million as of December 31, 2025, and as of September 30, 2026, were not included in the tables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December 31, 2025</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center"/>
              <w:ind w:right="40"/>
              <w:spacing w:after="0"/>
              <w:rPr>
                <w:sz w:val="20"/>
                <w:szCs w:val="20"/>
                <w:color w:val="auto"/>
              </w:rPr>
            </w:pPr>
            <w:r>
              <w:rPr>
                <w:rFonts w:ascii="Arial" w:cs="Arial" w:eastAsia="Arial" w:hAnsi="Arial"/>
                <w:sz w:val="14"/>
                <w:szCs w:val="14"/>
                <w:b w:val="1"/>
                <w:bCs w:val="1"/>
                <w:color w:val="auto"/>
              </w:rPr>
              <w:t>Aging of receivables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&lt;90 Days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 90 days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Total past due</w:t>
            </w:r>
          </w:p>
        </w:tc>
        <w:tc>
          <w:tcPr>
            <w:tcW w:w="180" w:type="dxa"/>
            <w:vAlign w:val="bottom"/>
          </w:tcPr>
          <w:p>
            <w:pPr>
              <w:spacing w:after="0"/>
              <w:rPr>
                <w:sz w:val="13"/>
                <w:szCs w:val="13"/>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814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Off-balance sheet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8"/>
        </w:trPr>
        <w:tc>
          <w:tcPr>
            <w:tcW w:w="2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credit card loans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991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 of Total loans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960"/>
              <w:spacing w:after="0"/>
              <w:rPr>
                <w:sz w:val="20"/>
                <w:szCs w:val="20"/>
                <w:color w:val="auto"/>
              </w:rPr>
            </w:pPr>
            <w:r>
              <w:rPr>
                <w:rFonts w:ascii="Arial" w:cs="Arial" w:eastAsia="Arial" w:hAnsi="Arial"/>
                <w:sz w:val="18"/>
                <w:szCs w:val="18"/>
                <w:color w:val="auto"/>
                <w:w w:val="96"/>
              </w:rPr>
              <w:t>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489"/>
        </w:trPr>
        <w:tc>
          <w:tcPr>
            <w:tcW w:w="28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millions, except for percentages)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September 30, 2026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gridSpan w:val="3"/>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Aging of receivables</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&lt;90 Days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 90 days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Total past due</w:t>
            </w:r>
          </w:p>
        </w:tc>
        <w:tc>
          <w:tcPr>
            <w:tcW w:w="180" w:type="dxa"/>
            <w:vAlign w:val="bottom"/>
          </w:tcPr>
          <w:p>
            <w:pPr>
              <w:spacing w:after="0"/>
              <w:rPr>
                <w:sz w:val="13"/>
                <w:szCs w:val="13"/>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1,566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Off-balance sheet</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2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credit card loans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Total loans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94 %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960"/>
              <w:spacing w:after="0"/>
              <w:rPr>
                <w:sz w:val="20"/>
                <w:szCs w:val="20"/>
                <w:color w:val="auto"/>
              </w:rPr>
            </w:pPr>
            <w:r>
              <w:rPr>
                <w:rFonts w:ascii="Arial" w:cs="Arial" w:eastAsia="Arial" w:hAnsi="Arial"/>
                <w:sz w:val="18"/>
                <w:szCs w:val="18"/>
                <w:color w:val="auto"/>
                <w:w w:val="96"/>
              </w:rPr>
              <w:t>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The risk in our credit card receivables portfolio correlates to broad economic trends as well as customers’ financial condition. The key indicator we monitor when assessing the credit quality and risk is customers’ credit scores as they measure the creditworthiness of customers. We use a national third-party provider to update FICO credit scores on a monthly basis. The updated scores are incorporated into a series of credit management reports, which are utilized to monitor risk. The table below presents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credit card receivables by our credit quality indicator, FICO score, including both on-balance sheet and off-balance sheet amounts,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September 30,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FICO scores)</w:t>
            </w:r>
          </w:p>
        </w:tc>
        <w:tc>
          <w:tcPr>
            <w:tcW w:w="200" w:type="dxa"/>
            <w:vAlign w:val="bottom"/>
          </w:tcPr>
          <w:p>
            <w:pPr>
              <w:spacing w:after="0"/>
              <w:rPr>
                <w:sz w:val="17"/>
                <w:szCs w:val="17"/>
                <w:color w:val="auto"/>
              </w:rPr>
            </w:pPr>
          </w:p>
        </w:tc>
        <w:tc>
          <w:tcPr>
            <w:tcW w:w="13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 Total loans</w:t>
            </w:r>
          </w:p>
        </w:tc>
        <w:tc>
          <w:tcPr>
            <w:tcW w:w="200" w:type="dxa"/>
            <w:vAlign w:val="bottom"/>
          </w:tcPr>
          <w:p>
            <w:pPr>
              <w:spacing w:after="0"/>
              <w:rPr>
                <w:sz w:val="17"/>
                <w:szCs w:val="17"/>
                <w:color w:val="auto"/>
              </w:rPr>
            </w:pPr>
          </w:p>
        </w:tc>
        <w:tc>
          <w:tcPr>
            <w:tcW w:w="13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1680" w:type="dxa"/>
            <w:vAlign w:val="bottom"/>
          </w:tcPr>
          <w:p>
            <w:pPr>
              <w:jc w:val="right"/>
              <w:ind w:right="219"/>
              <w:spacing w:after="0"/>
              <w:rPr>
                <w:sz w:val="20"/>
                <w:szCs w:val="20"/>
                <w:color w:val="auto"/>
              </w:rPr>
            </w:pPr>
            <w:r>
              <w:rPr>
                <w:rFonts w:ascii="Arial" w:cs="Arial" w:eastAsia="Arial" w:hAnsi="Arial"/>
                <w:sz w:val="14"/>
                <w:szCs w:val="14"/>
                <w:b w:val="1"/>
                <w:bCs w:val="1"/>
                <w:color w:val="auto"/>
              </w:rPr>
              <w:t>% of Total loans</w:t>
            </w: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Below 640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640-690</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690</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23"/>
        </w:trPr>
        <w:tc>
          <w:tcPr>
            <w:tcW w:w="4520" w:type="dxa"/>
            <w:vAlign w:val="bottom"/>
          </w:tcPr>
          <w:p>
            <w:pPr>
              <w:ind w:left="260"/>
              <w:spacing w:after="0"/>
              <w:rPr>
                <w:sz w:val="20"/>
                <w:szCs w:val="20"/>
                <w:color w:val="auto"/>
              </w:rPr>
            </w:pPr>
            <w:r>
              <w:rPr>
                <w:rFonts w:ascii="Arial" w:cs="Arial" w:eastAsia="Arial" w:hAnsi="Arial"/>
                <w:sz w:val="18"/>
                <w:szCs w:val="18"/>
                <w:color w:val="auto"/>
              </w:rPr>
              <w:t>Total credit card loans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25"/>
          <w:szCs w:val="25"/>
          <w:color w:val="auto"/>
        </w:rPr>
        <w:t>NOTE 8: INVESTMENTS AND FAIR VALUE MEASUREMENT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18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Financial assets and liabilities measured at fair value on a recurring basis were presented on our unaudited condensed consolidated balance sheets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December 31, 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7"/>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7"/>
                <w:szCs w:val="17"/>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Cash, cash equivalents, and securities segregated under</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1"/>
        </w:trPr>
        <w:tc>
          <w:tcPr>
            <w:tcW w:w="4700" w:type="dxa"/>
            <w:vAlign w:val="bottom"/>
          </w:tcPr>
          <w:p>
            <w:pPr>
              <w:ind w:left="260"/>
              <w:spacing w:after="0"/>
              <w:rPr>
                <w:sz w:val="20"/>
                <w:szCs w:val="20"/>
                <w:color w:val="auto"/>
              </w:rPr>
            </w:pPr>
            <w:r>
              <w:rPr>
                <w:rFonts w:ascii="Arial" w:cs="Arial" w:eastAsia="Arial" w:hAnsi="Arial"/>
                <w:sz w:val="18"/>
                <w:szCs w:val="18"/>
                <w:color w:val="auto"/>
              </w:rPr>
              <w:t>federal and other regulations: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2"/>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Foreign Treasury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clearing organizations: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Stablecoin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Non-marketable securities </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 - escrow account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September 30, 2026</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line="183" w:lineRule="exact"/>
              <w:rPr>
                <w:sz w:val="20"/>
                <w:szCs w:val="20"/>
                <w:color w:val="auto"/>
              </w:rPr>
            </w:pPr>
            <w:r>
              <w:rPr>
                <w:rFonts w:ascii="Arial" w:cs="Arial" w:eastAsia="Arial" w:hAnsi="Arial"/>
                <w:sz w:val="18"/>
                <w:szCs w:val="18"/>
                <w:color w:val="auto"/>
              </w:rPr>
              <w:t>Cash, cash equivalents, and securities segregated under</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700" w:type="dxa"/>
            <w:vAlign w:val="bottom"/>
          </w:tcPr>
          <w:p>
            <w:pPr>
              <w:ind w:left="20"/>
              <w:spacing w:after="0"/>
              <w:rPr>
                <w:sz w:val="20"/>
                <w:szCs w:val="20"/>
                <w:color w:val="auto"/>
              </w:rPr>
            </w:pPr>
            <w:r>
              <w:rPr>
                <w:rFonts w:ascii="Arial" w:cs="Arial" w:eastAsia="Arial" w:hAnsi="Arial"/>
                <w:sz w:val="18"/>
                <w:szCs w:val="18"/>
                <w:color w:val="auto"/>
              </w:rPr>
              <w:t>federal and other regulations: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Treasury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Stablecoin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Money market funds - escrow account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Derivative liability</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32" w:lineRule="exact"/>
        <w:rPr>
          <w:sz w:val="20"/>
          <w:szCs w:val="20"/>
          <w:color w:val="auto"/>
        </w:rPr>
      </w:pPr>
    </w:p>
    <w:p>
      <w:pPr>
        <w:jc w:val="both"/>
        <w:ind w:left="340" w:hanging="8"/>
        <w:spacing w:after="0" w:line="225" w:lineRule="auto"/>
        <w:tabs>
          <w:tab w:leader="none" w:pos="515"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As of December 31, 2025 and September 30, 2026, $1 million of our U.S. Treasury securities are deposited with an exchange to enable the execution, clearing, and settlement of event contracts. As of September 30, 2026, $200 million of our U.S. Treasury securities were pledged to a clearing organization to meet margin requirements for our security lending program.</w:t>
      </w:r>
    </w:p>
    <w:p>
      <w:pPr>
        <w:spacing w:after="0" w:line="1" w:lineRule="exact"/>
        <w:rPr>
          <w:rFonts w:ascii="Arial" w:cs="Arial" w:eastAsia="Arial" w:hAnsi="Arial"/>
          <w:sz w:val="22"/>
          <w:szCs w:val="22"/>
          <w:color w:val="auto"/>
          <w:vertAlign w:val="superscript"/>
        </w:rPr>
      </w:pPr>
    </w:p>
    <w:p>
      <w:pPr>
        <w:ind w:left="500" w:hanging="168"/>
        <w:spacing w:after="0" w:line="183" w:lineRule="auto"/>
        <w:tabs>
          <w:tab w:leader="none" w:pos="500" w:val="left"/>
        </w:tabs>
        <w:numPr>
          <w:ilvl w:val="0"/>
          <w:numId w:val="9"/>
        </w:numPr>
        <w:rPr>
          <w:rFonts w:ascii="Arial" w:cs="Arial" w:eastAsia="Arial" w:hAnsi="Arial"/>
          <w:sz w:val="20"/>
          <w:szCs w:val="20"/>
          <w:color w:val="auto"/>
          <w:vertAlign w:val="superscript"/>
        </w:rPr>
      </w:pPr>
      <w:r>
        <w:rPr>
          <w:rFonts w:ascii="Arial" w:cs="Arial" w:eastAsia="Arial" w:hAnsi="Arial"/>
          <w:sz w:val="13"/>
          <w:szCs w:val="13"/>
          <w:color w:val="auto"/>
        </w:rPr>
        <w:t>Classified as trading securities in which the amortized cost approximates fair value as of December 31, 2025.</w:t>
      </w:r>
    </w:p>
    <w:p>
      <w:pPr>
        <w:ind w:left="500" w:hanging="168"/>
        <w:spacing w:after="0" w:line="187" w:lineRule="auto"/>
        <w:tabs>
          <w:tab w:leader="none" w:pos="50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Represents non-marketable equity securities for which RHV is the advisor.</w:t>
      </w:r>
    </w:p>
    <w:p>
      <w:pPr>
        <w:ind w:left="340" w:hanging="8"/>
        <w:spacing w:after="0" w:line="203" w:lineRule="auto"/>
        <w:tabs>
          <w:tab w:leader="none" w:pos="515"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Primarily measured as the present value of all expected future cash flows based on the U.S. Federal Funds-based swap yield curves. The present value calculation uses discount rates that have been adjusted to reflect the credit quality of RHM and its counterparties.</w:t>
      </w:r>
    </w:p>
    <w:p>
      <w:pPr>
        <w:spacing w:after="0" w:line="261"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Net unrealized losses associated with equity securities were $67 million and $60 million for the three and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Classified as Level 3</w:t>
      </w:r>
    </w:p>
    <w:p>
      <w:pPr>
        <w:spacing w:after="0" w:line="19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sets forth a summary of the changes in the estimated fair value of financial instruments assets classified as a Level 3 in the fair value hierarchy: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Funds</w:t>
            </w:r>
          </w:p>
        </w:tc>
      </w:tr>
      <w:tr>
        <w:trPr>
          <w:trHeight w:val="224"/>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 January 1, 2026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Purchases during the period</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De-recognition upon RVI and RVII deconsolidation</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 September 30, 2026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nine months ended September 30, 2026, we had no transfers in or out of Level 3 assets or liabilities.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Investments measured using Level 3 inputs primarily consist of investments in privately-held investments. Recent financing transactions in the investee are generally considered the best indication of the enterprise value and therefore used as a basis to estimate fair value. When a recent financing transaction occurs and represents fair value, the Company also uses the calibration process, as appropriate, when estimating fair value on subsequent measurement dates. Calibration is the process of using observed transactions in the investee company’s own instruments to ensure that the valuation techniques that will be employed to value the investee company investment on subsequent measurement dates begin with assumptions that are consistent with the original observed transaction and any more recent observed transactions in the instruments issued by the investee company as well as any updates regarding the investee company’s performance. As of September 30, 2026, the Company determined the fair values of these investments were based on recent transactions of each of the investees.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for certain financial instruments that are not required to be measured or reported at fair value was presented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September 30, 2026</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7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2,241</w:t>
            </w:r>
          </w:p>
        </w:tc>
        <w:tc>
          <w:tcPr>
            <w:tcW w:w="10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2026-1 asset-backed notes</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Total financial liabilities</w:t>
            </w: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2,732</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NOTE 9: INCOME TAXES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740" w:type="dxa"/>
            <w:vAlign w:val="bottom"/>
            <w:gridSpan w:val="4"/>
          </w:tcPr>
          <w:p>
            <w:pPr>
              <w:jc w:val="center"/>
              <w:ind w:left="562"/>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85"/>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2026</w:t>
            </w:r>
          </w:p>
        </w:tc>
      </w:tr>
      <w:tr>
        <w:trPr>
          <w:trHeight w:val="22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1,745</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spacing w:after="0"/>
              <w:rPr>
                <w:sz w:val="19"/>
                <w:szCs w:val="19"/>
                <w:color w:val="auto"/>
              </w:rPr>
            </w:pPr>
          </w:p>
        </w:tc>
        <w:tc>
          <w:tcPr>
            <w:tcW w:w="620" w:type="dxa"/>
            <w:vAlign w:val="bottom"/>
          </w:tcPr>
          <w:p>
            <w:pPr>
              <w:jc w:val="right"/>
              <w:ind w:right="155"/>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155"/>
              <w:spacing w:after="0"/>
              <w:rPr>
                <w:sz w:val="20"/>
                <w:szCs w:val="20"/>
                <w:color w:val="auto"/>
              </w:rPr>
            </w:pPr>
            <w:r>
              <w:rPr>
                <w:rFonts w:ascii="Arial" w:cs="Arial" w:eastAsia="Arial" w:hAnsi="Arial"/>
                <w:sz w:val="18"/>
                <w:szCs w:val="18"/>
                <w:color w:val="auto"/>
              </w:rPr>
              <w:t>350</w:t>
            </w:r>
          </w:p>
        </w:tc>
      </w:tr>
      <w:tr>
        <w:trPr>
          <w:trHeight w:val="23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Effective tax rate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tax provision for interim periods is determined using an estimated annual effective tax rate (“ETR”), adjusted for discrete items arising in the period. In each quarter, we update our estimated annual ETR and make a year-to-date calculation of the provision.</w:t>
      </w:r>
    </w:p>
    <w:p>
      <w:pPr>
        <w:spacing w:after="0" w:line="12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three and nine months ended September 30, 2025, the ETR was lower than the U.S. federal statutory rate primarily due to excess tax benefits from SBC.</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the three months ended September 30, 2026, the ETR was higher than the U.S. federal statutory rate primarily driven by state income taxes. For the nine months ended September 30, 2026, the ETR was lower than the U.S. federal statutory rate primarily due to the excess tax benefits from SBC and the release of the valuation allowance on certain California deferred tax assets.</w:t>
      </w:r>
    </w:p>
    <w:p>
      <w:pPr>
        <w:spacing w:after="0" w:line="13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realization of tax benefits of net deferred assets is dependent upon future levels of taxable income, of an appropriate character, in the periods the items are expected to be deductible or taxable. Based on the available objective evidence for the nine months ended September 30, 2026, we believe it is more likely than not that the tax benefits of certain California, other U.S. states and certain foreign net deferred tax assets may not be realized until sufficient positive evidence exists to support reversal of the valuation allowance.</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color w:val="auto"/>
        </w:rPr>
        <w:t>NOTE 10: SECURITIES BORROWING AND LENDING</w:t>
      </w:r>
    </w:p>
    <w:p>
      <w:pPr>
        <w:spacing w:after="0" w:line="1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securities lending transactions are subject to enforceable master netting arrangements with other broker-dealers; however, we do not net securities borrowing and lending transactions. Therefore, activity related to securities borrowing and lending activities is presented gross on our unaudited condensed consolidated balance sheets.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we borrow securities from users participating in the Fully-Paid Securities Lending program or from third parties, we typically provide cash collateral to our users or third parties, which is recorded on our consolidated balance sheets as “Securities borrowed”, an asset, representing our rights to the return of that collateral. When we lend securities to third parties, we typically receive cash as collateral, which is recorded on our consolidated balance sheets as “Securities loaned”, a liability, representing our obligation to return the collateral. In instances where we are acting as the lender and receive securities that can be sold or pledged as collateral, we recognize the collateral received at fair value and the obligation to return the collateral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certain balances related to our securities borrowing and lending activities as of December 31, 2025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right="680"/>
        <w:spacing w:after="0" w:line="273" w:lineRule="auto"/>
        <w:rPr>
          <w:sz w:val="20"/>
          <w:szCs w:val="20"/>
          <w:color w:val="auto"/>
        </w:rPr>
      </w:pPr>
      <w:r>
        <w:rPr>
          <w:rFonts w:ascii="Arial" w:cs="Arial" w:eastAsia="Arial" w:hAnsi="Arial"/>
          <w:sz w:val="18"/>
          <w:szCs w:val="18"/>
          <w:color w:val="auto"/>
        </w:rPr>
        <w:t>Gross amount of cash collateral provided to users for securities borrowing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assets presented on the consolidated balance sheets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right="440"/>
        <w:spacing w:after="0" w:line="284" w:lineRule="auto"/>
        <w:rPr>
          <w:sz w:val="20"/>
          <w:szCs w:val="20"/>
          <w:color w:val="auto"/>
        </w:rPr>
      </w:pPr>
      <w:r>
        <w:rPr>
          <w:rFonts w:ascii="Arial" w:cs="Arial" w:eastAsia="Arial" w:hAnsi="Arial"/>
          <w:sz w:val="18"/>
          <w:szCs w:val="18"/>
          <w:color w:val="auto"/>
        </w:rPr>
        <w:t>Cash collateral provided to users and third parties for securities borrowing transactions Fair value of securities borrowed from users and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Net amount</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line="273" w:lineRule="auto"/>
        <w:rPr>
          <w:sz w:val="20"/>
          <w:szCs w:val="20"/>
          <w:color w:val="auto"/>
        </w:rPr>
      </w:pPr>
      <w:r>
        <w:rPr>
          <w:rFonts w:ascii="Arial" w:cs="Arial" w:eastAsia="Arial" w:hAnsi="Arial"/>
          <w:sz w:val="18"/>
          <w:szCs w:val="18"/>
          <w:color w:val="auto"/>
        </w:rPr>
        <w:t>Gross amount of cash collateral received from counterparties for securities lending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right="1100"/>
        <w:spacing w:after="0" w:line="284" w:lineRule="auto"/>
        <w:rPr>
          <w:sz w:val="20"/>
          <w:szCs w:val="20"/>
          <w:color w:val="auto"/>
        </w:rPr>
      </w:pPr>
      <w:r>
        <w:rPr>
          <w:rFonts w:ascii="Arial" w:cs="Arial" w:eastAsia="Arial" w:hAnsi="Arial"/>
          <w:sz w:val="18"/>
          <w:szCs w:val="18"/>
          <w:color w:val="auto"/>
        </w:rPr>
        <w:t>Cash collateral received from counterparties for securities lending transactions Fair value of securities pledged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8"/>
          <w:szCs w:val="18"/>
          <w:color w:val="auto"/>
        </w:rPr>
        <w:t>Net amount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Arial" w:cs="Arial" w:eastAsia="Arial" w:hAnsi="Arial"/>
                <w:sz w:val="14"/>
                <w:szCs w:val="14"/>
                <w:b w:val="1"/>
                <w:bCs w:val="1"/>
                <w:color w:val="auto"/>
              </w:rPr>
              <w:t>September 30,</w:t>
            </w:r>
          </w:p>
        </w:tc>
      </w:tr>
      <w:tr>
        <w:trPr>
          <w:trHeight w:val="203"/>
        </w:trPr>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2026</w:t>
            </w:r>
          </w:p>
        </w:tc>
      </w:tr>
      <w:tr>
        <w:trPr>
          <w:trHeight w:val="196"/>
        </w:trPr>
        <w:tc>
          <w:tcPr>
            <w:tcW w:w="2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Securities borrowed</w:t>
            </w:r>
          </w:p>
        </w:tc>
      </w:tr>
      <w:tr>
        <w:trPr>
          <w:trHeight w:val="219"/>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4,781</w:t>
            </w:r>
          </w:p>
        </w:tc>
      </w:tr>
      <w:tr>
        <w:trPr>
          <w:trHeight w:val="235"/>
        </w:trPr>
        <w:tc>
          <w:tcPr>
            <w:tcW w:w="2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4,781</w:t>
            </w:r>
          </w:p>
        </w:tc>
      </w:tr>
      <w:tr>
        <w:trPr>
          <w:trHeight w:val="444"/>
        </w:trPr>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4,781</w:t>
            </w:r>
          </w:p>
        </w:tc>
      </w:tr>
      <w:tr>
        <w:trPr>
          <w:trHeight w:val="235"/>
        </w:trPr>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438"/>
        </w:trPr>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Securities loaned</w:t>
            </w:r>
          </w:p>
        </w:tc>
      </w:tr>
      <w:tr>
        <w:trPr>
          <w:trHeight w:val="219"/>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19,480</w:t>
            </w:r>
          </w:p>
        </w:tc>
      </w:tr>
      <w:tr>
        <w:trPr>
          <w:trHeight w:val="235"/>
        </w:trPr>
        <w:tc>
          <w:tcPr>
            <w:tcW w:w="2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19,480</w:t>
            </w:r>
          </w:p>
        </w:tc>
      </w:tr>
      <w:tr>
        <w:trPr>
          <w:trHeight w:val="444"/>
        </w:trPr>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19,480</w:t>
            </w:r>
          </w:p>
        </w:tc>
      </w:tr>
      <w:tr>
        <w:trPr>
          <w:trHeight w:val="235"/>
        </w:trPr>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(18,617)</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00" w:space="380"/>
            <w:col w:w="3260"/>
          </w:cols>
          <w:pgMar w:left="320" w:top="121" w:right="339" w:bottom="1440" w:gutter="0" w:footer="0" w:header="0"/>
          <w:type w:val="continuous"/>
        </w:sectPr>
      </w:pPr>
    </w:p>
    <w:p>
      <w:pPr>
        <w:spacing w:after="0" w:line="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obtain securities on terms that permit us to pledge and/or transfer securities to others. As of December 31, 2025 and September 30, 2026, we were permitted to re-pledge securities with a fair value of $23.62 billion and $30.48 billion under margin account agreements with users, and securities with insignificant fair value that we borrowed under MSLAs with third parties. Under the Fully-Paid Securities Lending program, as of December 31, 2025 and September 30, 2026, we were permitted to borrow securities with a fair value of $75.88 billion and $111.57 billion including securities with a fair value of $2.35 billion and $4.67 billion that we had borrowed from users.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December 31, 2025 and September 30, 2026, we had re-pledged securities with a fair value of $10.90 billion and $ 18.62 billion, in each case under MSLAs and Fixed-Term Securities Lending Agreements with third parties. In addition, as of December 31, 2025 and September 30, 2026, we had re-pledged $2.83 billion and $3.85 billion of the permitted amounts under the margin account agreements with clearing organizations to meet deposit requirements.</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Beginning in the third quarter of 2026, we also receive U.S. Treasury securities as collateral in connection with our securities lending activities, in addition to cash. This collateral is received through an arrangement with an independent tri-party agent which is responsible for collateral selection, valuation, and settlement between us and the counterparty. As of September 30, 2026, we did not hold any U.S. Treasury securities received as collateral that were available to be re-pledged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11: FINANCING ACTIVITIES AND OFF-BALANCE SHEET RISK</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Convertible Notes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25, 2026, we issued $2.2 billion aggregate principal amount of 0.00% convertible senior notes due 2029 pursuant to an indenture between RHM and U.S. Bank Trust Company, National Association, as trustee, in a private offering pursuant to Rule 144A under the Securities Act. The Convertible Notes are senior unsecured obligations of RHM. The $2.2 billion aggregate principal amount of the Convertible Notes included $200 million in aggregate principal amount of Notes issued pursuant to the initial purchasers’ option to purchase additional Convertible Notes on the same terms and conditions, which the initial purchasers exercised in full on June 23, 2026. The Convertible Notes do not bear regular interest, and the principal amount of the Notes will not accrete. The Convertible Notes will mature on October 1, 2029, unless earlier repurchased, redeemed, or converted. We may pay special interest on the Notes under certain circumstances in accordance with the terms of the Indenture.</w:t>
      </w:r>
    </w:p>
    <w:p>
      <w:pPr>
        <w:spacing w:after="0" w:line="14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the offering of the Convertible Notes, we used approximately $290 million of the net proceeds from the offering of the Convertible Notes to repurchase approximately 2.7 million shares of our Class A common stock in privately negotiated transactions effected with or through one of the initial purchasers of the Convertible Notes or its affiliate at a purchase price per share equal to $105.71, the last reported sale price of our Class A common stock on the Nasdaq Global Select Market on June 22, 2026.</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Convertible Notes are carried at amortized cost. Debt issuance costs of approximately $ 30.6 million, which include underwriter discounts and offering expenses, are presented as a direct deduction from the carrying amount of the Convertible Notes and are amortized to interest expense over the contractual term of the Convertible Notes using the effective interest method. The effective interest rate of the Convertible Notes is 0.43%. The dilution impact was accounted for using the if-converted method; refer to Note 14 - Net Income (Loss) per Share for more information. As of September 30, 2026, the outstanding principal amount is $2.20 billion, and the net carrying amount is $2.17 billion.</w:t>
      </w:r>
    </w:p>
    <w:p>
      <w:pPr>
        <w:spacing w:after="0" w:line="20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September 30, 2026, the remaining unamortized debt issuance costs were $28.1 million with a remaining amortization period of approximately 3.01 years. As of September 30, 2026, the Convertible Notes are potentially convertible into 12.6 million shares of Class A common stock, and no shares were actually issued upon conversion.</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Indenture contains customary covenants and events of default, including non-payment of principal or interest when due, breach of other obligations, and cross-acceleration, each subject to grace periods and other terms specified in the Indenture. Upon such an event of default, the Convertible Notes may be declared immediately due and payable. The Indenture also sets forth certain bankruptcy or insolvency events of default involving the Company, after which the Convertible Notes become automatically due and payable. The Indenture also limits mergers, consolidations, and sales of all or substantially all assets of the Company, and imposes certain reporting obligations, among other things.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w:t>
      </w:r>
    </w:p>
    <w:p>
      <w:pPr>
        <w:spacing w:after="0" w:line="19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are required to settle any conversion by paying cash up to the aggregate principal amount of the Convertible Notes being converted, with any excess settled in cash, shares of our Class A common stock, or a combination thereof, at our election.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Convertible Notes are convertible at the option of the holders, prior to the close of business on the business day immediately preceding July 1, 2029, if certain conditions related to their trading price or our share price are met, certain corporate events or distributions occur, or they are called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or after July 1, 2029 until the close of business on the second scheduled trading day immediately preceding the maturity date, the Convertible Notes are freely convertible by the holders.</w:t>
      </w:r>
    </w:p>
    <w:p>
      <w:pPr>
        <w:spacing w:after="0" w:line="18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initial conversion rate of the Convertible Notes is 5.7332 shares of our Class A common stock per $1,000 principal amount, which is equivalent to an initial conversion price of approximately $174.42 per share of Class A common stock (representing a 65% premium to the $105.71 June 22, 2026 closing price).</w:t>
      </w:r>
    </w:p>
    <w:p>
      <w:pPr>
        <w:spacing w:after="0" w:line="1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conversion rate is subject to adjustment in certain circumstances under the Indenture. In addition, the Company will, in certain circumstances, increase the conversion rate for holders who elect to convert the Convertible Notes in connection with certain corporate events or who convert the Convertible Notes, called for redemption during the related redemption period (as defined in the Indenture).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19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may not redeem the Convertible Notes prior to July 1, 2028, except when the aggregate outstanding principal amount of the Convertible Notes is less than $100 million and certain other conditions are satisfied.</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redeem for cash all or any portion of the Convertible Notes (subject to certain limitations), at our option, on or after July 1, 2028 and prior to the twenty-first scheduled trading day immediately preceding the maturity date, if the last reported sale price of our Class A common stock has been at least 120% of the conversion price for a set period as specified in the Indenture, at a redemption price equal to 100% of the principal amount of the Notes to be redeemed, plus any accrued and unpaid special interest, to, but excluding, the redemption date.</w:t>
      </w:r>
    </w:p>
    <w:p>
      <w:pPr>
        <w:spacing w:after="0" w:line="20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the event of a fundamental change, holders may require the Company to repurchase the Convertible Notes at a repurchase price equal to 100% of the principal amount, plus accrued and unpaid special interest, if any.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Calls Transactions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22, 2026, in connection with the pricing of the Convertible Notes, and on June 23, 2026, in connection with the initial purchasers’ exercise in full of their option to purchase additional Convertible Notes, we entered into privately negotiated Capped Calls transactions with certain of the initial purchasers or their respective affiliates and certain other financial institutions at a cost of $123.2 million. The Capped Calls initially cover, subject to customary anti-dilution adjustments, the number of shares initially underlying the notes sold in the offering.</w:t>
      </w:r>
    </w:p>
    <w:p>
      <w:pPr>
        <w:spacing w:after="0" w:line="15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Capped Calls are expected generally to reduce the potential dilution to our Class A common stock upon any conversion of the Convertible Notes and/or offset any potential cash payments we are required to make in excess of the principal amount of converted Convertible Notes, as the case may be, with such reduction and/or offset subject to a cap based on the cap price. The Capped Calls were recorded as a reduction to additional paid-in capital and will not be remeasured.</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Capped Calls have an initial strike price of $174.4227 per share of Class A common stock subject to certain adjustments, and an initial cap price of approximately $237.8475 per share of Class A common stock, subject to certain adjustments. Conditions that cause adjustments to the initial cap price mirror conditions that result in corresponding adjustments for the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Revolving Credit Facilities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RHM March 2026 Credit Agreement</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March 9, 2026, RHM entered into the RHM March 2026 Credit Agreement, amending and restating the unsecured revolving line of credit entered into in March 2024 and first amended in March 2025 (refer to Note 11 - Financing Activities and Off-Balance Sheet Risk, of the 2025 Form 10-K for more information). The RHM March 2026 Credit Agreement has a total commitment of $1.125 billion as of September 30, 2026, with a maturity date of March 21, 2028. Under circumstances described in the RHM March 2026 Credit Agreement, the aggregate commitments may be increased from time to time by up to $500 million in the aggregate, for a total commitment of up to $1.50 billion. As of September 30, 2026, remaining incremental capacity under the accordion was $375 million. Borrowings under the RHM March 2026 Credit Agreement will bear interest at a rate per annum equal to the Alternate Base Rate or Adjusted Term SOFR plus an applicable margin rate of 1.50%. For purposes of the RHM March 2026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 such rate shall be deemed to be equal to the floor. RHM is obligated to pay a commitment fee calculated at a per annum rate equal to 0.25% on any unused amount.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RHS March 2026 Credit Agreement</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March 20, 2026, RHS, our wholly-owned subsidiary, entered into the RHS March 2026 Credit Agreement among RHS, as borrower, the lenders party thereto, and JPMorgan Chase Bank, N.A., as administrative agent, amending and restating the $2.65 billion 364-day senior secured revolving credit facility entered into in March 2025 (refer to Note 11 - Financing Activities and Off-Balance Sheet Risk, of the 2025 Form 10-K for more information).</w:t>
      </w:r>
    </w:p>
    <w:p>
      <w:pPr>
        <w:spacing w:after="0" w:line="1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RHS March 2026 Credit Agreement provides for a 364-day senior secured revolving credit facility with a total commitment of $3.325 billion as of September 30, 2026. Under circumstances described in the RHS March 2026 Credit Agreement, the aggregate commitments may be increased from time to time by up to $1.625 billion via an accordion feature, for a total commitment up to $4.875 billion. As of September 30, 2026, remaining incremental capacity under the accordion was $1.550 billion. Borrowings under the credit facility must be specified to be Tranche A, Tranche B, Tranche C or a combination thereof, with each tranche being secured by different assets of RHS as set forth in the RHS March 2026 Credit Agreement. Borrowings under the RHS March 2026 Credit Agreement will bear interest at a rate per annum equal to the greatest of (i) Daily Simple SOFR (as defined in the RHS March 2026 Credit Agreement), (ii) the Federal Funds Effective Rate (as defined in the RHS March 2026 Credit Agreement) and (iii) the Overnight Bank Funding Rate (as defined in the RHS March 2026 Credit Agreement), in each case, as of the day the loan is initiated, plus an applicable margin rate. The applicable margin rate is 1.25% for Tranche A loans and 2.50% for Tranche B and Tranche C loans. Undrawn commitments will accrue commitment fees at a rate per annum equal to 0.45%.</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RHS March 2026 Credit Agreement requires RHS to maintain a minimum consolidated tangible net worth and a minimum excess net capital, and subjects RHS to a specified limit on minimum net capital to aggregate debit items. In addition, the RHS March 2026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2026 Credit Agreement may be accelerated upon an “event of default,” as defined in the RHS March 2026 Credit Agreement, such as failure to pay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owed thereunder when due, breach of a covenant, material inaccuracy of a representation, or occurrence of bankruptcy or insolvency, subject in some cases to cure periods.</w:t>
      </w:r>
    </w:p>
    <w:p>
      <w:pPr>
        <w:spacing w:after="0" w:line="12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December 31, 2025 and September 30, 2026, there were no borrowings outstanding and we were in compliance with all covenants, as applicable, under our revolving credit facilities.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Card Funding Trust</w:t>
      </w:r>
    </w:p>
    <w:p>
      <w:pPr>
        <w:spacing w:after="0" w:line="18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terms of the Coastal Bank Program Agreement (discussed below), Robinhood Credit has the ability to purchase credit card receivables originated and held for a period of time by Coastal Bank. Robinhood Credit continues to earn interest from customers and uses these purchased credit card receivables as collateral under a trust structure to access debt financing in the ordinary course of business. To help facilitate these transactions, we created a VIE known as the Trust.</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the primary beneficiary of the Trust as, through our role as the servicer and administrator, we have the power to direct the activities that most significantly affect the Trust’s economic performance and, due to owning all the equity interest in the Trust, have the right to receive benefits or the obligation to absorb losses. As such, we consolidate the Trust in the unaudited condensed consolidated financial statements. Substantially all of the Trust’s assets and liabilities are the purchased credit card receivables, included in Receivable from users, net, the outstanding borrowings, included in Other current liabilities, and the Series 2026-1 asset-backed notes, included in Long-term borrowings, on the unaudited condensed consolidated balance sheets.</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exposure to losses in the Trust is limited to the carrying value of net assets held by the Trust, including expected credit losses related to the purchased credit card receivables (Refer to Note 7 - Allowance for Credit Losses). For the Trust, the creditors have no recourse to our general credit and the liabilities of the Trust can only be settled by the Trust’s assets. Additionally, the assets of the Trust can only be used to settle obligations of the Trust.</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2026, the Trust maintained six revolving borrowing arrangements (with Barclays, SVB, WF, Truist Bank, Goldman Sachs, and Mizuho) providing an aggregate commitment limit of $1.55 billion. These facilities have revolving periods ending between April 2027 and November 2029. Borrowings generally bear interest at a commercial paper rate, Term SOFR, or Daily Simple SOFR plus applicable margins ranging from 1.20% to 1.50%. Undrawn amounts accrue commitment fees between 0.20% and 0.35%. In October 2026, the Trust amended its revolving borrowing arrangement with Barclays to increase the commitment limit by $100 million and reduce the applicable margin by 0.20%. As of September 30, 2026, the weighted-average interest rate of the active arrangements was 5.06%.</w:t>
      </w:r>
    </w:p>
    <w:p>
      <w:pPr>
        <w:spacing w:after="0" w:line="1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 ended December 31, 2025 and during the nine months ended September 30, 2026, the Trust purchased $5.2 billion and $10.8 billion of credit card receivables. As of December 31, 2025 and September 30, 2026, the carrying value of purchased credit card receivables that had not been collected, net of provision for credit losses, was $786 million and $1.51 billion, and the outstanding balance of borrowing principal and interest was $602 million and $839 million. For the three and nine months ended September 30, 2025, the net interest revenue of the Trust was $14 million and $26 million. For the three and nine months ended September 30, 2026, the net interest revenue of the Trust was $46 million and $107 million.</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July 23, 2026, the Trust issued $500 million aggregate principal amount of Series 2026-1 notes with a weighted average coupon of approximately 4.86%. The Series 2026-1 notes are comprised of $422 million principal amount of 4.80% notes, $48 million principal amount of 4.99% notes, $20 million principal amount of 5.31% notes, and $10 million principal amount of 5.65% notes, all of which have a revolving period ending in June 2029 and a final maturity date in July 2031.</w:t>
      </w:r>
    </w:p>
    <w:p>
      <w:pPr>
        <w:spacing w:after="0" w:line="13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received net cash proceeds of $ 497 million, in connection with the issuance of the Series 2026-1 notes, which were used primarily to repay outstanding borrowings under the Trust’s existing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warehouse facilities. The Series 2026-1 notes are carried at amortized cost, adjusted for the fair value hedging adjustment described in Note 12 - Derivatives and Hedging Activities. Debt issuance costs of approximately $ 2.54 million are presented as a direct deduction from the carrying amount of the Series 2026-1 notes and are amortized to interest expense over the contractual term of the Series 2026-1 notes. As of September 30, 2026, the outstanding principal amount was $500 million, the net carrying amount was $488 million, and the remaining unamortized debt issuance costs were $2.44 million.</w:t>
      </w:r>
    </w:p>
    <w:p>
      <w:pPr>
        <w:spacing w:after="0" w:line="1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 governing the Series 2026-1 notes contains a provision that allows the Trust to redeem the notes in full at any time after June 1, 2029, at the full principal amount plus accrued and unpaid interest and fees. The indenture also contains early amortization events, including a servicer default, certain insolvency events, and the three-month average excess spread percentage falling to 0.00% or below. If an early amortization event occurs, the revolving period ends and principal collections on the receivables are used to repay the notes on each monthly payment date until the notes are paid in full. Interest on the notes is payable monthly in arrears.</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15, 2026, the Trust completed an issuance of $500 million of Series 2026-2 notes, which are secured primarily by a pool of credit card receivables originated by Coastal Bank and part of the Trust collateral. The offering consisted of four classes of fixed-rate notes that were issued to qualified institutional buyers in a private offering pursuant to Rule 144A and Regulation S under the Securities Act. The Series 2026-2 notes have a revolving period ending in September 2029, with a final maturity date in October 2031. The Series 2026-2 notes have a weighted average coupon of approximately 5.58%.</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Coastal Bank Program Agreement</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a program agreement between us and Coastal Bank (the “Program Agreement”) most recently amended in March 2026, Coastal Bank may fund up to $500 million of credit card receivables. Robinhood Credit pays Coastal Bank interest based on the average balance of advances during the month at the Federal Funds Rate plus a margin of 2.65% on the first $300 million and 1.15% on such amounts in excess of $300 million.</w:t>
      </w:r>
    </w:p>
    <w:p>
      <w:pPr>
        <w:spacing w:after="0" w:line="20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credit card receivables and the funding from Coastal Bank are off-balance sheet, considering Coastal Bank is the legal lender and originator, the party to which the customer has a creditor-borrower relationship, and the legal owner of the receivables. As of September 30, 2026, the off-balance sheet credit card receivables funded under the Program Agreement was $196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Settlement</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users have ownership of the securities they transact on our platforms, including those that collateralize margin loans, and, as a result, such securities are not presented on our unaudited condensed consolidated balance sheets. In the normal course of business, we engage in activities involving settlement and financing of securities transactions. User securities transactions are recorded on a settlement date basis. The settlement date for equities and options is one business day after the trade date.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Held in Custody on Behalf of Users</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hold cryptocurrencies in custody on behalf of our users which includes staked assets on our platform, totaling $38.2 billion and $37.9 billion at fair value at December 31, 2025 and September 30, 2026, and these assets were not recorded on our unaudited condensed consolidated balance sheets. The fair value was determined based on observed market pricing representing the last price executed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trades of each cryptocurrency at period ends. We also considered whether a liability representing anticipated losses from crypto assets that we hold in custody on behalf of users should be recognized and determined the likelihood of such losses was remote. As such, we did not record a liability at December 31, 2025 and September 30, 2026.</w:t>
      </w:r>
    </w:p>
    <w:p>
      <w:pPr>
        <w:spacing w:after="0" w:line="140" w:lineRule="exact"/>
        <w:rPr>
          <w:sz w:val="20"/>
          <w:szCs w:val="20"/>
          <w:color w:val="auto"/>
        </w:rPr>
      </w:pPr>
    </w:p>
    <w:p>
      <w:pPr>
        <w:spacing w:after="0"/>
        <w:rPr>
          <w:sz w:val="20"/>
          <w:szCs w:val="20"/>
          <w:color w:val="auto"/>
        </w:rPr>
      </w:pPr>
      <w:r>
        <w:rPr>
          <w:rFonts w:ascii="Arial" w:cs="Arial" w:eastAsia="Arial" w:hAnsi="Arial"/>
          <w:sz w:val="25"/>
          <w:szCs w:val="25"/>
          <w:color w:val="auto"/>
        </w:rPr>
        <w:t>NOTE 12: DERIVATIVES AND HEDGING ACTIVITIES</w:t>
      </w:r>
    </w:p>
    <w:p>
      <w:pPr>
        <w:spacing w:after="0" w:line="18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September 30, 2026, we had one interest rate swap with a notional amount of $500 million that was designated as a fair value hedge of interest rate risk associated with our fixed rate Series 2026-1 notes. Under the interest rate swap agreement, we pay a floating rate equal to the daily U.S. Federal Funds Rate, plus a spread, and receive a fixed rate of 4.86%. This agreement expires in May 2029, and was considered to be perfectly effective under the shortcut method.</w:t>
      </w:r>
    </w:p>
    <w:p>
      <w:pPr>
        <w:spacing w:after="0" w:line="14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As of September 30, 2026, the fair value of hedging instruments was $ 10 million and was included in Other non-current liabilities on our consolidated balance sheets. We had no derivatives designated as hedging instruments during the year ended December 31, 2025.</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cash flows related to settlement of interest rate swaps are classified in the consolidated statements of cash flows based on the nature of the underlying hedged items. See Note 8 - Investments and Fair Value Measurement for the fair value of the Company’s outstanding derivative financial instrument and corresponding fair value classification. Changes in fair value of interest rate swaps as well as the offsetting change in fair value on the hedged debt are recognized directly in Net interest revenues as interest payments are received or paid on the hedged items, which results in no net impact in the consolidated statements of operations.</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summarizes the effect of hedges on the carrying value of hedged debt recognized on our consolidated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405"/>
        </w:trPr>
        <w:tc>
          <w:tcPr>
            <w:tcW w:w="9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4"/>
                <w:szCs w:val="24"/>
                <w:color w:val="auto"/>
              </w:rPr>
            </w:pPr>
          </w:p>
        </w:tc>
        <w:tc>
          <w:tcPr>
            <w:tcW w:w="1380" w:type="dxa"/>
            <w:vAlign w:val="bottom"/>
          </w:tcPr>
          <w:p>
            <w:pPr>
              <w:jc w:val="right"/>
              <w:ind w:right="539"/>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187"/>
        </w:trPr>
        <w:tc>
          <w:tcPr>
            <w:tcW w:w="96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Carrying amount of hedged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Cumulative hedging adjustments, included in carrying amount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83"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As of September 30, 2026, we had public stock token obligations with an aggregate fair value of $185 million included in Other current liabilities. The securities we hold to back the tokens, with the same fair value, are included in Other current assets. We have not designated these instruments as hedges.</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Gains and losses on the public stock token derivatives are largely offset by gains and losses on the securities we hold to back the tokens. For the three and nine months ended September 30, 2026, the losses of the stock token derivatives were $7 million and $8 million, respectively, which were largely offset by gains on the underlying securities held to back the tokens.</w:t>
      </w: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color w:val="auto"/>
        </w:rPr>
        <w:t>NOTE 13: COMMON STOCK AND STOCKHOLDERS’ EQUITY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2026, no terms of the preferred stock were designated and no shares of preferred stock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Common Stock</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Charter or applicable law.</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w:t>
      </w:r>
    </w:p>
    <w:p>
      <w:pPr>
        <w:spacing w:after="0" w:line="18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September 30, 2026, we had outstanding warrants with a strike price of $26.60 that can be exercised to purchase 8.74 million shares of Class A common stock. The warrants expire on February 12, 2031 and can be exercised with cash or net shares settled at the holder’s option. For the nine months ended September 30, 2026, no warrants were exercised via net settlement, resulting in no shares of Class A common stock issued, and the maximum purchase amount of all remaining outstanding warrants was $232 million.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 Repurchase Program</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24, 2026, the Company announced that its board of directors approved the Repurchase Program authorizing the Company to repurchase up to $1.5 billion of its outstanding Class A common stock. The Repurchase Program replaced the Prior Repurchase Program and is inclusive of amounts that remained available for repurchase under the Prior Repurchase Program which were rolled over into the Repurchase Program, and represents more than $1.1 billion of incremental capacity. While the Repurchase Program does not have an expiration date, management currently expects to conduct the Repurchase Program over a period of approximately three years, beginning in the first quarter of 2026.</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timing and amount of repurchase transactions will be determined by us from time to time at our discretion based on our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our discretion.</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three and nine months ended September 30, 2026, we repurchased approximately 0.2 million and 5.0 million shares of our Class A common stock for $25 million and $399 million under our Repurchase Program. In addition, we repurchased 2.7 million shares of our Class A common stock for $290 million using the net proceeds from the offering of the Convertible Notes during the three months ended June 30, 2026. Refer to Note 11 - Financing Activities and Off-Balance Sheet Risk for more details.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Equity Incentive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Omnibus Incentive Plan</w:t>
      </w:r>
    </w:p>
    <w:p>
      <w:pPr>
        <w:spacing w:after="0" w:line="18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2021 Plan became effective on July 27, 2021, and provides for the grant of share-based awards (such as options, including ISOs, NSOs, SARs, RSAs, RSUs, performance restricted stock units (“PSUs”), and other equity-based awards) and cash-based awards.</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As of September 30, 2026, an aggregate of 537 million shares had been authorized for issuance under the 2013 Plan, 2020 Plan, and 2021 Plan, of which 180 million shares had been issued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plans, 9 million shares were reserved for issuance upon the exercise or settlement of outstanding equity awards under the plans, and 348 million shares remained available for new grants under the 2021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grant RSUs that vest upon the satisfaction of a time-based service condition. The following table summarizes the activity related to our Time-Based RSUs for the nine months ended September 30, 2026, which is the period we grant our company-wide annual refresh grants: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for weighted average grant date fair value)</w:t>
            </w: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RSUs</w:t>
            </w: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798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5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560" w:type="dxa"/>
            <w:vAlign w:val="bottom"/>
            <w:tcBorders>
              <w:top w:val="single" w:sz="8" w:color="auto"/>
            </w:tcBorders>
            <w:shd w:val="clear" w:color="auto" w:fill="CCEEFF"/>
          </w:tcPr>
          <w:p>
            <w:pPr>
              <w:jc w:val="center"/>
              <w:ind w:left="1213"/>
              <w:spacing w:after="0"/>
              <w:rPr>
                <w:sz w:val="20"/>
                <w:szCs w:val="20"/>
                <w:color w:val="auto"/>
              </w:rPr>
            </w:pPr>
            <w:r>
              <w:rPr>
                <w:rFonts w:ascii="Arial" w:cs="Arial" w:eastAsia="Arial" w:hAnsi="Arial"/>
                <w:sz w:val="18"/>
                <w:szCs w:val="18"/>
                <w:color w:val="auto"/>
                <w:w w:val="99"/>
              </w:rPr>
              <w:t>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center"/>
              <w:ind w:left="1213"/>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77.77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center"/>
              <w:ind w:left="1213"/>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center"/>
              <w:ind w:left="1213"/>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2026</w:t>
            </w:r>
          </w:p>
        </w:tc>
        <w:tc>
          <w:tcPr>
            <w:tcW w:w="1560" w:type="dxa"/>
            <w:vAlign w:val="bottom"/>
            <w:tcBorders>
              <w:bottom w:val="single" w:sz="8" w:color="auto"/>
            </w:tcBorders>
            <w:shd w:val="clear" w:color="auto" w:fill="CCEEFF"/>
          </w:tcPr>
          <w:p>
            <w:pPr>
              <w:jc w:val="center"/>
              <w:ind w:left="1213"/>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grant PSUs that generally vest over one to three years upon the satisfaction of performance conditions. There were no unvested PSUs outstanding as of December 31, 2025. During the nine months ended September 30, 2026, we granted 0.4 million PSUs with a weighted-average grant date fair value of $85.92 per unit. The number of PSUs granted represents the aggregate maximum number of shares that may be earned and issued with respect to these awards over their full terms. During the nine months ended September 30, 2026, no shares underlying PSUs vested.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of TradePMR</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acquisition of TradePMR, we issued approximately 2 million unvested shares of Class A common stock, valued at approximately $100 million as of the closing date of the acquisition, that will vest over a four-year period post-acquisition, subject to the terms of a vesting agreement. These shares are not part of the equity incentive plans described above. Shares of unvested restricted stock have the same voting rights as all other Class A common stock and are considered to be issued and outstanding. The following table summarizes the activity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for weighted average grant date fair value)</w:t>
            </w:r>
          </w:p>
        </w:tc>
        <w:tc>
          <w:tcPr>
            <w:tcW w:w="16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RSAs</w:t>
            </w: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798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5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Issued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2026</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Compensation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SBC on our unaudited condensed consolidated statements of operations for the periods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2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5"/>
        </w:trPr>
        <w:tc>
          <w:tcPr>
            <w:tcW w:w="46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2026</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Marketing</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462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1"/>
        </w:trPr>
        <w:tc>
          <w:tcPr>
            <w:tcW w:w="4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capitalized SBC expense related to internally developed software of $5 million and $15 million during the three and nine months ended September 30, 2026 compared to $6 million and $17 million for the three and nine months ended September 30, 2025.</w:t>
      </w:r>
    </w:p>
    <w:p>
      <w:pPr>
        <w:spacing w:after="0" w:line="11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As of September 30, 2026, there was $453 million of unrecognized SBC expense that is expected to be recognized over a weighted-average period of 1.04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25"/>
          <w:szCs w:val="25"/>
          <w:color w:val="auto"/>
        </w:rPr>
        <w:t>NOTE 14: NET INCOME (LOSS) PER SHARE</w:t>
      </w:r>
    </w:p>
    <w:p>
      <w:pPr>
        <w:spacing w:after="0" w:line="202"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We present net income (loss) per share using the two-class method. Class A and Class B common stock have identical liquidation and dividend rights, differing only in voting rights; accordingly, undistributed earnings are allocated proportionately and EPS is the same for both classes on an individual and combined basis. We compute the dilutive effect of shares issuable upon conversion of our Convertible Notes using the if-converted method and the dilutive effect of equity awards under our employee equity incentive plans using the treasury stock method. The following table presents the calculation of basic and diluted EPS: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for per share data)</w:t>
            </w:r>
          </w:p>
        </w:tc>
        <w:tc>
          <w:tcPr>
            <w:tcW w:w="1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Class A</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Class B</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Class A</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Class B</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Class A</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Class B</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Class A</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Basic EPS: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485</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1,112</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1,225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Less: Net income attributable to</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60" w:type="dxa"/>
            <w:vAlign w:val="bottom"/>
          </w:tcPr>
          <w:p>
            <w:pPr>
              <w:ind w:left="20"/>
              <w:spacing w:after="0" w:line="133" w:lineRule="exact"/>
              <w:rPr>
                <w:sz w:val="20"/>
                <w:szCs w:val="20"/>
                <w:color w:val="auto"/>
              </w:rPr>
            </w:pPr>
            <w:r>
              <w:rPr>
                <w:rFonts w:ascii="Arial" w:cs="Arial" w:eastAsia="Arial" w:hAnsi="Arial"/>
                <w:sz w:val="14"/>
                <w:szCs w:val="14"/>
                <w:color w:val="auto"/>
              </w:rPr>
              <w:t>Net income attributable to Robinhood</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485</w:t>
            </w:r>
          </w:p>
        </w:tc>
        <w:tc>
          <w:tcPr>
            <w:tcW w:w="2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411</w:t>
            </w:r>
          </w:p>
        </w:tc>
        <w:tc>
          <w:tcPr>
            <w:tcW w:w="2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1,112</w:t>
            </w:r>
          </w:p>
        </w:tc>
        <w:tc>
          <w:tcPr>
            <w:tcW w:w="2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1"/>
                <w:szCs w:val="11"/>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1,211</w:t>
            </w:r>
          </w:p>
        </w:tc>
        <w:tc>
          <w:tcPr>
            <w:tcW w:w="2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line="158" w:lineRule="exact"/>
              <w:rPr>
                <w:sz w:val="20"/>
                <w:szCs w:val="20"/>
                <w:color w:val="auto"/>
              </w:rPr>
            </w:pPr>
            <w:r>
              <w:rPr>
                <w:rFonts w:ascii="Arial" w:cs="Arial" w:eastAsia="Arial" w:hAnsi="Arial"/>
                <w:sz w:val="14"/>
                <w:szCs w:val="14"/>
                <w:color w:val="auto"/>
              </w:rPr>
              <w:t>common stockholders</w:t>
            </w:r>
          </w:p>
        </w:tc>
        <w:tc>
          <w:tcPr>
            <w:tcW w:w="1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20"/>
              <w:spacing w:after="0" w:line="153" w:lineRule="exact"/>
              <w:rPr>
                <w:sz w:val="20"/>
                <w:szCs w:val="20"/>
                <w:color w:val="auto"/>
              </w:rPr>
            </w:pPr>
            <w:r>
              <w:rPr>
                <w:rFonts w:ascii="Arial" w:cs="Arial" w:eastAsia="Arial" w:hAnsi="Arial"/>
                <w:sz w:val="14"/>
                <w:szCs w:val="14"/>
                <w:color w:val="auto"/>
              </w:rPr>
              <w:t>Weighted-average common shares</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776</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790</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770</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790</w:t>
            </w:r>
          </w:p>
        </w:tc>
        <w:tc>
          <w:tcPr>
            <w:tcW w:w="22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outstanding - basic</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154305</wp:posOffset>
            </wp:positionV>
            <wp:extent cx="66948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94805" cy="1289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Diluted EPS: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Numerator</w:t>
      </w:r>
    </w:p>
    <w:p>
      <w:pPr>
        <w:spacing w:after="0" w:line="42" w:lineRule="exact"/>
        <w:rPr>
          <w:sz w:val="20"/>
          <w:szCs w:val="20"/>
          <w:color w:val="auto"/>
        </w:rPr>
      </w:pPr>
    </w:p>
    <w:p>
      <w:pPr>
        <w:ind w:left="520"/>
        <w:spacing w:after="0"/>
        <w:tabs>
          <w:tab w:leader="none" w:pos="2800" w:val="left"/>
        </w:tabs>
        <w:rPr>
          <w:sz w:val="20"/>
          <w:szCs w:val="20"/>
          <w:color w:val="auto"/>
        </w:rPr>
      </w:pPr>
      <w:r>
        <w:rPr>
          <w:rFonts w:ascii="Arial" w:cs="Arial" w:eastAsia="Arial" w:hAnsi="Arial"/>
          <w:sz w:val="14"/>
          <w:szCs w:val="14"/>
          <w:color w:val="auto"/>
        </w:rPr>
        <w:t>Net income</w:t>
      </w:r>
      <w:r>
        <w:rPr>
          <w:sz w:val="20"/>
          <w:szCs w:val="20"/>
          <w:color w:val="auto"/>
        </w:rPr>
        <w:tab/>
      </w:r>
      <w:r>
        <w:rPr>
          <w:rFonts w:ascii="Arial" w:cs="Arial" w:eastAsia="Arial" w:hAnsi="Arial"/>
          <w:sz w:val="14"/>
          <w:szCs w:val="14"/>
          <w:color w:val="auto"/>
        </w:rPr>
        <w:t>$</w:t>
      </w:r>
    </w:p>
    <w:p>
      <w:pPr>
        <w:spacing w:after="0" w:line="42" w:lineRule="exact"/>
        <w:rPr>
          <w:sz w:val="20"/>
          <w:szCs w:val="20"/>
          <w:color w:val="auto"/>
        </w:rPr>
      </w:pPr>
    </w:p>
    <w:p>
      <w:pPr>
        <w:ind w:left="360" w:right="360" w:firstLine="162"/>
        <w:spacing w:after="0" w:line="252" w:lineRule="auto"/>
        <w:rPr>
          <w:sz w:val="20"/>
          <w:szCs w:val="20"/>
          <w:color w:val="auto"/>
        </w:rPr>
      </w:pPr>
      <w:r>
        <w:rPr>
          <w:rFonts w:ascii="Arial" w:cs="Arial" w:eastAsia="Arial" w:hAnsi="Arial"/>
          <w:sz w:val="14"/>
          <w:szCs w:val="14"/>
          <w:color w:val="auto"/>
        </w:rPr>
        <w:t>Less: Net income attributable to non-controlling interests</w:t>
      </w:r>
    </w:p>
    <w:p>
      <w:pPr>
        <w:spacing w:after="0" w:line="1" w:lineRule="exact"/>
        <w:rPr>
          <w:sz w:val="20"/>
          <w:szCs w:val="20"/>
          <w:color w:val="auto"/>
        </w:rPr>
      </w:pPr>
    </w:p>
    <w:p>
      <w:pPr>
        <w:ind w:left="360" w:right="180"/>
        <w:spacing w:after="0" w:line="251" w:lineRule="auto"/>
        <w:rPr>
          <w:sz w:val="20"/>
          <w:szCs w:val="20"/>
          <w:color w:val="auto"/>
        </w:rPr>
      </w:pPr>
      <w:r>
        <w:rPr>
          <w:rFonts w:ascii="Arial" w:cs="Arial" w:eastAsia="Arial" w:hAnsi="Arial"/>
          <w:sz w:val="14"/>
          <w:szCs w:val="14"/>
          <w:color w:val="auto"/>
        </w:rPr>
        <w:t>Net income attributable to Robinhood common stockholders</w:t>
      </w:r>
    </w:p>
    <w:p>
      <w:pPr>
        <w:spacing w:after="0" w:line="1" w:lineRule="exact"/>
        <w:rPr>
          <w:sz w:val="20"/>
          <w:szCs w:val="20"/>
          <w:color w:val="auto"/>
        </w:rPr>
      </w:pPr>
    </w:p>
    <w:p>
      <w:pPr>
        <w:ind w:left="760" w:right="200" w:hanging="242"/>
        <w:spacing w:after="0" w:line="241" w:lineRule="auto"/>
        <w:rPr>
          <w:sz w:val="20"/>
          <w:szCs w:val="20"/>
          <w:color w:val="auto"/>
        </w:rPr>
      </w:pPr>
      <w:r>
        <w:rPr>
          <w:rFonts w:ascii="Arial" w:cs="Arial" w:eastAsia="Arial" w:hAnsi="Arial"/>
          <w:sz w:val="14"/>
          <w:szCs w:val="14"/>
          <w:color w:val="auto"/>
        </w:rPr>
        <w:t>Reallocation of net income as a result of conversion of Class B to Class A common stock</w:t>
      </w:r>
    </w:p>
    <w:p>
      <w:pPr>
        <w:spacing w:after="0" w:line="1" w:lineRule="exact"/>
        <w:rPr>
          <w:sz w:val="20"/>
          <w:szCs w:val="20"/>
          <w:color w:val="auto"/>
        </w:rPr>
      </w:pPr>
    </w:p>
    <w:p>
      <w:pPr>
        <w:ind w:left="760" w:right="140" w:hanging="242"/>
        <w:spacing w:after="0" w:line="251" w:lineRule="auto"/>
        <w:rPr>
          <w:sz w:val="20"/>
          <w:szCs w:val="20"/>
          <w:color w:val="auto"/>
        </w:rPr>
      </w:pPr>
      <w:r>
        <w:rPr>
          <w:rFonts w:ascii="Arial" w:cs="Arial" w:eastAsia="Arial" w:hAnsi="Arial"/>
          <w:sz w:val="14"/>
          <w:szCs w:val="14"/>
          <w:color w:val="auto"/>
        </w:rPr>
        <w:t>Reallocation of net income (loss) to Class B common stock</w:t>
      </w:r>
    </w:p>
    <w:tbl>
      <w:tblPr>
        <w:tblLayout w:type="fixed"/>
        <w:tblInd w:w="360" w:type="dxa"/>
        <w:tblCellMar>
          <w:top w:w="0" w:type="dxa"/>
          <w:left w:w="0" w:type="dxa"/>
          <w:bottom w:w="0" w:type="dxa"/>
          <w:right w:w="0" w:type="dxa"/>
        </w:tblCellMar>
      </w:tblPr>
      <w:tr>
        <w:trPr>
          <w:trHeight w:val="148"/>
        </w:trPr>
        <w:tc>
          <w:tcPr>
            <w:tcW w:w="2420" w:type="dxa"/>
            <w:vAlign w:val="bottom"/>
          </w:tcPr>
          <w:p>
            <w:pPr>
              <w:spacing w:after="0" w:line="148" w:lineRule="exact"/>
              <w:rPr>
                <w:sz w:val="20"/>
                <w:szCs w:val="20"/>
                <w:color w:val="auto"/>
              </w:rPr>
            </w:pPr>
            <w:r>
              <w:rPr>
                <w:rFonts w:ascii="Arial" w:cs="Arial" w:eastAsia="Arial" w:hAnsi="Arial"/>
                <w:sz w:val="14"/>
                <w:szCs w:val="14"/>
                <w:color w:val="auto"/>
              </w:rPr>
              <w:t>Net income attributable to Robinhood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60"/>
              <w:spacing w:after="0" w:line="149" w:lineRule="exact"/>
              <w:rPr>
                <w:sz w:val="20"/>
                <w:szCs w:val="20"/>
                <w:color w:val="auto"/>
              </w:rPr>
            </w:pPr>
            <w:r>
              <w:rPr>
                <w:rFonts w:ascii="Arial" w:cs="Arial" w:eastAsia="Arial" w:hAnsi="Arial"/>
                <w:sz w:val="14"/>
                <w:szCs w:val="14"/>
                <w:color w:val="auto"/>
              </w:rPr>
              <w:t>common stockholders for diluted</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420" w:type="dxa"/>
            <w:vAlign w:val="bottom"/>
          </w:tcPr>
          <w:p>
            <w:pPr>
              <w:ind w:left="160"/>
              <w:spacing w:after="0"/>
              <w:rPr>
                <w:sz w:val="20"/>
                <w:szCs w:val="20"/>
                <w:color w:val="auto"/>
              </w:rPr>
            </w:pPr>
            <w:r>
              <w:rPr>
                <w:rFonts w:ascii="Arial" w:cs="Arial" w:eastAsia="Arial" w:hAnsi="Arial"/>
                <w:sz w:val="14"/>
                <w:szCs w:val="14"/>
                <w:color w:val="auto"/>
              </w:rPr>
              <w:t>EPS</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20"/>
                <w:szCs w:val="20"/>
                <w:color w:val="auto"/>
              </w:rPr>
            </w:pPr>
            <w:r>
              <w:rPr>
                <w:rFonts w:ascii="Arial" w:cs="Arial" w:eastAsia="Arial" w:hAnsi="Arial"/>
                <w:sz w:val="14"/>
                <w:szCs w:val="14"/>
                <w:color w:val="auto"/>
              </w:rPr>
              <w:t>Denominator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Weighted-average common shares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Arial" w:cs="Arial" w:eastAsia="Arial" w:hAnsi="Arial"/>
                <w:sz w:val="14"/>
                <w:szCs w:val="14"/>
                <w:color w:val="auto"/>
              </w:rPr>
              <w:t>outstanding - basic</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60"/>
              <w:spacing w:after="0" w:line="149" w:lineRule="exact"/>
              <w:rPr>
                <w:sz w:val="20"/>
                <w:szCs w:val="20"/>
                <w:color w:val="auto"/>
              </w:rPr>
            </w:pPr>
            <w:r>
              <w:rPr>
                <w:rFonts w:ascii="Arial" w:cs="Arial" w:eastAsia="Arial" w:hAnsi="Arial"/>
                <w:sz w:val="14"/>
                <w:szCs w:val="14"/>
                <w:color w:val="auto"/>
              </w:rPr>
              <w:t>Dilutive effect of stock options and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Arial" w:cs="Arial" w:eastAsia="Arial" w:hAnsi="Arial"/>
                <w:sz w:val="14"/>
                <w:szCs w:val="14"/>
                <w:color w:val="auto"/>
              </w:rPr>
              <w:t>unvested shares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160"/>
              <w:spacing w:after="0" w:line="149" w:lineRule="exact"/>
              <w:rPr>
                <w:sz w:val="20"/>
                <w:szCs w:val="20"/>
                <w:color w:val="auto"/>
              </w:rPr>
            </w:pPr>
            <w:r>
              <w:rPr>
                <w:rFonts w:ascii="Arial" w:cs="Arial" w:eastAsia="Arial" w:hAnsi="Arial"/>
                <w:sz w:val="14"/>
                <w:szCs w:val="14"/>
                <w:color w:val="auto"/>
              </w:rPr>
              <w:t>Conversion of Class B to Class 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jc w:val="right"/>
              <w:spacing w:after="0"/>
              <w:rPr>
                <w:sz w:val="20"/>
                <w:szCs w:val="20"/>
                <w:color w:val="auto"/>
              </w:rPr>
            </w:pPr>
            <w:r>
              <w:rPr>
                <w:rFonts w:ascii="Arial" w:cs="Arial" w:eastAsia="Arial" w:hAnsi="Arial"/>
                <w:sz w:val="14"/>
                <w:szCs w:val="14"/>
                <w:color w:val="auto"/>
                <w:w w:val="94"/>
              </w:rPr>
              <w:t>485</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418</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1,112</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1,225</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170</w:t>
            </w:r>
          </w:p>
        </w:tc>
      </w:tr>
      <w:tr>
        <w:trPr>
          <w:trHeight w:val="341"/>
        </w:trPr>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314"/>
        </w:trPr>
        <w:tc>
          <w:tcPr>
            <w:tcW w:w="300" w:type="dxa"/>
            <w:vAlign w:val="bottom"/>
          </w:tcPr>
          <w:p>
            <w:pPr>
              <w:jc w:val="right"/>
              <w:spacing w:after="0"/>
              <w:rPr>
                <w:sz w:val="20"/>
                <w:szCs w:val="20"/>
                <w:color w:val="auto"/>
              </w:rPr>
            </w:pPr>
            <w:r>
              <w:rPr>
                <w:rFonts w:ascii="Arial" w:cs="Arial" w:eastAsia="Arial" w:hAnsi="Arial"/>
                <w:sz w:val="14"/>
                <w:szCs w:val="14"/>
                <w:color w:val="auto"/>
                <w:w w:val="94"/>
              </w:rPr>
              <w:t>485</w:t>
            </w:r>
          </w:p>
        </w:tc>
        <w:tc>
          <w:tcPr>
            <w:tcW w:w="40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411</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1,112</w:t>
            </w:r>
          </w:p>
        </w:tc>
        <w:tc>
          <w:tcPr>
            <w:tcW w:w="4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4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168</w:t>
            </w:r>
          </w:p>
        </w:tc>
      </w:tr>
      <w:tr>
        <w:trPr>
          <w:trHeight w:val="486"/>
        </w:trPr>
        <w:tc>
          <w:tcPr>
            <w:tcW w:w="300" w:type="dxa"/>
            <w:vAlign w:val="bottom"/>
          </w:tcPr>
          <w:p>
            <w:pPr>
              <w:jc w:val="right"/>
              <w:spacing w:after="0"/>
              <w:rPr>
                <w:sz w:val="20"/>
                <w:szCs w:val="20"/>
                <w:color w:val="auto"/>
              </w:rPr>
            </w:pPr>
            <w:r>
              <w:rPr>
                <w:rFonts w:ascii="Arial" w:cs="Arial" w:eastAsia="Arial" w:hAnsi="Arial"/>
                <w:sz w:val="14"/>
                <w:szCs w:val="14"/>
                <w:color w:val="auto"/>
              </w:rPr>
              <w:t>71</w:t>
            </w:r>
          </w:p>
        </w:tc>
        <w:tc>
          <w:tcPr>
            <w:tcW w:w="40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w:t>
            </w:r>
          </w:p>
        </w:tc>
        <w:tc>
          <w:tcPr>
            <w:tcW w:w="4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166</w:t>
            </w:r>
          </w:p>
        </w:tc>
        <w:tc>
          <w:tcPr>
            <w:tcW w:w="4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168</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41"/>
        </w:trPr>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466"/>
        </w:trPr>
        <w:tc>
          <w:tcPr>
            <w:tcW w:w="300" w:type="dxa"/>
            <w:vAlign w:val="bottom"/>
          </w:tcPr>
          <w:p>
            <w:pPr>
              <w:jc w:val="right"/>
              <w:spacing w:after="0"/>
              <w:rPr>
                <w:sz w:val="20"/>
                <w:szCs w:val="20"/>
                <w:color w:val="auto"/>
              </w:rPr>
            </w:pPr>
            <w:r>
              <w:rPr>
                <w:rFonts w:ascii="Arial" w:cs="Arial" w:eastAsia="Arial" w:hAnsi="Arial"/>
                <w:sz w:val="14"/>
                <w:szCs w:val="14"/>
                <w:color w:val="auto"/>
                <w:w w:val="94"/>
              </w:rPr>
              <w:t>556</w:t>
            </w: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w:t>
            </w: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w:t>
            </w:r>
          </w:p>
        </w:tc>
      </w:tr>
      <w:tr>
        <w:trPr>
          <w:trHeight w:val="516"/>
        </w:trPr>
        <w:tc>
          <w:tcPr>
            <w:tcW w:w="300" w:type="dxa"/>
            <w:vAlign w:val="bottom"/>
          </w:tcPr>
          <w:p>
            <w:pPr>
              <w:jc w:val="right"/>
              <w:spacing w:after="0"/>
              <w:rPr>
                <w:sz w:val="20"/>
                <w:szCs w:val="20"/>
                <w:color w:val="auto"/>
              </w:rPr>
            </w:pPr>
            <w:r>
              <w:rPr>
                <w:rFonts w:ascii="Arial" w:cs="Arial" w:eastAsia="Arial" w:hAnsi="Arial"/>
                <w:sz w:val="14"/>
                <w:szCs w:val="14"/>
                <w:color w:val="auto"/>
                <w:w w:val="94"/>
              </w:rPr>
              <w:t>776</w:t>
            </w:r>
          </w:p>
        </w:tc>
        <w:tc>
          <w:tcPr>
            <w:tcW w:w="40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790</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770</w:t>
            </w: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790</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109</w:t>
            </w:r>
          </w:p>
        </w:tc>
      </w:tr>
      <w:tr>
        <w:trPr>
          <w:trHeight w:val="338"/>
        </w:trPr>
        <w:tc>
          <w:tcPr>
            <w:tcW w:w="300" w:type="dxa"/>
            <w:vAlign w:val="bottom"/>
          </w:tcPr>
          <w:p>
            <w:pPr>
              <w:jc w:val="right"/>
              <w:spacing w:after="0"/>
              <w:rPr>
                <w:sz w:val="20"/>
                <w:szCs w:val="20"/>
                <w:color w:val="auto"/>
              </w:rPr>
            </w:pPr>
            <w:r>
              <w:rPr>
                <w:rFonts w:ascii="Arial" w:cs="Arial" w:eastAsia="Arial" w:hAnsi="Arial"/>
                <w:sz w:val="14"/>
                <w:szCs w:val="14"/>
                <w:color w:val="auto"/>
              </w:rPr>
              <w:t>29</w:t>
            </w:r>
          </w:p>
        </w:tc>
        <w:tc>
          <w:tcPr>
            <w:tcW w:w="40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c>
          <w:tcPr>
            <w:tcW w:w="4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4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38"/>
        </w:trPr>
        <w:tc>
          <w:tcPr>
            <w:tcW w:w="300" w:type="dxa"/>
            <w:vAlign w:val="bottom"/>
          </w:tcPr>
          <w:p>
            <w:pPr>
              <w:jc w:val="right"/>
              <w:spacing w:after="0"/>
              <w:rPr>
                <w:sz w:val="20"/>
                <w:szCs w:val="20"/>
                <w:color w:val="auto"/>
              </w:rPr>
            </w:pPr>
            <w:r>
              <w:rPr>
                <w:rFonts w:ascii="Arial" w:cs="Arial" w:eastAsia="Arial" w:hAnsi="Arial"/>
                <w:sz w:val="14"/>
                <w:szCs w:val="14"/>
                <w:color w:val="auto"/>
                <w:w w:val="94"/>
              </w:rPr>
              <w:t>113</w:t>
            </w:r>
          </w:p>
        </w:tc>
        <w:tc>
          <w:tcPr>
            <w:tcW w:w="40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108</w:t>
            </w:r>
          </w:p>
        </w:tc>
        <w:tc>
          <w:tcPr>
            <w:tcW w:w="4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w:t>
            </w:r>
          </w:p>
        </w:tc>
        <w:tc>
          <w:tcPr>
            <w:tcW w:w="4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109</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-2154555</wp:posOffset>
            </wp:positionV>
            <wp:extent cx="66948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94805" cy="12890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-1288415</wp:posOffset>
            </wp:positionV>
            <wp:extent cx="6694805" cy="10801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94805" cy="108013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-1811655</wp:posOffset>
            </wp:positionV>
            <wp:extent cx="6694805"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94805" cy="214630"/>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2900" w:space="560"/>
            <w:col w:w="7780"/>
          </w:cols>
          <w:pgMar w:left="320" w:top="122" w:right="339" w:bottom="1440" w:gutter="0" w:footer="0" w:header="0"/>
          <w:type w:val="continuous"/>
        </w:sectPr>
      </w:pPr>
    </w:p>
    <w:tbl>
      <w:tblPr>
        <w:tblLayout w:type="fixed"/>
        <w:tblInd w:w="340" w:type="dxa"/>
        <w:tblCellMar>
          <w:top w:w="0" w:type="dxa"/>
          <w:left w:w="0" w:type="dxa"/>
          <w:bottom w:w="0" w:type="dxa"/>
          <w:right w:w="0" w:type="dxa"/>
        </w:tblCellMar>
      </w:tblPr>
      <w:tr>
        <w:trPr>
          <w:trHeight w:val="135"/>
        </w:trPr>
        <w:tc>
          <w:tcPr>
            <w:tcW w:w="246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Weighted-average common shares</w:t>
            </w:r>
          </w:p>
        </w:tc>
        <w:tc>
          <w:tcPr>
            <w:tcW w:w="3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3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3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4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3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 diluted</w:t>
            </w:r>
          </w:p>
        </w:tc>
        <w:tc>
          <w:tcPr>
            <w:tcW w:w="3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0.61</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0.61</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340" w:firstLine="324"/>
        <w:spacing w:after="0" w:line="268" w:lineRule="auto"/>
        <w:rPr>
          <w:sz w:val="20"/>
          <w:szCs w:val="20"/>
          <w:color w:val="auto"/>
        </w:rPr>
      </w:pPr>
      <w:r>
        <w:rPr>
          <w:rFonts w:ascii="Arial" w:cs="Arial" w:eastAsia="Arial" w:hAnsi="Arial"/>
          <w:sz w:val="18"/>
          <w:szCs w:val="18"/>
          <w:color w:val="auto"/>
        </w:rPr>
        <w:t>The following potential common shares were excluded from the calculation of diluted EPS because their effect would have been anti-dilutive or issuance of such shares is contingent upon the satisfaction of certain conditions that were not satisfied by the end of the period:</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30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3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6180" w:type="dxa"/>
            <w:vAlign w:val="bottom"/>
            <w:gridSpan w:val="2"/>
          </w:tcPr>
          <w:p>
            <w:pPr>
              <w:ind w:left="5840"/>
              <w:spacing w:after="0"/>
              <w:rPr>
                <w:sz w:val="20"/>
                <w:szCs w:val="20"/>
                <w:color w:val="auto"/>
              </w:rPr>
            </w:pPr>
            <w:r>
              <w:rPr>
                <w:rFonts w:ascii="Arial" w:cs="Arial" w:eastAsia="Arial" w:hAnsi="Arial"/>
                <w:sz w:val="14"/>
                <w:szCs w:val="14"/>
                <w:b w:val="1"/>
                <w:bCs w:val="1"/>
                <w:color w:val="auto"/>
              </w:rPr>
              <w:t>2025</w:t>
            </w: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2026</w:t>
            </w:r>
          </w:p>
        </w:tc>
      </w:tr>
      <w:tr>
        <w:trPr>
          <w:trHeight w:val="22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8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Incentive Plans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anti-dilutive securities</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Capped Calls were also excluded from the calculation of diluted net income per share as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NOTE 15: LEASES</w:t>
      </w:r>
    </w:p>
    <w:p>
      <w:pPr>
        <w:spacing w:after="0" w:line="20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operating leases are substantially comprised of office facilities, and we do not have any finance leases. Lease assets and liabilities recognized on our unaudited condensed consolidated balance sheets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7"/>
                <w:szCs w:val="17"/>
                <w:color w:val="auto"/>
              </w:rPr>
            </w:pPr>
          </w:p>
        </w:tc>
        <w:tc>
          <w:tcPr>
            <w:tcW w:w="1380" w:type="dxa"/>
            <w:vAlign w:val="bottom"/>
          </w:tcPr>
          <w:p>
            <w:pPr>
              <w:jc w:val="right"/>
              <w:ind w:right="21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3"/>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7"/>
                <w:szCs w:val="17"/>
                <w:color w:val="auto"/>
              </w:rPr>
            </w:pPr>
          </w:p>
        </w:tc>
        <w:tc>
          <w:tcPr>
            <w:tcW w:w="1360" w:type="dxa"/>
            <w:vAlign w:val="bottom"/>
          </w:tcPr>
          <w:p>
            <w:pPr>
              <w:jc w:val="right"/>
              <w:ind w:right="53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right-of-use assets:</w:t>
            </w:r>
          </w:p>
        </w:tc>
        <w:tc>
          <w:tcPr>
            <w:tcW w:w="3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Operating lease assets</w:t>
            </w: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operating lease liabilities</w:t>
            </w: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Non-current operating lease liabilities</w:t>
            </w: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liabilities</w:t>
            </w:r>
          </w:p>
        </w:tc>
        <w:tc>
          <w:tcPr>
            <w:tcW w:w="3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Cash flows related to leases were as follows:</w:t>
            </w:r>
          </w:p>
        </w:tc>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6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105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Payments for operating lease liabilities</w:t>
            </w: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3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80" w:type="dxa"/>
            <w:vAlign w:val="bottom"/>
            <w:gridSpan w:val="3"/>
          </w:tcPr>
          <w:p>
            <w:pPr>
              <w:ind w:left="260"/>
              <w:spacing w:after="0"/>
              <w:rPr>
                <w:sz w:val="20"/>
                <w:szCs w:val="20"/>
                <w:color w:val="auto"/>
              </w:rPr>
            </w:pPr>
            <w:r>
              <w:rPr>
                <w:rFonts w:ascii="Arial" w:cs="Arial" w:eastAsia="Arial" w:hAnsi="Arial"/>
                <w:sz w:val="18"/>
                <w:szCs w:val="18"/>
                <w:color w:val="auto"/>
              </w:rPr>
              <w:t>Lease liabilities arising from obtaining right-of-use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auto"/>
        </w:rPr>
        <w:t>NOTE 16: COMMITMENTS &amp; CONTINGENCIES</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$71 million as of December 31, 2025 and $96 million as of September 30, 2026. In our opinion, an adequate accrual had been made as of each such date to provide for the probable losses of which we are aware and for which we can reasonably estimate an amount.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Legal and Regulatory Matters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securities industry, and many other industries in which we operate, are highly regulated and many aspects of our business involve substantial risk of liability. In past years, there has been an increase in litigation and regulatory investigations involving the brokerage, cryptocurrency, derivatives, advisory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that may result in enforcement action. We are also subject to periodic regulatory audits and inspections that have in the past and could in the future lead to enforcement investigations or actions.</w:t>
      </w:r>
    </w:p>
    <w:p>
      <w:pPr>
        <w:spacing w:after="0" w:line="12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w:t>
      </w:r>
    </w:p>
    <w:p>
      <w:pPr>
        <w:spacing w:after="0" w:line="13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With respect to matters discussed below, we believe, based on current knowledge, that any losses (in excess of amounts accrued, if applicable) as of September 30, 2026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Described below are certain pending matters in which there is at least a reasonable possibility that a material loss could be incurred. We intend to continue to defend these matters vigorously.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Civil Litigation</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Beginning in December 2020, multiple putative securities fraud class action lawsuits were filed against RHM, RHF, and RHS. Five cases were consolidated in the U.S.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opposed. In October 2024, the court denied class certification without prejudice. Plaintiffs filed a renewed motion for class certification in January 2025, which Robinhood is opposing. In June 2025, Robinhood agreed to a settlement in principle with plaintiffs. The settlement was approved by the court in June 2026.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Regulatory Matters</w:t>
      </w:r>
    </w:p>
    <w:p>
      <w:pPr>
        <w:spacing w:after="0" w:line="25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New York Attorney General is conducting an investigation into brokerage execution quality and collaring the prices of certain trade orders. The MSD is examining, among other things, RHF’s customer complaint supervision, the disruptions experienced by BOATS during the Robinhood 24 Hour Market overnight trading session on August 4-5, 2024, and the offerings of presidential election and sports event contracts. We are cooperating with these investigations.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Enforcement Matters</w:t>
      </w:r>
    </w:p>
    <w:p>
      <w:pPr>
        <w:spacing w:after="0" w:line="196"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The FINRA Enforcement and Examination staff are conducting investigations related to, among other things, the disruptions experienced by BOATS during the Robinhood 24 Hour Market overnight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session on August 4-5, 2024. The FDIC is investigating issues related to compliance with the EFTA. We are cooperating with these investigations.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 Matters</w:t>
      </w:r>
    </w:p>
    <w:p>
      <w:pPr>
        <w:spacing w:after="0" w:line="29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 number of individual actions related to the Early 2021 Trading Restrictions were filed against RHM, RHF, and RHS and remain pending in arbitrations. The actions assert violations of securities laws and common law causes of action and seek monetary damages, costs and expenses, and other relief.</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RHM, RHF, RHS, and our CEO, Vladimir Tenev, among others, have received requests for information, and in some cases, subpoenas and requests for testimony, related to investigations and examinations of the Early 2021 Trading Restrictions from the USAO, the DOJ, Antitrust Division, the New York Attorney General’s Office, other state attorneys general offices, and a number of state securities regulators. Also, a related search warrant was executed by the USAO to obtain Mr. Tenev’s cell phone. There have been several inquiries based on specific customer complaints. As previously disclosed, on March 6, 2025, we resolved FINRA’s investigation into these matters as part of the March 2025 FINRA Settlement (as defined below). We have not otherwise received requests related to the Early 2021 Trading Restrictions in over two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Litigation</w:t>
      </w:r>
    </w:p>
    <w:p>
      <w:pPr>
        <w:spacing w:after="0" w:line="19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2021, Philip Golubowski filed a putative class action in the U.S. District Court for the Northern District of California against RHM, the officers and directors who signed Robinhood’s IPO offering documents, and Robinhood’s IPO underwriters. Plaintiff’s claims are based on alleged false or misleading statements in Robinhood’s IPO offering documents allegedly in violation of Sections 11 and 12(a) of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Ninth Circuit. On August 29, 2025, the Ninth Circuit issued its opinion affirming in part and reversing in part the district court. Robinhood’s petition for rehearing en banc was denied. In February 2026, Robinhood filed for a writ of certiorari in the United States Supreme Court, which remains pending. On October 7, 2026, the United States filed a brief as amicus curiae recommending a grant of a writ of certiorari on one of the questions presented.</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November 2021 Data Security Incident. The board of directors has formed a Demand Review Committee. The board of directors has rejected the demand in part and the Demand Review Committee continues to review the remaining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Transparency Litigation</w:t>
      </w:r>
    </w:p>
    <w:p>
      <w:pPr>
        <w:spacing w:after="0" w:line="2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July 2024, RHM, RHY, and RHC were sued in a putative class action captioned </w:t>
      </w:r>
      <w:r>
        <w:rPr>
          <w:rFonts w:ascii="Arial" w:cs="Arial" w:eastAsia="Arial" w:hAnsi="Arial"/>
          <w:sz w:val="18"/>
          <w:szCs w:val="18"/>
          <w:i w:val="1"/>
          <w:iCs w:val="1"/>
          <w:color w:val="auto"/>
        </w:rPr>
        <w:t>John Milito v. Robinhood Markets, Inc. et. al.</w:t>
      </w:r>
      <w:r>
        <w:rPr>
          <w:rFonts w:ascii="Arial" w:cs="Arial" w:eastAsia="Arial" w:hAnsi="Arial"/>
          <w:sz w:val="18"/>
          <w:szCs w:val="18"/>
          <w:color w:val="auto"/>
        </w:rPr>
        <w:t>,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was stayed in the Superior Court in King County in Washington pending a certified question to the Washington Supreme Court. In September 2025, the Washington Supreme Court issued an opinion addressing the certified question and held that a job applicant for a job posting that failed to include a wage scale or salary range does not need to prove they are a “bona fide” or “good faith” applicant to obtain remedies under the applicable statute. In August 2026, the case was stayed pending a Washington Court of Appeals case addressing the retroactivity of new legislation, which became effective in July 2025, amending the available penalties for violations of the Equal Pay and Opportunity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Litigation</w:t>
      </w:r>
    </w:p>
    <w:p>
      <w:pPr>
        <w:spacing w:after="0" w:line="1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October 2024, RHM, RHF, and RHS were sued in a putative class action captioned </w:t>
      </w:r>
      <w:r>
        <w:rPr>
          <w:rFonts w:ascii="Arial" w:cs="Arial" w:eastAsia="Arial" w:hAnsi="Arial"/>
          <w:sz w:val="18"/>
          <w:szCs w:val="18"/>
          <w:i w:val="1"/>
          <w:iCs w:val="1"/>
          <w:color w:val="auto"/>
        </w:rPr>
        <w:t>Dey v. Robinhood Markets, Inc. et. al.,</w:t>
      </w:r>
      <w:r>
        <w:rPr>
          <w:rFonts w:ascii="Arial" w:cs="Arial" w:eastAsia="Arial" w:hAnsi="Arial"/>
          <w:sz w:val="18"/>
          <w:szCs w:val="18"/>
          <w:color w:val="auto"/>
        </w:rPr>
        <w:t xml:space="preserve"> in the U.S. District Court for the Northern District of California. Plaintiff asserts breach of fiduciary duty, gross negligence, negligent misrepresentation and omissions, breach of implied covenant of good faith and fair dealing, and violation of California’s unfair competition law based on allegations that defendants failed to pay a reasonable rate of interest to non-Robinhood Gold brokerage 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 In January 2025, Robinhood filed a motion to dismiss. On April 28, 2025, the court granted in part and denied in part Robinhood’s motion to dismiss. In May 2025, RHM, RHF, and RHS were sued in a putative class action captioned </w:t>
      </w:r>
      <w:r>
        <w:rPr>
          <w:rFonts w:ascii="Arial" w:cs="Arial" w:eastAsia="Arial" w:hAnsi="Arial"/>
          <w:sz w:val="18"/>
          <w:szCs w:val="18"/>
          <w:i w:val="1"/>
          <w:iCs w:val="1"/>
          <w:color w:val="auto"/>
        </w:rPr>
        <w:t>Deeney v. Robinhood Markets, Inc. et al.,</w:t>
      </w:r>
      <w:r>
        <w:rPr>
          <w:rFonts w:ascii="Arial" w:cs="Arial" w:eastAsia="Arial" w:hAnsi="Arial"/>
          <w:sz w:val="18"/>
          <w:szCs w:val="18"/>
          <w:color w:val="auto"/>
        </w:rPr>
        <w:t xml:space="preserve"> in the U.S. District Court for the Northern District of California, which also made allegations related to Robinhood’s cash sweep program. The complaint sought, among other things, certification of the class, unspecified monetary damages, attorneys’ fees and costs, and restitution. The parties in </w:t>
      </w:r>
      <w:r>
        <w:rPr>
          <w:rFonts w:ascii="Arial" w:cs="Arial" w:eastAsia="Arial" w:hAnsi="Arial"/>
          <w:sz w:val="18"/>
          <w:szCs w:val="18"/>
          <w:i w:val="1"/>
          <w:iCs w:val="1"/>
          <w:color w:val="auto"/>
        </w:rPr>
        <w:t>Dey</w:t>
      </w:r>
      <w:r>
        <w:rPr>
          <w:rFonts w:ascii="Arial" w:cs="Arial" w:eastAsia="Arial" w:hAnsi="Arial"/>
          <w:sz w:val="18"/>
          <w:szCs w:val="18"/>
          <w:color w:val="auto"/>
        </w:rPr>
        <w:t xml:space="preserve"> and </w:t>
      </w:r>
      <w:r>
        <w:rPr>
          <w:rFonts w:ascii="Arial" w:cs="Arial" w:eastAsia="Arial" w:hAnsi="Arial"/>
          <w:sz w:val="18"/>
          <w:szCs w:val="18"/>
          <w:i w:val="1"/>
          <w:iCs w:val="1"/>
          <w:color w:val="auto"/>
        </w:rPr>
        <w:t>Deeney</w:t>
      </w:r>
      <w:r>
        <w:rPr>
          <w:rFonts w:ascii="Arial" w:cs="Arial" w:eastAsia="Arial" w:hAnsi="Arial"/>
          <w:sz w:val="18"/>
          <w:szCs w:val="18"/>
          <w:color w:val="auto"/>
        </w:rPr>
        <w:t xml:space="preserve"> have agreed to consolidate the matters and Plaintiffs have filed an amended consolidated complaint. The complaint seeks, among other things, certification of the class, unspecified monetary, punitive, treble, and statutory damages, restitution, disgorgement, attorneys’ fees and costs, injunctive relief, and declaratory relief. Robinhood moved to dismiss the complaint, which was granted in part and denied in part. Robinhood has reached a settlement in principle.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Contracts Litigation</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June 2025, RHM and RHD were sued along with several co-defendants, in state court in six states (Georgia, Illinois, Kentucky, Massachusetts, Ohio and South Carolina) by Georgia Gambling Recovery LLC, Illinois Gambling Recovery LLC, Kentucky Gambling Recovery LLC, Massachusetts Gambling Recovery LLC, Ohio Gambling Recovery LLC, and South Carolina Gambling Recovery LLC respectively. Each plaintiff asserts a claim under the respective state’s Statute of Anne, which are statutes that permit recovery of gambling losses under certain conditions, which vary by state. Each plaintiff seeks damages for losses allegedly sustained in trading certain event contracts, including damage multipliers in certain states, attorney’s fees and costs, and declaratory relief. Robinhood removed all six cases to federal court. Each plaintiff sought to remand the matters. The court in Georgia denied plaintiff’s motion to remand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RHD moved to dismiss the action. The courts in Illinois, Kentucky, and Ohio granted plaintiff’s motion to remand. Plaintiffs voluntarily dismissed RHD in Georgia, Massachusetts, Ohio, South Carolina, and Illinois. In May 2026, the court in Kentucky ordered a six-month stay.</w:t>
      </w:r>
    </w:p>
    <w:p>
      <w:pPr>
        <w:spacing w:after="0" w:line="12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July 2025, RHM and RHD, along with KalshiEx and Kalshi Inc. (together, “Kalshi”), were sued by the Blue Lake Rancheria, Chicken Ranch Rancheria of Me-Wuk Indians, and Picayune Rancheria of the Chukchansi Indians (the “Blue Lake plaintiffs”) in the U.S. District Court for the Northern District of California. The Blue Lake plaintiffs allege that certain event contracts offered by RHD are unlawful sports gambling activity. The Blue Lake plaintiffs allege several causes of action including violation of the Indian Gaming Regulatory Act, violation of tribal gaming Ordinances, civil violation of the Racketeer Influenced and Corrupt Organizations Act (RICO), infringement of tribal sovereignty, and false advertising under the Lanham Act. The Blue Lake plaintiffs currently assert only the RICO cause of action against RHM and RHD. The operative complaint seeks injunctive relief, declaratory relief, damages, treble damages, costs, and attorney’s fees. In September 2025, the Blue Lake plaintiffs moved for a preliminary injunction against Kalshi. The court denied the motion and the plaintiffs appealed the denial to the U.S. Court of Appeals for the Ninth Circuit. In August 2026, Picayune Rancheria was voluntarily dismissed from the case. In September 2026, the Ninth Circuit ruled against KalshiEx and remanded for further consideration. In the district court, where the case had been stayed pending the outcome of the plaintiffs’ appeal and another appeal related to event contracts in the Ninth Circuit, without reaching defendants’ motions to dismiss, the plaintiffs intend to amend their complaint to add Buena Vista Rancheria of Me-Wuk Indians as plaintiff and have stated they may add additional claims against RHM and RHD.</w:t>
      </w:r>
    </w:p>
    <w:p>
      <w:pPr>
        <w:spacing w:after="0" w:line="1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August 2025, a similar suit was filed against RHM, RHD, and Kalshi, by the Ho-Chunk Nation in the U.S. District Court for the Western District of Wisconsin alleging substantially the same facts and causes of action and seeking substantially the same relief. The Ho-Chunk Nation only asserted a claim for a civil violation of RICO against RHM and RHD. In December 2025, the plaintiff moved for a preliminary injunction against Kalshi, which RHM and RHD opposed. RHM and RHD also moved to dismiss the claim against them. In May 2026, the district court denied the motion for preliminary injunction and dismissed RHM and RHD from the case. Kalshi is pursuing an interlocutory appeal to the U.S. Court of Appeals for the Seventh Circuit of certain legal issues on the claims against Kalshi. Plaintiffs’ cross-petition for review of the dismissal of other issues, including the claim against RHM and RHD, was denied.</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August 2025, RHD filed suits in the U.S. District Court for the District of Nevada and U.S. District Court for the District of New Jersey seeking injunctive relief from enforcement of Nevada and New Jersey state gaming laws respectively. In September 2025, RHD filed suit in the U.S. District Court for the District of Massachusetts seeking similar injunctive relief from enforcement of Massachusetts state gaming laws.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March 2026, RHD filed suits in the U.S. District Court for the Western District of Michigan and the U.S. District Court for the Western District of Washington seeking similar injunctive relief from enforcement of Michigan and Washington’s state gaming laws respectively.</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CFTC has filed lawsuits against state authorities in several states across the country, generally asserting that the CEA preempts the application of state gambling laws to the offering of federally regulated event contracts. In April 2026, the CFTC filed a complaint against the State of Connecticut and its gaming authorities, alleging that Connecticut laws which the State sought to enforce against certain DCMs preempted by federal law. In June 2026, RHD filed an unopposed motion to intervene as a plaintiff in the CFTC’s action in Connecticut, which remains pending.</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New Jersey consented to a preliminary injunction pending the outcome of its appeal in the Third Circuit of the grant of a preliminary injunction in a similar case brought by KalshiEx. In April 2026, the Third Circuit ruled in favor of KalshiEx. The court has extended the preliminary injunction pending the outcome of New Jersey’s petition for a writ of certiorari from the United States Supreme Court.</w:t>
      </w:r>
    </w:p>
    <w:p>
      <w:pPr>
        <w:spacing w:after="0" w:line="14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Nevada, the court denied RHD’s motion for a preliminary injunction. Robinhood has agreed to cease offering new sports-related event contracts in Nevada as of December 1, 2025, and to take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explore unwinding longer-duration open sports-related event contracts in Nevada, in exchange for the State’s agreement to refrain from enforcing its state gaming laws during the pendency of RHD’s appeal. RHD appealed the decision to the U.S. Court of Appeals for the Ninth Circuit and moved for an injunction pending appeal. In August 2026, the Ninth Circuit affirmed the district court’s denial of RHD’s motion. RHD has conditionally petitioned the United States Supreme Court for a writ of certiorari.</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Massachusetts, the court initially dismissed RHD’s suit as unripe. RHD’s motion for reconsideration was granted. RHD filed an amended complaint and renewed its motion for a preliminary injunction. Massachusetts agreed to refrain from enforcing its state gaming laws pending: (1) a decision on RHD’s then-pending preliminary injunction motion; (2) a final decision on the injunction from a Massachusetts appellate court in the state court enforcement litigation against KalshiEx; and (3) any stay is lifted in the state court enforcement litigation against KalshiEx. The district court dismissed RHD’s amended complaint as unripe. RHD has appealed to the U.S. Court of Appeals for the First Circuit.</w:t>
      </w:r>
    </w:p>
    <w:p>
      <w:pPr>
        <w:spacing w:after="0" w:line="1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Michigan, RHD’s motion for preliminary injunction was denied in June 2026 and RHD appealed that decision to the U.S. Court of Appeals for the Sixth Circuit. In September 2026, the Sixth Circuit issued an opinion in a parallel case affirming the denial of KalshiEx’s motion for a preliminary injunction in Ohio and reversing the grant of KalshiEx’s motion for a preliminary injunction in Tennessee. RHD has reached an agreement with Michigan to cease offering sports-related event contracts and to close existing sports-related event contracts in Michigan in exchange for the State’s agreement to refrain from enforcing its state gaming laws during the pendency of RHD’s and other prediction-market operators’ appeals. RHD’s appeal remains pending while the appeals of the Nevada decisions in Robinhood’s, Kalshi’s, or Crypto.com’s cases in the Ninth Circuit are either pending.</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Washington, the State agreed to non-enforcement of certain state laws against RHD for event contracts trading while the appeal of the Nevada decisions in Robinhood’s, Kalshi’s, or Crypto.com’s cases in the Ninth Circuit is either pending or the deadline to seek en banc review of the Ninth Circuit’s decision elapses or such review is denied. KalshiEx has sought a rehearing en banc of the Ninth Circuit’s decision and that request is still pending.</w:t>
      </w:r>
    </w:p>
    <w:p>
      <w:pPr>
        <w:spacing w:after="0" w:line="14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22, 2026, RHD and several co-defendants were sued in a putative class action in state court in Massachusetts by a purported Robinhood customer seeking to recover losses incurred as a result of sports-related event contract trading under Massachusetts’s Statute of Anne and a theory of unjust enrichment. Plaintiff seeks declaratory relief, injunctive relief, unspecified damages, interest, and attorney’s fees and costs. RHD removed the case to federal court and has moved to compel it to arbitration.</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22, 2026, RHM and RHD were sued in a putative class action in U.S. District Court for the Northern District of California. The plaintiffs, purported Robinhood customers, alleged that Robinhood’s sports-related event contracts violate California’s Unfair Competition Law, California’s Consumer Legal Remedies Act, New Jersey’s Statute of Anne, New Jersey’s Consumer Fraud Act, New York’s deceptive business practices and false advertising laws, New York’s Statute of Anne, and Michigan’s gambling loss recovery act, Michigan’s Consumer Protection Act, and further sought to recover damages under a theory of unjust enrichment. Plaintiffs seek declaratory relief, injunctive relief, unspecified damages including treble or punitive damages, restitution, disgorgement, attorney’s fees, interest and costs.</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June 2026, three additional related putative class actions were filed against RHM and RHD in federal court in the Northern District of California alleging that Robinhood’s sports event contracts constitute illegal gambling and asserting claims under various state gambling loss recovery acts, state consumer-protection acts, and a theory of unjust enrichment. These suits seek damages (including treble and punitive), compliance changes, restitution, disgorgement, attorney's fees and costs. In August 2026, an additional new putative class action was filed in the Northern District of California asserting similar causes of action and seeking declaratory relief, injunctive relief, unspecified damages including treble or punitive damages, restitution, rescission, disgorgement, compliance changes, attorney’s fees,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and costs. These five matters have been consolidated and Robinhood has moved to compel the majority of the plaintiffs to arbitration.</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23, 2026, the State of Wisconsin filed a lawsuit against RHD, RHM, RHS, Kalshi, Inc., KalshiEx, Kalshi Klear, LLC, Kalshi Trading, LLC, Coinbase Global, Inc., and Coinbase Financial Markets, Inc., in Wisconsin state court alleging that sports-related event contracts constitute illegal sports betting and are a public nuisance. Wisconsin seeks a declaratory judgment and a preliminary and permanent injunction preventing the defendants from offering sports-related event contracts in Wisconsin. The State of Wisconsin moved for a temporary injunction to enjoin Robinhood and its co-defendants from offering sports-related event contracts in Wisconsin. On April 24, 2026, the Kalshi defendants removed the case to the U.S. District Court for the Western District of Wisconsin with the consent of the Robinhood and Coinbase defendants. Wisconsin has moved to remand and moved for a preliminary injunction against all defendants. On June 1, 2026 and July 8, 2026, RHS and RHM, respectively, were dismissed from the action.</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June 17, 2026, the Commonwealth of Kentucky sued RHM, RHD, KalshiEx, Kalshi, Inc., Kalshi Klear, Inc., Kalshi Klear, LLC, Kalshi Trading, LLC, Webull Corporation, and Coinbase Financial Markets, Inc. in Kentucky state court asserting violations of Kentucky’s Consumer Protection Act, Kentucky’s Loss Recovery Act, and certain Kentucky gambling regulations. Kentucky seeks declaratory relief, injunctive relief, damages (including treble and punitive damages), statutory and civil penalties, restitution, and disgorgement. The Kalshi defendants removed the case to the U.S. District Court for the Eastern District of Kentucky with the consent of the Robinhood and Coinbase defendants. Kentucky has moved to remand and the magistrate judge issued a report and recommendation that the district judge grant the motion to remand.</w:t>
      </w:r>
    </w:p>
    <w:p>
      <w:pPr>
        <w:spacing w:after="0" w:line="1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October 2, 2026, RHD received a cease and desist letter from the Ohio Casino Control Commission demanding that RHD stop offering sports-related event contracts in Ohio. On October 26, 2026, RHD agreed to cease offering new sports-related event contracts in Ohio by November 2, 2026 in exchange for the Commission’s agreement to refrain from enforcing its state gaming laws during the pendency of RHD’s and other prediction-market operators’ appeals in the Sixth Circuit and the Supreme Court of the United States.</w:t>
      </w:r>
    </w:p>
    <w:p>
      <w:pPr>
        <w:spacing w:after="0" w:line="1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tax treatment of event contracts under U.S. federal, state, and foreign tax laws is unclear, including potential federal excise tax on wagers under Internal Revenue Code Sections 4401 and 4421. We have not collected or remitted federal excise tax on event contracts offered through RHD because we do not believe these contracts are subject to such tax. In addition, there have been a growing number of state-specific taxes targeting prediction market and event contract activity. For example, Illinois recently enacted a tax effective July 1, 2026 on state-licensed prediction market operators, which a competitor has challenged as preempted by the CFTC’s exclusive jurisdiction over event contracts traded on a designated contract market, and North Carolina and Kentucky have each enacted new state-level taxes on prediction market operators, effective January 1, 2027. We cannot predict whether such laws will be applied retroactively or survive legal challenge. While we are not party to any litigation or proceeding relating to these matters, we continue to evaluate our potential exposure under these and other developing tax regimes, including federal excise tax.</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Google Tracking Privacy Litigation</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8, 2026, a putative class action was filed in the U.S. District Court for the Northern District of California alleging that RHM violated various privacy laws and allowed sensitive personal financial information including account positions and account numbers to be transmitted to Google without customer consent. Plaintiff asserts violations of the Electronic Communications Privacy Act, California Invasion of Privacy Act, California Consumer Privacy Act, negligence, breach of implied contract, intrusion upon seclusion, and breach of confidence. Plaintiff is seeking declaratory relief, injunctive relief, statutory damages, disgorgement, attorney's fees and costs. Robinhood has filed a motion to dismiss the complaint and Plaintiff filed an amended complaint asserting violations of the Electronic Communications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Act, California Invasion of Privacy Act, California Consumer Privacy Act, negligence, intrusion upon seclusion, and breach of confidence and seeking similar relief.</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Stubhub IPO Litigation</w:t>
      </w:r>
    </w:p>
    <w:p>
      <w:pPr>
        <w:spacing w:after="0" w:line="1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June 29, 2026, RHF was named, alongside Stubhub Holdings, Inc. (“Stubhub”), Stubhub officers and directors who signed Stubhub’s IPO documents, Stubhub’s IPO underwriters, and SoFi Securities LLC in a complaint filed in the U.S. District Court for the Southern District of New York alleging that Stubhub’s IPO documents contained materially misleading information about Stubhub’s near-term market opportunity, advertising business and financials. RHF was named as a “Selling Group Defendant.” Plaintiff is seeking unspecified compensatory damages, rescission, disgorgement, injunctive relief, and costs and expenses. RHF is only named in the Section 12(a)(2) claim, which alleges that RHF failed to exercise reasonable care to ensure that statements in the IPO offering documents were true and not materially misleading. Robinhood has filed a motion to dismiss the complaint.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line="302" w:lineRule="auto"/>
        <w:rPr>
          <w:sz w:val="20"/>
          <w:szCs w:val="20"/>
          <w:color w:val="auto"/>
        </w:rPr>
      </w:pPr>
      <w:r>
        <w:rPr>
          <w:rFonts w:ascii="Arial" w:cs="Arial" w:eastAsia="Arial" w:hAnsi="Arial"/>
          <w:sz w:val="35"/>
          <w:szCs w:val="35"/>
          <w:color w:val="auto"/>
        </w:rPr>
        <w:t>ITEM 2. MANAGEMENT’S DISCUSSION AND ANALYSIS OF FINANCIAL CONDITION AND RESULTS OF OPERATIONS</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2025 Form 10-K.</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spacing w:after="0" w:line="15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Data as of and for the three and nine months ended September 30, 2025 and 2026 has been derived from our unaudited condensed consolidated financial statements appearing at the beginning of this Quarterly Report. Results for any interim period should not be construed as an inference of what our results would be for any full fiscal year or future period.</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refer to our “users” and our “customers” interchangeably throughout this Quarterly Report to refer to individuals who hold accounts on our platforms.</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20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Robinhood was founded on the belief that everyone should be welcome to participate in our financial system. We are creating modern financial services platforms for everyone, regardless of their wealth, income, or background.</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are enabling our customers to become long-term investors and take greater control of their finances.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Results and Performance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the three months ended September 30, 2026, as compared to the three months ended September 30, 2025:</w:t>
      </w:r>
    </w:p>
    <w:p>
      <w:pPr>
        <w:spacing w:after="0" w:line="18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total net revenues increased 12% to $1,424 million compared to $1,274 million;</w:t>
      </w:r>
    </w:p>
    <w:p>
      <w:pPr>
        <w:spacing w:after="0" w:line="198" w:lineRule="exact"/>
        <w:rPr>
          <w:rFonts w:ascii="Arial" w:cs="Arial" w:eastAsia="Arial" w:hAnsi="Arial"/>
          <w:sz w:val="18"/>
          <w:szCs w:val="18"/>
          <w:b w:val="1"/>
          <w:bCs w:val="1"/>
          <w:i w:val="1"/>
          <w:iCs w:val="1"/>
          <w:color w:val="auto"/>
        </w:rPr>
      </w:pPr>
    </w:p>
    <w:p>
      <w:pPr>
        <w:ind w:left="620" w:hanging="288"/>
        <w:spacing w:after="0"/>
        <w:tabs>
          <w:tab w:leader="none" w:pos="6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net income attributable to Robinhood decreased 16% to $468 million, compared to $556 million;</w:t>
      </w:r>
    </w:p>
    <w:p>
      <w:pPr>
        <w:spacing w:after="0" w:line="184" w:lineRule="exact"/>
        <w:rPr>
          <w:rFonts w:ascii="Arial" w:cs="Arial" w:eastAsia="Arial" w:hAnsi="Arial"/>
          <w:sz w:val="18"/>
          <w:szCs w:val="18"/>
          <w:b w:val="1"/>
          <w:bCs w:val="1"/>
          <w:i w:val="1"/>
          <w:iCs w:val="1"/>
          <w:color w:val="auto"/>
        </w:rPr>
      </w:pPr>
    </w:p>
    <w:p>
      <w:pPr>
        <w:ind w:left="620" w:hanging="288"/>
        <w:spacing w:after="0"/>
        <w:tabs>
          <w:tab w:leader="none" w:pos="6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diluted EPS decreased 16% to $0.51, compared to $0.61;</w:t>
      </w:r>
    </w:p>
    <w:p>
      <w:pPr>
        <w:spacing w:after="0" w:line="184"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operating expenses increased 16% to $739 million compared to $639 million;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(non-GAAP) increased 9% to $808 million compared to $742 million;</w:t>
      </w:r>
    </w:p>
    <w:p>
      <w:pPr>
        <w:spacing w:after="0" w:line="1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Funded Customers increased by 1.9 million, or 7%, to 28.7 million compared to 26.8 million, and Investment Accounts increased by 2.5 million, or 9%, to 30.4 million compared to 27.9 million;</w:t>
      </w:r>
    </w:p>
    <w:p>
      <w:pPr>
        <w:spacing w:after="0" w:line="11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Platform Assets increased 19% to $395.9 billion compared to $332.7 billion, primarily driven by continued Net Deposits and higher equity valuations, partially offset by lower cryptocurrency valuations;</w:t>
      </w:r>
    </w:p>
    <w:p>
      <w:pPr>
        <w:spacing w:after="0" w:line="11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Deposits were $15.7 billion, which translates to an annualized growth rate of 17% relative to Total Platform Assets at the end of the second quarter of 2026, compared to $20.4 billion, which translates to an annualized growth rate of 29% relative to Total Platform Assets at the end of the second quarter of 2025. Over the past twelve months, Net Deposits were $71.0 billion, a growth rate of 21% relative to Total Platform Assets at the end of the third quarter of 2025;</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ARPU increased 5% to $200 compared to $191;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Robinhood Gold Subscribers increased 34% to 5.18 million compared to 3.88 million.</w:t>
      </w:r>
    </w:p>
    <w:p>
      <w:pPr>
        <w:spacing w:after="0" w:line="1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Adjusted EBITDA is a non-GAAP financial measure. For more information about Adjusted EBITDA, including the definition and limitations of such measure, and a reconciliation of net income to Adjusted EBITDA, please see “—Non-GAAP Financial Measures” below.</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Developments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Crypto.com Agreement</w:t>
      </w:r>
    </w:p>
    <w:p>
      <w:pPr>
        <w:spacing w:after="0" w:line="18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September 2026, we entered into agreements with Crypto.com and its affiliates under which we may receive over a three-year term up to a 10% equity interest in Crypto.com and certain of its affiliates as consideration for routing a selection of event contracts to its CFTC-regulated exchange and clearinghouse doing business in the Crypto.com App under the brand Crypto.com | Derivatives North America (CDNA) and also a separate trader-focused App under the brand OG.com.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performance metrics for the relevant periods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11"/>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Borders>
              <w:bottom w:val="single" w:sz="8" w:color="CCEEFF"/>
            </w:tcBorders>
          </w:tcPr>
          <w:p>
            <w:pPr>
              <w:spacing w:after="0"/>
              <w:rPr>
                <w:sz w:val="16"/>
                <w:szCs w:val="16"/>
                <w:color w:val="auto"/>
              </w:rPr>
            </w:pPr>
          </w:p>
        </w:tc>
        <w:tc>
          <w:tcPr>
            <w:tcW w:w="59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62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Funded Customers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(in millions)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Total Platform Assets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t>
            </w:r>
            <w:r>
              <w:rPr>
                <w:rFonts w:ascii="Arial" w:cs="Arial" w:eastAsia="Arial" w:hAnsi="Arial"/>
                <w:sz w:val="18"/>
                <w:szCs w:val="18"/>
                <w:i w:val="1"/>
                <w:iCs w:val="1"/>
                <w:color w:val="auto"/>
              </w:rPr>
              <w:t>(in billions)</w:t>
            </w:r>
          </w:p>
        </w:tc>
        <w:tc>
          <w:tcPr>
            <w:tcW w:w="860" w:type="dxa"/>
            <w:vAlign w:val="bottom"/>
            <w:gridSpan w:val="3"/>
          </w:tcPr>
          <w:p>
            <w:pPr>
              <w:jc w:val="right"/>
              <w:ind w:right="368"/>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332.7</w:t>
            </w:r>
          </w:p>
        </w:tc>
        <w:tc>
          <w:tcPr>
            <w:tcW w:w="80" w:type="dxa"/>
            <w:vAlign w:val="bottom"/>
          </w:tcPr>
          <w:p>
            <w:pPr>
              <w:spacing w:after="0"/>
              <w:rPr>
                <w:sz w:val="19"/>
                <w:szCs w:val="19"/>
                <w:color w:val="auto"/>
              </w:rPr>
            </w:pP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48"/>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Net Deposits </w:t>
            </w:r>
            <w:r>
              <w:rPr>
                <w:rFonts w:ascii="Arial" w:cs="Arial" w:eastAsia="Arial" w:hAnsi="Arial"/>
                <w:sz w:val="18"/>
                <w:szCs w:val="18"/>
                <w:i w:val="1"/>
                <w:iCs w:val="1"/>
                <w:color w:val="auto"/>
              </w:rPr>
              <w:t>(in billions)</w:t>
            </w:r>
          </w:p>
        </w:tc>
        <w:tc>
          <w:tcPr>
            <w:tcW w:w="86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Annualized Growth Rate with respect to Net Deposits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3"/>
          </w:tcPr>
          <w:p>
            <w:pPr>
              <w:jc w:val="right"/>
              <w:ind w:right="48"/>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ARPU </w:t>
            </w:r>
            <w:r>
              <w:rPr>
                <w:rFonts w:ascii="Arial" w:cs="Arial" w:eastAsia="Arial" w:hAnsi="Arial"/>
                <w:sz w:val="18"/>
                <w:szCs w:val="18"/>
                <w:i w:val="1"/>
                <w:iCs w:val="1"/>
                <w:color w:val="auto"/>
              </w:rPr>
              <w:t>(in dollars)</w:t>
            </w:r>
          </w:p>
        </w:tc>
        <w:tc>
          <w:tcPr>
            <w:tcW w:w="86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 xml:space="preserve">Robinhood Gold Subscribers </w:t>
            </w:r>
            <w:r>
              <w:rPr>
                <w:rFonts w:ascii="Arial" w:cs="Arial" w:eastAsia="Arial" w:hAnsi="Arial"/>
                <w:sz w:val="18"/>
                <w:szCs w:val="18"/>
                <w:i w:val="1"/>
                <w:iCs w:val="1"/>
                <w:color w:val="auto"/>
              </w:rPr>
              <w:t>(in millions)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gridSpan w:val="3"/>
          </w:tcPr>
          <w:p>
            <w:pPr>
              <w:jc w:val="right"/>
              <w:ind w:right="48"/>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427"/>
        </w:trPr>
        <w:tc>
          <w:tcPr>
            <w:tcW w:w="6280" w:type="dxa"/>
            <w:vAlign w:val="bottom"/>
            <w:gridSpan w:val="2"/>
          </w:tcPr>
          <w:p>
            <w:pPr>
              <w:spacing w:after="0"/>
              <w:rPr>
                <w:sz w:val="20"/>
                <w:szCs w:val="20"/>
                <w:color w:val="auto"/>
              </w:rPr>
            </w:pPr>
            <w:r>
              <w:rPr>
                <w:rFonts w:ascii="Arial" w:cs="Arial" w:eastAsia="Arial" w:hAnsi="Arial"/>
                <w:sz w:val="14"/>
                <w:szCs w:val="14"/>
                <w:color w:val="auto"/>
              </w:rPr>
              <w:t>________________</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80" w:type="dxa"/>
            <w:vAlign w:val="bottom"/>
            <w:gridSpan w:val="2"/>
          </w:tcPr>
          <w:p>
            <w:pPr>
              <w:spacing w:after="0"/>
              <w:rPr>
                <w:sz w:val="20"/>
                <w:szCs w:val="20"/>
                <w:color w:val="auto"/>
              </w:rPr>
            </w:pPr>
            <w:r>
              <w:rPr>
                <w:rFonts w:ascii="Arial" w:cs="Arial" w:eastAsia="Arial" w:hAnsi="Arial"/>
                <w:sz w:val="14"/>
                <w:szCs w:val="14"/>
                <w:color w:val="auto"/>
              </w:rPr>
              <w:t>(1)  The following table describes the annual changes within Funded Customers: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8"/>
          </w:tcPr>
          <w:p>
            <w:pPr>
              <w:jc w:val="right"/>
              <w:ind w:right="99"/>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right"/>
              <w:ind w:right="319"/>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Funded Customers</w:t>
            </w: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New Funded Customers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Resurrected Customers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Churned Customers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Funded Customers</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4"/>
                <w:szCs w:val="14"/>
                <w:color w:val="auto"/>
              </w:rPr>
              <w:t>(2)  The following table sets out the components of Total Platform Assets by type of asset:</w:t>
            </w: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2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8"/>
          </w:tcPr>
          <w:p>
            <w:pPr>
              <w:jc w:val="center"/>
              <w:ind w:left="1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center"/>
              <w:ind w:right="239"/>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(in billions)</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277.5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Cryptocurrencies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futures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RIA assets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by Customers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Receivables from Customers (primarily margin balances)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Platform Assets</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following table describes the changes within Total Platform Assets: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4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8"/>
          </w:tcPr>
          <w:p>
            <w:pPr>
              <w:jc w:val="center"/>
              <w:ind w:left="16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7"/>
          </w:tcPr>
          <w:p>
            <w:pPr>
              <w:jc w:val="center"/>
              <w:ind w:right="239"/>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(in billions)</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Total Platform Assets</w:t>
            </w:r>
          </w:p>
        </w:tc>
        <w:tc>
          <w:tcPr>
            <w:tcW w:w="3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278.6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368.7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Net Deposits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market gains</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Ending Total Platform Assets</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2" w:right="5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collect and analyze operating and financial data to evaluate the health of our business, allocate our resources and assess our performance. In addition to total net revenues, net income, and other results under GAAP, we utilize non-GAAP calculations of Adjusted EBITDA. Adjusted EBITDA is defined as net income attributable to Robinhood, excluding (i) net income (loss) attributable to non-controlling interests, (ii) interest expenses related to debt obligations, (iii) provision for (benefit from) income taxes, (iv) depreciation and amortization, (v) SBC, (vi) significant legal and tax settlements and reserves, and (vii)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Adjusted EBITDA to the most directly comparable GAAP measure, net income: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72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5"/>
        </w:trPr>
        <w:tc>
          <w:tcPr>
            <w:tcW w:w="4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2026</w:t>
            </w: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Robinhood</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Interest expenses related to debt obligations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(non-GAAP)</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SBC</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640" w:type="dxa"/>
            <w:vAlign w:val="bottom"/>
          </w:tcPr>
          <w:p>
            <w:pPr>
              <w:ind w:left="20"/>
              <w:spacing w:after="0" w:line="230" w:lineRule="exact"/>
              <w:rPr>
                <w:sz w:val="20"/>
                <w:szCs w:val="20"/>
                <w:color w:val="auto"/>
              </w:rPr>
            </w:pPr>
            <w:r>
              <w:rPr>
                <w:rFonts w:ascii="Arial" w:cs="Arial" w:eastAsia="Arial" w:hAnsi="Arial"/>
                <w:sz w:val="18"/>
                <w:szCs w:val="18"/>
                <w:color w:val="auto"/>
              </w:rPr>
              <w:t>Unrealized and realized losses (gains)</w:t>
            </w:r>
            <w:r>
              <w:rPr>
                <w:rFonts w:ascii="Arial" w:cs="Arial" w:eastAsia="Arial" w:hAnsi="Arial"/>
                <w:sz w:val="23"/>
                <w:szCs w:val="23"/>
                <w:color w:val="auto"/>
                <w:vertAlign w:val="superscript"/>
              </w:rPr>
              <w:t>(1)</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(non-GAAP)</w:t>
            </w:r>
          </w:p>
        </w:tc>
        <w:tc>
          <w:tcPr>
            <w:tcW w:w="104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2"/>
        <w:spacing w:after="0" w:line="237"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2026, primarily related to investments in the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unaudited condensed consolidated statements of operations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7"/>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Transaction-based revenues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9"/>
              </w:rPr>
              <w:t>730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9"/>
              </w:rPr>
              <w:t>867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revenues</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Brokerage and transaction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9"/>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9"/>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639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739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36"/>
        </w:trPr>
        <w:tc>
          <w:tcPr>
            <w:tcW w:w="340" w:type="dxa"/>
            <w:vAlign w:val="bottom"/>
            <w:shd w:val="clear" w:color="auto" w:fill="CCEEFF"/>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4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Robinhood</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w:t>
            </w: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400" w:type="dxa"/>
            <w:vAlign w:val="bottom"/>
            <w:gridSpan w:val="2"/>
          </w:tcPr>
          <w:p>
            <w:pPr>
              <w:spacing w:after="0"/>
              <w:rPr>
                <w:sz w:val="20"/>
                <w:szCs w:val="20"/>
                <w:color w:val="auto"/>
              </w:rPr>
            </w:pPr>
            <w:r>
              <w:rPr>
                <w:rFonts w:ascii="Arial" w:cs="Arial" w:eastAsia="Arial" w:hAnsi="Arial"/>
                <w:sz w:val="14"/>
                <w:szCs w:val="14"/>
                <w:color w:val="auto"/>
              </w:rPr>
              <w:t>(1)  Includes SBC expense as follows: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gridSpan w:val="7"/>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6"/>
          </w:tcPr>
          <w:p>
            <w:pPr>
              <w:jc w:val="right"/>
              <w:ind w:right="175"/>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w w:val="96"/>
              </w:rPr>
              <w:t>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0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Total SBC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Three and Nine Months Ended September 30, 2025 and 2026</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60" w:type="dxa"/>
            <w:vAlign w:val="bottom"/>
          </w:tcPr>
          <w:p>
            <w:pPr>
              <w:spacing w:after="0"/>
              <w:rPr>
                <w:sz w:val="16"/>
                <w:szCs w:val="16"/>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6"/>
                <w:szCs w:val="16"/>
                <w:color w:val="auto"/>
              </w:rPr>
            </w:pPr>
          </w:p>
        </w:tc>
        <w:tc>
          <w:tcPr>
            <w:tcW w:w="1000" w:type="dxa"/>
            <w:vAlign w:val="bottom"/>
          </w:tcPr>
          <w:p>
            <w:pPr>
              <w:jc w:val="right"/>
              <w:ind w:right="39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Transaction-based revenues: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color w:val="auto"/>
              </w:rPr>
              <w:t>Options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Event contracts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983 %</w:t>
            </w: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color w:val="auto"/>
              </w:rPr>
              <w:t>Cryptocurrencies</w:t>
            </w:r>
          </w:p>
        </w:tc>
        <w:tc>
          <w:tcPr>
            <w:tcW w:w="26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354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transaction-based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1,852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2,266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Transaction-based revenues as a % of</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240" w:type="dxa"/>
            <w:vAlign w:val="bottom"/>
          </w:tcPr>
          <w:p>
            <w:pPr>
              <w:ind w:left="180"/>
              <w:spacing w:after="0"/>
              <w:rPr>
                <w:sz w:val="20"/>
                <w:szCs w:val="20"/>
                <w:color w:val="auto"/>
              </w:rPr>
            </w:pPr>
            <w:r>
              <w:rPr>
                <w:rFonts w:ascii="Arial" w:cs="Arial" w:eastAsia="Arial" w:hAnsi="Arial"/>
                <w:sz w:val="18"/>
                <w:szCs w:val="18"/>
                <w:color w:val="auto"/>
              </w:rPr>
              <w:t>total net revenues: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Options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60"/>
              <w:spacing w:after="0"/>
              <w:rPr>
                <w:sz w:val="20"/>
                <w:szCs w:val="20"/>
                <w:color w:val="auto"/>
              </w:rPr>
            </w:pPr>
            <w:r>
              <w:rPr>
                <w:rFonts w:ascii="Arial" w:cs="Arial" w:eastAsia="Arial" w:hAnsi="Arial"/>
                <w:sz w:val="18"/>
                <w:szCs w:val="18"/>
                <w:color w:val="auto"/>
              </w:rPr>
              <w:t>Event contracts</w:t>
            </w:r>
          </w:p>
        </w:tc>
        <w:tc>
          <w:tcPr>
            <w:tcW w:w="26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Cryptocurrencies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6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520"/>
              <w:spacing w:after="0"/>
              <w:rPr>
                <w:sz w:val="20"/>
                <w:szCs w:val="20"/>
                <w:color w:val="auto"/>
              </w:rPr>
            </w:pPr>
            <w:r>
              <w:rPr>
                <w:rFonts w:ascii="Arial" w:cs="Arial" w:eastAsia="Arial" w:hAnsi="Arial"/>
                <w:sz w:val="18"/>
                <w:szCs w:val="18"/>
                <w:color w:val="auto"/>
              </w:rPr>
              <w:t>Total transaction-based revenues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Transaction-based revenues increased by $ 137 million and $414 million, for the three and nine months ended September 30, 2026, primarily driven by increases of $146 million and $393 million in event contracts, $95 million and $192 million in options, and $35 million and $124 million in equities, partially offset by decreases of $148 million and $326 million in cryptocurrencies.</w:t>
      </w:r>
    </w:p>
    <w:p>
      <w:pPr>
        <w:spacing w:after="0" w:line="13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Options revenues increased, for the three and nine months ended September 30, 2026, primarily due to a 66% and 44% increase in Options Contracts Traded per trader. The increase was partially offset by lower option rebate rates due to the mix of ticker symbols traded as different ticker symbols pay different rebate rates and an 11% and 6% decrease in the number of users placing option trades.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Event contracts revenues increased, for the three and nine months ended September 30, 2026, primarily due to overall growth in the market related to prediction markets resulting in an acceleration in our prediction markets business, reflecting higher trading activity, predominantly in sports-related event contracts, compared to the same period in 2025 when the offering was still in its early stage.</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Cryptocurrencies revenues decreased, for the three and nine months ended September 30, 2026, primarily due to a 37% and 25% decrease in the number of users placing cryptocurrency trades, a 13% and 18% decrease in the average Notional Trading Volume traded per trader, and lower cryptocurrency rebate rates from crypto market makers, partially offset by revenues earned from Robinhood Chain.</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Equities revenues increased, for the three and nine months ended September 30, 2026, primarily due to a 48% and 50% increase in the average Notional Trading Volume traded per trader. The increase was partially offset by lower equity rebate rates due to the mix of ticker symbols traded as different ticker symbols pay different rebate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Pr>
          <w:p>
            <w:pPr>
              <w:ind w:left="80"/>
              <w:spacing w:after="0"/>
              <w:rPr>
                <w:sz w:val="20"/>
                <w:szCs w:val="20"/>
                <w:color w:val="auto"/>
              </w:rPr>
            </w:pPr>
            <w:r>
              <w:rPr>
                <w:rFonts w:ascii="Arial" w:cs="Arial" w:eastAsia="Arial" w:hAnsi="Arial"/>
                <w:sz w:val="14"/>
                <w:szCs w:val="14"/>
                <w:i w:val="1"/>
                <w:iCs w:val="1"/>
                <w:color w:val="auto"/>
              </w:rPr>
              <w:t>(in millions, except for percentages)</w:t>
            </w: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37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interest revenues: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Margin 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244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$377</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$652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84"/>
        </w:trPr>
        <w:tc>
          <w:tcPr>
            <w:tcW w:w="360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Interest on segregated cash, cash</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equivalents, securities, and deposits,</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55</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236</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173</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t>
            </w: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Cash Sweep</w:t>
            </w:r>
          </w:p>
        </w:tc>
        <w:tc>
          <w:tcPr>
            <w:tcW w:w="30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172</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Credit card,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184"/>
        </w:trPr>
        <w:tc>
          <w:tcPr>
            <w:tcW w:w="3600" w:type="dxa"/>
            <w:vAlign w:val="bottom"/>
          </w:tcPr>
          <w:p>
            <w:pPr>
              <w:ind w:left="260"/>
              <w:spacing w:after="0" w:line="183" w:lineRule="exact"/>
              <w:rPr>
                <w:sz w:val="20"/>
                <w:szCs w:val="20"/>
                <w:color w:val="auto"/>
              </w:rPr>
            </w:pPr>
            <w:r>
              <w:rPr>
                <w:rFonts w:ascii="Arial" w:cs="Arial" w:eastAsia="Arial" w:hAnsi="Arial"/>
                <w:sz w:val="18"/>
                <w:szCs w:val="18"/>
                <w:color w:val="auto"/>
              </w:rPr>
              <w:t>Interest on corporate cash and</w:t>
            </w:r>
          </w:p>
        </w:tc>
        <w:tc>
          <w:tcPr>
            <w:tcW w:w="300" w:type="dxa"/>
            <w:vAlign w:val="bottom"/>
          </w:tcPr>
          <w:p>
            <w:pPr>
              <w:spacing w:after="0"/>
              <w:rPr>
                <w:sz w:val="15"/>
                <w:szCs w:val="15"/>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restart"/>
          </w:tcPr>
          <w:p>
            <w:pPr>
              <w:jc w:val="right"/>
              <w:ind w:right="152"/>
              <w:spacing w:after="0"/>
              <w:rPr>
                <w:sz w:val="20"/>
                <w:szCs w:val="20"/>
                <w:color w:val="auto"/>
              </w:rPr>
            </w:pPr>
            <w:r>
              <w:rPr>
                <w:rFonts w:ascii="Arial" w:cs="Arial" w:eastAsia="Arial" w:hAnsi="Arial"/>
                <w:sz w:val="18"/>
                <w:szCs w:val="18"/>
                <w:color w:val="auto"/>
              </w:rPr>
              <w:t>47</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134</w:t>
            </w:r>
          </w:p>
        </w:tc>
        <w:tc>
          <w:tcPr>
            <w:tcW w:w="8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112</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360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Interest expenses related to credit</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(22)</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(26)</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5"/>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w:t>
            </w:r>
          </w:p>
        </w:tc>
        <w:tc>
          <w:tcPr>
            <w:tcW w:w="3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Securities lending, net</w:t>
            </w:r>
          </w:p>
        </w:tc>
        <w:tc>
          <w:tcPr>
            <w:tcW w:w="30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NM</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164</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3600" w:type="dxa"/>
            <w:vAlign w:val="bottom"/>
          </w:tcPr>
          <w:p>
            <w:pPr>
              <w:ind w:left="440"/>
              <w:spacing w:after="0"/>
              <w:rPr>
                <w:sz w:val="20"/>
                <w:szCs w:val="20"/>
                <w:color w:val="auto"/>
              </w:rPr>
            </w:pPr>
            <w:r>
              <w:rPr>
                <w:rFonts w:ascii="Arial" w:cs="Arial" w:eastAsia="Arial" w:hAnsi="Arial"/>
                <w:sz w:val="18"/>
                <w:szCs w:val="18"/>
                <w:color w:val="auto"/>
              </w:rPr>
              <w:t>Total net interest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$1,163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interest revenues as a % of total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revenues: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ind w:left="260"/>
              <w:spacing w:after="0"/>
              <w:rPr>
                <w:sz w:val="20"/>
                <w:szCs w:val="20"/>
                <w:color w:val="auto"/>
              </w:rPr>
            </w:pPr>
            <w:r>
              <w:rPr>
                <w:rFonts w:ascii="Arial" w:cs="Arial" w:eastAsia="Arial" w:hAnsi="Arial"/>
                <w:sz w:val="18"/>
                <w:szCs w:val="18"/>
                <w:color w:val="auto"/>
              </w:rPr>
              <w:t>Margin interest</w:t>
            </w:r>
          </w:p>
        </w:tc>
        <w:tc>
          <w:tcPr>
            <w:tcW w:w="126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17 %</w:t>
            </w:r>
          </w:p>
        </w:tc>
        <w:tc>
          <w:tcPr>
            <w:tcW w:w="1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17 %</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Interest on segregated cash, cash</w:t>
            </w: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equivalents, securities, and deposits,</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t>
            </w: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Cash Sweep</w:t>
            </w: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1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4 %</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Credit card, net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600" w:type="dxa"/>
            <w:vAlign w:val="bottom"/>
          </w:tcPr>
          <w:p>
            <w:pPr>
              <w:ind w:left="260"/>
              <w:spacing w:after="0" w:line="183" w:lineRule="exact"/>
              <w:rPr>
                <w:sz w:val="20"/>
                <w:szCs w:val="20"/>
                <w:color w:val="auto"/>
              </w:rPr>
            </w:pPr>
            <w:r>
              <w:rPr>
                <w:rFonts w:ascii="Arial" w:cs="Arial" w:eastAsia="Arial" w:hAnsi="Arial"/>
                <w:sz w:val="18"/>
                <w:szCs w:val="18"/>
                <w:color w:val="auto"/>
              </w:rPr>
              <w:t>Interest on corporate cash and</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60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60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Interest expenses related to credit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w:t>
            </w:r>
          </w:p>
        </w:tc>
        <w:tc>
          <w:tcPr>
            <w:tcW w:w="12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Securities lending, net</w:t>
            </w:r>
          </w:p>
        </w:tc>
        <w:tc>
          <w:tcPr>
            <w:tcW w:w="126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c>
          <w:tcPr>
            <w:tcW w:w="2440" w:type="dxa"/>
            <w:vAlign w:val="bottom"/>
            <w:gridSpan w:val="2"/>
          </w:tcPr>
          <w:p>
            <w:pPr>
              <w:jc w:val="right"/>
              <w:ind w:right="12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62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44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600" w:type="dxa"/>
            <w:vAlign w:val="bottom"/>
          </w:tcPr>
          <w:p>
            <w:pPr>
              <w:ind w:left="440"/>
              <w:spacing w:after="0"/>
              <w:rPr>
                <w:sz w:val="20"/>
                <w:szCs w:val="20"/>
                <w:color w:val="auto"/>
              </w:rPr>
            </w:pPr>
            <w:r>
              <w:rPr>
                <w:rFonts w:ascii="Arial" w:cs="Arial" w:eastAsia="Arial" w:hAnsi="Arial"/>
                <w:sz w:val="18"/>
                <w:szCs w:val="18"/>
                <w:color w:val="auto"/>
              </w:rPr>
              <w:t>Total net interest revenues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3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80" w:firstLine="243"/>
        <w:spacing w:after="0" w:line="255" w:lineRule="auto"/>
        <w:rPr>
          <w:sz w:val="20"/>
          <w:szCs w:val="20"/>
          <w:color w:val="auto"/>
        </w:rPr>
      </w:pPr>
      <w:r>
        <w:rPr>
          <w:rFonts w:ascii="Arial" w:cs="Arial" w:eastAsia="Arial" w:hAnsi="Arial"/>
          <w:sz w:val="18"/>
          <w:szCs w:val="18"/>
          <w:color w:val="auto"/>
        </w:rPr>
        <w:t>Net interest revenues decreased by $41 million and increased by $60 million for the three and nine months ended September 30, 2026. For the three and nine months ended September 30, 2026, interest revenue from securities lending, net decreased primarily driven by a lower average rate on higher stock loan balances as the hard-to-borrow market weakened. Interest on segregated cash, cash equivalents, securities and deposits, net decreased primarily driven by higher interest expense on customer free credit balances due to our updated High-Yield Cash program, partially offset by higher income on investments. Cash Sweep decreased primarily driven by a lower short-term interest rate environment. Margin interest and credit card interest, net increased due to increased margin borrowers and the growth in our credit card business. Although the Federal Reserve increased the Federal Funds Rate in September 2026, we anticipate any potential future rate cuts by the Federal Reserve will negatively impact our net interest revenues and adversely affect our customers’ returns on cash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firstLine="324"/>
        <w:spacing w:after="0" w:line="287" w:lineRule="auto"/>
        <w:rPr>
          <w:sz w:val="20"/>
          <w:szCs w:val="20"/>
          <w:color w:val="auto"/>
        </w:rPr>
      </w:pPr>
      <w:r>
        <w:rPr>
          <w:rFonts w:ascii="Arial" w:cs="Arial" w:eastAsia="Arial" w:hAnsi="Arial"/>
          <w:sz w:val="18"/>
          <w:szCs w:val="18"/>
          <w:color w:val="auto"/>
        </w:rPr>
        <w:t>The following table summarizes interest-earning assets, the revenue generated by these assets, and their respective annualized yields:</w:t>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4"/>
                <w:szCs w:val="14"/>
                <w:color w:val="auto"/>
              </w:rPr>
              <w:t>Interest</w:t>
            </w:r>
          </w:p>
        </w:tc>
        <w:tc>
          <w:tcPr>
            <w:tcW w:w="6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Margin Book</w:t>
            </w: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Cash and</w:t>
            </w:r>
          </w:p>
        </w:tc>
        <w:tc>
          <w:tcPr>
            <w:tcW w:w="960" w:type="dxa"/>
            <w:vAlign w:val="bottom"/>
            <w:gridSpan w:val="2"/>
          </w:tcPr>
          <w:p>
            <w:pPr>
              <w:jc w:val="right"/>
              <w:ind w:right="49"/>
              <w:spacing w:after="0"/>
              <w:rPr>
                <w:sz w:val="20"/>
                <w:szCs w:val="20"/>
                <w:color w:val="auto"/>
              </w:rPr>
            </w:pPr>
            <w:r>
              <w:rPr>
                <w:rFonts w:ascii="Arial" w:cs="Arial" w:eastAsia="Arial" w:hAnsi="Arial"/>
                <w:sz w:val="14"/>
                <w:szCs w:val="14"/>
                <w:color w:val="auto"/>
              </w:rPr>
              <w:t>Cash Sweep</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96"/>
                <w:vertAlign w:val="subscript"/>
              </w:rPr>
              <w:t>(2)</w:t>
            </w:r>
            <w:r>
              <w:rPr>
                <w:rFonts w:ascii="Arial" w:cs="Arial" w:eastAsia="Arial" w:hAnsi="Arial"/>
                <w:sz w:val="14"/>
                <w:szCs w:val="14"/>
                <w:b w:val="1"/>
                <w:bCs w:val="1"/>
                <w:color w:val="auto"/>
                <w:w w:val="96"/>
              </w:rPr>
              <w:t>Total interest-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8"/>
              <w:spacing w:after="0"/>
              <w:rPr>
                <w:sz w:val="20"/>
                <w:szCs w:val="20"/>
                <w:color w:val="auto"/>
              </w:rPr>
            </w:pPr>
            <w:r>
              <w:rPr>
                <w:rFonts w:ascii="Arial" w:cs="Arial" w:eastAsia="Arial" w:hAnsi="Arial"/>
                <w:sz w:val="14"/>
                <w:szCs w:val="14"/>
                <w:color w:val="auto"/>
              </w:rPr>
              <w:t>Securities</w:t>
            </w:r>
          </w:p>
        </w:tc>
        <w:tc>
          <w:tcPr>
            <w:tcW w:w="140" w:type="dxa"/>
            <w:vAlign w:val="bottom"/>
          </w:tcPr>
          <w:p>
            <w:pPr>
              <w:spacing w:after="0"/>
              <w:rPr>
                <w:sz w:val="18"/>
                <w:szCs w:val="18"/>
                <w:color w:val="auto"/>
              </w:rPr>
            </w:pPr>
          </w:p>
        </w:tc>
        <w:tc>
          <w:tcPr>
            <w:tcW w:w="840" w:type="dxa"/>
            <w:vAlign w:val="bottom"/>
          </w:tcPr>
          <w:p>
            <w:pPr>
              <w:jc w:val="center"/>
              <w:ind w:right="70"/>
              <w:spacing w:after="0"/>
              <w:rPr>
                <w:sz w:val="20"/>
                <w:szCs w:val="20"/>
                <w:color w:val="auto"/>
              </w:rPr>
            </w:pPr>
            <w:r>
              <w:rPr>
                <w:rFonts w:ascii="Arial" w:cs="Arial" w:eastAsia="Arial" w:hAnsi="Arial"/>
                <w:sz w:val="14"/>
                <w:szCs w:val="14"/>
                <w:color w:val="auto"/>
              </w:rPr>
              <w:t>expenses</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4"/>
                <w:szCs w:val="14"/>
                <w:b w:val="1"/>
                <w:bCs w:val="1"/>
                <w:color w:val="auto"/>
                <w:w w:val="99"/>
              </w:rPr>
              <w:t>Total net</w:t>
            </w:r>
          </w:p>
        </w:tc>
        <w:tc>
          <w:tcPr>
            <w:tcW w:w="0" w:type="dxa"/>
            <w:vAlign w:val="bottom"/>
          </w:tcPr>
          <w:p>
            <w:pPr>
              <w:spacing w:after="0"/>
              <w:rPr>
                <w:sz w:val="1"/>
                <w:szCs w:val="1"/>
                <w:color w:val="auto"/>
              </w:rPr>
            </w:pPr>
          </w:p>
        </w:tc>
      </w:tr>
      <w:tr>
        <w:trPr>
          <w:trHeight w:val="135"/>
        </w:trPr>
        <w:tc>
          <w:tcPr>
            <w:tcW w:w="1960" w:type="dxa"/>
            <w:vAlign w:val="bottom"/>
            <w:gridSpan w:val="2"/>
            <w:vMerge w:val="restart"/>
          </w:tcPr>
          <w:p>
            <w:pPr>
              <w:jc w:val="right"/>
              <w:ind w:right="208"/>
              <w:spacing w:after="0"/>
              <w:rPr>
                <w:sz w:val="20"/>
                <w:szCs w:val="20"/>
                <w:color w:val="auto"/>
              </w:rPr>
            </w:pPr>
            <w:r>
              <w:rPr>
                <w:rFonts w:ascii="Arial" w:cs="Arial" w:eastAsia="Arial" w:hAnsi="Arial"/>
                <w:sz w:val="14"/>
                <w:szCs w:val="14"/>
                <w:i w:val="1"/>
                <w:iCs w:val="1"/>
                <w:color w:val="auto"/>
              </w:rPr>
              <w:t>(in millions, except for</w:t>
            </w:r>
          </w:p>
        </w:tc>
        <w:tc>
          <w:tcPr>
            <w:tcW w:w="9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48"/>
              <w:spacing w:after="0" w:line="135" w:lineRule="exact"/>
              <w:rPr>
                <w:sz w:val="20"/>
                <w:szCs w:val="20"/>
                <w:color w:val="auto"/>
              </w:rPr>
            </w:pPr>
            <w:r>
              <w:rPr>
                <w:rFonts w:ascii="Arial" w:cs="Arial" w:eastAsia="Arial" w:hAnsi="Arial"/>
                <w:sz w:val="14"/>
                <w:szCs w:val="14"/>
                <w:color w:val="auto"/>
              </w:rPr>
              <w:t>deposits</w:t>
            </w:r>
            <w:r>
              <w:rPr>
                <w:rFonts w:ascii="Arial" w:cs="Arial" w:eastAsia="Arial" w:hAnsi="Arial"/>
                <w:sz w:val="9"/>
                <w:szCs w:val="9"/>
                <w:color w:val="auto"/>
              </w:rPr>
              <w:t>(1)</w:t>
            </w:r>
          </w:p>
        </w:tc>
        <w:tc>
          <w:tcPr>
            <w:tcW w:w="1880" w:type="dxa"/>
            <w:vAlign w:val="bottom"/>
            <w:gridSpan w:val="4"/>
          </w:tcPr>
          <w:p>
            <w:pPr>
              <w:ind w:left="60"/>
              <w:spacing w:after="0" w:line="135" w:lineRule="exact"/>
              <w:rPr>
                <w:sz w:val="20"/>
                <w:szCs w:val="20"/>
                <w:color w:val="auto"/>
              </w:rPr>
            </w:pPr>
            <w:r>
              <w:rPr>
                <w:rFonts w:ascii="Arial" w:cs="Arial" w:eastAsia="Arial" w:hAnsi="Arial"/>
                <w:sz w:val="14"/>
                <w:szCs w:val="14"/>
                <w:color w:val="auto"/>
              </w:rPr>
              <w:t>(off-balance Credit card, net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89"/>
              <w:spacing w:after="0" w:line="135" w:lineRule="exact"/>
              <w:rPr>
                <w:sz w:val="20"/>
                <w:szCs w:val="20"/>
                <w:color w:val="auto"/>
              </w:rPr>
            </w:pPr>
            <w:r>
              <w:rPr>
                <w:rFonts w:ascii="Arial" w:cs="Arial" w:eastAsia="Arial" w:hAnsi="Arial"/>
                <w:sz w:val="14"/>
                <w:szCs w:val="14"/>
                <w:b w:val="1"/>
                <w:bCs w:val="1"/>
                <w:color w:val="auto"/>
              </w:rPr>
              <w:t>earning</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28"/>
              <w:spacing w:after="0" w:line="135" w:lineRule="exact"/>
              <w:rPr>
                <w:sz w:val="20"/>
                <w:szCs w:val="20"/>
                <w:color w:val="auto"/>
              </w:rPr>
            </w:pPr>
            <w:r>
              <w:rPr>
                <w:rFonts w:ascii="Arial" w:cs="Arial" w:eastAsia="Arial" w:hAnsi="Arial"/>
                <w:sz w:val="14"/>
                <w:szCs w:val="14"/>
                <w:color w:val="auto"/>
              </w:rPr>
              <w:t>lending, net</w:t>
            </w:r>
          </w:p>
        </w:tc>
        <w:tc>
          <w:tcPr>
            <w:tcW w:w="140" w:type="dxa"/>
            <w:vAlign w:val="bottom"/>
          </w:tcPr>
          <w:p>
            <w:pPr>
              <w:spacing w:after="0"/>
              <w:rPr>
                <w:sz w:val="11"/>
                <w:szCs w:val="11"/>
                <w:color w:val="auto"/>
              </w:rPr>
            </w:pPr>
          </w:p>
        </w:tc>
        <w:tc>
          <w:tcPr>
            <w:tcW w:w="840" w:type="dxa"/>
            <w:vAlign w:val="bottom"/>
          </w:tcPr>
          <w:p>
            <w:pPr>
              <w:jc w:val="center"/>
              <w:ind w:right="90"/>
              <w:spacing w:after="0" w:line="135" w:lineRule="exact"/>
              <w:rPr>
                <w:sz w:val="20"/>
                <w:szCs w:val="20"/>
                <w:color w:val="auto"/>
              </w:rPr>
            </w:pPr>
            <w:r>
              <w:rPr>
                <w:rFonts w:ascii="Arial" w:cs="Arial" w:eastAsia="Arial" w:hAnsi="Arial"/>
                <w:sz w:val="14"/>
                <w:szCs w:val="14"/>
                <w:color w:val="auto"/>
              </w:rPr>
              <w:t>related to</w:t>
            </w:r>
          </w:p>
        </w:tc>
        <w:tc>
          <w:tcPr>
            <w:tcW w:w="6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70"/>
              <w:spacing w:after="0" w:line="135"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94"/>
        </w:trPr>
        <w:tc>
          <w:tcPr>
            <w:tcW w:w="19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ind w:right="169"/>
              <w:spacing w:after="0" w:line="95" w:lineRule="exact"/>
              <w:rPr>
                <w:sz w:val="20"/>
                <w:szCs w:val="20"/>
                <w:color w:val="auto"/>
              </w:rPr>
            </w:pPr>
            <w:r>
              <w:rPr>
                <w:rFonts w:ascii="Arial" w:cs="Arial" w:eastAsia="Arial" w:hAnsi="Arial"/>
                <w:sz w:val="10"/>
                <w:szCs w:val="10"/>
                <w:color w:val="auto"/>
              </w:rPr>
              <w:t>sheet)</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right"/>
              <w:ind w:right="129"/>
              <w:spacing w:after="0" w:line="95" w:lineRule="exact"/>
              <w:rPr>
                <w:sz w:val="20"/>
                <w:szCs w:val="20"/>
                <w:color w:val="auto"/>
              </w:rPr>
            </w:pPr>
            <w:r>
              <w:rPr>
                <w:rFonts w:ascii="Arial" w:cs="Arial" w:eastAsia="Arial" w:hAnsi="Arial"/>
                <w:sz w:val="10"/>
                <w:szCs w:val="10"/>
                <w:b w:val="1"/>
                <w:bCs w:val="1"/>
                <w:color w:val="auto"/>
              </w:rPr>
              <w:t>assets</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jc w:val="center"/>
              <w:ind w:right="70"/>
              <w:spacing w:after="0" w:line="95" w:lineRule="exact"/>
              <w:rPr>
                <w:sz w:val="20"/>
                <w:szCs w:val="20"/>
                <w:color w:val="auto"/>
              </w:rPr>
            </w:pPr>
            <w:r>
              <w:rPr>
                <w:rFonts w:ascii="Arial" w:cs="Arial" w:eastAsia="Arial" w:hAnsi="Arial"/>
                <w:sz w:val="10"/>
                <w:szCs w:val="10"/>
                <w:color w:val="auto"/>
              </w:rPr>
              <w:t>credit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right"/>
              <w:ind w:right="110"/>
              <w:spacing w:after="0" w:line="95" w:lineRule="exact"/>
              <w:rPr>
                <w:sz w:val="20"/>
                <w:szCs w:val="20"/>
                <w:color w:val="auto"/>
              </w:rPr>
            </w:pPr>
            <w:r>
              <w:rPr>
                <w:rFonts w:ascii="Arial" w:cs="Arial" w:eastAsia="Arial" w:hAnsi="Arial"/>
                <w:sz w:val="10"/>
                <w:szCs w:val="10"/>
                <w:b w:val="1"/>
                <w:bCs w:val="1"/>
                <w:color w:val="auto"/>
              </w:rPr>
              <w:t>revenues</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i w:val="1"/>
                <w:iCs w:val="1"/>
                <w:color w:val="auto"/>
              </w:rPr>
              <w:t>annualized yield)</w:t>
            </w: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color w:val="auto"/>
              </w:rPr>
              <w:t>facilities</w:t>
            </w:r>
            <w:r>
              <w:rPr>
                <w:rFonts w:ascii="Arial" w:cs="Arial" w:eastAsia="Arial" w:hAnsi="Arial"/>
                <w:sz w:val="9"/>
                <w:szCs w:val="9"/>
                <w:color w:val="auto"/>
              </w:rPr>
              <w:t>(5)</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September 30, 2026</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62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340" w:type="dxa"/>
            <w:vAlign w:val="bottom"/>
          </w:tcPr>
          <w:p>
            <w:pPr>
              <w:jc w:val="right"/>
              <w:spacing w:after="0"/>
              <w:rPr>
                <w:sz w:val="20"/>
                <w:szCs w:val="20"/>
                <w:color w:val="auto"/>
              </w:rPr>
            </w:pPr>
            <w:r>
              <w:rPr>
                <w:rFonts w:ascii="Arial" w:cs="Arial" w:eastAsia="Arial" w:hAnsi="Arial"/>
                <w:sz w:val="14"/>
                <w:szCs w:val="14"/>
                <w:color w:val="auto"/>
              </w:rPr>
              <w:t>2026</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22,145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20,439</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32,296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1,841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76,721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30,</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18,687</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29,707</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71,492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21,483</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19,547</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30,603</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73,325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Revenue (expense)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415</w:t>
            </w: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4.54%</w:t>
            </w:r>
          </w:p>
        </w:tc>
        <w:tc>
          <w:tcPr>
            <w:tcW w:w="1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0.59%</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11.82 %</w:t>
            </w:r>
          </w:p>
        </w:tc>
        <w:tc>
          <w:tcPr>
            <w:tcW w:w="16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2.41%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203"/>
        </w:trPr>
        <w:tc>
          <w:tcPr>
            <w:tcW w:w="29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June 30, 2026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20" w:type="dxa"/>
            <w:vAlign w:val="bottom"/>
          </w:tcPr>
          <w:p>
            <w:pPr>
              <w:jc w:val="right"/>
              <w:spacing w:after="0"/>
              <w:rPr>
                <w:sz w:val="20"/>
                <w:szCs w:val="20"/>
                <w:color w:val="auto"/>
              </w:rPr>
            </w:pPr>
            <w:r>
              <w:rPr>
                <w:rFonts w:ascii="Arial" w:cs="Arial" w:eastAsia="Arial" w:hAnsi="Arial"/>
                <w:sz w:val="14"/>
                <w:szCs w:val="14"/>
                <w:color w:val="auto"/>
              </w:rPr>
              <w:t>June 30,</w:t>
            </w:r>
          </w:p>
        </w:tc>
        <w:tc>
          <w:tcPr>
            <w:tcW w:w="340" w:type="dxa"/>
            <w:vAlign w:val="bottom"/>
          </w:tcPr>
          <w:p>
            <w:pPr>
              <w:jc w:val="right"/>
              <w:spacing w:after="0"/>
              <w:rPr>
                <w:sz w:val="20"/>
                <w:szCs w:val="20"/>
                <w:color w:val="auto"/>
              </w:rPr>
            </w:pPr>
            <w:r>
              <w:rPr>
                <w:rFonts w:ascii="Arial" w:cs="Arial" w:eastAsia="Arial" w:hAnsi="Arial"/>
                <w:sz w:val="14"/>
                <w:szCs w:val="14"/>
                <w:color w:val="auto"/>
              </w:rPr>
              <w:t>2026</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21,641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18,687</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29,707</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1,457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71,492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March 31,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16,669</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26,023</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60,777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19,015</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18,001</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28,020</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1,347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66,383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Revenue (expense)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389</w:t>
            </w: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1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0.59%</w:t>
            </w:r>
          </w:p>
        </w:tc>
        <w:tc>
          <w:tcPr>
            <w:tcW w:w="3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11.88 %</w:t>
            </w:r>
          </w:p>
        </w:tc>
        <w:tc>
          <w:tcPr>
            <w:tcW w:w="16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2.33%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b w:val="1"/>
                <w:bCs w:val="1"/>
                <w:color w:val="auto"/>
              </w:rPr>
              <w:t>2.34%</w:t>
            </w:r>
          </w:p>
        </w:tc>
        <w:tc>
          <w:tcPr>
            <w:tcW w:w="0" w:type="dxa"/>
            <w:vAlign w:val="bottom"/>
          </w:tcPr>
          <w:p>
            <w:pPr>
              <w:spacing w:after="0"/>
              <w:rPr>
                <w:sz w:val="1"/>
                <w:szCs w:val="1"/>
                <w:color w:val="auto"/>
              </w:rPr>
            </w:pPr>
          </w:p>
        </w:tc>
      </w:tr>
      <w:tr>
        <w:trPr>
          <w:trHeight w:val="203"/>
        </w:trPr>
        <w:tc>
          <w:tcPr>
            <w:tcW w:w="29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September 30, 2025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2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340" w:type="dxa"/>
            <w:vAlign w:val="bottom"/>
          </w:tcPr>
          <w:p>
            <w:pPr>
              <w:jc w:val="right"/>
              <w:spacing w:after="0"/>
              <w:rPr>
                <w:sz w:val="20"/>
                <w:szCs w:val="20"/>
                <w:color w:val="auto"/>
              </w:rPr>
            </w:pPr>
            <w:r>
              <w:rPr>
                <w:rFonts w:ascii="Arial" w:cs="Arial" w:eastAsia="Arial" w:hAnsi="Arial"/>
                <w:sz w:val="14"/>
                <w:szCs w:val="14"/>
                <w:color w:val="auto"/>
              </w:rPr>
              <w:t>2025</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13,938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14,352</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35,370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742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64,402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June 30,</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32,719</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56,783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11,812</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14,340</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33,947</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60,766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Revenue (expense)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456</w:t>
            </w:r>
          </w:p>
        </w:tc>
        <w:tc>
          <w:tcPr>
            <w:tcW w:w="0" w:type="dxa"/>
            <w:vAlign w:val="bottom"/>
          </w:tcPr>
          <w:p>
            <w:pPr>
              <w:spacing w:after="0"/>
              <w:rPr>
                <w:sz w:val="1"/>
                <w:szCs w:val="1"/>
                <w:color w:val="auto"/>
              </w:rPr>
            </w:pPr>
          </w:p>
        </w:tc>
      </w:tr>
      <w:tr>
        <w:trPr>
          <w:trHeight w:val="202"/>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5.18%</w:t>
            </w:r>
          </w:p>
        </w:tc>
        <w:tc>
          <w:tcPr>
            <w:tcW w:w="1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3.96%</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0.75%</w:t>
            </w:r>
          </w:p>
        </w:tc>
        <w:tc>
          <w:tcPr>
            <w:tcW w:w="320" w:type="dxa"/>
            <w:vAlign w:val="bottom"/>
          </w:tcPr>
          <w:p>
            <w:pPr>
              <w:spacing w:after="0"/>
              <w:rPr>
                <w:sz w:val="17"/>
                <w:szCs w:val="17"/>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10.19%</w:t>
            </w:r>
          </w:p>
        </w:tc>
        <w:tc>
          <w:tcPr>
            <w:tcW w:w="16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2.48%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203"/>
        </w:trPr>
        <w:tc>
          <w:tcPr>
            <w:tcW w:w="29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September 30, 2026</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2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340" w:type="dxa"/>
            <w:vAlign w:val="bottom"/>
          </w:tcPr>
          <w:p>
            <w:pPr>
              <w:jc w:val="right"/>
              <w:spacing w:after="0"/>
              <w:rPr>
                <w:sz w:val="20"/>
                <w:szCs w:val="20"/>
                <w:color w:val="auto"/>
              </w:rPr>
            </w:pPr>
            <w:r>
              <w:rPr>
                <w:rFonts w:ascii="Arial" w:cs="Arial" w:eastAsia="Arial" w:hAnsi="Arial"/>
                <w:sz w:val="14"/>
                <w:szCs w:val="14"/>
                <w:color w:val="auto"/>
              </w:rPr>
              <w:t>2026</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22,145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20,439</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32,296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1,841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76,721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16,823</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32,786</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61,644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19,277</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17,073</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29,484</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1,391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67,225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Revenue (expense)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1,190</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1,163</w:t>
            </w: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Annual yield</w:t>
            </w:r>
            <w:r>
              <w:rPr>
                <w:rFonts w:ascii="Arial" w:cs="Arial" w:eastAsia="Arial" w:hAnsi="Arial"/>
                <w:sz w:val="18"/>
                <w:szCs w:val="18"/>
                <w:color w:val="auto"/>
                <w:vertAlign w:val="superscript"/>
              </w:rPr>
              <w:t>(4)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4.51%</w:t>
            </w:r>
          </w:p>
        </w:tc>
        <w:tc>
          <w:tcPr>
            <w:tcW w:w="1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220" w:type="dxa"/>
            <w:vAlign w:val="bottom"/>
          </w:tcPr>
          <w:p>
            <w:pPr>
              <w:spacing w:after="0"/>
              <w:rPr>
                <w:sz w:val="17"/>
                <w:szCs w:val="17"/>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0.59%</w:t>
            </w:r>
          </w:p>
        </w:tc>
        <w:tc>
          <w:tcPr>
            <w:tcW w:w="320" w:type="dxa"/>
            <w:vAlign w:val="bottom"/>
          </w:tcPr>
          <w:p>
            <w:pPr>
              <w:spacing w:after="0"/>
              <w:rPr>
                <w:sz w:val="17"/>
                <w:szCs w:val="17"/>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11.69%</w:t>
            </w:r>
          </w:p>
        </w:tc>
        <w:tc>
          <w:tcPr>
            <w:tcW w:w="16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2.36%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b w:val="1"/>
                <w:bCs w:val="1"/>
                <w:color w:val="auto"/>
              </w:rPr>
              <w:t>2.31%</w:t>
            </w:r>
          </w:p>
        </w:tc>
        <w:tc>
          <w:tcPr>
            <w:tcW w:w="0" w:type="dxa"/>
            <w:vAlign w:val="bottom"/>
          </w:tcPr>
          <w:p>
            <w:pPr>
              <w:spacing w:after="0"/>
              <w:rPr>
                <w:sz w:val="1"/>
                <w:szCs w:val="1"/>
                <w:color w:val="auto"/>
              </w:rPr>
            </w:pPr>
          </w:p>
        </w:tc>
      </w:tr>
      <w:tr>
        <w:trPr>
          <w:trHeight w:val="203"/>
        </w:trPr>
        <w:tc>
          <w:tcPr>
            <w:tcW w:w="292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September 30, 2025</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62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340" w:type="dxa"/>
            <w:vAlign w:val="bottom"/>
          </w:tcPr>
          <w:p>
            <w:pPr>
              <w:jc w:val="right"/>
              <w:spacing w:after="0"/>
              <w:rPr>
                <w:sz w:val="20"/>
                <w:szCs w:val="20"/>
                <w:color w:val="auto"/>
              </w:rPr>
            </w:pPr>
            <w:r>
              <w:rPr>
                <w:rFonts w:ascii="Arial" w:cs="Arial" w:eastAsia="Arial" w:hAnsi="Arial"/>
                <w:sz w:val="14"/>
                <w:szCs w:val="14"/>
                <w:color w:val="auto"/>
              </w:rPr>
              <w:t>2025</w:t>
            </w: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13,938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14,352</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35,370</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742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64,402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9,943</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26,064</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44,307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jc w:val="right"/>
              <w:spacing w:after="0" w:line="202" w:lineRule="exact"/>
              <w:rPr>
                <w:sz w:val="20"/>
                <w:szCs w:val="20"/>
                <w:color w:val="auto"/>
              </w:rPr>
            </w:pPr>
            <w:r>
              <w:rPr>
                <w:rFonts w:ascii="Arial" w:cs="Arial" w:eastAsia="Arial" w:hAnsi="Arial"/>
                <w:sz w:val="14"/>
                <w:szCs w:val="14"/>
                <w:color w:val="auto"/>
              </w:rPr>
              <w:t>Average</w:t>
            </w:r>
            <w:r>
              <w:rPr>
                <w:rFonts w:ascii="Arial" w:cs="Arial" w:eastAsia="Arial" w:hAnsi="Arial"/>
                <w:sz w:val="18"/>
                <w:szCs w:val="18"/>
                <w:color w:val="auto"/>
                <w:vertAlign w:val="superscript"/>
              </w:rPr>
              <w:t>(3)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9,843</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12,109</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30,234</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52,720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Revenue (expense)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959</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1,103</w:t>
            </w:r>
          </w:p>
        </w:tc>
        <w:tc>
          <w:tcPr>
            <w:tcW w:w="0" w:type="dxa"/>
            <w:vAlign w:val="bottom"/>
          </w:tcPr>
          <w:p>
            <w:pPr>
              <w:spacing w:after="0"/>
              <w:rPr>
                <w:sz w:val="1"/>
                <w:szCs w:val="1"/>
                <w:color w:val="auto"/>
              </w:rPr>
            </w:pPr>
          </w:p>
        </w:tc>
      </w:tr>
      <w:tr>
        <w:trPr>
          <w:trHeight w:val="252"/>
        </w:trPr>
        <w:tc>
          <w:tcPr>
            <w:tcW w:w="1960" w:type="dxa"/>
            <w:vAlign w:val="bottom"/>
            <w:gridSpan w:val="2"/>
          </w:tcPr>
          <w:p>
            <w:pPr>
              <w:jc w:val="right"/>
              <w:spacing w:after="0"/>
              <w:rPr>
                <w:sz w:val="20"/>
                <w:szCs w:val="20"/>
                <w:color w:val="auto"/>
              </w:rPr>
            </w:pPr>
            <w:r>
              <w:rPr>
                <w:rFonts w:ascii="Arial" w:cs="Arial" w:eastAsia="Arial" w:hAnsi="Arial"/>
                <w:sz w:val="14"/>
                <w:szCs w:val="14"/>
                <w:color w:val="auto"/>
              </w:rPr>
              <w:t>Annualized yield</w:t>
            </w:r>
            <w:r>
              <w:rPr>
                <w:rFonts w:ascii="Arial" w:cs="Arial" w:eastAsia="Arial" w:hAnsi="Arial"/>
                <w:sz w:val="18"/>
                <w:szCs w:val="18"/>
                <w:color w:val="auto"/>
                <w:vertAlign w:val="superscript"/>
              </w:rPr>
              <w:t>(4)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4.07%</w:t>
            </w:r>
          </w:p>
        </w:tc>
        <w:tc>
          <w:tcPr>
            <w:tcW w:w="220" w:type="dxa"/>
            <w:vAlign w:val="bottom"/>
          </w:tcPr>
          <w:p>
            <w:pPr>
              <w:spacing w:after="0"/>
              <w:rPr>
                <w:sz w:val="21"/>
                <w:szCs w:val="21"/>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0.76%</w:t>
            </w:r>
          </w:p>
        </w:tc>
        <w:tc>
          <w:tcPr>
            <w:tcW w:w="320" w:type="dxa"/>
            <w:vAlign w:val="bottom"/>
          </w:tcPr>
          <w:p>
            <w:pPr>
              <w:spacing w:after="0"/>
              <w:rPr>
                <w:sz w:val="21"/>
                <w:szCs w:val="21"/>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9.99%</w:t>
            </w:r>
          </w:p>
        </w:tc>
        <w:tc>
          <w:tcPr>
            <w:tcW w:w="160" w:type="dxa"/>
            <w:vAlign w:val="bottom"/>
          </w:tcPr>
          <w:p>
            <w:pPr>
              <w:spacing w:after="0"/>
              <w:rPr>
                <w:sz w:val="21"/>
                <w:szCs w:val="21"/>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b w:val="1"/>
                <w:bCs w:val="1"/>
                <w:color w:val="auto"/>
              </w:rPr>
              <w:t>2.42%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b w:val="1"/>
                <w:bCs w:val="1"/>
                <w:color w:val="auto"/>
              </w:rPr>
              <w:t>2.78%</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500" w:right="20" w:hanging="168"/>
        <w:spacing w:after="0" w:line="227" w:lineRule="auto"/>
        <w:tabs>
          <w:tab w:leader="none" w:pos="492"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cash and cash equivalents, restricted cash, segregated cash, cash equivalents, and securities under federal and other regulations, deposits with clearing organizations, and investments.</w:t>
      </w:r>
    </w:p>
    <w:p>
      <w:pPr>
        <w:jc w:val="both"/>
        <w:ind w:left="500" w:hanging="168"/>
        <w:spacing w:after="0" w:line="266" w:lineRule="auto"/>
        <w:tabs>
          <w:tab w:leader="none" w:pos="478"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between those amounts resulting in net interest revenue and ii) an on-balance sheet amount representing purchased credit card receivables by the Trust. Robinhood Credit collects interest from customers that carry balances and pays interest on the amount funded through the Trust, with the difference in those amounts resulting in net interest revenues. As of September 30, 2026, the off-balance sheet amount funded under the Program agreement was $196 million and the on-balance sheet amount was $1,645 million. Refer to Note 11 - Financing Activities and Off-Balance Sheet Risk to our unaudited condensed consolidated financial statements in this Quarterly Report for more information.</w:t>
      </w:r>
    </w:p>
    <w:p>
      <w:pPr>
        <w:spacing w:after="0" w:line="156" w:lineRule="exact"/>
        <w:rPr>
          <w:rFonts w:ascii="Arial" w:cs="Arial" w:eastAsia="Arial" w:hAnsi="Arial"/>
          <w:sz w:val="17"/>
          <w:szCs w:val="17"/>
          <w:color w:val="auto"/>
          <w:vertAlign w:val="superscript"/>
        </w:rPr>
      </w:pPr>
    </w:p>
    <w:p>
      <w:pPr>
        <w:ind w:left="480" w:hanging="148"/>
        <w:spacing w:after="0"/>
        <w:tabs>
          <w:tab w:leader="none" w:pos="480" w:val="left"/>
        </w:tabs>
        <w:numPr>
          <w:ilvl w:val="0"/>
          <w:numId w:val="12"/>
        </w:numPr>
        <w:rPr>
          <w:rFonts w:ascii="Arial" w:cs="Arial" w:eastAsia="Arial" w:hAnsi="Arial"/>
          <w:sz w:val="9"/>
          <w:szCs w:val="9"/>
          <w:color w:val="auto"/>
        </w:rPr>
      </w:pPr>
      <w:r>
        <w:rPr>
          <w:rFonts w:ascii="Arial" w:cs="Arial" w:eastAsia="Arial" w:hAnsi="Arial"/>
          <w:sz w:val="14"/>
          <w:szCs w:val="14"/>
          <w:color w:val="auto"/>
        </w:rPr>
        <w:t>Average balance rows represent the simple average of month-end balances in a given period.</w:t>
      </w:r>
    </w:p>
    <w:p>
      <w:pPr>
        <w:spacing w:after="0" w:line="14" w:lineRule="exact"/>
        <w:rPr>
          <w:rFonts w:ascii="Arial" w:cs="Arial" w:eastAsia="Arial" w:hAnsi="Arial"/>
          <w:sz w:val="9"/>
          <w:szCs w:val="9"/>
          <w:color w:val="auto"/>
        </w:rPr>
      </w:pPr>
    </w:p>
    <w:p>
      <w:pPr>
        <w:ind w:left="480" w:hanging="148"/>
        <w:spacing w:after="0" w:line="203" w:lineRule="auto"/>
        <w:tabs>
          <w:tab w:leader="none" w:pos="48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Annualized yield is calculated by annualizing revenue for the given period and dividing by the applicable average asset balance.</w:t>
      </w:r>
    </w:p>
    <w:p>
      <w:pPr>
        <w:jc w:val="both"/>
        <w:ind w:left="500" w:hanging="168"/>
        <w:spacing w:after="0" w:line="250" w:lineRule="auto"/>
        <w:tabs>
          <w:tab w:leader="none" w:pos="478"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Includes interest expenses related to our revolving credit facilities; interest expense related to the Trust is included in the credit card, net interest yield calculation. Refer to Note 11 - Financing Activities and Off-Balance Sheet Risk to our unaudited condensed consolidated financial statements in this Quarterly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30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Gold subscription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Proxy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115 %</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235</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Other revenues as a % of total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1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1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Gold subscription revenues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Proxy revenues</w:t>
            </w:r>
          </w:p>
        </w:tc>
        <w:tc>
          <w:tcPr>
            <w:tcW w:w="300" w:type="dxa"/>
            <w:vAlign w:val="bottom"/>
          </w:tcPr>
          <w:p>
            <w:pPr>
              <w:spacing w:after="0"/>
              <w:rPr>
                <w:sz w:val="19"/>
                <w:szCs w:val="19"/>
                <w:color w:val="auto"/>
              </w:rPr>
            </w:pPr>
          </w:p>
        </w:tc>
        <w:tc>
          <w:tcPr>
            <w:tcW w:w="940" w:type="dxa"/>
            <w:vAlign w:val="bottom"/>
          </w:tcPr>
          <w:p>
            <w:pPr>
              <w:jc w:val="center"/>
              <w:ind w:left="515"/>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20" w:type="dxa"/>
            <w:vAlign w:val="bottom"/>
          </w:tcPr>
          <w:p>
            <w:pPr>
              <w:ind w:left="440"/>
              <w:spacing w:after="0" w:line="156" w:lineRule="exact"/>
              <w:rPr>
                <w:sz w:val="20"/>
                <w:szCs w:val="20"/>
                <w:color w:val="auto"/>
              </w:rPr>
            </w:pPr>
            <w:r>
              <w:rPr>
                <w:rFonts w:ascii="Arial" w:cs="Arial" w:eastAsia="Arial" w:hAnsi="Arial"/>
                <w:sz w:val="18"/>
                <w:szCs w:val="18"/>
                <w:color w:val="auto"/>
              </w:rPr>
              <w:t>Other revenues as a % of total</w:t>
            </w:r>
          </w:p>
        </w:tc>
        <w:tc>
          <w:tcPr>
            <w:tcW w:w="300" w:type="dxa"/>
            <w:vAlign w:val="bottom"/>
          </w:tcPr>
          <w:p>
            <w:pPr>
              <w:spacing w:after="0"/>
              <w:rPr>
                <w:sz w:val="13"/>
                <w:szCs w:val="13"/>
                <w:color w:val="auto"/>
              </w:rPr>
            </w:pPr>
          </w:p>
        </w:tc>
        <w:tc>
          <w:tcPr>
            <w:tcW w:w="940" w:type="dxa"/>
            <w:vAlign w:val="bottom"/>
            <w:vMerge w:val="restart"/>
          </w:tcPr>
          <w:p>
            <w:pPr>
              <w:jc w:val="center"/>
              <w:ind w:left="515"/>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6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Total Other revenues increased $54 million and $135 million for the three and nine months ended September 30, 2026, primarily driven by increases in service revenues earned from Trump Accounts and Robinhood Gold subscription revenues due to growth in Robinhood Gold Subscribers.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5"/>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5"/>
        </w:trPr>
        <w:tc>
          <w:tcPr>
            <w:tcW w:w="35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6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350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4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7"/>
        </w:trPr>
        <w:tc>
          <w:tcPr>
            <w:tcW w:w="31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Employee compensation, benefits, and</w:t>
            </w:r>
          </w:p>
        </w:tc>
        <w:tc>
          <w:tcPr>
            <w:tcW w:w="82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15</w:t>
            </w:r>
          </w:p>
        </w:tc>
        <w:tc>
          <w:tcPr>
            <w:tcW w:w="13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3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overhead</w:t>
            </w:r>
          </w:p>
        </w:tc>
        <w:tc>
          <w:tcPr>
            <w:tcW w:w="820" w:type="dxa"/>
            <w:vAlign w:val="bottom"/>
            <w:vMerge w:val="continue"/>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Market data expenses</w:t>
            </w:r>
          </w:p>
        </w:tc>
        <w:tc>
          <w:tcPr>
            <w:tcW w:w="820" w:type="dxa"/>
            <w:vAlign w:val="bottom"/>
          </w:tcPr>
          <w:p>
            <w:pPr>
              <w:spacing w:after="0"/>
              <w:rPr>
                <w:sz w:val="19"/>
                <w:szCs w:val="19"/>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Instant withdrawals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130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68</w:t>
            </w:r>
          </w:p>
        </w:tc>
        <w:tc>
          <w:tcPr>
            <w:tcW w:w="1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9"/>
        </w:trPr>
        <w:tc>
          <w:tcPr>
            <w:tcW w:w="318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5 %</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Brokerage and transaction costs increased by $12 million and $36 million for the three and nine months ended September 30, 2026, primarily due to an $8 million and $ 16 million increase in other brokerage and transactions costs, respectively, primarily related to increases in credit card processing fees and network fees. In addition, market data expenses increased by $4 million and $11 million driven by an increase in customer volume.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2026</w:t>
            </w: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Employee compensation, benefits,</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118</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5"/>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overhead</w:t>
            </w:r>
          </w:p>
        </w:tc>
        <w:tc>
          <w:tcPr>
            <w:tcW w:w="30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Cloud infrastructure services</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60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and tools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9"/>
        </w:trPr>
        <w:tc>
          <w:tcPr>
            <w:tcW w:w="308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3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Technology and development costs increased by $17 million and $86 million for the three and nine months ended September 30, 2026, primarily due to increases in software expenses of $22 million and $47 million driven by expanded use of AI technologies across the business. Cloud infrastructure services increased $ 6 million and $11 million primarily driven by financial system integration in connection with acquired businesses. For the three months ended September 30, 2026, these increases were partially offset by a $12 million decrease in employee compensation, benefits, and allocated overhead expenses driven by lower average headcount. For the nine months ended September 30, 2026, employee compensation, benefits, and allocated overhead expenses increased by $25 million, driven by acquisitions and the launch of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26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ind w:left="380"/>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Employee compensation, benefits, and</w:t>
            </w:r>
          </w:p>
        </w:tc>
        <w:tc>
          <w:tcPr>
            <w:tcW w:w="82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29</w:t>
            </w:r>
          </w:p>
        </w:tc>
        <w:tc>
          <w:tcPr>
            <w:tcW w:w="12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overhead</w:t>
            </w:r>
          </w:p>
        </w:tc>
        <w:tc>
          <w:tcPr>
            <w:tcW w:w="82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Customer experience</w:t>
            </w:r>
          </w:p>
        </w:tc>
        <w:tc>
          <w:tcPr>
            <w:tcW w:w="820" w:type="dxa"/>
            <w:vAlign w:val="bottom"/>
          </w:tcPr>
          <w:p>
            <w:pPr>
              <w:spacing w:after="0"/>
              <w:rPr>
                <w:sz w:val="19"/>
                <w:szCs w:val="19"/>
                <w:color w:val="auto"/>
              </w:rPr>
            </w:pP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26</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3240" w:type="dxa"/>
            <w:vAlign w:val="bottom"/>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00" w:type="dxa"/>
            <w:vAlign w:val="bottom"/>
          </w:tcPr>
          <w:p>
            <w:pPr>
              <w:ind w:left="80"/>
              <w:spacing w:after="0"/>
              <w:rPr>
                <w:sz w:val="20"/>
                <w:szCs w:val="20"/>
                <w:color w:val="auto"/>
              </w:rPr>
            </w:pPr>
            <w:r>
              <w:rPr>
                <w:rFonts w:ascii="Arial" w:cs="Arial" w:eastAsia="Arial" w:hAnsi="Arial"/>
                <w:sz w:val="18"/>
                <w:szCs w:val="18"/>
                <w:color w:val="auto"/>
              </w:rPr>
              <w:t>79</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6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Percent of total net revenues: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Operations costs increased by $46 million and $81 million for the three and nine months ended September 30, 2026, primarily due to increases in customer experience costs of $21 million and $35 million to support Trump Accounts. Employee compensation, benefits, and allocated overhead increased by $7 million and $ 22 million driven by the increased growth and expansion of our business. Additionally, other operations expense increased by $18 million and $24 million driven by growth in our credit card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2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center"/>
              <w:ind w:left="5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5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5"/>
        </w:trPr>
        <w:tc>
          <w:tcPr>
            <w:tcW w:w="31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Provision for credit losses - credit card</w:t>
            </w:r>
          </w:p>
        </w:tc>
        <w:tc>
          <w:tcPr>
            <w:tcW w:w="82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61</w:t>
            </w:r>
          </w:p>
        </w:tc>
        <w:tc>
          <w:tcPr>
            <w:tcW w:w="132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143</w:t>
            </w:r>
          </w:p>
        </w:tc>
        <w:tc>
          <w:tcPr>
            <w:tcW w:w="130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5"/>
        </w:trPr>
        <w:tc>
          <w:tcPr>
            <w:tcW w:w="3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related</w:t>
            </w:r>
          </w:p>
        </w:tc>
        <w:tc>
          <w:tcPr>
            <w:tcW w:w="82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line="183" w:lineRule="exact"/>
              <w:rPr>
                <w:sz w:val="20"/>
                <w:szCs w:val="20"/>
                <w:color w:val="auto"/>
              </w:rPr>
            </w:pPr>
            <w:r>
              <w:rPr>
                <w:rFonts w:ascii="Arial" w:cs="Arial" w:eastAsia="Arial" w:hAnsi="Arial"/>
                <w:sz w:val="18"/>
                <w:szCs w:val="18"/>
                <w:color w:val="auto"/>
              </w:rPr>
              <w:t>Provision for credit losses - brokerage</w:t>
            </w:r>
          </w:p>
        </w:tc>
        <w:tc>
          <w:tcPr>
            <w:tcW w:w="820" w:type="dxa"/>
            <w:vAlign w:val="bottom"/>
          </w:tcPr>
          <w:p>
            <w:pPr>
              <w:spacing w:after="0"/>
              <w:rPr>
                <w:sz w:val="15"/>
                <w:szCs w:val="15"/>
                <w:color w:val="auto"/>
              </w:rPr>
            </w:pPr>
          </w:p>
        </w:tc>
        <w:tc>
          <w:tcPr>
            <w:tcW w:w="480" w:type="dxa"/>
            <w:vAlign w:val="bottom"/>
            <w:vMerge w:val="restart"/>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vMerge w:val="restart"/>
          </w:tcPr>
          <w:p>
            <w:pPr>
              <w:ind w:left="80"/>
              <w:spacing w:after="0"/>
              <w:rPr>
                <w:sz w:val="20"/>
                <w:szCs w:val="20"/>
                <w:color w:val="auto"/>
              </w:rPr>
            </w:pPr>
            <w:r>
              <w:rPr>
                <w:rFonts w:ascii="Arial" w:cs="Arial" w:eastAsia="Arial" w:hAnsi="Arial"/>
                <w:sz w:val="18"/>
                <w:szCs w:val="18"/>
                <w:color w:val="auto"/>
              </w:rPr>
              <w:t>10</w:t>
            </w:r>
          </w:p>
        </w:tc>
        <w:tc>
          <w:tcPr>
            <w:tcW w:w="132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ind w:left="6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20</w:t>
            </w:r>
          </w:p>
        </w:tc>
        <w:tc>
          <w:tcPr>
            <w:tcW w:w="1300" w:type="dxa"/>
            <w:vAlign w:val="bottom"/>
            <w:gridSpan w:val="2"/>
            <w:vMerge w:val="restart"/>
          </w:tcPr>
          <w:p>
            <w:pPr>
              <w:jc w:val="right"/>
              <w:ind w:right="4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5"/>
        </w:trPr>
        <w:tc>
          <w:tcPr>
            <w:tcW w:w="3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related</w:t>
            </w: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71</w:t>
            </w:r>
          </w:p>
        </w:tc>
        <w:tc>
          <w:tcPr>
            <w:tcW w:w="13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163</w:t>
            </w:r>
          </w:p>
        </w:tc>
        <w:tc>
          <w:tcPr>
            <w:tcW w:w="1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9"/>
        </w:trPr>
        <w:tc>
          <w:tcPr>
            <w:tcW w:w="314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Provision for credit losses increased by $45 million and $85 million for the three and nine months ended September 30, 2026, primarily due to a $38 million and $88 million increase in credit card-related provision for credit losses driven by higher balances across the credit card portfolio consistent with the growth of our credit card business. For the nine months ended September 30, 2026, the increase was partially offset by a decrease in reserve rates, benefiting from recovery rates and a decrease in brokerage related provision for credit losses due to decreased fraud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2026</w:t>
            </w:r>
          </w:p>
        </w:tc>
        <w:tc>
          <w:tcPr>
            <w:tcW w:w="80" w:type="dxa"/>
            <w:vAlign w:val="bottom"/>
          </w:tcPr>
          <w:p>
            <w:pPr>
              <w:spacing w:after="0"/>
              <w:rPr>
                <w:sz w:val="16"/>
                <w:szCs w:val="16"/>
                <w:color w:val="auto"/>
              </w:rPr>
            </w:pPr>
          </w:p>
        </w:tc>
        <w:tc>
          <w:tcPr>
            <w:tcW w:w="140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Digital marketing</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Brand marketing</w:t>
            </w:r>
          </w:p>
        </w:tc>
        <w:tc>
          <w:tcPr>
            <w:tcW w:w="30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Employee compensation, benefits,</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overhead</w:t>
            </w:r>
          </w:p>
        </w:tc>
        <w:tc>
          <w:tcPr>
            <w:tcW w:w="30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11 %</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315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9"/>
        </w:trPr>
        <w:tc>
          <w:tcPr>
            <w:tcW w:w="308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ind w:left="54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Marketing costs increased by $2 million and $9 million for the three and nine months ended September 30, 2026 primarily due to an increase in marketing expenses to promote new products and service offerings, partially offset by a decrease in brand marketing expenses due to lower campaign spend compared to the same periods in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Employee compensation, benefits,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overhead</w:t>
            </w:r>
          </w:p>
        </w:tc>
        <w:tc>
          <w:tcPr>
            <w:tcW w:w="2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Legal expenses</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professional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9"/>
        </w:trPr>
        <w:tc>
          <w:tcPr>
            <w:tcW w:w="3000" w:type="dxa"/>
            <w:vAlign w:val="bottom"/>
          </w:tcPr>
          <w:p>
            <w:pPr>
              <w:ind w:left="260"/>
              <w:spacing w:after="0"/>
              <w:rPr>
                <w:sz w:val="20"/>
                <w:szCs w:val="20"/>
                <w:color w:val="auto"/>
              </w:rPr>
            </w:pPr>
            <w:r>
              <w:rPr>
                <w:rFonts w:ascii="Arial" w:cs="Arial" w:eastAsia="Arial" w:hAnsi="Arial"/>
                <w:sz w:val="18"/>
                <w:szCs w:val="18"/>
                <w:color w:val="auto"/>
              </w:rPr>
              <w:t>Percent of total net revenues:</w:t>
            </w:r>
          </w:p>
        </w:tc>
        <w:tc>
          <w:tcPr>
            <w:tcW w:w="28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General and administrative costs decreased by $22 million for the three months ended September 30, 2026, primarily due to a $25 million decrease in employee compensation, benefits, and allocated overhead expenses driven by lower average headcount. For the nine months ended September 30, 2026, general and administrative costs increased by $86 million mainly driven by a $33 million increase in employee compensation, benefits, and allocated overhead expenses due to increased SBC related to the modification of executive awards related to senior leadership transitions and the growth and expansion of our business. Additionally, other general and administrative expenses increased $4 million and $29 million for the three and nine months ended September 30, 2026 primarily related to reserves for legal matters and expenses related to business growth.</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income (expense), net</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22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1260" w:type="dxa"/>
            <w:vAlign w:val="bottom"/>
          </w:tcPr>
          <w:p>
            <w:pPr>
              <w:spacing w:after="0"/>
              <w:rPr>
                <w:sz w:val="14"/>
                <w:szCs w:val="14"/>
                <w:color w:val="auto"/>
              </w:rPr>
            </w:pPr>
          </w:p>
        </w:tc>
      </w:tr>
      <w:tr>
        <w:trPr>
          <w:trHeight w:val="189"/>
        </w:trPr>
        <w:tc>
          <w:tcPr>
            <w:tcW w:w="3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5"/>
        </w:trPr>
        <w:tc>
          <w:tcPr>
            <w:tcW w:w="31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right"/>
              <w:ind w:right="59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40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20" w:type="dxa"/>
            <w:vAlign w:val="bottom"/>
            <w:tcBorders>
              <w:top w:val="single" w:sz="8" w:color="auto"/>
            </w:tcBorders>
            <w:shd w:val="clear" w:color="auto" w:fill="CCEEFF"/>
          </w:tcPr>
          <w:p>
            <w:pPr>
              <w:jc w:val="right"/>
              <w:ind w:right="622"/>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NM</w:t>
            </w:r>
          </w:p>
        </w:tc>
      </w:tr>
    </w:tbl>
    <w:p>
      <w:pPr>
        <w:spacing w:after="0" w:line="25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Other income (expense), net decreased by $59 million for the three months ended September 30, 2026 primarily due to mark-to-market loss from equity securities related to investments in RVI and RVII.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(expense), net increased $72 million for the nine months ended September 30, 2026 primarily driven by a $106 million gain recognized as a result of the deconsolidation of RVI and a $23 million gain from equity securities primarily related to investments held by RVI during the three months ended June 30, 2026. The gain was partially offset by the loss incurred during the current period due to market fluctuations. Following RVI's March 2026 IPO, we sold shares of RVI through open market and privately negotiated block sales, consistent with our original intention to reduce our ownership interest in RVI over time. In June 2026, sales effected as part of this ongoing program reduced our ownership from approximately 52% to approximately 49%, resulting in the loss of our controlling financial interest and the deconsolidation of RVI. Refer to Note 4 - Deconsolidation of our unaudited condensed consolidated financial statements in this Quarterly Report for more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Income Taxes</w:t>
      </w: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12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1420" w:type="dxa"/>
            <w:vAlign w:val="bottom"/>
          </w:tcPr>
          <w:p>
            <w:pPr>
              <w:spacing w:after="0"/>
              <w:rPr>
                <w:sz w:val="14"/>
                <w:szCs w:val="14"/>
                <w:color w:val="auto"/>
              </w:rPr>
            </w:pPr>
          </w:p>
        </w:tc>
      </w:tr>
      <w:tr>
        <w:trPr>
          <w:trHeight w:val="185"/>
        </w:trPr>
        <w:tc>
          <w:tcPr>
            <w:tcW w:w="28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5"/>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jc w:val="right"/>
              <w:ind w:right="38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7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top w:val="single" w:sz="8" w:color="auto"/>
            </w:tcBorders>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bl>
    <w:p>
      <w:pPr>
        <w:spacing w:after="0" w:line="2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Provision for income taxes increased by $ 71 million and $181 million for the three and nine months ended September 30, 2026 primarily due to the growth of the business along with a decrease in excess tax benefits from SBC.</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Sources and Uses of Funds</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principal sources of liquidity are cash flows generated from operations and our cash, cash equivalents, investments, and stablecoin. Other sources of future funds may include potential borrowing under our 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DTC, the NSCC, OCC, and the CFTC. Based on our current level of operations, we believe our primary sources of liquidity will be adequate to meet our current liquidity needs for the next 12 months.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 Assets</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September 30, 2026, we had cash and cash equivalents of $5.83 billion and stablecoin of $164 million. Refer to Note 8 - Investments and Fair Value Measurement, to our unaudited condensed consolidated financial statements in this Quarterly Report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 and Credit Card Funding Trust</w:t>
      </w:r>
    </w:p>
    <w:p>
      <w:pPr>
        <w:spacing w:after="0" w:line="19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September 30, 2026, we had revolving credit facilities with total commitments of $4.450 billion and a borrowing capacity for the Trust of up to $1.55 billion. Refer to Note 11 - Financing Activities and Off-Balance Sheet Risk to our unaudited condensed consolidated financial statements in this Quarterly Report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2026-1 Asset-backed Notes</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July 23, 2026, the Trust completed an issuance of $500 million aggregate principal amount of Series 2026-1 asset-backed notes, generating net cash proceeds of $497 million, which were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primarily to repay outstanding borrowings under the Trust’s existing revolving warehouse facilities. Refer to Note 11 - Financing Activities and Off-Balance Sheet Risk, to our unaudited condensed consolidated financial statements in this Quarterly Report for further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RVI Deconsolidation</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June 25, 2026, we sold a portion of our ownership interest in RVI, generating cash proceeds of $22 million. The Company has continued to sell down its position in RVI through September 30, 2026 for total proceeds of $40 million. Refer to Note 4 - Deconsolidation, to our unaudited condensed consolidated financial statements in this Quarterly Report for further information.</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83" w:lineRule="exact"/>
        <w:rPr>
          <w:sz w:val="20"/>
          <w:szCs w:val="20"/>
          <w:color w:val="auto"/>
        </w:rPr>
      </w:pPr>
    </w:p>
    <w:p>
      <w:pPr>
        <w:ind w:right="420" w:firstLine="324"/>
        <w:spacing w:after="0" w:line="279" w:lineRule="auto"/>
        <w:rPr>
          <w:sz w:val="20"/>
          <w:szCs w:val="20"/>
          <w:color w:val="auto"/>
        </w:rPr>
      </w:pPr>
      <w:r>
        <w:rPr>
          <w:rFonts w:ascii="Arial" w:cs="Arial" w:eastAsia="Arial" w:hAnsi="Arial"/>
          <w:sz w:val="18"/>
          <w:szCs w:val="18"/>
          <w:color w:val="auto"/>
        </w:rPr>
        <w:t>The following table summarizes our short- and long-term material cash requirements for contractual obligations as of September 30,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1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Remainder of</w:t>
            </w:r>
          </w:p>
        </w:tc>
        <w:tc>
          <w:tcPr>
            <w:tcW w:w="180" w:type="dxa"/>
            <w:vAlign w:val="bottom"/>
          </w:tcPr>
          <w:p>
            <w:pPr>
              <w:spacing w:after="0"/>
              <w:rPr>
                <w:sz w:val="12"/>
                <w:szCs w:val="12"/>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2027-2028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2029-2030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5"/>
        </w:trPr>
        <w:tc>
          <w:tcPr>
            <w:tcW w:w="4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line="23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Funding Trust borrowing principal and interest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line="23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Robinhood match incentives commitments</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5" w:lineRule="exact"/>
        <w:rPr>
          <w:sz w:val="20"/>
          <w:szCs w:val="20"/>
          <w:color w:val="auto"/>
        </w:rPr>
      </w:pPr>
    </w:p>
    <w:p>
      <w:pPr>
        <w:ind w:left="260" w:hanging="171"/>
        <w:spacing w:after="0" w:line="284" w:lineRule="auto"/>
        <w:tabs>
          <w:tab w:leader="none" w:pos="266" w:val="left"/>
        </w:tabs>
        <w:numPr>
          <w:ilvl w:val="0"/>
          <w:numId w:val="13"/>
        </w:numPr>
        <w:rPr>
          <w:rFonts w:ascii="Arial" w:cs="Arial" w:eastAsia="Arial" w:hAnsi="Arial"/>
          <w:sz w:val="9"/>
          <w:szCs w:val="9"/>
          <w:color w:val="auto"/>
        </w:rPr>
      </w:pPr>
      <w:r>
        <w:rPr>
          <w:rFonts w:ascii="Arial" w:cs="Arial" w:eastAsia="Arial" w:hAnsi="Arial"/>
          <w:sz w:val="14"/>
          <w:szCs w:val="14"/>
          <w:color w:val="auto"/>
        </w:rPr>
        <w:t>Purchase commitments are determined based on the non-cancelable quantities or termination amounts to which we are contractually obligated. These primarily relate to commitments for cloud infrastructure, data services and business insurance.</w:t>
      </w:r>
    </w:p>
    <w:p>
      <w:pPr>
        <w:spacing w:after="0" w:line="131" w:lineRule="exact"/>
        <w:rPr>
          <w:rFonts w:ascii="Arial" w:cs="Arial" w:eastAsia="Arial" w:hAnsi="Arial"/>
          <w:sz w:val="9"/>
          <w:szCs w:val="9"/>
          <w:color w:val="auto"/>
        </w:rPr>
      </w:pPr>
    </w:p>
    <w:p>
      <w:pPr>
        <w:ind w:left="260" w:hanging="171"/>
        <w:spacing w:after="0" w:line="305" w:lineRule="auto"/>
        <w:tabs>
          <w:tab w:leader="none" w:pos="259" w:val="left"/>
        </w:tabs>
        <w:numPr>
          <w:ilvl w:val="0"/>
          <w:numId w:val="13"/>
        </w:numPr>
        <w:rPr>
          <w:rFonts w:ascii="Arial" w:cs="Arial" w:eastAsia="Arial" w:hAnsi="Arial"/>
          <w:sz w:val="9"/>
          <w:szCs w:val="9"/>
          <w:color w:val="auto"/>
        </w:rPr>
      </w:pPr>
      <w:r>
        <w:rPr>
          <w:rFonts w:ascii="Arial" w:cs="Arial" w:eastAsia="Arial" w:hAnsi="Arial"/>
          <w:sz w:val="14"/>
          <w:szCs w:val="14"/>
          <w:color w:val="auto"/>
        </w:rPr>
        <w:t>Operating lease commitments include tenant improvement allowances, which are amortized as a reduction of lease expense over the shorter of the estimated useful life of the improvements or the respective lease term.</w:t>
      </w:r>
    </w:p>
    <w:p>
      <w:pPr>
        <w:spacing w:after="0" w:line="117" w:lineRule="exact"/>
        <w:rPr>
          <w:rFonts w:ascii="Arial" w:cs="Arial" w:eastAsia="Arial" w:hAnsi="Arial"/>
          <w:sz w:val="9"/>
          <w:szCs w:val="9"/>
          <w:color w:val="auto"/>
        </w:rPr>
      </w:pPr>
    </w:p>
    <w:p>
      <w:pPr>
        <w:ind w:left="260" w:hanging="171"/>
        <w:spacing w:after="0" w:line="305" w:lineRule="auto"/>
        <w:tabs>
          <w:tab w:leader="none" w:pos="267" w:val="left"/>
        </w:tabs>
        <w:numPr>
          <w:ilvl w:val="0"/>
          <w:numId w:val="13"/>
        </w:numPr>
        <w:rPr>
          <w:rFonts w:ascii="Arial" w:cs="Arial" w:eastAsia="Arial" w:hAnsi="Arial"/>
          <w:sz w:val="9"/>
          <w:szCs w:val="9"/>
          <w:color w:val="auto"/>
        </w:rPr>
      </w:pPr>
      <w:r>
        <w:rPr>
          <w:rFonts w:ascii="Arial" w:cs="Arial" w:eastAsia="Arial" w:hAnsi="Arial"/>
          <w:sz w:val="14"/>
          <w:szCs w:val="14"/>
          <w:color w:val="auto"/>
        </w:rPr>
        <w:t>Robinhood match incentives commitments represent non-cancelable future match payments on eligible cash deposits made by Robinhood Gold Subscribers. The future match payments are forfeited if deposits are not held on the platform during the specific earning period.</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lease and purchase commitments, we have two committed financing agreements: one with a contractual term of 30 days and a daily minimum commitment of $25 million and another with a contractual term of 21 days with a daily minimum commitment of $35 million.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 Capital Requirements</w:t>
      </w:r>
    </w:p>
    <w:p>
      <w:pPr>
        <w:spacing w:after="0" w:line="2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broker-dealer subsidiaries (RHS, RHF, and TradePMR) are subject to the Net Capital Rule, administered by the SEC and FINRA, which requires the maintenance of minimum net capital, as defined. Net capital and the related net capital requirements may fluctuate on a daily basis. RHS and RHF compute net capital under the alternative method as permitted by the Net Capital Rule.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FCM subsidiary, RHD, is subject to CFTC Regulation 1.17, administered by the CFTC and the NFA, which requires the maintenance of minimum net capital, as defined by CFTC Regulation 1.17. Net capital and the related net capital requirements may fluctuate on a daily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table below summarizes the net capital, capital requirements, and excess net capital of RHS, RHF, RHD, and TradePMR as of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Net Capital in Excess</w:t>
            </w:r>
          </w:p>
        </w:tc>
        <w:tc>
          <w:tcPr>
            <w:tcW w:w="0" w:type="dxa"/>
            <w:vAlign w:val="bottom"/>
          </w:tcPr>
          <w:p>
            <w:pPr>
              <w:spacing w:after="0"/>
              <w:rPr>
                <w:sz w:val="1"/>
                <w:szCs w:val="1"/>
                <w:color w:val="auto"/>
              </w:rPr>
            </w:pPr>
          </w:p>
        </w:tc>
      </w:tr>
      <w:tr>
        <w:trPr>
          <w:trHeight w:val="148"/>
        </w:trPr>
        <w:tc>
          <w:tcPr>
            <w:tcW w:w="6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 Capital</w:t>
            </w:r>
          </w:p>
        </w:tc>
        <w:tc>
          <w:tcPr>
            <w:tcW w:w="16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Required Net Capital</w:t>
            </w:r>
          </w:p>
        </w:tc>
        <w:tc>
          <w:tcPr>
            <w:tcW w:w="180" w:type="dxa"/>
            <w:vAlign w:val="bottom"/>
          </w:tcPr>
          <w:p>
            <w:pPr>
              <w:spacing w:after="0"/>
              <w:rPr>
                <w:sz w:val="12"/>
                <w:szCs w:val="12"/>
                <w:color w:val="auto"/>
              </w:rPr>
            </w:pPr>
          </w:p>
        </w:tc>
        <w:tc>
          <w:tcPr>
            <w:tcW w:w="14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85"/>
        </w:trPr>
        <w:tc>
          <w:tcPr>
            <w:tcW w:w="6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76"/>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RHF</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RHD</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Arial" w:cs="Arial" w:eastAsia="Arial" w:hAnsi="Arial"/>
                <w:sz w:val="18"/>
                <w:szCs w:val="18"/>
                <w:color w:val="auto"/>
              </w:rPr>
              <w:t>TradePMR</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2026, these subsidiaries were in compliance with their respective regulatory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activities: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6"/>
          </w:tcPr>
          <w:p>
            <w:pPr>
              <w:jc w:val="center"/>
              <w:ind w:right="2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left="539"/>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2,575</w:t>
            </w:r>
          </w:p>
        </w:tc>
        <w:tc>
          <w:tcPr>
            <w:tcW w:w="64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39"/>
        </w:trPr>
        <w:tc>
          <w:tcPr>
            <w:tcW w:w="822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481"/>
        </w:trPr>
        <w:tc>
          <w:tcPr>
            <w:tcW w:w="8220" w:type="dxa"/>
            <w:vAlign w:val="bottom"/>
          </w:tcPr>
          <w:p>
            <w:pPr>
              <w:spacing w:after="0"/>
              <w:rPr>
                <w:sz w:val="20"/>
                <w:szCs w:val="20"/>
                <w:color w:val="auto"/>
              </w:rPr>
            </w:pPr>
            <w:r>
              <w:rPr>
                <w:rFonts w:ascii="Arial" w:cs="Arial" w:eastAsia="Arial" w:hAnsi="Arial"/>
                <w:sz w:val="18"/>
                <w:szCs w:val="18"/>
                <w:i w:val="1"/>
                <w:iCs w:val="1"/>
                <w:color w:val="auto"/>
              </w:rPr>
              <w:t>Operating activities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2025 to 2026 Change</w:t>
            </w: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to net cash provided by (used in) operating activities were primarily due to:</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Increase in payable to users primarily driven by higher customer free credit balance</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securities borrowed due to market conditions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184"/>
        </w:trPr>
        <w:tc>
          <w:tcPr>
            <w:tcW w:w="9660" w:type="dxa"/>
            <w:vAlign w:val="bottom"/>
            <w:gridSpan w:val="3"/>
          </w:tcPr>
          <w:p>
            <w:pPr>
              <w:ind w:left="180"/>
              <w:spacing w:after="0" w:line="183" w:lineRule="exact"/>
              <w:rPr>
                <w:sz w:val="20"/>
                <w:szCs w:val="20"/>
                <w:color w:val="auto"/>
              </w:rPr>
            </w:pPr>
            <w:r>
              <w:rPr>
                <w:rFonts w:ascii="Arial" w:cs="Arial" w:eastAsia="Arial" w:hAnsi="Arial"/>
                <w:sz w:val="18"/>
                <w:szCs w:val="18"/>
                <w:color w:val="auto"/>
              </w:rPr>
              <w:t>Decrease in receivables from users primarily driven by lower growth in customer margin receivables, partially offset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5"/>
        </w:trPr>
        <w:tc>
          <w:tcPr>
            <w:tcW w:w="8220" w:type="dxa"/>
            <w:vAlign w:val="bottom"/>
          </w:tcPr>
          <w:p>
            <w:pPr>
              <w:ind w:left="360"/>
              <w:spacing w:after="0"/>
              <w:rPr>
                <w:sz w:val="20"/>
                <w:szCs w:val="20"/>
                <w:color w:val="auto"/>
              </w:rPr>
            </w:pPr>
            <w:r>
              <w:rPr>
                <w:rFonts w:ascii="Arial" w:cs="Arial" w:eastAsia="Arial" w:hAnsi="Arial"/>
                <w:sz w:val="18"/>
                <w:szCs w:val="18"/>
                <w:color w:val="auto"/>
              </w:rPr>
              <w:t>by a higher provision for credit losses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income after adjusting for non-cash items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Increase in working capital primarily driven by decrease in deposits with clearing organizations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securities loaned due to market conditions, variable lending and funding activities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Increase in securities segregated under federal and other regulations</w:t>
            </w: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Investing activities</w:t>
            </w: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 to 2026 Change</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to net cash provided by (used in) investing activities were primarily due to:</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Increase due to lower cash paid associated with business and asset acquisitions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gridSpan w:val="4"/>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proceeds from sales of investment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Cash derecognized upon deconsolidations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purchases of non-marketable securities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Decrease in proceeds received from maturities of held-to-maturity investments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purchases of credit card receivables offset by collections during the year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Decrease in cash, cash equivalents, and segregated cash acquired in business acquisitions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 to 2026 Change</w:t>
            </w:r>
          </w:p>
        </w:tc>
      </w:tr>
      <w:tr>
        <w:trPr>
          <w:trHeight w:val="211"/>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to net cash provided by (used in) financing activities were primarily due to:</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9660" w:type="dxa"/>
            <w:vAlign w:val="bottom"/>
          </w:tcPr>
          <w:p>
            <w:pPr>
              <w:ind w:left="180"/>
              <w:spacing w:after="0"/>
              <w:rPr>
                <w:sz w:val="20"/>
                <w:szCs w:val="20"/>
                <w:color w:val="auto"/>
              </w:rPr>
            </w:pPr>
            <w:r>
              <w:rPr>
                <w:rFonts w:ascii="Arial" w:cs="Arial" w:eastAsia="Arial" w:hAnsi="Arial"/>
                <w:sz w:val="18"/>
                <w:szCs w:val="18"/>
                <w:color w:val="auto"/>
              </w:rPr>
              <w:t>Proceeds from issuance of long-term borrowings</w:t>
            </w: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30"/>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borrowings by the Credit Card Funding Trust to purchase credit card receivables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9"/>
        </w:trPr>
        <w:tc>
          <w:tcPr>
            <w:tcW w:w="9660" w:type="dxa"/>
            <w:vAlign w:val="bottom"/>
          </w:tcPr>
          <w:p>
            <w:pPr>
              <w:ind w:left="180"/>
              <w:spacing w:after="0"/>
              <w:rPr>
                <w:sz w:val="20"/>
                <w:szCs w:val="20"/>
                <w:color w:val="auto"/>
              </w:rPr>
            </w:pPr>
            <w:r>
              <w:rPr>
                <w:rFonts w:ascii="Arial" w:cs="Arial" w:eastAsia="Arial" w:hAnsi="Arial"/>
                <w:sz w:val="18"/>
                <w:szCs w:val="18"/>
                <w:color w:val="auto"/>
              </w:rPr>
              <w:t>Decrease in cash paid for taxes related to net share settlement of equity awards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received from issuance of RVI common stock in connection with initial public offering, net of offering costs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9660" w:type="dxa"/>
            <w:vAlign w:val="bottom"/>
          </w:tcPr>
          <w:p>
            <w:pPr>
              <w:ind w:left="180"/>
              <w:spacing w:after="0"/>
              <w:rPr>
                <w:sz w:val="20"/>
                <w:szCs w:val="20"/>
                <w:color w:val="auto"/>
              </w:rPr>
            </w:pPr>
            <w:r>
              <w:rPr>
                <w:rFonts w:ascii="Arial" w:cs="Arial" w:eastAsia="Arial" w:hAnsi="Arial"/>
                <w:sz w:val="18"/>
                <w:szCs w:val="18"/>
                <w:color w:val="auto"/>
              </w:rPr>
              <w:t>Increase in contributions from noncontrolling interests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Capped Calls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9660" w:type="dxa"/>
            <w:vAlign w:val="bottom"/>
          </w:tcPr>
          <w:p>
            <w:pPr>
              <w:ind w:left="180"/>
              <w:spacing w:after="0"/>
              <w:rPr>
                <w:sz w:val="20"/>
                <w:szCs w:val="20"/>
                <w:color w:val="auto"/>
              </w:rPr>
            </w:pPr>
            <w:r>
              <w:rPr>
                <w:rFonts w:ascii="Arial" w:cs="Arial" w:eastAsia="Arial" w:hAnsi="Arial"/>
                <w:sz w:val="18"/>
                <w:szCs w:val="18"/>
                <w:color w:val="auto"/>
              </w:rPr>
              <w:t>Increase in cash paid for repurchases of common stock of RHM</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9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repayments on borrowings by the Credit Card Funding Trust</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9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9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Estimates</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GAAP. The preparation of these unaudited condensed consolidated financial statements requires estimates and assumptions that affect the reported amounts of assets and liabilities, revenues and expenses, and related disclosures of contingent liabilities on our unaudited condensed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We also have other key accounting policies, which involve the use of estimates, judgments, and assumptions that are significant to understanding our results. Although we believe that our estimates, assumptions, and judgments are reasonable, they are based upon information presently available. Actual results might differ significantly from these estimates under different assumptions, judgments, or conditions.</w:t>
      </w:r>
    </w:p>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have been no material changes to our critical accounting estimates during the nine months ended September 30, 2026, as compared to those disclosed in “Management’s Discussion and Analysis of Financial Condition and Results of Operations — Critical Accounting Estimates” in our 2025 Form 10-K.</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 of Part I, “Unaudited Financial Statements — Note 2 -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ITEM 3. QUANTITATIVE AND QUALITATIVE DISCLOSURES ABOUT MARKET RISK</w:t>
      </w:r>
    </w:p>
    <w:p>
      <w:pPr>
        <w:spacing w:after="0" w:line="20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17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Our exposure to changes in interest rates primarily relates to interest revenue earned on our interest-earning assets that are subject to floating interest rates. Interest revenue is affected by various factors such as the distribution and composition of interest-earning assets and the Federal Funds Rate. We use a net interest sensitivity analysis, which applies hypothetical 50, 100 or 150 basis point increases or decreases in interest rates to the period end balances of our interest-earning assets and liabilities, including interest rate sensitive off-balance sheet amounts related to our Coastal Bank Program Agreement, to evaluate the effect that changes in interest rates might have on total net revenues, net income, and cash flows, prior to any income tax effects, over the next 12 months.</w:t>
      </w:r>
    </w:p>
    <w:p>
      <w:pPr>
        <w:spacing w:after="0" w:line="19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w:t>
      </w:r>
    </w:p>
    <w:p>
      <w:pPr>
        <w:spacing w:after="0" w:line="21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Our exposure to changes in interest rates also relates to our fixed rate to floating rate swap agreements, which are used to effectively convert fixed-rate borrowings to variable rate borrowings and are designated as fair value hedges on certain debt. See Note 12 - Derivatives and Hedging Activities, to our unaudited condensed consolidated financial statements in this Quarterly Report for further information. The notional amount of the interest rate swap is included in our interest rate sensitivity analysis below.</w:t>
      </w:r>
    </w:p>
    <w:p>
      <w:pPr>
        <w:spacing w:after="0" w:line="2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impact to total net revenues, net income, and cash flows, prior to any income tax effects, as a result of a hypothetical interest rate change at the end of each reporting period would be: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basis point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100 basis point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 basis point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bl>
    <w:p>
      <w:pPr>
        <w:spacing w:after="0" w:line="30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change to total net revenues, net income, and cash flows, prior to any income tax effects, would be the same as total net revenues includes net interest revenue, which captures both the impact of any incremental interest revenue and interest expense, and changes in interest rates do not have a direct impact on operating expenses. Changes in the fair value of our interest rate swap and the offsetting change in the fair value of the hedged debt are non-cash and offset within Net interest revenues; only the net periodic swap settlements, which are recorded in Net interest revenues and operating cash flows, affect the sensitivity. The impact related to the change in interest rates is positively correlated, linear, and proportional. The change in the sensitivity analysis from prior year is in line with the change in interest-earning asset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We also have exposure to changes in interest rates related to our variable-rate credit facilities. See Note 11 - Financing Activities and Off-Balance Sheet Risk, to our unaudited condensed consolidated financial statements in this Quarterly Report for further information. However, as there were no outstanding borrowings under our uncommitted revolving credit facilities as of September 30, 2026, we had limited financial exposure associated with changes in interest rates as of such date.</w:t>
      </w:r>
    </w:p>
    <w:p>
      <w:pPr>
        <w:spacing w:after="0" w:line="14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established a comprehensive interest rate risk management policy, which formalizes our approach to managing interest rate risk arising in connection with the operation of our businesses. The policy sets forth policies and procedures pursuant to which we will identify interest rate risk exposure, identify and implement appropriate hedging strategies and hedging instruments, and analyze the effectiveness of our hedging strategies. Interest rate instruments will be used for hedging purposes only and not for speculation.</w:t>
      </w:r>
    </w:p>
    <w:p>
      <w:pPr>
        <w:spacing w:after="0" w:line="14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Market-Related Credit Risk</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color w:val="auto"/>
        </w:rPr>
        <w:t>ITEM 4. 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Evaluation of Disclosure Controls and Procedures</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management, with the participation of our CEO and our Chief Financial Officer (“CFO”),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Based on such evaluation, our CEO and CFO have concluded that, as of the end of the period covered by this Quarterly Report, our disclosure controls and procedures were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Internal Control Over Financial Reporting</w:t>
      </w:r>
    </w:p>
    <w:p>
      <w:pPr>
        <w:spacing w:after="0" w:line="2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Except as noted below, there has been no change in our internal control over financial reporting (as defined in Rule 13a-15(f) and 15d-15(f) under the Exchange Act) during the three months ended September 30, 2026 that has materially affected, or is reasonably likely to materially affect, our internal control over financial reporting.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1, 2026, we acquired WonderFi as discussed in Note 3 – Business Combinations to our unaudited condensed consolidated financial statements in this Quarterly Report for further information. We are in the process of evaluating and integrating WonderFi into our system of internal control over financial reporting. In accordance with guidance issued by the staffs of the SEC’s Office of the Chief Accountant and the Division of Corporation Finance, companies are permitted to exclude acquisitions from their assessment of internal control over financial reporting for the first fiscal year in which the acquisition occurred and management currently expects to exclude WonderFi from such assessment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20"/>
        <w:spacing w:after="0"/>
        <w:rPr>
          <w:sz w:val="20"/>
          <w:szCs w:val="20"/>
          <w:color w:val="auto"/>
        </w:rPr>
      </w:pPr>
      <w:r>
        <w:rPr>
          <w:rFonts w:ascii="Arial" w:cs="Arial" w:eastAsia="Arial" w:hAnsi="Arial"/>
          <w:sz w:val="36"/>
          <w:szCs w:val="36"/>
          <w:color w:val="auto"/>
        </w:rPr>
        <w:t>PART II</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auto"/>
        </w:rPr>
        <w:t>ITEM 1. LEGAL PROCEEDINGS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Item 1 of Part I, “Unaudited Financial Statements — Note 16 - Commitments &amp;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ITEM 1A. RISK FACTORS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included in this Quarterly Report, including our unaudited condensed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Quarterly Report, including statements in the following risk factors, constitute forward-looking statements. Please refer to “Cautionary Note Regarding Forward-Looking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Summary of Risk Factors</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business is subject to a number of risks and uncertainties, including those described at length in the Risk Factors section below. We consider the following to be our most material risks:</w:t>
      </w:r>
    </w:p>
    <w:p>
      <w:pPr>
        <w:spacing w:after="0" w:line="20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We might not grow in line with historical rates.</w:t>
      </w:r>
    </w:p>
    <w:p>
      <w:pPr>
        <w:spacing w:after="0" w:line="260" w:lineRule="exact"/>
        <w:rPr>
          <w:rFonts w:ascii="Times New Roman" w:cs="Times New Roman" w:eastAsia="Times New Roman" w:hAnsi="Times New Roman"/>
          <w:sz w:val="22"/>
          <w:szCs w:val="22"/>
          <w:color w:val="auto"/>
        </w:rPr>
      </w:pPr>
    </w:p>
    <w:p>
      <w:pPr>
        <w:jc w:val="both"/>
        <w:ind w:left="660" w:hanging="328"/>
        <w:spacing w:after="0" w:line="242" w:lineRule="auto"/>
        <w:tabs>
          <w:tab w:leader="none" w:pos="655"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2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Our results of operations and other operating metrics fluctuate from quarter to quarter, which makes these metrics difficult to predict.</w:t>
      </w:r>
    </w:p>
    <w:p>
      <w:pPr>
        <w:spacing w:after="0" w:line="274"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55"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Factors that affect transaction-based revenue - such as reduced spreads in securities pricing, reduced levels of trading activity generally, changes in our business relationships with or disruption in the services provided by Liquidity Providers (as defined below), and any new regulation of, or any bans on, PFOF and similar practices - might result in reduced profitability, increased compliance costs, and negative publicity.</w:t>
      </w:r>
    </w:p>
    <w:p>
      <w:pPr>
        <w:spacing w:after="0" w:line="259"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261" w:lineRule="exact"/>
        <w:rPr>
          <w:rFonts w:ascii="Times New Roman" w:cs="Times New Roman" w:eastAsia="Times New Roman" w:hAnsi="Times New Roman"/>
          <w:sz w:val="22"/>
          <w:szCs w:val="22"/>
          <w:color w:val="auto"/>
        </w:rPr>
      </w:pPr>
    </w:p>
    <w:p>
      <w:pPr>
        <w:jc w:val="both"/>
        <w:ind w:left="660" w:hanging="328"/>
        <w:spacing w:after="0" w:line="242" w:lineRule="auto"/>
        <w:tabs>
          <w:tab w:leader="none" w:pos="655"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As registered broker-dealers, we are subject to “best execution” requirements under common law agency principles, fiduciary obligations, and FINRA rules. We could be penalized if we fail to comply with these requirements, and these requirements might be modified in the future in a way that could harm our business.</w:t>
      </w:r>
    </w:p>
    <w:p>
      <w:pPr>
        <w:spacing w:after="0" w:line="258"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Unfavorable media coverage and other events that harm our brand and reputation have in the past, and may in the future, adversely affect our revenue and the size, engagement, and loyalty of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right="20" w:hanging="328"/>
        <w:spacing w:after="0" w:line="249"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Our business has been and might continue to be harmed by changes in business, economic, or political conditions that impact global financial markets, or by a systemic market event.</w:t>
      </w:r>
    </w:p>
    <w:p>
      <w:pPr>
        <w:spacing w:after="0" w:line="251"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Our future success depends on the continuing efforts of our key employees and our ability to attract and retain senior management and other highly skilled personnel.</w:t>
      </w:r>
    </w:p>
    <w:p>
      <w:pPr>
        <w:spacing w:after="0" w:line="261" w:lineRule="exact"/>
        <w:rPr>
          <w:rFonts w:ascii="Times New Roman" w:cs="Times New Roman" w:eastAsia="Times New Roman" w:hAnsi="Times New Roman"/>
          <w:sz w:val="22"/>
          <w:szCs w:val="22"/>
          <w:color w:val="auto"/>
        </w:rPr>
      </w:pPr>
    </w:p>
    <w:p>
      <w:pPr>
        <w:jc w:val="both"/>
        <w:ind w:left="660" w:hanging="328"/>
        <w:spacing w:after="0" w:line="242"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Rothera, owned and operated as a joint venture with SIG, operates a futures and derivatives exchange and clearinghouse through its subsidiary, Rothera E&amp;C. We do not wholly own or operationally control Rothera and its subsidiaries, and actions taken by Rothera and its subsidiaries could adversely affect our business, financial condition, results of operations, and reputation.</w:t>
      </w:r>
    </w:p>
    <w:p>
      <w:pPr>
        <w:spacing w:after="0" w:line="258"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We currently operate in certain international markets and plan to further expand our international operations, which exposes us to significant new risks, and our international expansion efforts might not succeed.</w:t>
      </w:r>
    </w:p>
    <w:p>
      <w:pPr>
        <w:spacing w:after="0" w:line="261" w:lineRule="exact"/>
        <w:rPr>
          <w:rFonts w:ascii="Times New Roman" w:cs="Times New Roman" w:eastAsia="Times New Roman" w:hAnsi="Times New Roman"/>
          <w:sz w:val="22"/>
          <w:szCs w:val="22"/>
          <w:color w:val="auto"/>
        </w:rPr>
      </w:pPr>
    </w:p>
    <w:p>
      <w:pPr>
        <w:jc w:val="both"/>
        <w:ind w:left="660" w:hanging="328"/>
        <w:spacing w:after="0" w:line="242"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258" w:lineRule="exact"/>
        <w:rPr>
          <w:rFonts w:ascii="Times New Roman" w:cs="Times New Roman" w:eastAsia="Times New Roman" w:hAnsi="Times New Roman"/>
          <w:sz w:val="22"/>
          <w:szCs w:val="22"/>
          <w:color w:val="auto"/>
        </w:rPr>
      </w:pPr>
    </w:p>
    <w:p>
      <w:pPr>
        <w:jc w:val="both"/>
        <w:ind w:left="660" w:hanging="328"/>
        <w:spacing w:after="0" w:line="242"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258" w:lineRule="exact"/>
        <w:rPr>
          <w:rFonts w:ascii="Times New Roman" w:cs="Times New Roman" w:eastAsia="Times New Roman" w:hAnsi="Times New Roman"/>
          <w:sz w:val="22"/>
          <w:szCs w:val="22"/>
          <w:color w:val="auto"/>
        </w:rPr>
      </w:pPr>
    </w:p>
    <w:p>
      <w:pPr>
        <w:ind w:left="660" w:hanging="328"/>
        <w:spacing w:after="0" w:line="249"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We are involved in numerous litigation matters that are expensive and time consuming, and, if resolved adversely, could expose us to significant liability and reputational harm.</w:t>
      </w:r>
    </w:p>
    <w:p>
      <w:pPr>
        <w:spacing w:after="0" w:line="251"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Our ability to offer event contracts is subject to the outcome of currently ongoing and potential future regulatory enforcement actions and litigation, as well as potential changes in federal or state law, that could immediately or subsequently prevent us from offering, or continuing to offer, event contracts and we have in the past decided, and may in the future decide, to stop offering certain new event contracts as a result of actual or threatened state enforcement actions.</w:t>
      </w:r>
    </w:p>
    <w:p>
      <w:pPr>
        <w:spacing w:after="0" w:line="259"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We operate in highly competitive markets, and many of our competitors have greater resources than we do and may have products and services that are more appealing than ours to our current or potential customers.</w:t>
      </w:r>
    </w:p>
    <w:p>
      <w:pPr>
        <w:spacing w:after="0" w:line="261"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If we fail to retain existing customers or attract new customers, or if our customers decrease their use of our products and services, our revenue will decline.</w:t>
      </w:r>
    </w:p>
    <w:p>
      <w:pPr>
        <w:spacing w:after="0" w:line="261"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If we fail to provide, monetize, or successfully execute on new and innovative products, services and initiatives that are adopted by customers, our business may become less competitive and our revenue might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right="20" w:hanging="328"/>
        <w:spacing w:after="0" w:line="249" w:lineRule="auto"/>
        <w:tabs>
          <w:tab w:leader="none" w:pos="655"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We rely on third parties to perform some key functions, and their failure to perform those functions could adversely affect our business, financial condition, and results of operations.</w:t>
      </w:r>
    </w:p>
    <w:p>
      <w:pPr>
        <w:spacing w:after="0" w:line="211" w:lineRule="exact"/>
        <w:rPr>
          <w:rFonts w:ascii="Times New Roman" w:cs="Times New Roman" w:eastAsia="Times New Roman" w:hAnsi="Times New Roman"/>
          <w:sz w:val="22"/>
          <w:szCs w:val="22"/>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continue to incorporate AI technologies into some of our products and processes. These technologies may present business, compliance, legal, and reputational risks.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could be materially and adversely affected by a cybersecurity or data breach or other attack involving our computer systems or data or those of our customers or third-party or fourth-party service providers.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do not maintain the net capital levels required by regulators, our broker-dealer business may be restricted, and we may be fined or subject to other disciplinary or corrective actions.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U.S., any particular cryptocurrency’s status as a “security” and cryptocurrency transaction’s status as an “investment contract” is subject to a high degree of uncertainty and if we have not properly characterized one or more cryptocurrencies or cryptocurrency transactions, we might be subject to legal and regulatory scrutiny, investigations, fines, and other penalties.</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SEC, a state regulator or a private litigant alleges that staking or onchain lending services we offer in the U.S. involve unregistered offers and sales of securities or unregistered securities broker-dealer activity in violation of federal securities laws or applicable state laws or regulations, and the courts agree with such plaintiff, we may be required to cease our staking or onchain lending activities and may be subject to monetary penalties and other sanctions.</w:t>
      </w:r>
    </w:p>
    <w:p>
      <w:pPr>
        <w:spacing w:after="0" w:line="20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Cryptocurrency laws, regulations, regulatory guidance, regulatory interpretations,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launch of Stock Tokens globally, continued offering of Classic Stock Tokens and perpetual futures trading in the EEA, our planned offering of perpetual futures in the U.S., and updates to Robinhood Wallet to allow eligible users in selected jurisdictions to access Stock Tokens and decentralized perpetual futures via a third-party decentralized exchange through the Robinhood Wallet, may expose us to significant regulatory, litigation, contractual, operational, and reputational risks.</w:t>
      </w:r>
    </w:p>
    <w:p>
      <w:pPr>
        <w:spacing w:after="0" w:line="20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grow in line with historical rates.</w:t>
      </w:r>
    </w:p>
    <w:p>
      <w:pPr>
        <w:spacing w:after="0" w:line="25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have grown rapidly since our founding. However, the circumstances that accelerated the growth of our business in the past, including an extended period of general macroeconomic growth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well as growth in the financial services and technology industries, may not exist in the future. You should not rely on our revenue or key business metrics for any previous quarterly or annual period as any indication of our revenue, revenue growth, key business metrics or key business metrics growth in future periods.</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reduced, and could continue to reduce, financial activity and the maturation of our business, among others. We also may not realize the intended benefits of acquisitions of, or investments in, other companies, products, or technologies intended to grow our business. Any failure to successfully address these risks and challenges as we encounter them will negatively affect our growth. Our revenue growth rate has declined in the past and if our revenue growth rate were to decline in the future, investors’ perceptions of our business and the trading price of our Class A common stock could be adversely affected.</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expanded and continue to expand our operations rapidly, including continuing to introduce new products and services on our platforms as well as geographic expansion, which makes it difficult to evaluate our current business and future prospects, and subjects us to a number of uncertainties, including our ability to plan for, model, and manage potential future growth and risks. For example, we have undertaken multiple restructurings, and in the past have implemented significant workforce reductions and have scaled back hiring plans. These actions were driven by a general downturn in economic and market conditions. While these steps were taken to improve operational efficiency, there can be no assurance that further restructuring or workforce reductions will not be necessary in the future. As part of our ongoing efforts in the normal course of business, we also continuously evaluate whether we are appropriately staffed to be cost efficient. From time to time, we have reduced our staff in certain departments as we saw increased productivity and opportunities for greater efficiency under a leaner operating model while continuing to deliver great service and innovation for our customers. For example, in September 2026, we completed a previously announced reduction in force as part of our efforts to maintain a high-performance culture, further accelerate product velocity, and remain lean and disciplined.</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Such efforts to control costs have in the past resulted, and might in the future result, in reduced productivity and deteriorating workforce morale, which can cause our business initiatives to suffer. However, as market conditions improve, we also face a risk that renewed business growth could strain our existing resources, or that we are not able to effectively scale up in response, and we could experience ongoing operating difficulties in managing our business across numerous jurisdictions, including difficulties in hiring, training, and managing a dispersed employee base.</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or the novel or inadequate application of existing laws to nascent technology such as agentic AI), as well as increased competition and the complexities of managing expenses as we expand our business. Additionally, as our business operations continue to expand, we have had and may continue to have difficulties meeting customer demand and expectations or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challenges with respect to new offerings or services we have not previously provided or have previously provided in a different capacity or smaller scale. For instance, through our engagement as brokerage and initial trustee in connection with the Trump Accounts initiative, we have entered into a new business line, which introduces new and heightened risks, including potential increased public or political scrutiny, the need to comply with certain federal contracting policies and requirements, including with respect to reimbursement and invoicing, and operational challenges associated with building and managing a platform to government specifications. Likewise, in June 2026, RHS received approval from FINRA to engage in underwriting activities in connection with public securities offerings and in September 2026 participated in its first offering as an underwriter. This new business line exposes us to risks we have not previously faced, including that we may incur losses and be subject to reputational harm to the extent that, for any reason, we are unable to sell securities we purchased as an underwriter at the anticipated price levels. As an underwriter, we are also subject to liability for material misstatements or omissions in prospectuses and other offering documents relating to offerings that we underwrite, as well as potential conflicts of interest, real or perceived, with our retail brokerage business. Similarly, in September 2026, we introduced Robinhood Agents for eligible U.S. customers, a first-party agentic trading product, and introduced leveraged perpetual futures on certain cryptocurrency contracts offered through RHD. These, and other new products, remain subject to regulatory review or involve technologies or asset classes we have not previously offered in the U.S. and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We might fail to adequately address these and other challenges we may face, and our business might be adversely affected if we do not manage these risks successfully.</w:t>
      </w:r>
    </w:p>
    <w:p>
      <w:pPr>
        <w:spacing w:after="0" w:line="22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results of operations and other operating metrics fluctuate from quarter to quarter, which makes these metrics difficult to predict.</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have included and could in the future include, among others:</w:t>
      </w:r>
    </w:p>
    <w:p>
      <w:pPr>
        <w:spacing w:after="0" w:line="20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and engage existing customers and attract new customers;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other changes in the competitive landscape of our market;</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market, whether generally or as a result of certain anticipated or unanticipated events (such as international conflicts, geopolitical events and developments with respect to tariffs and trade policy shifts), or the occurrence of so-called “meme” trading in equities, options, cryptocurrencies, or futures (which includes options on futures and swaps, including cleared swaps and event contracts (“Futures”)), any of which can cause our trading volumes to fluctuate;</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marketing, sales, compensation (for example, due to increased hiring competition for highly skilled personnel), cloud infrastructure, and other operating expenses that we might incur to grow and expand our operations and to remain competitive;</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non-cash expenses, such as SBC and asset impairments;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expansion into new markets or acquisitions;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trading volume and the prevailing trading prices for cryptocurrencies, which can be highly volatile;</w:t>
      </w:r>
    </w:p>
    <w:p>
      <w:pPr>
        <w:spacing w:after="0" w:line="25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transaction-based revenues, which include options, cryptocurrencies, equities, and event contracts, are driven by different factors across asset classes, with equities and options revenues mainly impacted by market volatility and changes in asset mix, cryptocurrency revenues mainly impacted by changes in the mix of customers and applicable pricing tiers, and event contracts revenues mainly impacted by customer demand;</w:t>
      </w:r>
    </w:p>
    <w:p>
      <w:pPr>
        <w:spacing w:after="0" w:line="20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ceasing support for certain cryptocurrencies on our RHC platform, including those that the SEC or a court has asserted or determined are securities, or proactively removing certain cryptocurrencies because they share similarities with such cryptocurrencies;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public’s perception, adoption, and use of cryptocurrencies and other asset classes;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inability of customers to place trades, due to system disruptions, outages, or trading restrictions;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events that damage customer confidence in Robinhood, such as security, privacy, or data breaches;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impacts of public health threats (including pandemics such as COVID-19), unemployment, and inflation;</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domestic or global business or macroeconomic conditions, including as a result of tariffs and trade policy shifts, geopolitical conflicts, banking instability, or responses to these events; and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or judicial or regulatory interpretations of tax laws, which are recorded in the period such laws are enacted or interpretations are issued, and might significantly affect the effective tax rate of that period.</w:t>
      </w:r>
    </w:p>
    <w:p>
      <w:pPr>
        <w:spacing w:after="0" w:line="1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Any of the factors above or listed elsewhere in this Risk Factors section, or the cumulative effect of some of those factors, could result in significant fluctuations in our results of operations.</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In prior full year periods since our inception, we have incurred operating losses, and even though we are profitable now, we may not be profitable in the future.</w:t>
      </w:r>
    </w:p>
    <w:p>
      <w:pPr>
        <w:spacing w:after="0" w:line="16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generated positive full year GAAP net income for the first time in 2024, and full year GAAP net income increased in 2025. However, in prior full year periods since our inception, we have incurred operating losses. We may not be able to maintain or increase our revenue and/or maintain or further reduce our operating expenses by sufficient amounts to sustain positive GAAP net income at levels consistent with 2024 and 2025, or continue to generate positive GAAP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Factors that affect transaction-based revenue - such as reduced spreads in securities pricing, reduced levels of trading activity generally, changes in our business relationships with or disruption in the services provided by Liquidity Providers, and any new regulation of, or any bans on, PFOF and similar practices - might result in reduced profitability, increased compliance costs, and negative publicity.</w:t>
      </w:r>
    </w:p>
    <w:p>
      <w:pPr>
        <w:spacing w:after="0" w:line="19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large portion of our revenue is transaction-based, in that we receive consideration in exchange for routing our users’ equity, option, and cryptocurrency trade orders to market makers, wholesalers and other liquidity providers (together, “Liquidity Providers”) for execution. With respect to equities and options trading, such fees are known as payment for order flow, or “PFOF.” With respect to cryptocurrency trading, currently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Liquidity Providers. For example, the SEC adopted final rules in 2024 (the “September 2024 Final Rules”) to, among other things, adopt an additional minimum pricing increment, or “tick size,” for the quoting of certain NMS stocks under Rule 612 of Regulation NMS, reduce the access fee caps for protected quotations under Rule 610 of Regulation NMS and enhance the transparency of better priced orders. On September 30, 2025, and October 31, 2025, the SEC granted temporary exemptive relief from certain compliance dates adopted under the September 2024 Final Rules, including those relating to amended Rule 605 reporting, rules related to the requirement that exchange fees be determinable at the time of execution, and the rules related to minimum pricing increments and access fee caps, which extended the effective dates to August, February, and November of 2026, respectively. On June 11, 2026, the SEC further extended the compliance dates for the minimum pricing increment and access fee cap rules to November 2027. The quote transparency rules have made information about smaller-sized orders publicly available and may result in the contraction of spreads across several securities, which we expect could lead to a decrease in the PFOF earned from such orders given that, as a result of the amended round lot (implemented in November 2025) and odd-lot definitions (became operative on April 27, 2026), the SIPs have begun making information about smaller-sized orders publicly available. Starting on August 1, 2026, we are now also required to comply with the Rule 605 execution quality report amendments, which have added to this transparency requirement. In addition, the legislative and regulatory landscape governing cryptocurrencies and related activities is subject to change and is experiencing rapid evolution, and changes in the legislative or regulatory landscape,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Risks Related to Our Business Relationships with Liquidity Providers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PFOF and Transaction Rebate arrangements with Liquidity Providers are a matter of practice and business understanding and are often not documented under binding contracts (as is generally the case with Liquidity Providers in equities and options). If any Liquidity Providers were unwilling or unable to continue to receive orders from us or to pay us for those orders (including, for example, as a result of unusually high volatility or regulatory scrutiny), we might have little to no recourse and, if there are no other Liquidity Providers that are willing or able to receive such orders from us or to pay us for such orders, or if we are unable to find replacement Liquidity Providers in a timely manner, our transaction-based revenue would be negatively impacted. Although we have established relationships with third-party cryptocurrency exchanges that may provide additional access to Liquidity Providers that are able to execute cryptocurrency trades, any shortages in Liquidity Providers willing and able to support cryptocurrencies in the U.S. could pose a risk that we may be unable to find suitable Liquidity Providers to support cryptocurrencies. Additionally, this risk is heightened for brokerage orders executed outside of regular market hours, through Robinhood 24 Hour Market or during weekend trading sessions for select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equities that we plan to introduce (subject to regulatory review), as currently brokerage trades executed outside of regular market hours are primarily routed through two Liquidity Providers. If one or more of those Liquidity Providers become unwilling or unable to do business with us in the future, we may be unable to find additional Liquidity Providers to support Robinhood 24 Hour Market or weekend trading sessions for select U.S. equities that we plan to introduce (subject to regulatory review), which could negatively impact our transaction-based revenue. Furthermore, if any of our Liquidity Providers decide to alter our given fee arrangement, our transaction-based revenue could be negatively impacted.</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disruptions in the services provided by Liquidity Providers, whether, for example, due to technical or operational issues on their part, or external factors such as legal or regulatory changes or market volatility, have in the past, and may in the future, impair our ability to execute our clients’ orders. Should a Liquidity Provider experience a disruption of service or reduced capacity or performance, particularly during peak trading hours, our ability to execute customer orders could be compromised and could have an adverse impact on our business, financial condition, and results of operations.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Risks Related to Regulation of PFOF</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recent years, PFOF practices have drawn heightened scrutiny from the U.S. Congress, the SEC, state regulators, and other regulatory and legislative authorities. For example, in December 2020, we settled an SEC investigation into our best execution and PFOF practices, and a settlement of a consolidated putative class action in federal district court relating to the same factual allegations was approved by the court in June 2026. Additionally, since July 2023, we have been cooperating with an investigation being conducted by the New York Attorney General concerning brokerage execution quality. We also face the risk that the SEC, other regulatory authorities, or legislative bodies might adopt additional regulation or legislation relating to, or which may otherwise impact, PFOF practices as a result of such heightened scrutiny or otherwise. For instance, in March 2024, the SEC adopted amendments to enhance order execution disclosures under Rule 605 of Regulation NMS (the “Order Execution Disclosure Rules”), which applied for the first time to RHF and RHS beginning August 1, 2026.</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August 1, 2026, the Order Execution Disclosure Rules require brokers, including RHF and RHS, to make new, publicly available execution quality disclosures that allow customers, regulators, academics, the press, and others to compare execution quality between brokers. Execution quality of brokers may vary based on the trading characteristics of the broker’s customers, including, but not limited to, the average number of shares traded, the types of securities (e.g., large cap, small cap, more liquid or less liquid, average spread size, etc.), what types of orders customers submit (e.g., market or limit) and when customers place their trades (e.g., market open, during the regular session or market close). Depending on how our order execution quality compares to other brokers, we could be subject to negative press or critical academic studies that could result in regulatory scrutiny or civil actions that may result in negative consequences for our business and profitability in both the near-term and long-term.</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the SEC’s amended round lot definition (which was implemented in November 2025) and the addition of odd-lot information to the SIPs’ reporting obligations (which became effective on April 27, 2026), the SIPs have begun making information about smaller-sized orders publicly available, which may result in the contraction of spreads across many securities, and we expect may lead to a decrease in the PFOF earned from such orders. Any new or heightened PFOF regulation, including future compliance dates in connection with implementation of the September 2024 Final Rules, could result in increased compliance costs and otherwise could materially decrease our transaction-based revenue, might make it more difficult for us to expand our platforms in certain jurisdictions, and could require us to make significant changes to our revenue model, which might not be successful. Because some of our competitors either do not engage in PFOF or derive a lower percentage of their revenues from PFOF than we do, any legal or regulatory change that impacts PFOF could have an outsized impact on our results of operations. Furthermore, legal or regulatory changes could also increase our risk of potential regulatory violations and civil litigation, which could result in fines or other penalties, as well as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Risks Related to Negative Publicity Associated with PFOF, Transaction Rebates or Our Liquidity Providers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any negative publicity surrounding PFOF or Transaction Rebate practices generally, or our implementation of these practices, could harm our brand and reputation. For example, as a result of the Early 2021 Trading Restrictions (as defined in Note 16 - Commitments &amp; Contingencies to our unaudited condensed consolidated financial statements in this Quarterly Report), we faced allegations that our decision to temporarily prevent our customers from purchasing specified securities was influenced by our relationship with certain market makers. Additionally,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or market structure design have generated and might continue to generate negative publicity associated with PFOF.</w:t>
      </w:r>
    </w:p>
    <w:p>
      <w:pPr>
        <w:spacing w:after="0" w:line="2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if our customers or potential customers believe that they might get better execution quality (including better price improvement) directly from our competitors that have different execution arrangements, or if our customers perceive our PFOF practices to create a conflict of interest between us and them, or if they begin to disfavor the specific market makers with which we do business due to any negative media attention or otherwise, they might decide to limit or cease the use of our platforms. Some customers might prefer to transact through our competitors that do not engage in PFOF or Transaction Rebate practices or engage in them differently than we do. Any such loss of customer engagement as a result of any negative publicity associated with PFOF or Transaction Rebate practices could adversely affect our business, financial condition, and results of operations.</w:t>
      </w:r>
    </w:p>
    <w:p>
      <w:pPr>
        <w:spacing w:after="0" w:line="2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RHC allows customers to choose a fee-based model in lieu of a liquidity provider rebate-based model (under which RHC receives Transaction Rebates from Liquidity Providers) for cryptocurrency orders routed to cryptocurrency exchanges for execution. This optionality has in the past, and may in the future, lead to negative publicity due to potential differences in total costs for customers under the two models. Based on the nature of these cost differences, concerns have arisen about (i) the use of PFOF with respect to other asset classes like equities and options and/or (ii) the replacement of Transaction Rebates with customer fees for cryptocurrency orders routed to cryptocurrency exchanges for execution. Negative publicity associated with this optionality has in the past had, and may in the future have, an adverse impact on our business, financial condition, and results of operations.</w:t>
      </w:r>
    </w:p>
    <w:p>
      <w:pPr>
        <w:spacing w:after="0" w:line="21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portion of our revenue comes from interest income earned from our corporate cash and investment portfolio, our securities lending activities, cash sweep, and from interest-rate sensitive assets, including receivables from users’ margin-borrowing and other assets underlying the customer balances we hold on our balance sheets as customer accounts. Interest rates are the key driver of our net interest income and are subject to many factors beyond our control. Reductions in interest rates have negatively impacted, and a return to a low interest rate environment would negatively impact our total net revenues, net income (loss), and cash flows, prior to any income tax effects, and adversely impact our customers’ returns on their cash deposits. Changes to the level or mix of interest earning balances could also negatively impact our total net revenues, net income (loss), and cash flows, prior to any income tax effects, if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 hypothetical 50, 100 or 150 basis point increases or decreases in interest rates to the period end balances of our interest-earning assets and liabilities could affect our total net revenues, net income (loss), and cash flows, prior to any income tax effects, see “Quantitative and Qualitative Disclosures about Market Risk-Interest Rate Risk” elsewhere in this report.</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customers’ general spending levels and ability and willingness to invest and spend through our platforms.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As registered broker-dealers, we are subject to “best execution” requirements under common law agency principles, fiduciary obligations, and FINRA rules. We could be penalized if we fail to comply with these requirements, and these requirements might be modified in the future in a way that could harm our business.</w:t>
      </w:r>
    </w:p>
    <w:p>
      <w:pPr>
        <w:spacing w:after="0" w:line="1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registered broker-dealers, we are subject to “best execution” requirements under common law agency principles, fiduciary obligations, and FINRA rules, which require us to seek to obtain the best execution of customer orders. We have in the past been, and continue to be, subject to investigations related to our best execution practices. We may face additional investigations and/or a risk of penalties in the future related to our best execution practices.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might be adversely affected in the future by legal or regulatory changes related to our obligations with regard to best execution. Receipt of PFOF and best execution requirements have drawn heightened attention and scrutiny from the U.S. Congress, the SEC, and other legislative and regulatory authorities, who have at times alleged that PFOF arrangements, like those we have with our Liquidity Providers, can result in harm to customer execution quality. There is a risk that these legislative and regulatory authorities might adopt new laws or regulations relating to PFOF practices and best execution requirements as a result of such heightened scrutiny or otherwise. For instance, the SEC previously proposed rules relating to best execution requirements in December 2022 but formally withdrew them in June 2025. In June 2026, the SEC proposed rescinding Rule 611 of Regulation NMS (the “Order Protection Rule”) and Rule 610(e) of Regulation NMS (which prohibits locked and crossed markets). If adopted as proposed, the rules would have a variety of effects, including shifting regulatory scrutiny away from compliance with Rule 611’s intermarket price protections toward FINRA’s best execution rule, thus potentially resulting in increased regulatory focus on order routing practices and execution quality under best execution obligations and could require us to enhance related policies, procedures, and documentation and increase compliance costs. For example, FINRA issued a notice on July 24, 2026, soliciting comments on modernizing its best execution guidance, which comment period expired on September 25, 2026. Any such new laws, regulations, or regulatory expectations could have a material adverse impact on our business and one of our primary sources of revenue.</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 the past needed, and may in the future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Maintaining adequate liquidity is crucial to our securities brokerage, cryptocurrency and money services business operations, including key functions such as transaction settlement, custody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requirements, and margin lending. The SEC and FINRA impose requirements governing the maintenance of specific levels of net capital by securities broker-dealers. We meet our liquidity needs primarily from working capital and cash generated by customer activity, as well as from external debt and equity financing, and with respect to our Robinhood Credit business, asset securitizations.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by regulatory changes related to our obligations with regard to capital maintenance requirements. For example, in December 2024, the SEC adopted amendments to the broker-dealer customer protection rule (SEC Rule 15c3-3) to require certain broker-dealers to compute their customer and broker-dealer reserve deposit requirements, and to make any required deposits, daily rather than weekly. While these amendments required broker-dealer compliance by June 2026, we proactively began implementing these daily computations and required deposits in January 2026. This transition to daily computations has increased the operational complexity and burden related to such calculations and funding. Additionally, there is a lack of definitive guidance on whether or how these rules may apply to most cryptocurrencies, and we might be adversely affected in the future if the SEC determines that they do.</w:t>
      </w:r>
    </w:p>
    <w:p>
      <w:pPr>
        <w:spacing w:after="0" w:line="2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our clearing and carrying broker-dealer is subject to cash deposit and collateral requirements under the rules of the clearinghouses in which it participates (including DTC, NSCC, and OCC), and such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and necessitated additional capital raising on our part. We face a risk that similar events could occur in the future and, if we are unable to satisfy our deposit requirements, the clearinghouse may cease to act for us and may liquidate our unsettled clearing portfolio. RHD also needs to hold capital and make deposits with respect to certain event contracts in accordance with applicable CFTC regulations and the rules of Rothera E&amp;C, ForecastEx, LLC, Kalshi Klear LLC, KalshiEx, Crypto.com, and OG.com.</w:t>
      </w:r>
    </w:p>
    <w:p>
      <w:pPr>
        <w:spacing w:after="0" w:line="2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Further, RHEU and Bitstamp Europe S.A. are licensed crypto asset service providers under the EU’s MiCA, the provisions of which went into effect as of December 30, 2024. Among other requirements, RHEU and Bitstamp Europe S.A. are subject to mandatory capital requirements that vary based on the services we provide. Failure to meet these capital requirements or any future increases to these requirements could limit our ability to obtain or maintain authorization, constrain operational flexibility, or result in penalties or sanctions.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activities, regulatory prohibitions against certain business practices, increased regulatory inquiries and reporting requirements, increased costs, fines, penalties or other sanctions, including suspension or expulsion by federal or state regulators or SROs, and could ultimately lead to the liquidation of our broker-dealers or other regulated entities. Factors that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Liquidity Providers and between us and our cryptocurrency customers, fluctuations in cash held in customer accounts, a significant increase in our margin lending activities, increased regulatory capital requirements, changes in regulatory guidance or interpretations,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regulatory changes, or a loss of market or customer confidence resulting in unanticipated and/or excessive withdrawals or redemptions, or a suspension of redemptions or withdrawals of customer assets. For example, in May 2025, the UK’s FCA published three papers which announced new proposals for certain aspects of the prudential requirements for crypto firms. These proposals are largely modeled on the requirements for investment firms and, if adopted, would, among other requirements, require authorized crypto asset firms to hold a required minimum amount of regulatory capital. In particular, any increase in capital or liquidity requirements under the proposed FCA regime could reduce available liquidity and constrain flexibility in Bitstamp’s operations. If adopted, these regulations could also limit our ability to obtain or maintain authorization, constrain operational flexibility, affect our ability to raise capital or result in penalties or sanctions.</w:t>
      </w:r>
    </w:p>
    <w:p>
      <w:pPr>
        <w:spacing w:after="0" w:line="2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might also need additional capital to continue to support our business and any future growth and to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the income tax withholding and remittance obligations that arise upon the vesting and/or settlement of our outstanding RSUs, and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When available cash is not sufficient, we might seek to engage in equity or debt financing to secure additional funds. Additionally, we have sought in the past and may in the future seek to fund our Robinhood Credit business through securitizations, including through warehouse facilities or the issuance of asset-backed securities.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Unfavorable media coverage and other events that harm our brand and reputation have in the past, and may in the future, adversely affect our revenue and the size, engagement, and loyalty of our customer base.</w:t>
      </w:r>
    </w:p>
    <w:p>
      <w:pPr>
        <w:spacing w:after="0" w:line="166"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platforms, and our customers, even if factually incorrect or based on isolated incidents.</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platforms have in the past and are likely in the future to receive extensive media attention. Furthermore, any negative experiences our customers have in connection with their use of our products and services, including as a result of any such performance problems, have in the past, and may in the future, diminish customer confidence in us and our products and services, which have in the past, and may in the future, result in unfavorable media coverage or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Damage to our brand and reputation could also be caused by:</w:t>
      </w:r>
    </w:p>
    <w:p>
      <w:pPr>
        <w:spacing w:after="0" w:line="252" w:lineRule="exact"/>
        <w:rPr>
          <w:sz w:val="20"/>
          <w:szCs w:val="20"/>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cybersecurity attacks, privacy or data security breaches, or other security incidents, payment disruptions or other incidents that impact the reliability of our platforms;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restructurings or any similar such reductions or activities in the future;</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repeat imposition of temporary trading restrictions (similar to our Early 2021 Trading Restrictions), or any outright failure to meet our deposit requirements;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regulatory actions, settlements, or investigations involving our platforms or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requesting or requiring us to cease offering specific products or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failures to comply with legal, tax and regulatory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perceived or actual weakness in our financial strength or liquidity;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regulatory action or settlement that results in changes to, or prohibits us from offering, certain features, products or services;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new policies, features, products, services, or initiatives, or changes to our policies, features, products, services, or initiatives, that customers or others perceive as overly restrictive, unclear, inconsistent with our values or mission, or not clearly articulated;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or unsatisfactory customer support experiences;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responses by customers, regulators, or other third parties to our business model or to particular features, products or services;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failure to adapt to new or changing customer preferences;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decision to offer products or services or participate in initiatives viewed by some as controversial;</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misinterpretation of instructions, unexpected behavior, or other unintended results in connection with our Agentic Trading feature, Robinhood Agents, or Agent Apps, or the tools and integrations that support them, including any unavailability or malfunction that prevents customers from executing transactions or produces unintended results that could negatively impact our customers;</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successfully expand into new markets or make successful acquisitions of, or investments in, other companies, products or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prolonged weakness in popular equities or cryptocurrencies specifically or in U.S. or international equity and cryptocurrency markets generally, or a sustained downturn in the U.S. or international economies;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claims or publicity involving our culture or businesses, regardless of whether such claims are accurate;</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failures to effectively moderate, or the perception of failing to effectively moderate, user-generated content on our in-app platforms, including Robinhood Social, that lead to harassment, market manipulation schemes, or other inappropriate content or conduct that could subject us to platform liability claims or viral negative publicity;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design-based liability claims, including with respect to design decisions regarding engagement-driven technology; and</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the resulting negative perception affects the public’s perception of us or our industry as a whole.</w:t>
      </w:r>
    </w:p>
    <w:p>
      <w:pPr>
        <w:spacing w:after="0" w:line="18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These and other events could negatively impact the willingness of our existing customers, and potential new customers, to do business with us, which could adversely affect our trading volumes and number of Funded Customers, as well as our ability to recruit and retain personnel, any of which could have an adverse effect on our business, financial condition, and results of operations, as well as the trading price of our Class A common stock.</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could incur substantial losses from our cash and investment accounts if one or more of the financial institutions that we use fails or is taken over by the FDIC.</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past and may in the future require us to move funds to another bank, which could cause a temporary delay in making payments to our vendors and employees, or under other</w:t>
      </w:r>
    </w:p>
    <w:p>
      <w:pPr>
        <w:spacing w:after="0" w:line="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contractual arrangements, and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has been and might continue to be harmed by changes in business, economic, or political conditions that impact global financial markets, or by a systemic market event.</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we are a financial services company, our business, results of operations, and reputation are directly and indirectly affected by elements beyond our control, such as financial market volatility (such as we previously experienced during the COVID-19 pandemic or have experienced and may experience in the future due to trade policy shifts and the imposition or escalation of tariffs implemented by the U.S. and other countries or blocs, including China, Canada, and the EU, and those countries’ or blocs’ responses to such shifts and tariffs), economic and political conditions including unemployment rates, inflation, tax and interest rates, geopolitical conflicts, such as the Russian invasion of Ukraine and ongoing events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Middle East, significant increases in the volatility or trading volume of particular securities, cryptocurrencies, or Futures (such as we experienced during the meme stock events of early 2021 and the Dogecoin surge of mid-2021), broad trends in business and finance, actual events or concerns involving liquidity, defaults, or non-performance by third-party financial institutions or transactional counterparties (such as the 2023 Banking Events), changes in volume of securities, cryptocurrencies, or Futures trading generally and changes in the markets in which such transactions occur, and changes in how such transactions are processed. These elements can arise suddenly, and the full impact of such conditions could have an adverse effect on our business results or remain uncertain indefinitely. Because a large percentage of our customers are first-time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Conversely, significant upturns in such markets or conditions might cause individuals to be less proactive in seeking ways to improve the returns on their trading or investment decisions and, thus, decrease the demand for our products and services.</w:t>
      </w:r>
    </w:p>
    <w:p>
      <w:pPr>
        <w:spacing w:after="0" w:line="20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Any of these changes could cause our future performance to be uncertain or unpredictable, and could have an adverse effect on our business and results of operations.</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senior management and other highly skilled personnel.</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agreements with some of our key personnel, most of these agreements have no specific duration and are terminable by either party at will, and our senior management team has experienced recent changes. We do not maintain key person life insurance policies on any of our employees.</w:t>
      </w:r>
    </w:p>
    <w:p>
      <w:pPr>
        <w:spacing w:after="0" w:line="2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might not be successful in attracting, integrating or retaining qualified personnel to fulfill our current or future needs. In particular, there continues to be particularly high competition for software engineers, computer scientists and other technical personnel. This competition has increased, and may in the future continue to increase, further due to ongoing changes in U.S. immigration policies and enforcement practices, particularly given the foreign national employee population from which we and other companies hire for these positions, and may present increased challenges to attracting, integrating or retaining qualified personnel. Given our heavy emphasis on SBC, the performance 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September 2026, we completed a previously announced reduction in force of approximately 10%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full-time employees, and as in the periods immediately following our prior restructurings, we may experience higher rates of voluntary employee attrition and declines in reported employee job satisfaction. We might continue to experience difficulty in hiring and retaining highly skilled employees with appropriate qualifications.</w:t>
      </w:r>
    </w:p>
    <w:p>
      <w:pPr>
        <w:spacing w:after="0" w:line="19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believe that a critical component of our efforts to attract and retain employees has been our corporate culture of innovation. We have invested substantial time and resources in building our team. As we continue to expand internationally, we will face new challenges to maintain our corporate culture of innovation among a larger number of geographically dispersed and remote employees, as well as other service providers. Failure to preserve our company culture could harm our ability to retain and recruit personnel.</w:t>
      </w:r>
    </w:p>
    <w:p>
      <w:pPr>
        <w:spacing w:after="0" w:line="2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spacing w:after="0" w:line="18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Acquisitions of, or investments in, other companies, products or technologies have in the past and could in the future require significant management attention, disrupt our business, dilute stockholder value, and adversely affect our results of operations.</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part of our business strategy, we have made and might continue to make acquisitions of, or investments in, other compatible companies, products, technologies, or specialized employees. We also have entered into and might continue to enter into relationships with other businesses in order to expand our products and services. Negotiating these transactions can be time-consuming, difficult, and expensive. Our ability to close these transactions has been, and might in the future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spacing w:after="0" w:line="2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risks, operating difficulties and expenditures prior to and following closing, including disrupting our ongoing operations, diverting management from their primary responsibilities, subjecting us to additional liabilities, compliance obligations and/or regulatory costs and penalties, exposing us to increased regulatory risk in connection with acquired companies, increasing our expenses, and adversely impacting our business, financial condition, and results of operations. In connection with such acquisitions, we have encountered and may encounter in the future challenges in successfully integrating the acquired personnel, operations, products, and technologies, including in connection with our recent acquisitions of TradePMR, Bitstamp, and WonderFi, and have and may have in the future difficulty effectively managing the combined business following such acquisitions. Moreover, the anticipated benefits of any acquisition or investment might not be realized, the acquisition or investment might not perform in accordance with expectations, and we might be exposed to unknown liabilities or risks.</w:t>
      </w:r>
    </w:p>
    <w:p>
      <w:pPr>
        <w:spacing w:after="0" w:line="20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Rothera, owned and operated as a joint venture with SIG, operates a futures and derivatives exchange and clearinghouse through its subsidiary, Rothera E&amp;C. We do not wholly own or operationally control Rothera and its subsidiaries, and actions taken by Rothera and its subsidiaries could adversely affect our business, financial condition, results of operations, and reputation.</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November 19, 2025, Robinhood invested in Rothera, a joint venture established to operate an independent and institutional-grade futures and derivatives exchange and clearinghouse. On January 20, 2026, Rothera acquired 90% of the issued and outstanding equity of Rothera E&amp;C, a CFTC-licensed DCM, DCO, and SEF. Rothera E&amp;C offers futures and derivative products, including prediction markets.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Rothera is an independent entity with its own management team and employees responsible for the day-to-day operations of the joint venture. Robinhood is entitled to appoint Rothera’s CEO and designate a majority of the members of the board of directors of Rothera. All Rothera operating and business decisions are either made directly by Rothera’s CEO or approved by a simple majority of the Rothera board of directors. As a result, Robinhood controls these activities through its ability to appoint and remove the CEO and through its majority representation on the board of directors of Rothera. Although we do not have decision-making authority over all decisions made by Rothera or any of its subsidiaries, and certain decisions may be subject to applicable regulatory requirements or require the consent of SIG and other holders of the equity of Rothera and its subsidiaries, any of whom may have economic or other business interests that are inconsistent with ours, we believe these activities represent the significant decisions that are made in the ordinary course of business for Rothera. As a result, we concluded that Robinhood possessed a controlling financial interest in Rothera through (i) its unilateral ability to appoint and remove the CEO, who directs the day-to-day operations and most significant activities of Rothera, and (ii) its majority representation on the Rothera board of directors and that none of SIG’s consent rights, such as the approval of the annual operating budget, were substantive participating rights and therefore that consolidation of Rothera by Robinhood was appropriate. Since we consolidate the financial results of Rothera and its subsidiaries into our consolidated financial statements, any failure by Rothera or its subsidiaries to operate effectively, comply with applicable laws or regulations, maintain adequate internal controls, manage liquidity or capital requirements, or successfully execute their business strategy, could adversely affect our business, financial condition, results of operations, and reputation.</w:t>
      </w:r>
    </w:p>
    <w:p>
      <w:pPr>
        <w:spacing w:after="0" w:line="21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offer select services to the public outside the U.S. in certain jurisdictions, including brokerage, crypto and futures services in the U.K. through RHUK, financial instruments, brokerage, and crypto services in the EU through RHEU, cryptocurrency trading services in Canada through CCML, a wholly owned subsidiary of WonderFi, which we acquired in June 2026, and our Robinhood Wallet, which is available in over 150 countries and offered through our Cayman Islands subsidiary, Robinhood Non-Custodial Ltd. In addition, Bitstamp, which we acquired in June 2025 and expect to help accelerate our international growth, currently has entities operating internationally in the U.K., EU, Singapore, and the British Virgin Islands, and also offers services in other countries globally. More recently, our Singapore subsidiary, Robinhood Singapore Pte. Ltd., was granted a capital markets service license in July 2026, and in July 2026, our United Arab Emirates (the “UAE”) subsidiary, Robinhood MENA Limited, which operates out of the Dubai International Financial Centre (the “DIFC”), received authorization from the Dubai Financial Services Authority (the “DFSA”) to offer its retail investing platform in the UAE, including equities, options and crypto trading.</w:t>
      </w:r>
    </w:p>
    <w:p>
      <w:pPr>
        <w:spacing w:after="0" w:line="2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intend to continue expanding our operations outside of the U.S. International expansion requires significant resources and management attention and subjects us to additional regulatory,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operational, and political risks on top of those we already face in the U.S. There are significant risks and costs inherent in establishing and doing business in international markets, including:</w:t>
      </w:r>
    </w:p>
    <w:p>
      <w:pPr>
        <w:spacing w:after="0" w:line="180" w:lineRule="exact"/>
        <w:rPr>
          <w:sz w:val="20"/>
          <w:szCs w:val="20"/>
          <w:color w:val="auto"/>
        </w:rPr>
      </w:pPr>
    </w:p>
    <w:p>
      <w:pPr>
        <w:ind w:left="660" w:right="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establishing and managing international entities, offices, and/or operations and the increased operations, travel, infrastructure, and legal and compliance costs associated with operations, entities, and/or people in different countries or regions;</w:t>
      </w:r>
    </w:p>
    <w:p>
      <w:pPr>
        <w:spacing w:after="0" w:line="17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understand, interpret and comply with local laws, regulations, and customs in multiple jurisdictions, including laws and regulations governing cryptocurrency-related, credit, payment services, derivatives (including crypto-asset perpetuals), tokenized securities, broker-dealer, money transmitter, or regulated entity practices, some of which do or might require permissions, registrations, authorizations, licenses or consents, or are or might be different from, or conflict with, those of other jurisdictions or foreign cybersecurity, data privacy, or labor and employment laws;</w:t>
      </w:r>
    </w:p>
    <w:p>
      <w:pPr>
        <w:spacing w:after="0" w:line="206"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additional complexities of any merger or acquisition activity internationally, which could subject us to additional regulatory scrutiny, approvals, obligations, costs and penalties or risk;</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adapt, localize, and position our products for specific countries (also known as “product-market fit”);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exposure to foreign fraud vectors;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competition from local providers of similar products and services;</w:t>
      </w:r>
    </w:p>
    <w:p>
      <w:pPr>
        <w:spacing w:after="0" w:line="252"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179"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offer customer support and other aspects of our offering (including websites, articles, blog posts, and customer support documentation) in various languages or locations;</w:t>
      </w:r>
    </w:p>
    <w:p>
      <w:pPr>
        <w:spacing w:after="0" w:line="179"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anti-money laundering, sanctions, anti-bribery, and anti-corruption laws, such as the FCPA and equivalent AML and sanctions rules and requirements in local markets, by us, our employees, and our business partners;</w:t>
      </w:r>
    </w:p>
    <w:p>
      <w:pPr>
        <w:spacing w:after="0" w:line="179" w:lineRule="exact"/>
        <w:rPr>
          <w:rFonts w:ascii="Arial" w:cs="Arial" w:eastAsia="Arial" w:hAnsi="Arial"/>
          <w:sz w:val="18"/>
          <w:szCs w:val="18"/>
          <w:color w:val="auto"/>
        </w:rPr>
      </w:pPr>
    </w:p>
    <w:p>
      <w:pPr>
        <w:ind w:left="660" w:right="60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recruit, retain, and manage staff in new countries and regions to support international operations, and comply with employment law, tax, payroll, and benefits requirements in multiple countries;</w:t>
      </w:r>
    </w:p>
    <w:p>
      <w:pPr>
        <w:spacing w:after="0" w:line="179"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enter into new business partnerships with third-party service providers in order to provide products and services in the local market, or to meet regulatory obligations;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varying levels of internet technology adoption and infrastructure, and increased or varying network and hosting service provider costs and differences in technology service delivery in different countries;</w:t>
      </w:r>
    </w:p>
    <w:p>
      <w:pPr>
        <w:spacing w:after="0" w:line="179"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 inflation, and tariffs and trade policy shifts could limit our ability to operate efficiently across or within borders, and the requirements of currency control regulations, which might restrict or prohibit conversion of other currencies into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4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requirements of or changes in the income and other tax laws of the U.S. or the international jurisdictions in which we operate;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or social change or unrest or economic instability in a specific country or region in which we operate.</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more limited experience with international legal and regulatory environments and market practices, and we might not be able to enter, penetrate, or successfully operate in the markets we choose. In addition, we might incur significant expenses as a result of our international expansion, and we might not be successful, which could lead to substantial losses.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funding transaction losses due to reversals or insufficient funds.</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Some of our products and services are paid for by electronic transfer from customers’ bank accounts, which exposes us to risks associated with reversals, disputes, and insufficient funds. Unwinding of funds transfers due to reversals, disputes,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spacing w:after="0" w:line="20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These risks may be amplified as we continue to expand our operations internationally and increase our exposure to foreign fraud vectors.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working model, which allows a subset of our employees to work remotely, subjects us to heightened operational risks.</w:t>
      </w:r>
    </w:p>
    <w:p>
      <w:pPr>
        <w:spacing w:after="0" w:line="2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have a segment of employees who work remotely and are not required to come into the office on a daily basis. Allowing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Additionally, the homes of certain of our employees who work remotely could be treated as “residential supervisory locations” subject to inspections on a regular periodic schedule pursuant to FINRA’s Residential Supervisory Location Designation Rule, which in turn has required certain operational changes and compliance adjustments. Non-compliance with the Residential Supervisory Location Designation Rule could subject us to fines, penalties or enforcement actions. We also face challenges due to the need to operate with a dispersed and remote workforce, as well as increased costs related to business continuity initiatives.</w:t>
      </w:r>
    </w:p>
    <w:p>
      <w:pPr>
        <w:spacing w:after="0" w:line="21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Allowing for remote work has in the past made, and may continue to make, it more difficult for us to preserve our corporate culture of innovation and our employees might have decreased opportunities to collaborate in meaningful ways. Further, we cannot guarantee that requiring a subset of employees to work in-office, or allowing certain employees to continue to work remotely, will not have a negative impact on employee morale or productivity. Any failure to overcome the challenges presented by our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model could harm our future success, including our ability to retain and recruit personnel, innovate and operate effectively, maintain product development velocity, and execute on our business strategy.</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27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a wide variety of local, state, federal, and international laws, regulations, licensing schemes, and industry standards in the U.S., the U.K., the EU, the UAE, Singapore, Canada, the British Virgin Islands, and in other countries and regions in which we operate. These laws, regulations, and standards govern numerous areas that are important to our business, and include, or might in the future include, those relating to all aspects of financial services, the securities and futures markets, investment advisory, investment companies, money transmission, the origination, marketing, servicing, and collection of consumer debt, foreign exchange, payment services and products (such as payment processing, settlement services, and credit cards), cryptocurrency (including crypto-asset perpetuals), derivatives, trading in shares and fractional shares, fraud detection, consumer protection, AML, escheatment, sanctions regimes and export controls, data privacy, data protection, custodial accounts, data security, as well as climate risk and environmental impact, including with respect to disclosure of GHG emissions and other metrics related to climate change.</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announcing in March 2024 the launch of the Robinhood Gold Card, which is offered through Robinhood Credit exclusively to Robinhood Gold Subscribers and provides rewards via the Robinhood Gold Credit Card Rewards Program, we received requests for information from the MSD related to the Robinhood Gold subscription service and the Robinhood Gold Card.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 We may also be subject to additional audits and investigations relating to government contracts, and any violations could result in various civil and criminal penalties and administrative sanctions, including termination of contracts, suspension of payments, payment of fines, and suspension or debarment from future government business, as well as harm to our reputation and financial results. For example, in connection with our role as initial trustee for Trump Accounts, we are required to comply with strict fiduciary standards, certain federal reporting rules, and operational requirements that subject us to heightened compliance risks. Separately, the expansion of our brokerage account offerings to support specialized account ownership structures, including Robinhood Custodial Accounts and standard revocable trust accounts, subjects us to an intricate state-by-state statutory and regulatory framework. This framework varies significantly across jurisdictions and governs matters such as the legal age of termination, a minor beneficiary’s rights at adulthood, the verification and scope of trustee authority, and specific restrictions on permitted investments and trading permissions. Operating within this intricate state-by-state framework presents ongoing operational and compliance challenges, and any failure of our systems or controls to accurately administer accounts with specialized ownership structures such as these, restrict ineligible products in applicable jurisdictions, or properly transition assets to a minor beneficiary upon their reaching the age of majority could expose us to regulatory scrutiny, investigations, fines, and other penalties, customer disputes, reputational harm, and may restrict our operations or require changes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operate in highly regulated industries and, despite our efforts to comply with applicable legal requirements, like all companies in our industries,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and regulatory requirements. We might be adversely affected by new laws or regulations, changes in the interpretation of existing laws or regulations, or more rigorous enforcement. Furthermore, the U.S. Congress continues to consider potential legislation relating to digital assets and cryptocurrencies. For example, on July 17, 2025, the House of Representatives passed the CLARITY Act, which seeks to provide for a system of regulation of the offer and sale of digital assets by the SEC and CFTC and establish a provisional registration regime. In the U.S. Senate, the Senate Committee on Banking, Housing, and Urban Affairs and the Senate Committee on Agriculture, Nutrition, and Forestry advanced several drafts of their proposed “Digital Asset Market Clarity Act,” which built upon the CLARITY Act. However, on September 15, 2026, the Senate failed to advance a draft of the Digital Asset Market Clarity Act in a procedural vote, and the timing and prospects for enactment of comprehensive federal digital asset market structure legislation remain uncertain. In the absence of federal legislation, particularly in light of the Senate’s recent failure to advance the CLARITY Act, federal regulators have continued to shape the regulatory framework for digital assets through exemptive relief, guidance, and rulemaking, which may be narrower, conditional, time-limited, and more readily modified or rescinded than statutory changes. For example, on September 17, 2026, the SEC issued a temporary, conditional innovation exemption that permits certain permissioned venues to facilitate onchain trading of tokenized NMS stocks without registering as an exchange, subject to a number of conditions and limitations. Stock Tokens and Classic Stock Tokens are not eligible under the exemption, and the SEC may modify or rescind it or adopt rules that differ from it. Developments of this kind could favor competitors whose products fall within the scope of such relief, increase regulatory or competitive pressure on our digital asset offerings, or require us to make operational changes or incur increased compliance costs. The SEC and CFTC have also announced a series of rulemaking proposals relating to digital assets, including the SEC’s August 18, 2026 proposed “Regulation Crypto Assets;” SEC’s September 1, 2026 proposed amendments to its transfer agent rules; SEC’s October 1, 2026 proposed new and amended investment adviser and regulated fund crypto custody rules; and the CFTC’s October 5, 2026 proposed “Regulation Crypto Asset Transactions” and “Regulated Crypto Asset Markets” rules.</w:t>
      </w:r>
    </w:p>
    <w:p>
      <w:pPr>
        <w:spacing w:after="0" w:line="2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on July 18, 2025, the President signed into law the GENIUS Act, which establishes a federal regulatory framework for “payment stablecoins” and their issuers, as well as contemplates scope for state-only regulation. The GENIUS Act is currently scheduled to become effective on January 18, 2027. As the GENIUS Act is implemented, we could be required to make significant operational changes and incur increased compliance costs. For example, we support USDG in connection with Robinhood Earn, which allows eligible customers to engage in onchain lending of USDG through their self-custody wallet in the Robinhood app through integration services provided by Robinhood Non-Custodial Ltd., via an independent third-party protocol. Implementation of the GENIUS Act could significantly increase our compliance obligations with respect to USDG, and the compliance obligations of Paxos Digital Singapore Pte. Ltd. (“Paxos”), requiring us to incur increased compliance costs. Our ability to offer certain products may also be impacted by potential legislation or actions taken by government regulators. For example, on March 23, 2026, the Prediction Markets Are Gambling Act was introduced in the U.S. Senate to amend the CEA to prohibit certain event contracts. If this legislation, or other similar proposed legislation, is enacted, it could lead to the suspension or termination of certain product offerings, which could materially decrease revenue in our prediction markets business. Additionally, regulators have requested and, in the future, could request or require us to cease offering specific products or services. Such regulatory actions have led, and in the future could lead, to the suspension or termination of product offerings, which have resulted, and may in the future result, in increased compliance costs, financial losses and negative publicity. For example, after the U.S. District Court for the Western District of Michigan denied our motion for a preliminary injunction on June 17, 2026, we agreed to cease offering new sports-related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contracts in Michigan by September 9, 2026, and to close any open sports-related event contracts in Michigan by October 9, 2026. For additional information, refer to Note 16 - Commitments &amp; Contingencies to our unaudited condensed consolidated financial statements in this Quarterly Report.</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Broker-Dealer, FCM, Investment Adviser, and Insurance Regulations</w:t>
      </w:r>
    </w:p>
    <w:p>
      <w:pPr>
        <w:spacing w:after="0" w:line="2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broker-dealers, our U.S.-based subsidiaries RHF, RHS, and TradePMR are subject to extensive regulation by federal and state regulators and SROs and are subject to laws and regulations covering all aspects of the securities industry. Similarly, our Singapore subsidiary, Robinhood Singapore Pte. Ltd., was granted a capital markets service license on July 1, 2026, and is subject to regulation by the MAS. Our UAE subsidiary, Robinhood MENA Limited, which operates out of the DIFC, received authorization from the DFSA on July 20, 2026 to offer its retail investing platform in the UAE, including equities, options and crypto trading, and is subject to regulation by the DFSA. Likewise, our subsidiary in Canada, CCML, which we acquired as part of our acquisition of WonderFi, is registered as an investment dealer with, and subject to regulation by, the CIRO. Similarly, our broker-dealer subsidiary in the U.K., RHUK, is subject to comprehensive regulation by the FCA, including the Consumer Duty, which requires regulated firms to, among other things, deliver good outcomes for retail customers. This includes outcomes relating to products and services, price and value, consumer understanding, and consumer support. Our TradePMR insurance agency subsidiary is subject to regulation by state insurance regulators. Federal and state regulators (and, in the case of RHUK, the FCA)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 Our subsidiary RHD, which is registered with the CFTC as an FCM, is also subject to extensive regulation by federal and state regulators and SROs related to offering our customers Futures products. Rothera E&amp;C, a subsidiary of the Rothera joint venture, is also registered with the CFTC and operates as a regulated DCM, DCO, and SEF and is similarly subject to extensive regulation. Similarly, state attorneys general and other state regulators, including state securities and financial services regulators, can bring legal actions on behalf of their states to assure compliance with state laws. In addition, criminal authorities such as state attorneys general or the DOJ may institute civil or criminal proceedings against us for violating applicable laws, rules, or regulations. Our subsidiaries, RAM and RHV, are registered as investment advisers with the SEC under the Advisers Act. The Advisers Act mandates a variety of requirements for RIAs, including fiduciary duties, record-keeping, operational protocols, and disclosure obligations. The Advisers Act grants regulatory bodies such as the SEC significant administrative authority to govern investment advisory firms. If the SEC or other government agencies determine that RAM or RHV have not complied with relevant laws or regulations, they can impose fines, suspend registrants and individual employees, or enact other sanctions, which may include revoking RAM’s and RHV’s registrations under the Advisers Act.</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Money-Transmitter Regulation</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money transmitters, certain of our subsidiaries are subject to regulation, primarily at the state level. We are also subject to regulation by the CFPB. We have obtained or are in the process of obtaining licenses to operate as a money transmitter (or as another type of regulated financial services institution, as applicable) at the federal level and in the states where this is 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Non-U.S. Regulations</w:t>
      </w:r>
    </w:p>
    <w:p>
      <w:pPr>
        <w:spacing w:after="0" w:line="2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investment firms and crypto-asset service providers, our subsidiaries RHEU, Bitstamp Europe S.A., Bitstamp Financial Services Ltd., Bitstamp Global Ltd., Bitstamp Asia Pte. Ltd., Robinhood Singapore Pte. Ltd., Bitstamp UK Limited, and Robinhood MENA Limited are subject to extensive regulation by regulators in Lithuania, Luxembourg, Slovenia, British Virgin Islands, Singapore, the U.K., and the UAE, respectively. Specifically, our subsidiaries, RHEU and Bitstamp Europe S.A., are licensed crypto asset service providers under MiCA, the provisions of which went into effect as of December 30, 2024. Among other provisions, MiCA introduces a comprehensive authorization and compliance regime for crypto-asset service providers, including requirements related to governance, reserves, capital, asset safeguarding, segregation, and security. In addition, our subsidiaries, RHEU and Bitstamp Financial Services Ltd., are licensed under MiFID to provide brokerage, multilateral trading facilities and/or investment advisory services. Compliance with MiCA and MiFID imposes extensive regulatory requirements on our operations in the EU, including obligations related to client classification, product governance, transaction reporting, and best execution standards. As a result of holding both MiCA and MiFID licenses, we are subject to comprehensive regulation covering virtually all financial and crypto activities within the EU. This dual licensing framework subjects us to broad and evolving supervisory regimes governing traditional financial instruments, crypto-assets, client protections, disclosure obligations, and operational standards. As we continue to evaluate and align our licensing and supervisory frameworks in the EU, including assessing the optimal structure for our MiCA and MiFID entities, we will face periods of overlapping or evolving regulatory oversight, which could result in increased compliance costs, operational burdens, and extended approval timelines in connection with any changes.</w:t>
      </w:r>
    </w:p>
    <w:p>
      <w:pPr>
        <w:spacing w:after="0" w:line="2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Certain of our subsidiaries, including Bitstamp Global Ltd., Bitstamp Asia Pte. Ltd. and Bitstamp UK Limited, are registered or regulated in a number of other foreign jurisdictions and subject to oversight by the applicable regulators, including the BVI Financial Services Commission (“FSC”), MAS and the FCA. Bitstamp Global Ltd. holds both a virtual asset license (“VASP”) and an investment services license (“SIBA”) that are granted and regulated by the FSC. Robinhood Singapore Pte. Ltd., which offers brokerage services in Singapore, is separately regulated by the MAS. Robinhood MENA Limited, which operates out of the DIFC and offers trading and custody services in the UAE, is separately regulated by the DFSA. CCML, our investment dealer subsidiary in Canada, is separately regulated by the CIRO. These regulatory frameworks generally impose ongoing compliance requirements related to customer due diligence, AML, transaction monitoring, reporting, and governance. Maintaining and renewing any of these licenses, qualifications and approvals could impose substantial costs, delay or preclude planned expansions of business activities, require significant and costly operational changes, impose restrictions, limitations, or additional requirements on our business, products and services, or prevent us from providing our products or services in any given market. In addition, we could be subject to fines, enforcement actions and litigation if we are found to violate any of the requirements of such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qualifications and approvals. There can be no assurance that we will be able to (or decide to) continue to apply for or obtain any such licenses, renewals, qualifications and approvals in any jurisdiction.</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have been and currently are subject, and, given the highly regulated nature of the industries in which we operate, we expect that we will be subject in the future, to a number of legal and regulatory examinations and investigations arising out of our compliance procedures and business practices and operations, conducted by the DOJ, SEC, FINRA, the CFTC and the NFA or other SROs or federal agencies such as OFAC, FinCEN, the FDIC or CFPB, state regulatory agencies, such as the MSD, the CAGO, the NYDFS, and international regulatory agencies, such as the U.K.’s FCA, Luxembourg’s Commission de Surveillance du Secteur Financier, Slovenia’s Agencija za trg vrednostnih papirjev, the MAS, the Bank of Lithuania, the DFSA, and the CIRO, among other authorities. These examinations and investigations have in some instances in the past, and might in the future, lead to lawsuits, arbitration claims, and enforcement proceedings, as well as other actions and claims, that result in injunctions, fines, penalties, and monetary settlements. For example:</w:t>
      </w:r>
    </w:p>
    <w:p>
      <w:pPr>
        <w:spacing w:after="0" w:line="212" w:lineRule="exact"/>
        <w:rPr>
          <w:sz w:val="20"/>
          <w:szCs w:val="20"/>
          <w:color w:val="auto"/>
        </w:rPr>
      </w:pPr>
    </w:p>
    <w:p>
      <w:pPr>
        <w:jc w:val="both"/>
        <w:ind w:left="660" w:hanging="328"/>
        <w:spacing w:after="0" w:line="25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Early 2021 Trading Restrictions, we and our employees, including our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On January 10, 2025, SEC Enforcement advised us in writing that it had closed its investigation into the Early 2021 Trading Restrictions and any contemporaneous employee trading issues. On March 6, 2025, we resolved FINRA’s investigations into the Early 2021 Trading Restrictions and employee trading issues.</w:t>
      </w:r>
    </w:p>
    <w:p>
      <w:pPr>
        <w:spacing w:after="0" w:line="20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January 2024, we settled a matter with the MSD related to supervision of certain product features and marketing strategies, the service outages on our U.S. stock trading platform on March 2-3, 2020 and March 9, 2020 (the “March 2020 Outages”), and our options trading approval process, as well as the November 2021 Data Security Incident, under which we paid a $7.5 million fine and engaged an independent consultant to review, among other things, implementation of the FINRA independent consultant’s recommendations, policies and procedures regarding certain application features, and cybersecurity measures.</w:t>
      </w:r>
    </w:p>
    <w:p>
      <w:pPr>
        <w:spacing w:after="0" w:line="20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August 2024, we settled a matter with the CAGO related to, among other things, certain disclosures by RHC and delivery of customers’ cryptocurrency assets under California Corporations Code Sections 29520 and 29505 during the period January 2018 through April 2022. We paid a monetary penalty of $3.9 million.</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January 2025, we settled multiple matters with the SEC (including investigations into Regulation SHO, the timeliness of our broker-dealers’ SAR filings, EBS submissions, various brokerage recordkeeping issues, the November 2021 Data Security Incident, and Regulation S-ID violations) in which RHF and RHS paid penalties totaling $45 million, and agreed to certain undertakings (together, the “January 2025 SEC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March 2025, we settled multiple matters with FINRA (including investigations into RHF’s historical practice of collaring market orders, CIP, use of certain social media influencers, delivery of certain regulatory-required documents to customers, and origin code designations for professional customers;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Central Repository, and the OCC; and both broker-dealers’ AML programs, registration of required personnel, and supervision of trading in associated persons’ brokerage accounts) (together, the “March 2025 FINRA Settlement”). RHF and RHS paid a penalty totaling $26 million, and agreed to pay restitution of approximately $3.76 million to customers plus interest and certain undertakings.</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These and other proceedings, some of which are described in Note 16 - Commitments &amp; Contingencies to our unaudited condensed consolidated financial statements in this Quarterly Report, have in the past, and might in the future, relate to broker-dealer, derivatives, investment adviser, credit card, cryptocurrency, and financial services rules and regulations, including our trading and supervisory policies and procedures, our clearing and routing practices, our trade reporting, our public communications, our compliance with FINRA registration requirements, AML and other financial crimes regulations, cybersecurity matters, a particular cryptocurrency’s status as a “security,” and our licensing status, among other topics. These sorts of proceedings, inquiries, examinations, investigations, and other regulatory matters have in the past, and might in the future, subject us to fines, penalties, and monetary settlements, harm our reputation and brand, require substantial management attention, result in additional compliance requirements, result in certain of our subsidiaries losing or being unable to obtain their regulatory licenses or losing their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other regulated subsidiaries or their officers or employees.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 completed its evaluation and made recommendations to implement enhancements in certain areas identified in the settlement, which required significant effort to implement.</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while we offer select services and products in certain countries outside the U.S.,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licensed, registered, or authorized has in the past and could in the future result in fines or other enforcement actions or settlements. For example, in December 2024, we were required to pay fines and entered into consent orders with the Nebraska Department of Banking and Finance and the Massachusetts Division of Banks in connection with prior unlicensed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Previous statements by lawmakers, regulators and other public officials have signaled an increased focus on new or additional regulations that could impact our business and require us to make significant changes to our business model and practices.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Various lawmakers, regulators and other public officials have previously made statements about our business and that of other broker-dealers signaling an increased focus on new or additional laws or regulations that, if acted upon, could impact our business. For instance, the former SEC Chair previously indicated that he had instructed the SEC Staff to study, and in some cases make rulemaking recommendations to the SEC, relating to, or had otherwise discussed the following, among other topics: PFOF, digital engagement practices, and whether broker-dealers are adequately disclosing their policies and procedures around potential trading restrictions; whether margin requirements and other payment requirements are sufficient; whether broker-dealers have appropriate tools to manage their liquidity and risk; conflicts that can arise from the use of predictive analytics, in particular conflicts that may arise to the extent advisors or brokers are optimizing their own interests as well as others; and the use of mobile app features such as rewards, bonuses, push notifications and other prompts and that such prompts could promote behavior that is not in the interest of the customer, such as excessive trading, and whether expanded enforcement mechanisms are necessary. Although the SEC, under the current administration, withdrew certain notices of proposed rulemaking that were issued under the former SEC Chair, if the SEC enacts similar rules in the future, whether in this current or future administration, such rules could impose additional regulatory requirements on our business and operations and could require us to make significant changes to our business model and practices. Additionally, from time to time, we have received requests from regulators, including from the SEC, regarding our collection and uses of customer data and related disclosures.</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 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spacing w:after="0" w:line="2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Also, in September 2021, FINRA announced that it is reviewing firms’ use of social media marketing, including social media influencers, which is a marketing channel that we actively utilize. In February 2022, FINRA opened an investigation into our use of social media marketing, which we resolved as part of the March 2025 FINRA Settlement. In February 2023, FINRA provided updated guidance about firms’ practices related to their acquisition of customers through social media channels, as well as firms’ sharing of customers’ usage information with affiliates and non-affiliated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spacing w:after="0" w:line="21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w:t>
      </w:r>
    </w:p>
    <w:p>
      <w:pPr>
        <w:spacing w:after="0" w:line="20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expose us to significant liability and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derivative matters, insurance matters, securities litigation matters, privacy and cybersecurity disputes, intellectual property disputes, contract disputes, consumer protection matters (including gambling loss recovery matters), and employment matters. This risk might be more pronounced during market downturns, during which the volume of legal claims and amount of damages sought in litigation and regulatory proceedings against financial services companies have historically increased.</w:t>
      </w:r>
    </w:p>
    <w:p>
      <w:pPr>
        <w:spacing w:after="0" w:line="20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Litigation matters brought against us have in the past, and might in the future,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more information about the legal proceedings in which we are currently involved, see Note 16 - Commitments &amp; Contingencies to our unaudited condensed consolidated financial statements in this Quarterly Report.</w:t>
      </w:r>
    </w:p>
    <w:p>
      <w:pPr>
        <w:spacing w:after="0" w:line="18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anti-corruption, anti-bribery, economic and trade sanctions, AML, and counter-terrorist financing that could impair our ability to compete in international markets or subject us to criminal or civil liability if we violate them.</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required to comply with U.S. economic and trade sanctions administered by OFAC and we have processes in place to facilitate compliance with OFAC regulations. As part of our customer onboarding process, in accordance with the CIP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w:t>
      </w:r>
    </w:p>
    <w:p>
      <w:pPr>
        <w:spacing w:after="0" w:line="2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the FCPA, U.S. and foreign bribery laws, and other U.S. and foreign anti-corruption laws. Anti-corruption and anti-bribery laws have been enforced aggressively in recent years and while there may currently be a reduced focus on enforcement in the U.S. in light of a February 2025 Presidential executive order, these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spacing w:after="0" w:line="2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also subject to various AML and counter-terrorist financing laws and regulations that prohibit, among other things, our involvement in transferring the proceeds of criminal activities. In the U.S., most of our services are subject to AML laws and regulations, including the Bank Secrecy Act, as amended, and similar laws and regulations. Regulators in the U.S. continue to increase their scrutiny of compliance with these obligations. For example, in August 2022, we settled an NYDFS investigation of our cryptocurrency business related primarily to AML and cybersecurity-related issues, under which we paid a monetary penalty of $30 million and engaged an independent compliance consultant, and in January 2025, as part of the January 2025 SEC Settlement, RHF and RHS paid penalties totaling $13 million for violations of the timeliness of our broker-dealers’ compliance with SAR filing requirements from January 2020 through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our operations are currently concentrated in the U.S., we have expanded our operations outside of the U.S. As we have started to expand internationally, we have become subject to additional non-U.S. laws, rules, regulations, and other requirements regarding economic and trade sanctions, AML, and counter-terrorist financing. In order to comply with applicable laws, we have revised and expanded, and will continue to revise and expand, our compliance program, including the procedures we use to verify the identity of our customers and to conduct ongoing monitoring of our customers and their transactions on our systems, including payments to persons outside of the U.S. The need to comply with multiple sets of laws, rules, regulations, and other requirements could substantially increase our compliance costs, impair our ability to compete in international markets, and subject us to risk of criminal or civil liability for violations. For example, RHEU identified elevated fraudulent activity in 2025, consistent with industry-wide trends for EU financial institutions operating Single-Euro-Payments-Area-to-crypto products, and has implemented remediation measures. No formal regulatory proceedings or penalty notices have been initiated, but regulators exercise significant regulatory discretion over how to interpret and enforce applicable law and regulations.</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ability to offer event contracts is subject to the outcome of currently ongoing and potential future regulatory enforcement actions and litigation, as well as potential changes in federal or state law, that could immediately or subsequently prevent us from offering, or continuing to offer, event contracts and we have in the past decided, and may in the future decide, to stop offering certain new event contracts as a result of actual or threatened state enforcement actions.</w:t>
      </w:r>
    </w:p>
    <w:p>
      <w:pPr>
        <w:spacing w:after="0" w:line="19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Event contracts, whether offered by us or others, have drawn scrutiny from federal and state regulators and private parties, and have resulted in litigation that we are party to as well as litigation involving other companies that offer event contracts and between the CFTC and several states. In particular:</w:t>
      </w:r>
    </w:p>
    <w:p>
      <w:pPr>
        <w:spacing w:after="0" w:line="198" w:lineRule="exact"/>
        <w:rPr>
          <w:sz w:val="20"/>
          <w:szCs w:val="20"/>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Various CFTC DCMs and FCMs—including RHD—have received cease-and-desist letters from various states asserting that offering federally regulated event contracts violates state wagering and gaming laws.</w:t>
      </w:r>
    </w:p>
    <w:p>
      <w:pPr>
        <w:spacing w:after="0" w:line="17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Several states have also filed civil enforcement actions against DCMs and FCMs—including RHD—in state court, some of which have been removed to federal court, which generally assert that the offering of federally regulated event contracts violates state wagering and gaming laws, public nuisance laws, or consumer protection laws. Among other remedies, civil enforcement actions have sought penalties, restitution, and disgorgement. Certain state courts have issued orders granting temporary restraining orders and preliminary injunctions against some defendants restraining the offer of certain categories of event contracts; at least one of these orders has been appealed to a state appellate court.</w:t>
      </w:r>
    </w:p>
    <w:p>
      <w:pPr>
        <w:spacing w:after="0" w:line="20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DCMs and FCMs have also filed actions for declaratory judgment and permanent injunction seeking to enjoin states from filing civil and criminal enforcement actions against DCMs and FCMs on the ground that the CEA preempts the application of state law to federally regulated event contracts traded on DCMs. Such suits, including ones brought by RHD, have been brought in federal court. While some federal lawsuits have been successful in obtaining preliminary relief against certain states, other courts have denied preliminary relief to DCMs and FCMs. Certain of those decisions granting or denying preliminary relief have been appealed to federal courts of appeals. The United States Court of Appeals for the Third Circuit has affirmed a decision granting preliminary relief to KalshiEx against the State of New Jersey. New Jersey has petitioned the United States Supreme Court for a writ of certiorari. On the other hand, the United States Court of Appeals for the Ninth Circuit has affirmed a decision denying preliminary relief to KalshiEx, RHD, and Crypto.com against the State of Nevada. KalshiEx has sought a rehearing en banc while RHD and Crypto.com have petitioned the United States Supreme Court for a writ of certiorari.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Similarly, the United States Court of Appeals for the Sixth Circuit has affirmed a decision denying preliminary relief to KalshiEx against the State of Ohio and vacated a decision granting preliminary relief to KalshiEx against the State of Tennessee. KalshiEx is seeking rehearing en banc of the Sixth Circuit’s decision.</w:t>
      </w:r>
    </w:p>
    <w:p>
      <w:pPr>
        <w:spacing w:after="0" w:line="198" w:lineRule="exact"/>
        <w:rPr>
          <w:sz w:val="20"/>
          <w:szCs w:val="20"/>
          <w:color w:val="auto"/>
        </w:rPr>
      </w:pPr>
    </w:p>
    <w:p>
      <w:pPr>
        <w:ind w:left="660" w:right="2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these lawsuits in state and federal court, certain DCMs and FCMs—including Robinhood—have agreed with state regulators to stop offering certain new event contracts in certain states pending resolution of ongoing litigation.</w:t>
      </w:r>
    </w:p>
    <w:p>
      <w:pPr>
        <w:spacing w:after="0" w:line="17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March 2026, Arizona filed criminal charges against KalshiEx and a related entity in Arizona state court for alleged violations of state betting and wagering laws. The CFTC successfully secured a preliminary injunction prohibiting Arizona from enforcing its gambling laws through any criminal or civil enforcement actions related to event contracts listed on CFTC-regulated DCMs. That decision is on appeal to the United States Court of Appeals for the Ninth Circuit and is subject to a motion to be summarily vacated as applied to sports-related event contracts and remanded for additional proceedings as to election-related contracts in light of the Ninth Circuit’s decision in KalshiEx’s appeal against the State of Nevada, described above.</w:t>
      </w:r>
    </w:p>
    <w:p>
      <w:pPr>
        <w:spacing w:after="0" w:line="20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Beginning in April 2026, the CFTC filed complaints for declaratory relief and permanent injunction against certain states seeking to enjoin such states from enforcing state laws on the ground that the CEA preempts the application of state law to federally regulated event contracts traded on DCMs. In at least one of these actions, the CFTC has been successful in securing a preliminary injunction prohibiting a state regulator from enforcing its state gambling laws through any criminal or civil enforcement actions related to event contracts listed on CFTC-regulated DCMs. DCMs and FCMs, including RHD, have filed motions to intervene as plaintiffs in several actions brought by the CFTC, some of which have been granted.</w:t>
      </w:r>
    </w:p>
    <w:p>
      <w:pPr>
        <w:spacing w:after="0" w:line="20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Native American tribes have sued entities including a DCM, Robinhood, and RHD, in federal court for injunctive relief and damages for offering event contracts accessible using devices on or near tribal lands. The tribes have asserted claims under the Indian Gaming Regulatory Act, the Lanham Act, civil violation of the Racketeer Influenced and Corrupt Organizations Act, and violations of tribal compacts, ordinances, regulations, and sovereignty. The only claim currently being asserted against Robinhood and RHD is for civil violation of the Racketeer Influenced and Corrupt Organizations Act for working with the Kalshi defendants to offer event contracts through KalshiEx’s exchange. The United States Court of Appeals for the Ninth Circuit has reversed a denial of a preliminary injunction sought by the tribes against KalshiEx.</w:t>
      </w:r>
    </w:p>
    <w:p>
      <w:pPr>
        <w:spacing w:after="0" w:line="20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Several private organizations have been formed to recover, under state Statute of Anne laws, certain damages alleged to have resulted from event contract trading on DCMs. Those entities have brought actions against FCMs, DCMs, and others in state court, including RHD and KalshiEx, among other related entities. State Statute of Anne laws generally allow a losing party to recover certain gambling losses and, if no recovery is sought after the expiration of a set period of time, may permit others to recover those same losses. Some states permit the recovery of additional damages including treble damages.</w:t>
      </w:r>
    </w:p>
    <w:p>
      <w:pPr>
        <w:spacing w:after="0" w:line="20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Purported customers of several DCMs and other entities - including RHD - have also brought state statutory and common law claims on behalf of themselves and putative state and nationwide classes of consumers against DCMs in connection with their offering of event contracts, both in federal court and state courts. Plaintiffs generally allege that DCMs are conducting illegal sports gambling operations. Plaintiffs assert, among other claims, violations of state unlawful trade practices statutes, claims to recover under state Statute of Anne laws, violations of the CEA and CFTC regulations, joint venture and veil piercing liability, and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law unjust enrichment, and seek damages and equitable relief. Some plaintiffs have asserted that certain contracts, or the resolution of certain contracts, violated the CEA.</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For more information on certain of these proceedings, see Note 16 - Commitments &amp; Contingencies to our unaudited condensed consolidated financial statements in this Quarterly Report.</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outcome of these cases or new laws or regulations, changes in the interpretation of existing laws or regulations, or more rigorous enforcement in this space could immediately or subsequently prevent us from offering, or continuing to offer, some or all types of event contracts in the future, including in specific states. In particular, additional federal or state courts, including appellate courts, may conclude that state laws attempting to prevent the trading of CFTC-regulated sports-related event contracts are not preempted by the CEA, or that event contracts are not “swaps” or contracts in excluded commodities falling within the jurisdiction of the CFTC, which would likely require us to cease offering certain event contracts in one or more states (or across all jurisdictions in which we operate) and could lead to adverse litigation and regulatory actions against us for doing so. This could include civil and criminal enforcement actions that could seek penalties, restitution, and disgorgement. Any such decision(s) could also result in us becoming subject to various new state-specific regulations relating to or implicating other event contracts, which would further limit our ability to offer access to event contracts within such state(s). As a result of actual or threatened state enforcement actions in light of state and federal court decisions, we have in the past decided, and may in the future decide, to stop offering certain new event contracts in additional states.</w:t>
      </w:r>
    </w:p>
    <w:p>
      <w:pPr>
        <w:spacing w:after="0" w:line="20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Changes in CFTC or other regulatory policy that seek to ban or more heavily regulate event contracts, particularly event contracts that we offer such as those related to sporting events, could also require us to cease offering event contracts or materially impact our ability to offer event contracts and we may be required to cease offering such contracts in one or more jurisdictions in which we operate either immediately or with minimal advance notice to customers. The CFTC previously proposed a rule amendment that, if adopted by the CFTC as proposed, would likely have prohibited us from offering sports and election event contracts (similar to the ones we offered in November 2024). The CFTC withdrew this proposed rule amendment on February 4, 2026, and has proposed new rule amendments related to event contracts. On June 10, 2026, the CFTC issued a notice of proposed rulemaking that would, among other changes, clarify and establish procedures for the discretionary review of event contracts. On June 25, 2026, the CFTC issued a notice of proposed rulemaking that would require certain reporting markets, FCMs, clearing members, and foreign brokers to report certain event contracts pursuant to new CFTC regulations. On October 9, 2026, the CFTC issued a notice of proposed rulemaking that would expressly define the term “swap” to include event contracts, including those based on sports, politics, cultural, and weather-related events. The proposal notes these contracts are financial instruments that are commonly known to the trade as swaps and proposes to resolve any ambiguity regarding these contracts. The same day, the CFTC also published an Interim Final Rule that codifies its longstanding position that casino-style gambling products, including wagers placed on sportsbooks and casino games, are excluded from the “swap” definition. These proposed rule amendments have not yet been finalized, and the CFTC could take different or broader actions with respect to these or other event contracts without notice at any time. Any changes in CFTC or other regulatory policy that seek to ban or more heavily regulate event contracts may subject us to heightened legal and regulatory scrutiny, investigations, fines, and other penalties.</w:t>
      </w:r>
    </w:p>
    <w:p>
      <w:pPr>
        <w:spacing w:after="0" w:line="22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our ability to offer event contracts (either entirely or in certain categories) in one or more jurisdictions in which we operate is threatened, the perception of our brand may suffer and we may be unable to retain customers, and we may incur significant costs to attempt to continue listing some or all such event contracts. Any of these outcomes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the tax treatment of event contracts is unclear, and unfavorable interpretations of tax laws or regulations by foreign or U.S. federal or state tax authorities could result in income and other taxes being imposed on Robinhood, our counterparties and our customers. These include potential federal excise tax on wagers under Internal Revenue Code Sections 4401 and 4421, as well as a growing number of state-specific taxes targeting prediction market and event contract activity. For example, Illinois recently enacted a tax (effective July 1, 2026) on state-licensed prediction market operators equal to 1.75% of the value of the first five million contracts traded annually by individuals in Illinois and 3.5% for such contracts in excess of that threshold. If the new law survives pending legal challenges, it is likely to increase our cost of doing business in Illinois. A competitor has filed suit challenging the Illinois law as preempted by the CFTC’s exclusive jurisdiction over event contracts traded on a designated contract market; we cannot predict the outcome of this litigation. North Carolina and Kentucky have each enacted new state-level taxes on prediction market operators, effective January 1, 2027. North Carolina’s law imposes a 6% tax on net trading-fee revenue apportioned to the state and does not require the operator to hold a state gaming or sports wagering license. Kentucky’s law imposes a tax of 14.25% on operators’ transaction fees. We expect other states to consider comparable legislation, and similar legal challenges may follow; we cannot predict whether such laws, once enacted, will be applied retroactively or survive challenge. We continue to evaluate our potential exposure under these and other developing tax regimes, including federal excise tax. An unfavorable determination by one or more tax authorities and any resulting liability could be material to our results of operations in the period it is determined and could make it difficult or uneconomical for us to continue offering event contracts (either entirely or in certain categories) in one or more jurisdictions in which we operate.</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Attracting, Retaining, and Engaging Customers</w:t>
      </w:r>
    </w:p>
    <w:p>
      <w:pPr>
        <w:spacing w:after="0" w:line="27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consumer financial service providers and technology platforms. The majority of our competitors have longer operating histories and greater capital resources than we have and offer a wider range 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 into business combinations or partnerships, or established companies in other market segments expand to become competitive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20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maintaining competitive pricing;</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providing easy-to-use, innovative, and attractive products and services that are adopted by customers;</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retaining customers (such as by providing effective customer support and avoiding outages, security breaches, and trading restrictions);</w:t>
      </w:r>
    </w:p>
    <w:p>
      <w:pPr>
        <w:spacing w:after="0" w:line="24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recruiting and retaining highly skilled personnel and senior management;</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maintaining and improving our reputation and the market perception of our brand and overall value;</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maintaining our relationships with our counterparties; and</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7"/>
        </w:numPr>
        <w:rPr>
          <w:rFonts w:ascii="Times New Roman" w:cs="Times New Roman" w:eastAsia="Times New Roman" w:hAnsi="Times New Roman"/>
          <w:sz w:val="22"/>
          <w:szCs w:val="22"/>
          <w:color w:val="auto"/>
        </w:rPr>
      </w:pPr>
      <w:r>
        <w:rPr>
          <w:rFonts w:ascii="Arial" w:cs="Arial" w:eastAsia="Arial" w:hAnsi="Arial"/>
          <w:sz w:val="18"/>
          <w:szCs w:val="18"/>
          <w:color w:val="auto"/>
        </w:rPr>
        <w:t>adjusting to a dynamic regulatory environment.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revenue will decline.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customer growth in recent years, including a significant fraction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 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spacing w:after="0" w:line="23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 decline in our brand and reputation;</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increased pricing for our products and services;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 shift in pricing models, including allowing customers to choose a fee-based model for cryptocurrency orders;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ineffective marketing efforts or a reduction in marketing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hanging="328"/>
        <w:spacing w:after="0" w:line="249"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certain of our customers, due to being new and inexperienced, might be less loyal to our product or less likely to maintain historical trading patterns and interest in investing;</w:t>
      </w:r>
    </w:p>
    <w:p>
      <w:pPr>
        <w:spacing w:after="0" w:line="251"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a broad decline in the equity or other financial markets, which could result in many of these investors feeling discouraged and exiting the markets altogether (as has occurred in connection with prior bear market cycles);</w:t>
      </w:r>
    </w:p>
    <w:p>
      <w:pPr>
        <w:spacing w:after="0" w:line="247"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rising inflation resulting in less disposable income for our customers to invest;</w:t>
      </w:r>
    </w:p>
    <w:p>
      <w:pPr>
        <w:spacing w:after="0" w:line="260"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our customers experiencing difficulties using the Robinhood app as intended, due to any number of reasons such as design errors, service outages, or trading restrictions imposed by us;</w:t>
      </w:r>
    </w:p>
    <w:p>
      <w:pPr>
        <w:spacing w:after="0" w:line="247"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our customers experiencing security or data breaches, account intrusions, or other unauthorized access;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our failure to provide adequate customer service;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customer resistance to and non-acceptance of cryptocurrencies;</w:t>
      </w:r>
    </w:p>
    <w:p>
      <w:pPr>
        <w:spacing w:after="0" w:line="274"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customer dissatisfaction with the limited number of cryptocurrencies available on our platforms or with our ceasing support for cryptocurrencies on our RHC, RHEU, or Bitstamp platforms because they failed our regular listing committee review; and</w:t>
      </w:r>
    </w:p>
    <w:p>
      <w:pPr>
        <w:spacing w:after="0" w:line="261"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customer dissatisfaction with the RHC and Bitstamp USA, Inc. platforms removing certain cryptocurrencies because the SEC or a court has asserted or determined that the cryptocurrencies or similar cryptocurrencies are securities.</w:t>
      </w:r>
    </w:p>
    <w:p>
      <w:pPr>
        <w:spacing w:after="0" w:line="22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customers may choose to cease using our platforms,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provide, monetize, or successfully execute on new and innovative products, services and initiatives that are adopted by customers, our business may become less competitive and our revenue might decline.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attract, engage, and retain our customers and to increase our revenue depends heavily on our ability to evolve our existing offerings and to create, monetize, or successfully execute on new products, services and initiatives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services and initiatives, including using technologies with which we have little or no prior development or operating experience (for instance, event contracts, agentic transactions, perpetual futures, and earnings contracts). Our efforts have been and might continue to be inhibited by industry-wide standards, legal restrictions, incompatible customer expectations, demands, and preferences, or third-party intellectual property rights. Our efforts to innovate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have been and might continue to also be delayed or blocked by new or enhanced regulatory scrutiny or technical complications. Incorporating new technologies into our products and services, successfully executing on new initiatives, or realizing the intended benefits of acquisitions of, or investments in, other companies, products or technologies, has required and might continue to require substantial expenditures and take considerable time, and we might not be successful in realizing a return on these efforts in a timely manner or at all. It might be difficult to monetize products in a manner consistent with our brand’s focus on low prices. If we fail to innovate and deliver products, services, and initiatives with market fit and differentiation, or fail to do so quickly 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“-Risks Related to Our Business-We currently operate in certain international markets and plan to further expand our international operations, which exposes us to significant new risks, and our international expansion efforts might not succeed.”</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Platforms, Systems, and Technology</w:t>
      </w:r>
    </w:p>
    <w:p>
      <w:pPr>
        <w:spacing w:after="0" w:line="27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on technology, including the internet and mobile services, to conduct much of our business activity and allow our customers to conduct financial transactions on our platforms. Our systems and operations, including our cloud-based operations and disaster recovery operations, those of the third parties on which we rely to conduct certain key functions, and those of companies we have acquired or may seek to acquire in the future,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vulnerabilities, human error, terrorism, improper operation, unauthorized entry, data loss, intentional bad actions, and other similar events and we have experienced such disruptions in the past. For example, on October 20, 2025, Amazon Web Services (“AWS”) experienced a major disruption in its US-EAST-1 region due to a failure in an internal system. This affected certain of our operations, resulting in service instability and interruption. Further, we have in the past, and might in the future, be particularly vulnerable to any such internal technology failures because we rely heavily on our own self-clearing platform, proprietary order routing system, data platforms, and other back-end infrastructure for our operations, and any such failures could have an adverse effect on our reputation, business, financial condition, and results of operations.</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has in the past contained, and might in the future contain, errors, bugs, vulnerabilities, design defects, or technical limitations that might compromise our ability to meet our objectives. In addition, large-scale changes to our infrastructure and applications, such as our recent partial rebuilding of Helios, the engine that powers our platforms, may introduce new errors or instabilities. Some such problems are inherently difficult to detect, and some such problems 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Such problems might also lead to negative customer experiences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we have made, and continue to make, significant investments designed to correct software errors and design defects and to enhance the reliability and scalability of our platforms and operations, the risk of software and system failures, design defects and human error is always present, we 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event contracts and to serve as brokerage and initial trustee for Trump Accounts.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spacing w:after="0" w:line="21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surges in trading volume on our platforms have in the past, and might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executed incorrectly, or not executed at all. For example, we experienced (i) the March 2020 Outages, which resulted in some of our customers being unable to buy and sell securities and other financial products on our U.S. trading platform for a period of time, and (ii) the partial service outages and degraded service on our RHC cryptocurrency platform from time to time in mid-April and early May 2021 caused by a surging demand for cryptocurrency trading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as well as cash remediation payments. Disruptions to, destruction of, improper access to, breach of, instability of, failure to effectively design or maintain or human error with respect to our information technology systems (including our data processing systems, self-clearing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 outages or errors, including, for example, in connection with the March 2020 Outages and the April-May 2021 Disruptions, and may compound in the future as a result of such events.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w:t>
      </w:r>
    </w:p>
    <w:p>
      <w:pPr>
        <w:spacing w:after="0" w:line="21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For example, from time to time we have experienced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spacing w:after="0" w:line="2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rely on third parties to perform some key functions, and their failure to perform those functions could adversely affect our business, financial condition, and results of operations.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rely on certain third-party computer systems or third-party service providers, including several cloud technology providers such as AWS (on which we primarily rely to deliver our services to customers on our platforms), internet service providers, payment services providers, market and third-party data providers, regulatory services providers, clearing systems, Liquidity Providers, securities and cryptocurrency exchanges, facilitators of cryptocurrency staking services, the U.S. government and its financial agents, alternative trading systems (such as BOATS, Moon ATS, and Bruce ATS with respect to Robinhood 24 Hour Market and weekend trading sessions for select U.S. equities that we plan to introduce subject to regulatory review), exchange systems (such as ForecastEx, LLC and KalshiEx, with respect to certain event contracts, and Cboe with respect to earnings contracts), third-party AI model providers and data providers with respect to Robinhood Agents and Agent Apps, banking systems, payment gateways that link us to the payment card and bank clearing networks to process transactions, co-location facilities, communications facilities, and other third-party facilities to run our platforms, facilitate trades by our customers (such as Wells Fargo Clearing Services, LLC for TradePMR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customers), provide the technology we use to manage some of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have been and are susceptible to processing, operational, technological and security vulnerabilities, including security breaches and outages, which might impact our business. Our ability to monitor our third-party service providers’ data security is limited. In addition, these third-party service providers might rely on subcontractors to provide services to us that face similar risks.</w:t>
      </w:r>
    </w:p>
    <w:p>
      <w:pPr>
        <w:spacing w:after="0" w:line="20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 For example, after BOATS, the trading venue that primarily supports overnight trading on Robinhood 24 Hour Market (8:00 pm - 4:00 am ET), experienced disruptions during the overnight trading session on August 4-5, 2024, we received requests for information from certain regulators.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continue to incorporate AI technologies into some of our products and processes. These technologies may present business, compliance, legal, and reputational risks.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currently use machine learning and AI to improve our products and processes in certain circumstances, such as to increase the efficiency of our in-app chat support, customer support workflows, fraud detection systems, and software coding optimization, as well as to improve the customer experience in our newsfeed, and to allow customers to connect third party AI agents to our Agentic Trading feature, which we currently offer to U.S. customers, in order to execute trades. In September 2026, we announced Robinhood Agents, which allows customers to create AI agents in the Robinhood app, powered by third-party AI models. We also announced Agent Apps, through which customers can subscribe to third-party data sources and tools that extend their agents’ capabilities. We have plans to continue to expand our use of AI in the future. Our research and development of such technology also remains ongoing.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 At the same time, use of AI has recently become the source of significant media attention and political debate.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w:t>
      </w:r>
    </w:p>
    <w:p>
      <w:pPr>
        <w:spacing w:after="0" w:line="2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use of third-party AI agents and adoption of agentic commerce, such as our Agentic Trading feature in which autonomous third-party AI agents initiate and execute transactions on behalf of users, presents novel and complex regulatory, privacy and cybersecurity risks. Legal frameworks governing such autonomous agents remain nascent, with limited direct guidance specific to trading and many of the laws, rules, regulations, and other requirements that apply to our business, including those governing consumer protection, supervision, communications with the public, and recordkeeping, were adopted before the development of these technologies and do not directly address them. As a result, there is uncertainty as to how regulators will integrate and apply these existing requirements to our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enabled products. Regulators may take positions that differ from ours, which could require us to modify, suspend or discontinue features, increase our compliance costs, or subject us to enforcement actions. In addition, the interplay between payments regulations, data privacy and cybersecurity laws and new and developing AI regulations is evolving and may create risk and uncertainty around compliance obligations and potential liability exposure, particularly as more participants (including sellers, fintechs, AI developers and enablers) enter the agentic commerce ecosystem. Further, laws, rules, regulations, and other requirements, including industry standards, that develop in response to the use of AI may be burdensome or may restrict our ability to use, develop, or deploy AI, particularly generative AI technologies, in our products or processes, or our efforts to expand our business. For example, the EU’s AI Act, which became effective on August 1, 2024, governs the development, marketing and use of AI in the EU and could impose significant additional costs on us to comply or significant fines for failing to comply. In the U.S., a patchwork of emerging AI-related laws and regulations could also require us to modify our practices or increase compliance costs. For example, at the state-level, numerous states including California, Colorado and Texas have enacted laws regulating AI safety protocols, reporting, and transparency. At the federal level, on December 11, 2025, the President issued an executive order to establish a national policy framework for AI intended to preempt state AI laws and regulations. Among other things, the executive order directs the Federal Communications Commission to initiate a proceeding to determine whether to adopt a federal reporting and disclosure standard for AI models, which could impose significant additional costs on us to comply or significant fines for failing to comply.</w:t>
      </w:r>
    </w:p>
    <w:p>
      <w:pPr>
        <w:spacing w:after="0" w:line="2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Further, agentic AI such as our Agentic Trading feature or Robinhood Agents may misinterpret instructions or behave in unexpected ways to execute trades without direct customer input, or such agents, or the tools and integrations that support them, may become unavailable or malfunction in a manner that prevents customers from executing transactions, which could negatively impact our customers, harm our reputation and business, and expose us to liability. For example, customers may not fully understand the capabilities and limitations of the models they select, may configure instructions that produce unintended results, or may permit an agent to place unmonitored orders without customer approval, including during periods of volatility. Further, because cryptocurrency markets operate continuously, agent activity may occur outside of regular market hours, including overnight through Robinhood 24 Hour Market or during weekend trading sessions for select U.S. equities that we plan to introduce (subject to regulatory review). In addition, although our customer agreements provide that customers are responsible for orders placed by their agents, courts or regulators may not give effect to those provisions. These risks are greater for Robinhood Agents given that it is offered by Robinhood inside the Robinhood app, exposing us to greater reputational risk than our Agentic Trading feature, and is expected to be used by a broader customer base than the limited number of customers who connect their own third-party agents through our Agentic Trading feature, exposing us to a greater scale of such risks. In addition, regulators may assert that we have supervisory obligations with respect to agent-initiated trading, that features such as model selection or pre-built skills constitute investment recommendations, or that Robinhood Labs, LLC, which provides the Robinhood Agents technology and is not a registered broker-dealer, investment adviser, or money transmitter, is required to register as such. Robinhood Agents also depends on a limited number of third-party AI model providers whose pricing, availability, or model behavior may change and whose terms or acceptable use policies may prohibit or restrict the use of their models for agentic trading, any of which could require us to modify, suspend, or discontinue the feature. Additionally, the Agent Apps feature relies on third-party data providers whose data may be inaccurate or unavailable. In addition, our Agentic Trading feature and Robinhood Agents also depend on the continued availability of, and our customers’ compliance with the terms of service of, various independent third-party agentic AI platforms and providers, which may restrict or prohibit use of their services. If such a provider were to restrict or disable customer access, our Agentic Trading feature or Robinhood Agents and the customers who rely on it could be adversely affected. Further, agentic AI features, including those offered by independent third-party AI platforms and providers on which our Agentic Trading feature or Robinhood Agents relies, may be targeted, misused, or produce outputs or inferences that implicate personal data in ways that are difficult to anticipate or control, potentially resulting in significant reputational harm, litigation or regulatory scrutiny. Reliance on agentic AI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introduces challenges in monitoring cross-border, prohibited or high-risk transactions, where conflicting regulatory requirements may apply.</w:t>
      </w:r>
    </w:p>
    <w:p>
      <w:pPr>
        <w:spacing w:after="0" w:line="2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use AI technologies from third parties, which may include open source software. If we are unable to maintain rights to use these AI technologies on commercially reasonable terms, we may be forced to acquire or develop alternate AI technologies, which may limit or delay our ability to provide competitive offerings and may increase our costs. These AI technologies also may incorporate data from third-party sources, publicly available sources, or other datasets. We may not always be aware of the provenance, ownership, or licensing status of data used in connection with our AI technologies, which may expose us to risks associated with data rights and protection. The increased adoption of AI technologies by us, by our employees, contractors, and others including use of third-party AI platforms, increases the risk that confidential, proprietary, or sensitive information, including customer data, trade secrets, and security credentials, may be inadvertently disclosed to or retained by third-party AI service providers outside of our controlled systems, which could result in the unauthorized exposure of such information, expose us to legal and regulatory claims, compromise our intellectual property, and harm our competitive position or reputation. In addition, AI models we develop or use may generate outputs that reproduce, closely resemble, or are derived from third-party copyrighted, proprietary, or otherwise protected content, which could expose us to infringement or misappropriation claims with respect to such outputs.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use, development,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27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or data breach or other attack involving our computer systems or data or those of our customers or third-party or fourth-party service providers.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systems, including those of companies we have acquired or may seek to acquire in the future, and those of our customers and third-party service providers have been, and might in the future be, vulnerable to cybersecurity issues. We, like other financial technology organizations, routinely are subject to cybersecurity threats and our technologies, systems, and networks have been, and might in the future be, subject to attempted cybersecurity attacks. We are also susceptible to inadvertent compromises of our systems and data, including those arising from process, coding, or human errors. Such issues are increasing in frequency and evolving in nature, including employee and contractor theft or misuse, denial-of-service attacks, and sophisticated nation-state and nation-state-supported actors engaging in attacks. The operation of our platforms involves the use, collection, storage, sharing, disclosure, transfer, and other processing of customer information, including personal data. Security breaches and other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or data breaches and cybersecurity attacks increases.</w:t>
      </w:r>
    </w:p>
    <w:p>
      <w:pPr>
        <w:spacing w:after="0" w:line="20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Cybersecurity attacks and other malicious internet-based activity continue to increase, and financial technology platform providers have been and expect to continue to be targeted. In light of media attention and the size of our customer base, we might be a particularly attractive target of attacks seeking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access customer data or assets and have experienced negative publicity in connection with previous security incidents and might in the future experience similar adverse effects relating to real or perceived security incidents, whether or not related to the security of our platforms or systems. We have also received customer complaints and been subject to litigation and regulatory inquiries, 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cybercriminals and other non-state threat actors and increased actions by nation-state actors make it difficult to keep up with new threats and could result in a breach of security. For example, as AI technologies, including generative AI models and machine learning, develop rapidly, threat actors are using these technologies to rapidly identify currently unknown vulnerabilities and create new sophisticated attack methods that are increasingly automated, targeted, coordinated, and more difficult to defend against. In addition, the increasing sophistication and use of AI poses a greater risk of security breaches and incidences of fraudulent activity, including identity fraud, as malicious actors may exploit various AI technologies to create increasingly convincing false identities, transaction records, or attempt to manipulate our verification processes. This has necessitated and will continue to necessitate ongoing enhancements to our verification systems and security protocols. We have been and may continue to be required to expend significant additional resources to continue to modify or enhance these systems and protocols or to investigate and remediate any information security vulnerabilities.</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there is an increased risk that we might experience cybersecurity-related incidents as a result of any of our employees, service providers, or other third 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such as the November 2021 Data Security Incident.</w:t>
      </w:r>
    </w:p>
    <w:p>
      <w:pPr>
        <w:spacing w:after="0" w:line="20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is increased. Third-party risks include insufficient security measures, data location uncertainty, vulnerabilities, and the possibility of data storage in inappropriate jurisdictions where laws or security measures might be inadequate. Our ability to monitor, and our resources to optimize integration with, third-party service providers’ data security practices are 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For example, in December 2024, a cyberattack occurred at Cyberhaven, a data protection company we utilize as a third-party vendor, creating the potential for attackers to steal sensitive data through a malicious version of a Google Chrome extension. Although we do not believe that this third -party vulnerability impacted us, the attack highlights the growing risk from cybersecurity threats against third-party service providers.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has in the past and may in the future result in the compromise of the confidentiality, integrity, or availability of our systems or the data housed in our third-party solutions. Additionally, we could also be exposed to information security vulnerabilities or failures at third parties’ common suppliers or vendors (known as “fourth parties”) that could also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security of our data, and we may not be able to effectively directly monitor or mitigate such fourth-party risks, in particular as such risks relate to the use of common suppliers or vendors by the third parties that perform functions and services for us and our limited ability to assess the fourth party’s operational controls.</w:t>
      </w:r>
    </w:p>
    <w:p>
      <w:pPr>
        <w:spacing w:after="0" w:line="1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core aspect of our business is the reliability and security of our platforms. Any unauthorized or inadvertent access to or disclosure, loss, destruction, disablement or encryption of, use or misuse of or modification of data, including personal data, cybersecurity breach, data breach, or other security or similar incident 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or data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and our third-party partners’ efforts to improve security and protect data from compromise have in the past identified, and might in the future identify, previously undiscovered security breaches or vulnerabilities. There could be public announcements regarding any security incidents or vulnerabilities and any steps we take to respond to or remediate such incidents, and if securities analysts or investors perceive these announcements to be negative, it could have an adverse effect on the trading price of our Class A common stock.</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financial condition or results of operations.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 of the Federal Trade Commission Act, 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 particular privacy, data security and data protection risks in connection with our expansion into the U.K. and the EU and other jurisdictions in connection with the General Data Protection Regulation, the Digital Operational Resilience Act, the ePrivacy Directive (including its national implementations), and other data protection regulations including but not limited to facing complexity in interpreting, applying, implementing and complying with such regulations. The regulatory framework for data privacy and security worldwide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also evolving and, as a result, interpretation,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For instance, with respect to our Agentic Trading feature and Robinhood Agents, which involve transmitting customer portfolio and trading data to third-party AI model and data providers, the interplay between payments regulations, data privacy laws and evolving AI regulations may create uncertainty around compliance obligations and potential liability exposure as more participants (including sellers, fintechs, AI developers and enablers) enter the agentic commerce ecosystem. There is a risk of enforcement actions in response to rules and regulations promulgated under the authority of federal and international agencies and state attorneys general and legislatures and consumer protection agencies. For instance, we have in the past (as discussed in Note 16 - Commitments &amp; Contingencies to our unaudited condensed consolidated financial statements in this Quarterly Report) and may in the future be subject to investigations and examinations regarding, among other things, our cybersecurity practices. In addition, if we fail to follow these security standards, even if no customer information is compromised, we might incur significant fines or experience a significant increase in costs. Following the November 2021 Data Security Incident, we received requests for information from regulatory authorities regarding, among other things, the adequacy of our information security measures, and as part of the January 2025 SEC Settlement, RHF and RHS paid penalties for violating Regulation S-P.</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contractual obligations, or any compromise of security that results in the theft, unauthorized or inadvertent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 For example, the operation of Robinhood Social involves processing and displaying customer performance statistics, join dates, and selected account-level trade data of participating customers. Any failure in the platform’s privacy and content settings (such as a failure to properly execute a user’s account deactivation or content deletion request) could violate state data privacy laws, rules and regulations and subject us to investigations, examinations, regulatory fines and class-action privacy litigation.</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27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SEC, FINRA, and various state regulators impose requirements with respect to the maintenance of specific levels of net capital by securities broker-dealers. For example, our broker-dealer subsidiaries are each subject to the SEC Uniform Net Capital Rule, which specifies minimum capital requirements intended to ensure the general financial soundness and liquidity of broker-dealers, and our clearing and carrying broker-dealer subsidiary is subject to Rule 15c3-3 under the Exchange Act, which requires broker-dealers to maintain a reserve account to ensure customer securities are protected and accessible, even in cases of firm insolvency. Our failure to maintain the required net capital levels and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 large operating loss, or an unusually large charge against net capital, or if we make changes in our business operations that increase our capital requirements, operations that require an intensive use of capital could be limited and have adverse effects on our ability to maintain or expand our business.</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financial services company, our business exposes us to a number of heightened risks. We have devoted significant resources to develop our compliance and risk management policies and procedures and will continue to do so. In our prediction markets business, for example, we address market integrity risk, in conjunction with and in accordance with relevant exchange rules, through a supervision program with pre-trade and post-trade components. Pre-trade, we screen customers at onboarding and on an ongoing basis thereafter for eligibility and risk factors relevant to our event contracts business. Post-trade, we monitor customer trading activity for insider trading and other potentially manipulative, abusive, or otherwise irregular conduct, including through a third-party surveillance tool and our internal surveillance systems. Where our review identifies activity warranting escalation, we file suspicious activity reports under our Bank Secrecy Act/anti-money laundering program as appropriate, and coordinate with the relevant exchange when and as appropriate. We also cooperate with exchanges that identify unusual trading patterns on their own markets and bring them to our attention, including by providing customer-level information and taking account-level action in response as appropriate. Settlement determination for event contracts remains the responsibility of the listing exchange, in its capacity as the registered market operator; we do not perform, and are not the party responsible for, settlement determination for any exchange’s market.</w:t>
      </w:r>
    </w:p>
    <w:p>
      <w:pPr>
        <w:spacing w:after="0" w:line="2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we will continue to devote significant resources to develop our compliance and risk management policies and procedures, our efforts have not always been sufficient and might be insufficient in the future. Our previous and continued expanded operations, evolving business, and unpredictable periods of rapid growth make it difficult to predict all of the risks and challenges we might encounter and therefore our policies and procedures for identifying, monitoring, and managing compliance risks, including, for instance, the risk of actual or alleged fraud or other misconduct by employees, have not in the past, and might not in the future,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also exposed to heightened regulatory risk because our business is subject to extensive regulation and oversight by a number of regulators and SROs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recordkeeping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preservation practices, including use of personal devices for brokerage communications. RHF and RHS settled the SEC’s investigation into these practices as part of the January 2025 SEC Settlement, paying penalties totaling $8 million and agreeing to complete an internal audit review of electronic communications retention.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provide clearing and execution services for our securities brokerage business, as well as other affiliated entities.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(i) could lead to civil penalties, as well as losses and liability as a result of related lawsuits brought by customers and others and any out-of-pocket costs associated with remediating customers for losses, and (ii) have led to, and could in the future lead to the risk of, fines or other actions by regulators. For example, as part of the January 2025 SEC Settlement, RHS settled investigations with the SEC related to suspicious activity reporting, identity theft protection, unauthorized access to Robinhood systems, off-channel communications, retention of brokerage data, failure to maintain certain templated customer communications, EBS submissions and Regulation SHO in connection with fractional share trading and stock lending, which resulted in RHS paying combined monetary penalties of $33.5 million and agreeing to certain undertakings. Furthermore, as part of the March 2025 FINRA Settlement, RHS resolved multiple matters with FINRA, including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and the OCC, and RHS’s AML program, registration of required personnel, and supervision of trading in associated persons’ brokerage accounts. RHS, along with RHF, paid a penalty totaling $26 million and agreed to pay restitution and to certain undertakings to resolve these investigations, among others.</w:t>
      </w:r>
    </w:p>
    <w:p>
      <w:pPr>
        <w:spacing w:after="0" w:line="21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All customers can place limit orders to buy whole shares of the most traded exchange-traded funds and individual stocks - 24 hours a day, five days a week - through Robinhood 24 Hour Market. We have also announced plans to extend trading during weekend trading sessions for select U.S. equities through Bruce ATS, subject to regulatory review, and to extend options trading hours. Offering U.S. stock trading overnight and on weekends has heightened risks related to our clearing and execution activities as we do not have previous experience operating or staffing our systems for around-the-clock coverage and may not be able to accurately anticipate the volume of trading activity that will occur outside of regular market hours. Weekend trading presents additional risks, including reduced liquidity, increased pricing uncertainty and volatility while primary listing markets are closed. Overnight trading on Robinhood 24 Hour Market is primarily supported by BOATS and Bruce ATS, alternative trading systems that offer certain overnight electronic access, price discovery, trade reporting and clearing connectivity services with respect to exchange-listed securities. If BOATS or Bruce ATS becomes unwilling or unable to do business with us or one of our Liquidity Providers in the future, we may be unable to find another trading platform to support overnight or weekend trading, which could negatively impact our transaction-based revenue and generate negative publicity. Additionally, any disruptions in the services provided by BOATS or Bruce ATS, whether due to technical malfunctions, operational mishaps, or external factors such as regulatory changes or market volatility, have in the past, and may in the future, impair our ability to execute our clients’ orders. Should BOATS or Bruce ATS experience downtime or diminished performance (as BOATS has in the past and either could in the future), particularly during overnight or weekend trading hours, our ability to execute customer orders through Robinhood 24 Hour Market could be compromised and could have an adverse impact on our business, financial condition,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operations, and/or brand and reputation. For example, on August 5, 2024, BOATS did not open for overnight trading and as a result, Robinhood customers were unable to execute any trades during that overnight session.</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clearing operations (including for TradePMR customers through TradePMR’s contract with its clearing firm, Wells Fargo Clearing Services, LLC) also require a commitment of our capital and, despite safeguards implemented through both manual and automated controls, involve risks of losses due to the potential failure of our customers or counterparties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as a clearing member firm of securities and derivatives clearinghouses in the U.S., we are also exposed to credit risk of other clearing members.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Liquidity Providers, and other counterparties could result in losses.</w:t>
      </w:r>
    </w:p>
    <w:p>
      <w:pPr>
        <w:spacing w:after="0" w:line="2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extend margin credit and leverage to customers, which are collateralized by customer assets. By permitting customers to engage in margin transactions, we are subject to risks inherent in extending credit. Rapid changes in market conditions or in the trading price of individual securities may cause the value of collateral to fluctuate, potentially resulting in the value of the collateral held by us falling below the amount of a customer’s indebtedness. For example, beginning in October 2026, we increased the ability for eligible margin customers to opt in to intraday trades (from up to 2x buying power to up to 4x buying power) during regular market hours. This increases the size of the positions that customers must reduce before market close to satisfy lower overnight margin requirements and increases our exposure to losses if customers fail to do so or if we are unable to liquidate positions in volatile or illiquid markets. We also lend and borrow securities in connection with our broker-dealer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 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w:t>
      </w:r>
    </w:p>
    <w:p>
      <w:pPr>
        <w:spacing w:after="0" w:line="214"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are also exposed to credit risk in our dealings with the Liquidity Providers to which we route cryptocurrency orders. Unlike equities and option trades, cryptocurrency trades do not settle through any central clearinghouses but rather are conducted under bilateral agreements between us and each crypto Liquidity Provider (the risk of the Liquidity Provider’s default therefore falls upon us rather than being distributed among a clearinghouse’s members). The terms of these bilateral agreements vary, but spot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transactions are generally aggregated and settled on a net basis once per business day (with the crypto deliveries occurring first and the net cash moving within 24 hours thereafter) and payment obligations are generally unsecured during the interval between delivery and payment. It is not uncommon for us to have an intraday outstanding net receivable of $100 million that we are owed by any one cryptocurrency Liquidity Provider. Similarly, we routinely have unsecured PFOF receivables from equities and options Liquidity Providers, as well as credit risk from our on-exchange lending and post-trade settlement services. Any payment default by a Liquidity Provider could have adverse effects on our financial condition and results of operations. Our acquisition of Bitstamp has resulted in increased credit risk associated with certain Liquidity Providers, given that some of these firms are also customers of Bitstamp.</w:t>
      </w:r>
    </w:p>
    <w:p>
      <w:pPr>
        <w:spacing w:after="0" w:line="2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RHD is obligated to establish and maintain an appropriate RITA, which is the amount of RHD’s own capital held in segregation in excess of the amount required to be segregated based on customer positions. RHD also maintains additional firm capital in segregation greater than the established RITA amount (i.e., excess segregated funds). If the aggregate customer margin deficiency amount on any day exceeds the excess segregated funds amount to the point where RHD breaches its RITA, RHD would be in violation of CFTC rules and would potentially be subject to monetary penalties, sanctions, or other disciplinary actions for failing to maintain an appropriate RITA. We have also announced plans to offer perpetual futures on certain cryptocurrency contracts to eligible U.S. customers through RHD, subject to applicable regulatory requirements, with leverage of up to 10x on certain contracts. Such perpetual futures may increase the frequency and size of customer margin deficiencies, the capital RHD is required to hold in segregation, and our exposure to customer defaults.</w:t>
      </w:r>
    </w:p>
    <w:p>
      <w:pPr>
        <w:spacing w:after="0" w:line="20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a result of our acquisition of Bitstamp, we now provide additional cryptocurrency products and services to institutional customers both in parts of the U.S. and internationally, including products and services such as retail lending, on-exchange lending, off-exchange settlement, post-trade settlement, and perpetual futures exchange. These offerings to certain institutional clients expose us to risks we have not historically faced at scale, including credit risk.</w:t>
      </w:r>
    </w:p>
    <w:p>
      <w:pPr>
        <w:spacing w:after="0" w:line="2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policies and procedures designed to manage credit risk, but we face a risk that such policies and procedures might not be fully effective. We regularly update our risk management framework and practices, but eliminating credit risk entirely is difficult.</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Providing investment advice and recommendations could subject us to investigations, penalties, and liability for customer losses if we fail to comply with applicable regulatory standards, and providing investment education tools could subject us to additional risks if such tools are construed to be investment advice or recommendations.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Risks associated with providing investment advice and recommendations include those arising from how we disclose and address possible conflicts of interest, inadequate due diligence, inadequate disclosure, and human error. The Advisers Act and its related rules and interpretations impose a fiduciary duty on our provision of investment advisory services to advisory clients. Other regulations, such as the SEC’s Regulation Best Interest and certain state broker-dealer regulations, impose heightened conduct standards and requirements on recommendations to retail investors. For example, the NASAA (an association of state securities administrators) has adopted amendments to the NASAA model rule regarding Dishonest or Unethical Business Practices of Broker-Dealers and Agents, which are intended to address Regulation Best Interest and other developments in the securities industry. In addition, the SEC and various states have considered or are considering potential regulations or have already adopted certain regulations that could impose additional standards of conduct or other obligations on us to the extent we provide investment advice or recommendations to our customers or use certain covered technologies while communicating with existing or prospective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provide customers with a variety of educational materials in various jurisdictions, investment tools, and financial news and information, such as our “Snacks” newsletter (which is offered by Sherwood Media), the suite of other editorial offerings that Sherwood Media has launched and will continue to launch, and the Robinhood Investor Index. Additionally, Robinhood Gold Subscribers have access to AI-generated explanations of stock and portfolio performance and a conversational AI feature that analyzes customer accounts and holdings, helps manage watchlists and alerts, and executes certain supported transactions. TradePMR offers a version of these features to RIAs. We also offer an Agentic Trading feature that allows customers to connect independent third-party AI agents to dedicated agentic trading accounts, and have announced Robinhood Agents, which will allow customers to build AI agents within the Robinhood app. We also provide our customers with access to the Robinhood Social platform, which is now available to all eligible U.S. customers. Robinhood Social allows eligible customers to share executed trades, performance statistics, commentary, and manually initiate trades shared by others, and we plan to expand Robinhood Social to include a live earnings experience and content from verified third-party market commentators. While we explicitly disclose that posts within Robinhood Social reflect only the opinions of individual customers and third parties and do not constitute investment advice, recommendations, or solicitations by Robinhood, we face a risk that regulators or courts might interpret these platform features and mechanics as constituting regulated investment advice or recommendations. If Robinhood Social is deemed to violate Regulation Best Interest or state fiduciary standards, we could face investigations, significant fines, penalties, and liability for customer losses.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 In addition, providing customers access to third party products and services (e.g., tax services) could subject us to liabilities if customers lose money as a result of using such products and services, or if we improperly use customer information in violation of privacy laws.</w:t>
      </w:r>
    </w:p>
    <w:p>
      <w:pPr>
        <w:spacing w:after="0" w:line="21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our acquisition of TradePMR, and through our subsidiary investment adviser RAM, we launched the Robinhood Advisor Network (“RAN”), a referral program that connects eligible Robinhood customers with independent RIAs who custody assets with TradePMR. We are responsible for the initial and ongoing vetting of RIAs in the network. If an RIA we refer a customer to later engages in certain activities such as fraud, a breach of fiduciary duty, or significant mismanagement of client funds, we may face “negligent referral” claims or reputational damage, even if we did not provide the underlying investment advice. If the SEC or other regulators were to deem RAM to be acting as a “promoter” or “endorser” within the meaning of SEC Rule 206(4)-1 under the Advisers Act (the “Marketing Rule”), we would be required to comply with additional, and potentially overlapping, requirements under the Advisers Act and related rules (including the Marketing Rule, as well as any analogous regulatory regimes promulgated by states or self-regulatory organizations), with respect to the structure, documentation, and disclosure of the program, the content and presentation of our communications, and our due diligence and oversight of participating advisers and promoters. The transition of a self-directed retail customer to a third-party RIA also involves sharing sensitive financial data and integrating our platform with TradePMR’s Fusion platform. Operational failures during this transition, such as data breaches, incorrect asset transfers, or poor communication from the referred RIA, could alienate our core user base and lead to higher churn rates. In addition, our agreements with RIAs include “termination fees” if an RIA exits the program but retains the referred clients. Collecting these fees may lead to contractual disputes or litigation with partner firms, which could disrupt the network’s stability and discourage new RIAs from joining.</w:t>
      </w:r>
    </w:p>
    <w:p>
      <w:pPr>
        <w:spacing w:after="0" w:line="2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services that we do not consider to be recommendations (such as educational materials, and our editorial offerings, including Robinhood Snacks) are construed as constituting investment advice or recommendations, we have been and could be in the future subject to investigations by regulatory agencies. For example, in December 2020, the Enforcement Section of the MSD filed a complaint against us alleging that a fiduciary conduct standard applies to us under Massachusetts securities law by claiming that certain of our product features and marketing strategies amount to investment recommendations. Changes in law or changes in interpretations of existing law might also require us to modify the nature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services or discontinue them altogether, one or more of which could have an adverse effect on our ability to attract and retain customers.</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0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wholly owned subsidiary, RHV, serves as the investment adviser to registered investment companies, business development companies, and to an employee investment vehicle, and expects to advise additional investment vehicles in the future, which subjects us to additional burdens and risks and could subject us to potential liability.</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RHV, an investment adviser registered with the SEC under the Advisers Act, serves as the investment adviser to RVI and RVII. RVI is a Delaware statutory trust registered under the 1940 Act, as an externally managed, non-diversified, closed-end investment company. RVII is an externally managed and diversified closed-end fund that has elected to be regulated as a business development company (“BDC”). RHV expects to serve as investment adviser to additional investment vehicles regulated under the 1940 Act in the future (collectively with RVI and RVII, the “Funds”), where the structure of additional Funds may differ, potentially significantly, from that of RVI and RVII. RHV also serves as investment adviser to Robinhood Employee Fund, LP (“REF”), an investment vehicle available to certain qualifying employees of Robinhood that is structured as an Employee Securities Company (“ESC”) under the 1940 Act and holds positions in one or more Funds.</w:t>
      </w:r>
    </w:p>
    <w:p>
      <w:pPr>
        <w:spacing w:after="0" w:line="21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RHV is responsible for making investment decisions for RVI, RVII, and REF’s portfolios, and in the future may be responsible for making investment decisions for additional Funds’ portfolios should it serve as their investment adviser. RHV was formed in August 2025 and has limited investing history. RHV’s service as an investment adviser to RVI, RVII, and REF, and future service as an investment adviser to the Funds subjects us to additional burdens and risks and could subject us to potential liability, including but not limited to:</w:t>
      </w:r>
    </w:p>
    <w:p>
      <w:pPr>
        <w:spacing w:after="0" w:line="203" w:lineRule="exact"/>
        <w:rPr>
          <w:sz w:val="20"/>
          <w:szCs w:val="20"/>
          <w:color w:val="auto"/>
        </w:rPr>
      </w:pPr>
    </w:p>
    <w:p>
      <w:pPr>
        <w:jc w:val="both"/>
        <w:ind w:left="660" w:hanging="328"/>
        <w:spacing w:after="0" w:line="25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subject to additional regulatory and compliance burdens. For example, RVI is registered under the 1940 Act as an investment company. RVI and its investment adviser, RHV, are subject to the 1940 Act and the rules thereunder, which, among other things, regulate the relationship between a registered investment company and its investment adviser and their respective affiliates and prohibit or severely restrict principal transactions and joint transactions. RVII is subject to regulation under the 1940 Act as well, including provisions specifically applicable to BDCs. Additional Funds may be subject to varying requirements under the 1940 Act or other regulatory regimes, which will increase the complexity and cost of our compliance programs.</w:t>
      </w:r>
    </w:p>
    <w:p>
      <w:pPr>
        <w:spacing w:after="0" w:line="20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RHV was recently formed and while its personnel have investment experience, RHV and its management have limited experience managing closed-end investment companies and other potential investment vehicles. Different fund structures and investment strategies may also require specialized expertise, including with respect to investing and administration, that RHV may be unable to scale effectively.</w:t>
      </w:r>
    </w:p>
    <w:p>
      <w:pPr>
        <w:spacing w:after="0" w:line="203"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RHV or its directors, officers or employees and its affiliates, successors or other legal representatives may be liable for any error of judgment, for any mistake of law or for certain types of acts or omissions by such person. As the number and scope of Funds increase, the risk of litigation and regulatory scrutiny will also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hanging="328"/>
        <w:spacing w:after="0" w:line="25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RHV provides to RVI, RVII, and REF, and expects in the future to provide to the Funds, certain investment advisory, management and administrative services pursuant to investment advisory agreements. Its provision of those services to the Funds can be terminated without penalty as specified in the investment advisory agreement. In addition, if the investors in a Fund were to be dissatisfied with the investment performance or disagree with investment strategies employed by RHV, they may seek to cause the board of directors of the Fund to terminate its investment advisory agreement with us or change the terms of such agreement in a manner that is less favorable to us.</w:t>
      </w:r>
    </w:p>
    <w:p>
      <w:pPr>
        <w:spacing w:after="0" w:line="20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amount of management fees generated by RVI, RVII, and REF, and expected to be generated by additional future Funds, are uncertain and depend on the success of capital raising efforts and the Funds’ investment performance. Revenue derived from management fees is recognized upon deconsolidation of the applicable Fund. Different Funds may have different fee structures, including performance-based incentive fees, which are more volatile than base management fees. RHV also may from time to time waive and/or reimburse all or a portion of its management fees for RVI, RVII, or REF, or one or more additional future Funds when it deems appropriate.</w:t>
      </w:r>
    </w:p>
    <w:p>
      <w:pPr>
        <w:spacing w:after="0" w:line="20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RVI and RVII hold, and additional future Funds are expected to hold, illiquid, private investments that have no readily ascertainable market prices. The actual results related to any particular investment often vary materially. Because there is significant uncertainty in the valuation of, or in the stability of the value of, illiquid investments, the fair values of such investments as reflected in a Fund’s NAV do not necessarily reflect the prices that would actually be obtained by such Fund when such investments are realized and may contribute to a disconnect between NAV and the market price of such Fund’s shares, volatility in such Fund’s NAV or market price, negative investor perceptions of such Fund’s performance and reduced investor confidence in us or such Fund, which could in turn result in difficulty in raising additional funds, reputational harm, and increased risk of litigation or other claims against us, RHV, RVI, RVII, or any additional future Fund.</w:t>
      </w:r>
    </w:p>
    <w:p>
      <w:pPr>
        <w:spacing w:after="0" w:line="21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made balance sheet investments to provide seed capital to RVI, RVII, and REF, and expect to continue making balance sheet investments to provide seed or other capital to certain Funds during their early fundraising stages. Such investments have been and may in the future be illiquid, long-term in nature and subject to significant valuation uncertainty, and may decline in value. There can be no assurance as to the timing or amount of any returns on such investments, and we may be required to hold such investments for extended periods. In addition, we may determine to commit additional capital to such Funds. As a result, these activities may expose us to investment losses and could adversely affect our financial condition, results of operations, liquidity and capital resources.</w:t>
      </w:r>
    </w:p>
    <w:p>
      <w:pPr>
        <w:spacing w:after="0" w:line="20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Funds are subject to conflicts of interest. Our business activities in the management of, or our interest in, our own business and accounts, may present conflicts of interest that could disadvantage the Fund and its shareholders. We provide brokerage services to retail investors that may follow investment programs similar to that of a Fund. RHV and its affiliates will be permitted to market, organize, sponsor, act as general partner or as the primary source for transactions for other pooled investment vehicles and other accounts, which may be offered on a public or private placement basis, and to engage in other investment and business activities. Some of these vehicles and accounts may have investment strategies that overlap with the investment strategies of the Funds. In addition, to the extent permitted under applicable law, our employees and their family members can own investments in companies in which the Funds invest. Such activities may raise conflicts of interest for which the resolution may not be determinable.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hanging="328"/>
        <w:spacing w:after="0" w:line="25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the number and scope of Funds expand, we will increasingly confront potential conflicts of interest, relating to our and the Funds’ investment activities. For example, potential conflicts may arise with respect to our decisions regarding how to allocate investment opportunities. RHV may allocate an investment opportunity in a manner that excludes one or more Funds or results in a disproportionate allocation based on factors or criteria that RHV determines. In addition, conflicts of interest may exist in the valuation of investments (which can affect fees), timing of transactions, and regarding the allocation of fees and costs among Funds and their portfolio companies.</w:t>
      </w:r>
    </w:p>
    <w:p>
      <w:pPr>
        <w:spacing w:after="0" w:line="20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Fund performs poorly or does not achieve expected returns, investors may decline to invest in any future Funds, and such poor performance may be attributed to Robinhood more generally.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Any of these additional burdens and risks could subject us to potential liability and could harm our reputation and business.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provision of brokerage and custodial services to RIAs exposes us to operational, regulatory and reputational risks.</w:t>
      </w:r>
    </w:p>
    <w:p>
      <w:pPr>
        <w:spacing w:after="0" w:line="2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of brokerage and custodial services through TradePMR to RIAs and their clients is subject to extensive federal and state regulation, including oversight by the SEC, FINRA, and applicable state securities regulators. Regulatory changes or enhanced enforcement activity may require significant system changes and increased compliance resources, which could materially affect our business operations and results of operations. Non-compliance with applicable regulations by us or by TradePMR’s clearing firm, Wells Fargo Clearing Services, LLC, could result in censures, fines, or reputational harm.</w:t>
      </w:r>
    </w:p>
    <w:p>
      <w:pPr>
        <w:spacing w:after="0" w:line="20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rely heavily on proprietary and third-party technology platforms to provide brokerage, custodial, and administrative services. A failure in these systems, including outages, cyberattacks, data breaches, or programming errors, could interrupt our operations or those of our RIA clients, resulting in financial losses, regulatory exposure, or damage to our relationships with advisors and end clients.</w:t>
      </w:r>
    </w:p>
    <w:p>
      <w:pPr>
        <w:spacing w:after="0" w:line="19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Possessing client assets and sensitive personal information exposes us to cybersecurity threats and data privacy obligations. A breach of our systems or those of our vendors could result in unauthorized access to confidential information, potentially triggering legal liabilities, regulatory investigations, remediation costs, and reputational harm. Continued investment in information security infrastructure and incident response protocols is necessary to mitigate this risk.</w:t>
      </w:r>
    </w:p>
    <w:p>
      <w:pPr>
        <w:spacing w:after="0" w:line="20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may be subject to regulatory actions, legal claims, and arbitration proceedings arising from the actions or omissions of RIAs to whom we provide custodial support. We provide investment advice to end clients through RAM and RHV, and although we do not provide such investment advice through TradePMR, disputes may nevertheless arise regarding account management, trade execution, or data integrity. Any such claims could result in costly litigation, adverse judgments, or settlements.</w:t>
      </w:r>
    </w:p>
    <w:p>
      <w:pPr>
        <w:spacing w:after="0" w:line="20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revenue from custodial relationships is largely dependent on assets under custody, cash balances, and the trading activity of advisory clients. Adverse market conditions, rising interest rate volatility, or shifts in client behavior may reduce trading volumes or asset levels, which could negatively impact our fee-based and spread income.</w:t>
      </w:r>
    </w:p>
    <w:p>
      <w:pPr>
        <w:spacing w:after="0" w:line="1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ability to retain and grow our RIA client base depends in part on our reputation for service quality, platform stability, and regulatory compliance. Negative publicity, including but not limited to negative publicity arising from operational failures, regulatory sanctions, or advisor misconduct, may harm our brand and result in the loss of key relationships or reduced advisor onboarding.</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Cryptocurrency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we expand our cryptocurrency product and service offerings, the risks associated with failing to safeguard and manage cryptocurrencies we hold on behalf of our customers increase. Our success and the success of our offerings require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spacing w:after="0" w:line="2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hold all settled cryptocurrencies in custody on behalf of customers in two types of wallets: (i) hot wallets, which are managed online, and (ii) cold wallets, which are managed entirely offline and require physical access controls. With the exception of Bitstamp (discussed below), Robinhood does not utilize third-party custodians for settled cryptocurrencies, but does integrate proprietary technology from a third-party industry-standard vendor into the systems Robinhood uses to support the custody, transfer and settlement operations of its wallets. As noted, Bitstamp does use third-party custodians. Failures, problems or issues at these third-party custodians could subject Bitstamp to various forms of risk and may have a significant impact on Bitstamp’s business and reputation, which, in turn, could harm Robinhood’s business and reputation more broadly.</w:t>
      </w:r>
    </w:p>
    <w:p>
      <w:pPr>
        <w:spacing w:after="0" w:line="21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general, the overwhelming majority of cryptocurrency coins on our platforms are held in cold storage, though some coins are held in hot wallets to support day-to-day operations. As a public company, we are required to comply with the Sarbanes-Oxley Act of 2002. As part of this, we are required to establish and maintain adequate internal control over financial reporting and evaluate the effectiveness of our internal control over financial reporting. The effectiveness of Robinhood’s internal control over financial reporting and our financial statements and related notes are audited by Ernst &amp; Young LLP, our independent registered public accounting firm. Under blockchain protocol, in order to access or transfer cryptocurrency stored in a wallet, we need to use a private key. Robinhood maintains backup copies of private keys in multiple separate locations. Bitstamp safeguards its private keys internally and with custodians.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exposed,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 activities, including targeted physical attacks. For example, in August 2021, hackers were able to momentarily take over the BSV network, allowing them to spend coins they did not have and prevent transactions from completing. Any exposure or loss of private keys relating to, or hack or other compromise of, the hot wallets or cold wallets we use to store our customers’ cryptocurrencies could result in total loss of customers’ cryptocurrencies (because customers’ cryptocurrency balances are not protected by the SIPC) or adversely affect our customers’ ability to sell their assets, and could result in our being required to reimburse customers for some or all of their losses, subjecting us to significant financial losses. Because many insurance carriers do not provide insurance coverage for crypto-related risks, comprehensive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2026, with our option to renew annually or for the carrier to 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 Liquidity Providers might affect the ability or willingness of our customers to trade or hold cryptocurrencies on our platforms, might result in litigation and regulatory enforcement actions, and could harm customer trust in us and our products generally.</w:t>
      </w: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prices of most cryptocurrencies are based in part on market adoption and future expectations, which might or might not be realized. As a result of these and other factors, the prices of cryptocurrencies are highly speculative. The prices of cryptocurrencies have been subject to dramatic fluctuations (including as a result of prior bear market cycles), which have impacted, and will continue to impact, our trading volumes and operating results and might adversely impact our growth strategy and business. Several factors could affect a cryptocurrency’s price, including, but not limited to:</w:t>
      </w:r>
    </w:p>
    <w:p>
      <w:pPr>
        <w:spacing w:after="0" w:line="247" w:lineRule="exact"/>
        <w:rPr>
          <w:sz w:val="20"/>
          <w:szCs w:val="20"/>
          <w:color w:val="auto"/>
        </w:rPr>
      </w:pPr>
    </w:p>
    <w:p>
      <w:pPr>
        <w:jc w:val="both"/>
        <w:ind w:left="660" w:hanging="328"/>
        <w:spacing w:after="0" w:line="249" w:lineRule="auto"/>
        <w:tabs>
          <w:tab w:leader="none" w:pos="655"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254" w:lineRule="exact"/>
        <w:rPr>
          <w:rFonts w:ascii="Times New Roman" w:cs="Times New Roman" w:eastAsia="Times New Roman" w:hAnsi="Times New Roman"/>
          <w:sz w:val="22"/>
          <w:szCs w:val="22"/>
          <w:color w:val="auto"/>
        </w:rPr>
      </w:pPr>
    </w:p>
    <w:p>
      <w:pPr>
        <w:jc w:val="both"/>
        <w:ind w:left="660" w:hanging="328"/>
        <w:spacing w:after="0" w:line="242" w:lineRule="auto"/>
        <w:tabs>
          <w:tab w:leader="none" w:pos="655"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spacing w:after="0" w:line="2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the rights, obligations, incentives, or rewards for the various participants in a blockchain network.</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The maintenance and development of the software protocol of cryptocurrencies.</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Cryptocurrency exchanges’ deposit and withdrawal policies and practices, liquidity on such exchanges, and interruptions in service from or failures of such exchanges.</w:t>
      </w:r>
    </w:p>
    <w:p>
      <w:pPr>
        <w:spacing w:after="0" w:line="261"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33"/>
        </w:numPr>
        <w:rPr>
          <w:rFonts w:ascii="Times New Roman" w:cs="Times New Roman" w:eastAsia="Times New Roman" w:hAnsi="Times New Roman"/>
          <w:sz w:val="22"/>
          <w:szCs w:val="22"/>
          <w:color w:val="auto"/>
        </w:rPr>
      </w:pPr>
      <w:r>
        <w:rPr>
          <w:rFonts w:ascii="Arial" w:cs="Arial" w:eastAsia="Arial" w:hAnsi="Arial"/>
          <w:sz w:val="18"/>
          <w:szCs w:val="18"/>
          <w:color w:val="auto"/>
        </w:rPr>
        <w:t>Regulatory measures, if any, that affect the use and value of cryptocurrencies or regulatory or judicial assertions or determinations that certain cryptocurrencies are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328"/>
        <w:spacing w:after="0" w:line="249" w:lineRule="auto"/>
        <w:tabs>
          <w:tab w:leader="none" w:pos="655"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Competition for and among various cryptocurrencies that exist and market preferences and expectations with respect to adoption of individual currencies.</w:t>
      </w:r>
    </w:p>
    <w:p>
      <w:pPr>
        <w:spacing w:after="0" w:line="23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Actual or perceived manipulation of the markets for cryptocurrencies.</w:t>
      </w:r>
    </w:p>
    <w:p>
      <w:pPr>
        <w:spacing w:after="0" w:line="260"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Actual or perceived connections between cryptocurrencies (and related activities such as mining) and adverse environmental effects or illegal activities.</w:t>
      </w:r>
    </w:p>
    <w:p>
      <w:pPr>
        <w:spacing w:after="0" w:line="261"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261" w:lineRule="exact"/>
        <w:rPr>
          <w:rFonts w:ascii="Times New Roman" w:cs="Times New Roman" w:eastAsia="Times New Roman" w:hAnsi="Times New Roman"/>
          <w:sz w:val="22"/>
          <w:szCs w:val="22"/>
          <w:color w:val="auto"/>
        </w:rPr>
      </w:pPr>
    </w:p>
    <w:p>
      <w:pPr>
        <w:ind w:left="660" w:right="20" w:hanging="328"/>
        <w:spacing w:after="0" w:line="237" w:lineRule="auto"/>
        <w:tabs>
          <w:tab w:leader="none" w:pos="655"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Expectations with respect to the rate of inflation in the economy, monetary policies of governments, trade restrictions, and currency devaluations and revaluations.</w:t>
      </w:r>
    </w:p>
    <w:p>
      <w:pPr>
        <w:spacing w:after="0" w:line="261" w:lineRule="exact"/>
        <w:rPr>
          <w:rFonts w:ascii="Times New Roman" w:cs="Times New Roman" w:eastAsia="Times New Roman" w:hAnsi="Times New Roman"/>
          <w:sz w:val="22"/>
          <w:szCs w:val="22"/>
          <w:color w:val="auto"/>
        </w:rPr>
      </w:pPr>
    </w:p>
    <w:p>
      <w:pPr>
        <w:ind w:left="660" w:hanging="328"/>
        <w:spacing w:after="0" w:line="237" w:lineRule="auto"/>
        <w:tabs>
          <w:tab w:leader="none" w:pos="655" w:val="left"/>
        </w:tabs>
        <w:numPr>
          <w:ilvl w:val="0"/>
          <w:numId w:val="34"/>
        </w:numPr>
        <w:rPr>
          <w:rFonts w:ascii="Times New Roman" w:cs="Times New Roman" w:eastAsia="Times New Roman" w:hAnsi="Times New Roman"/>
          <w:sz w:val="22"/>
          <w:szCs w:val="22"/>
          <w:color w:val="auto"/>
        </w:rPr>
      </w:pPr>
      <w:r>
        <w:rPr>
          <w:rFonts w:ascii="Arial" w:cs="Arial" w:eastAsia="Arial" w:hAnsi="Arial"/>
          <w:sz w:val="18"/>
          <w:szCs w:val="18"/>
          <w:color w:val="auto"/>
        </w:rPr>
        <w:t>Developments in mathematics, technology, digital computing, algebraic geometry, and quantum computing that could result in the cryptography that is used by many cryptocurrencies becoming insecure or ineffective.</w:t>
      </w:r>
    </w:p>
    <w:p>
      <w:pPr>
        <w:spacing w:after="0" w:line="2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we have observed a positive trend in the total market capitalization of cryptocurrency assets over the long 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we currently support several cryptocurrencies for trading, market interest in particular cryptocurrencies can also be volatile and there are many cryptocurrencies in the market that we do not support. Our business could be adversely affected, and growth in our net revenue earned from cryptocurrency transactions could slow or decline, if the markets for the cryptocurrencies we support deteriorate or if demand moves to other cryptocurrencies not supported by our platforms. The listing committees of RHC and RHEU conduct regular reviews of the cryptocurrencies available on our platforms to ensure that they continue to meet our requirements under our internal policies and procedures (collectively, the “Crypto Listing Frameworks”) for continued support on our platforms and possess the authority to delist and cease support for any asset based on various factors. Bitstamp also conducts similar reviews of cryptocurrencies available on its platform in accordance with its internal listing procedures and processes.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spacing w:after="0" w:line="2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w:t>
      </w:r>
    </w:p>
    <w:p>
      <w:pPr>
        <w:spacing w:after="0" w:line="19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Although neither our board of directors nor management has to date identified any material gaps or weaknesses with respect to our existing risk management processes and policies in light of recent cryptocurrency market conditions, we remain subject to cryptocurrency market risks.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effectively identify, prevent or mitigate such risks, the success of our business, our financial condition and results of our operations may be adversely affected. As part of our overall risk management processes, the ERM team maintains an enterprise wide risk management standard to ensure risks are evaluated in a clear and transparent manner and partners with various front-line risk teams and risk owners across Robinhood to foster consistent risk management practices across Robinhood. In particular, the ERM team provides governance over risk management practices and reports top risks to the Safety Committee, along with planned mitigants and monitoring procedures. The Safety Committee reviews management’s exercise of its responsibility to identify, assess, manage, monitor and mitigate material risks not specifically allocated to the board of directors or another of its committees. In addition to Company-level processes, entity-level risk teams affiliated with our operating subsidiaries, including one at RHC, perform ongoing risk operations, including risk and control self-assessments and maintaining risk and control registers. As management identifies operational risks, the entity-level risk team tracks the risk drivers and planned mitigating measures and escalates such risks, as needed, to the ERM team.</w:t>
      </w:r>
    </w:p>
    <w:p>
      <w:pPr>
        <w:spacing w:after="0" w:line="2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light of events in 2022, cryptocurrency market risks were identified as a key risk to the Company and management has accordingly implemented certain measures, including enhanced monitoring for cryptocurrency markets (such as reducing net open position limits with liquidity partners through more frequent settlement; adding additional banking and liquidity partners; monitoring on-platform trading activity, coin deposits and withdrawals; and ongoing diligence for listings and banking relationships). The ERM team has also provided quarterly updates to the Safety Committee with respect to such risks and responses. In addition, RHC and RHEU maintain listing committees as described above.</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2025, we started offering leverage to customers of RHEU and Bitstamp Financial Services Ltd. investing in crypto-asset perpetuals, and in September 2026 we announced plans to offer perpetual futures on certain cryptocurrency contracts to eligible U.S. customers through RHD, with leverage of up to 10x on certain contracts. By permitting customers to invest in crypto-asset perpetuals with the use of leverage, both our customers and we are subject to certain risks, especially during periods of extreme volatility in the crypto-asset markets, and the launch and terms of these products in the U.S. remain subject to applicable regulatory requirements.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In the U.S., any particular cryptocurrency’s status as a “security” and cryptocurrency transaction’s status as an “investment contract” is subject to a high degree of uncertainty and if we have not properly characterized one or more cryptocurrencies or cryptocurrency transactions, we might be subject to legal and regulatory scrutiny, investigations, fines, and other penalties.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currently facilitate customer trades for certain cryptocurrencies that we have analyzed under applicable internal policies and procedures and, for cryptocurrencies supported on our RHC and Bitstamp US platforms, that we believe are not securities under relevant U.S. federal and state securities laws. Determining whether any given cryptocurrency is a security is a highly complex, fact-specific analysis, which may change over time based on changes in the cryptocurrency and its related ecosystem and on legal and regulatory developments. Different parties may reach different conclusions about the outcome of this analysis based on the same facts. The SEC has stated that the security (or non-security) status of a given crypto asset depends on the facts and circumstances and must be analyzed appropriately in light of the asset’s characteristics, uses, and functions. The SEC, individual Commissioners and the SEC Staff have previously taken positions that certain cryptocurrencies are “securities” in the context of settled or litigated enforcement actions. Although the SEC has not historically provided advance confirmation on the status of any particular cryptocurrency as a security, on March 17, 2026, the SEC issued an interpretation clarifying how the federal securities laws apply to certain crypto assets and transactions involving crypto assets. In this interpretive release, the SEC classified crypto assets into five categories based on their characteristics, uses, and functions. The first four: (i) “digital commodities;” (ii) “digital collectibles;” (iii) “digital tools;” and (iv) “stablecoins,” are not themselves securities according to the SEC. By contrast, the SEC classified “digital securities” (commonly known as “tokenized” securities) as financial instruments enumerated in the definition of a “security.” In the interpretive release, the SEC also specifically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examples of digital commodities: Aptos (APT); Avalanche (AVAX); Bitcoin (BTC); Bitcoin Cash (BCH); Cardano (ADA); Chainlink (LINK); Dogecoin (DOGE); Ether (ETH); Hedera (HBAR); Litecoin (LTC); Polkadot (DOT); Shiba Inu (SHIB); Solana (SOL); Stellar (XLM); Tezos (XTZ); and XRP (XRP). However, the SEC clarified in the interpretive release that a non-security crypto asset may nevertheless be offered and sold subject to an investment contract, which is a security. Moreover, the SEC’s interpretation is not binding on any court or other agency.</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Staff of the SEC’s Division of Corporation Finance have also published statements clarifying that the Division does not view the offers and sales of certain “stablecoins” and “meme coins” to constitute securities transactions. Moreover, SEC Staff have authored informal, non-binding “no-action” letters to the promoters of certain digital assets stating that the Staff would not recommend enforcement action to the SEC on the basis that transactions in such digital assets, as described to the Staff by their respective promoters, are securities transactions, including with respect to the issuance of tokens in connection with internet and energy decentralized physical infrastructure projects and a consumer finance rewards program. However, such statements and views are not official policy statements by the SEC and reflect only the SEC Staff’s and speakers’ views, which are not binding on the SEC or any court or other agency (including, for instance, the NYDFS, which published a consumer alert in January 2025 concerning meme coins that did not opine on whether meme coins constituted securities but warned consumers of the risks of such coins), may be withdrawn at any time without notice or comment by the SEC or its senior officials, cannot be generalized to any other cryptocurrency, and might evolve (including, for instance, recently enacted legislation that provides guidelines for the regulation of stablecoins in the U.S., which may differ from the views set forth in the SEC Staff statement regarding stablecoins). Additionally, U.S. regulators have in the past expressed concerns about cryptocurrency platforms adding multiple new coins, some of which they may view as unregistered securities.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a state regulator, or a court were to assert or determine that a cryptocurrency supported by our RHC or Bitstamp US platforms is a “security” under U.S. law.</w:t>
      </w:r>
    </w:p>
    <w:p>
      <w:pPr>
        <w:spacing w:after="0" w:line="22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example, in June 2023, the SEC charged Binance and, separately, Coinbase with operating their respective cryptocurrency trading platforms as unregistered national securities exchanges, brokers, and clearing agencies, and in doing so, the SEC alleged that certain cryptocurrencies supported on their respective platforms are securities. The charges also implicated Coinbase’s staking-as-a-service program and its non-custodial wallet. In November 2023, the SEC brought similar charges against Kraken, alleging that it operated as an unregistered securities exchange, brokerage and clearing agency. In February 2025, March 2025, and May 2025, each of Coinbase, Kraken, and Binance, respectively, entered into a court-approved joint stipulation with the SEC to dismiss each of the SEC’s lawsuits against such parties with prejudice. Several other cryptocurrency market participants, including us, have also announced that the SEC informed them that the SEC was terminating its investigation or enforcement action into their firm. Also, in April 2025, the Office of the Deputy Attorney General issued a memorandum (the “April DOJ Memo”), setting out new enforcement priorities for digital asset-related investigations and prosecutions by the DOJ. The April DOJ Memo directed prosecutors not to “target virtual currency exchanges, mixing and tumbling services, and offline wallets for the acts of their end users or unwitting violations of regulations.” The April DOJ Memo explained that the DOJ will instead prioritize cases against individuals who cause financial harm to digital asset investors and consumers and/or use digital assets in furtherance of other criminal conduct. The decisions by regulators not to bring enforcement actions provide, and any other action, settlement, or related investigation by regulators, might provide, additional guidance on the legal status of cryptocurrencies as securities more generally, which has affected and might significantly affect the actual or perceived regulatory status and value of cryptocurrencies we currently support or might support in the future. On January 21, 2025, the SEC announced that then-Acting Chairman Mark Uyeda “launched a crypto task force dedicated to developing a comprehensive and clear regulatory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crypto assets,” including by drawing clear regulatory lines, providing realistic paths to registration, crafting sensible disclosure frameworks, and deploying enforcement resources judiciously. Since its formation, the Crypto Task Force has accepted written submissions on various cryptocurrency-related topics from industry participants; hosted roundtables on topics relating to security status, trading, custody, tokenization, decentralized finance, and financial surveillance and privacy; and has held meetings with interested stakeholders. On July 31, 2025, SEC Chairman Paul Atkins announced the launch of “Project Crypto,” described as “a Commission-wide initiative to modernize the securities rules and regulations to enable America’s financial markets to move on-chain.” In connection with this initiative, Chairman Atkins indicated that he has asked the Crypto Task Force to develop proposals to implement recommendations in the July 30, 2025, President’s Working Group on Digital Asset Markets Report. On August 18, 2026, the SEC proposed “Regulation Crypto Assets,” which builds upon the guidance set forth under its March 17, 2026 crypto interpretation and includes two tailored crypto offering exemptions, as well as a conditional safe harbor from “investment contract” status once specified conditions are satisfied. On September 1, 2026, the SEC proposed amendments to its transfer agent rules, including to address considerations relating to tokenization and blockchain-based recordkeeping. On September 17, 2026, the SEC also issued a temporary, conditional innovation exemption facilitating permissioned onchain trading of certain tokenized NMS stocks that convey the same rights and privileges as traditional NMS stocks of an equivalent class. Between September 25-28, 2026, the SEC’s Division of Corporation Finance issued a series of FAQ guidance further expanding upon its March 17, 2026 crypto interpretation and proposed Regulation Crypto Assets. On October 1, 2026, the SEC proposed new investment adviser and regulated fund crypto custody rules.</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these developments are positive, the Crypto Task Force’s work remains in the early stages, and limited formal rulemaking or exemptions have been adopted to date. In addition, notwithstanding recent positive developments involving the SEC, DOJ, and other federal regulators, state regulators retain independent authority to enforce their own securities laws, which may differ from or be interpreted more expansively than federal law. As a result, a state regulator could determine that a particular digital asset, product, or service constitutes a security under state law, even if the SEC has elected not to pursue enforcement action, the SEC has provided informal guidance or assurances to the contrary, or the asset, product, or service is otherwise excluded from the definition of a security at the federal level. Moreover, private litigants may assert claims under federal or state securities laws based on similar theories, regardless of the positions taken by federal regulators.</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have received with respect to our RHC platform, and might in the future receive, SEC inquiries regarding specific cryptocurrencies supported on our RHC or Bitstamp US platforms and added features. Since December 2022, we have received investigative subpoenas from the SEC regarding, among other topics, RHC’s supported cryptocurrencies, custody of cryptocurrencies, and platform operations. During our discussions with the SEC Staff in the fourth quarter of 2023, the Staff stated that they were considering whether to recommend that the SEC find that certain cryptocurrencies supported by our RHC platform are securities. In the second quarter of 2024, we received a “Wells Notice” stating that the SEC Staff made a “preliminary determination” to recommend that the SEC file an enforcement action against RHC alleging violations of Sections 15(a) and 17A of the Exchange Act. On February 21, 2025, the SEC Division of Enforcement closed the investigation, advising RHC in writing that it had concluded its investigation and did not intend to move forward with recommending an enforcement action.</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the extent that the SEC or a court asserts or determines that any cryptocurrencies supported by our RHC or Bitstamp US platforms are securities, that assertion or determination could prevent us from continuing to facilitate trading of those cryptocurrencies (including ceasing support for such cryptocurrencies on our RHC or Bitstamp US platforms) or offering those services. It could also result in regulatory enforcement penalties and financial losses in the event that we have liability to our customers and need to compensate them for any losses or damages. We could be subject to judicial or administrative sanctions, including disgorgement or penalties which could be material, for failing to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 sell the cryptocurrency in compliance with securities registration requirements, or for acting as a securities broker or dealer, national securities exchange, clearing agency, or other regulated entity without appropriate registration. Such an action could result in injunctions and cease and desist orders, as well as civil monetary penalties, fines, and disgorgement, criminal liability, and reputational harm. Customers that traded such supported cryptocurrency through our RHC or Bitstamp US platforms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Further, if any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In addition, our growth might be adversely affected if we are not able to expand our RHC platform to include additional cryptocurrencies that the SEC has determined to be securities or that we believe are likely to be determined to be securities.</w:t>
      </w:r>
    </w:p>
    <w:p>
      <w:pPr>
        <w:spacing w:after="0" w:line="2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continue to analyze the cryptocurrencies supported on the RHC and Bitstamp US platforms under our Crypto Listing Frameworks and Bitstamp’s similar internal policies, respectively, on a periodic basis to ensure that they continue to meet the applicable internal requirements for continued support on the RHC and Bitstamp US platforms which include, among other factors, that we continue to believe they are not securities under relevant U.S. federal and state securities laws. We may make the determination to cease support for a cryptocurrency for any one or a variety of factors based on a totality of the circumstances under our Crypto Listing Frameworks and Bitstamp’s similar internal policies, as applicable. However, an assertion or determination by the SEC or a court that a cryptocurrency supported by our RHC or Bitstamp US platforms constitutes a security could also result in our determination that it is advisable to remove that cryptocurrency and others with similar characteristics to the cryptocurrency that was asserted or determined to be a security from our RHC or Bitstamp US platforms. If we proactively remove certain cryptocurrencies from our RHC or Bitstamp US platforms because the SEC, a state, or a court has asserted or determined they constitute securities or because they share similarities with such cryptocurrencies or otherwise do not meet our Crypto Listing Frameworks and Bitstamp’s similar internal policies, as applicable, it has and could in the future negatively impact customer sentiment and our business, operating results, and financial condition, especially to the extent that our competitors continue to support such cryptocurrency on their platforms.</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June 2025, we launched “Classic Stock Tokens” (formerly “Robinhood Stock Tokens”) in certain jurisdictions in the EEA, which are designed to provide eligible customers in the EEA with exposure to certain U.S. exchange-listed stocks and ETPs. While we currently only offer Classic Stock Tokens in the EEA, because the assets underlying the tokens are certain U.S. stocks and ETPs, the SEC could assert jurisdiction over our Classic Stock Token offering and claim that transactions in our Classic Stock Tokens must be conducted in compliance with applicable federal laws and regulations. See “-Our launch of Stock Tokens globally, continued offering of Classic Stock Tokens and perpetual futures trading in the EEA, our planned offering of perpetual futures in the U.S., and updates to Robinhood Wallet to allow eligible users in selected jurisdictions to access Stock Tokens and decentralized perpetual futures via a third-party decentralized exchange through the Robinhood Wallet, may expose us to significant regulatory, litigation, contractual, operational, and reputational risks” for more information.</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the SEC, a state regulator or a private litigant alleges that staking or onchain lending services we offer in the U.S. involve unregistered offers and sales of securities or unregistered securities broker-dealer activity in violation of federal securities laws or applicable state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and the courts agree with such plaintiff, we may be required to cease our staking or onchain lending activities and may be subject to monetary penalties and other sanctions.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July 2026, we launched Robinhood Earn. In several enforcement actions filed by the SEC under the prior Chair, the SEC alleged that certain companies had offered retail crypto lending products as unregistered securities. For example, in February 2022, the SEC settled charges against BlockFi Lending LLC for failing to register its BlockFi Interest Accounts and in January 2023, the SEC settled charges against Nexo Capital Inc. In January 2023, the SEC filed a complaint against Genesis Global Capital, LLC (“Genesis”) and Gemini Trust Company, LLC (“Gemini”) for failing to register the Gemini Earn program, which was followed by several related actions by New York regulators against Genesis and Gemini. The SEC settled its charges against Genesis in March 2024, followed by Genesis’ May 2024 settlement with the New York Attorney General. Gemini entered settlements with the NYDFS and the New York Attorney General in February and June of 2024, respectively, after which the SEC exercised its discretion to dismiss its charges against Gemini in January 2026. On July 22, 2026, then-SEC Commissioner Hester M. Peirce released a public statement highlighting that crypto vaults and lending strategies may, depending on the specific facts and circumstances, implicate the federal securities laws. Commissioner Peirce’s statement also encouraged engagement from market participants and the public on whether modifications to SEC rules may be necessary to accommodate crypto vaults, onchain lending, or other innovations, while still “ensuring that investors are protected, markets are fair, orderly, and efficient, and capital formation is facilitated.”</w:t>
      </w:r>
    </w:p>
    <w:p>
      <w:pPr>
        <w:spacing w:after="0" w:line="21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June 2025, we launched crypto staking services to eligible customers in certain jurisdictions in the U.S. In several enforcement actions filed by the SEC under the prior administration, the SEC alleged that certain companies had offered staking services to retail customers for various digital assets as unregistered securities or acted as unregistered securities broker-dealers in facilitating offers or sales of third-party staking services in violation of the registration provisions of the Securities Act or the Exchange Act. For example, as described under “-Risks Related to Cryptocurrency Products and Services-In the U.S., any particular cryptocurrency’s status as a “security” and cryptocurrency transaction’s status as an “investment contract” is subject to a high degree of uncertainty and if we have not properly characterized one or more cryptocurrencies or cryptocurrency transactions, we might be subject to legal and regulatory scrutiny, investigations, fines, and other penalties.” In 2023, the SEC charged Kraken, Coinbase and Binance with offering and selling digital asset staking-as-a-service programs to retail customers as unregistered investment contract schemes in violation of the Securities Act. In June 2024, the SEC charged Consensys Software Inc. with acting as an underwriter of unregistered securities in violation of the Securities Act and as an unregistered broker in violation of the Exchange Act by marketing the Lido and Rocket Pool third-party liquid staking-as-a-service programs to retail customers through Consensys’ “Metamask Staking” platform. In March 2025, the SEC filed a joint stipulation with Consensys to dismiss, with prejudice, the Commission’s enforcement action against it. As noted above, the litigation against Binance, Coinbase and Kraken has also been dismissed.</w:t>
      </w:r>
    </w:p>
    <w:p>
      <w:pPr>
        <w:spacing w:after="0" w:line="2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believe that our staking and onchain lending services do not offer or sell any “securities” subject to the securities laws or SEC regulations. We also believe that the structure, terms, and other characteristics of the staking services offered by RHC generally align with those described in the SEC’s March 2026 interpretation clarifying how the federal securities laws apply to certain types of crypto assets and certain transactions involving crypto assets, wherein the SEC stated that protocol staking activities of the nature described therein do not involve the offer and sale of a security. However, the SEC’s interpretation is not binding on any court or other agency and there is no guarantee that the SEC will agree with our assessment of our staking services. Accordingly, we do not know if the SEC or the courts will ultimately agree with our interpretation of the applicable federal laws or regulations.</w:t>
      </w:r>
    </w:p>
    <w:p>
      <w:pPr>
        <w:spacing w:after="0" w:line="21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there is no guarantee that state regulators will agree with our interpretation of applicable state laws or regulations. For example, several state regulators have issued cease and desist orders to, or filed lawsuits against, Coinbase with respect to its staking services, alleging that Coinbase’s staking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services constitute unregistered securities offerings under applicable state laws and regulations. While certain of the state regulators have since dismissed their lawsuits against Coinbase with respect to its staking services, not all state regulators have done so.</w:t>
      </w:r>
    </w:p>
    <w:p>
      <w:pPr>
        <w:spacing w:after="0" w:line="18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the SEC, a state regulator, or a private litigant were to prevail on claims that our staking or onchain lending services offered in the U.S. violate the Securities Act, Exchange Act or applicable state laws and regulations, we may be subject to monetary penalties, liabilities, reputational harm, and may be required to cease offering these services.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Cryptocurrency laws, regulations, regulatory guidance, regulatory interpretations,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1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Domestic and foreign regulators and governments are increasingly focused on the regulation of cryptocurrencies. In the U.S., cryptocurrencies are regulated by both federal and state authorities, depending on their use. For example, on October 13, 2023, California enacted the DFAL, which became effective on July 1, 2026, and prohibits any person or entity from engaging in, or holding itself out as engaging in, digital financial asset business activity with or on behalf of a California resident (including businesses with a place of business in California) unless that person or entity (i) holds a license under the DFAL, (ii) has submitted a license application on or before July 1, 2026 and is awaiting approval or denial, or (iii) is exempt from licensure. Once licensed, a licensee must comply with requirements related to record maintenance, fee and risk disclosures, cybersecurity, customer protection, anti-fraud, and AML. We have submitted applications for licenses under the DFAL in connection with our cryptocurrency trading operations in California. In addition, the NYDFS requires any person or entity engaging in virtual currency activity for third parties in or involving New York, excluding merchants and consumers, to obtain a license, commonly referred to as a “BitLicense,” from the NYDFS and to comply with AML, cybersecurity, consumer protection, and financial and reporting requirements, among others, or, alternatively, to be chartered under the New York Banking Law and be approved by the NYDFS to engage in virtual currency business activity. We will continue to monitor developments in state-level legislation, guidance, and regulations applicable to us. Cryptocurrency market disruptions and resulting governmental interventions are unpredictable, and may render cryptocurrencies, or certain cryptocurrency business activities, illegal. As regulation of cryptocurrencies continues to evolve, there is a substantial risk of inconsistent regulatory guidance among federal and state agencies and among state governments which, along with potential accounting and tax issues and other requirements relating to cryptocurrencies, could impede the growth of our cryptocurrency operations. Additionally, regulation in response to the climate impact of cryptocurrency mining could negatively impact cryptocurrency trading on our platforms.</w:t>
      </w:r>
    </w:p>
    <w:p>
      <w:pPr>
        <w:spacing w:after="0" w:line="2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cryptocurrency accounting rules and regulations that we must comply with are complex and subject to interpretation by the FASB, the SEC, and various bodies that promulgate and interpret accounting principles. A change in these rules, regulations, or interpretations could significantly impact our reported results of operations and financial condition, and could also affect the reporting of transactions completed before the announcement or effectiveness of a change. Although the FASB has issued authoritative guidance governing the measurement and disclosure of certain crypto assets and the SEC has issued guidance addressing the accounting for crypto asset safeguarding obligations, these standards are relatively new, continue to be interpreted, and do not address all aspects of our cryptocurrency-related activities for which limited precedent exists. The FASB also continues to deliberate further standard-setting that could change the accounting for crypto assets. Accordingly, there remains significant uncertainty regarding the appropriate accounting for cryptocurrency asset transactions, cryptocurrency assets, and related revenues. Uncertainties in, or changes to, regulatory or financial accounting standards could require us to change our accounting methods or restate our financial statements, and could impair our ability to provide timely and accurate financial information, which could adversely affect our financial statements, and result in a loss of investor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future regulatory actions or policies, including the assertion of jurisdiction by domestic and foreign regulators and governments over cryptocurrency and cryptocurrency markets, could limit or restrict cryptocurrency usage, custody, or trading, or the ability to convert cryptocurrencies to fiat currencies. This includes recent legislative actions related to the GENIUS Act. See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Additionally, some lawmakers and regulators have raised questions about Transaction Rebates from cryptocurrency trading. Transaction Rebates from cryptocurrency trading have historically comprised, and might continue to comprise, a significant percentage of our total net revenues. The current presidential administration and the control of Congress also present considerable uncertainty regarding such regulatory actions or policies. Any future regulatory actions or policies could reduce demand for cryptocurrency trading and might materially decrease our revenue derived from Transaction Rebates in absolute terms and as a proportion of our total revenues.</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legal framework governing the characterization of cryptocurrencies held “in custody,” including whether and how such assets are treated as customer property versus property of an insolvency estate, remains evolving and may differ by jurisdiction and by product structure, contractual terms, and operational facts. In certain prior bankruptcy proceedings, cryptocurrencies held in custody on behalf of customers have become subject to the claims of creditors, the automatic stay, court-supervised distribution processes, or other restrictions, and customers have been treated as general unsecured creditors with respect to some or all of their cryptocurrency entitlements. However, based on the terms of our user agreement, the structure of our crypto offerings, and applicable law, and, although we have not obtained a formal legal opinion on this matter, after consultation with internal and external legal counsel, we believe that the cryptocurrency we hold in custody for users of our platforms should be respected as 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w:t>
      </w:r>
    </w:p>
    <w:p>
      <w:pPr>
        <w:spacing w:after="0" w:line="2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Infrastructure Investment and Jobs Act significantly changes the tax reporting requirements applicable to brokers and holders of cryptocurrency and digital assets. On August 25, 2023, the U.S. Department of the Treasury and the Internal Revenue Service released proposed regulations on the sale and exchange of digital assets by brokers. On June 28, 2024, final regulations were issued that require information reporting by digital asset brokers on certain digital asset sales or exchanges that occur on or after January 1, 2025, and basis tracking for digital assets that are treated as “covered securities” if acquired on or after January 1, 2026. Starting on or after January 1, 2027, backup withholding will be required on certain sales and exchanges of cryptocurrency and digital assets where customer tax documentation is missing or invalid. Implementing these requirements, and any further legislative changes or related guidance from the Internal Revenue Service and the U.S. Department of the Treasury, might significantly impact our tax reporting and withholding processes and result in increased compliance costs. Failure to comply with these new information reporting and withholding requirements might subject us to significant tax liabilities and penalties. Similarly, the OECD has published final guidance on a new “crypto-asset reporting framework” and amendments to the existing global “common reporting standard” that might apply to our international operations. These new rules might give rise to potential liabilities or disclosure requirements, and implementation may have a significant impact on our operations and result in increased costs.</w:t>
      </w:r>
    </w:p>
    <w:p>
      <w:pPr>
        <w:spacing w:after="0" w:line="2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continued efforts to expand our business internationally also subject us to additional laws, regulations, and other governmental or regulatory scrutiny as discussed in “-Risks Related to Our Business-We currently operate in certain international markets and plan to further expand our international operations, which exposes us to significant new risks, and our international expansion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might not succeed” and “-Risks Related to Regulation and Litigation-Our business is subject to extensive, complex, and changing laws and regulations, and related regulatory proceedings and investigations. Changes in these laws and regulations, or our failure to comply with these laws and regulations, could harm our business.” Various foreign jurisdictions have adopted, and may continue to adopt, laws, regulations or directives that affect crypto-asset industry participants, the crypto-asset markets, and their users, particularly trading platforms and service providers that fall within such jurisdictions’ regulatory scope. For example, the provisions of MiCA went into effect as of December 30, 2024, and the FCA announced new proposals for certain aspects of the prudential requirements for crypto firms. See “Risks Related to Our Business-We have in the past needed, and may in the future need, additional capital to provide liquidity and support business growth and objectives, and this capital might not be available to us on reasonable terms, if at all, might result in stockholder dilution, or might be delayed or prohibited by applicable regulations” for more information. Accordingly, in addition to the licenses RHEU and Bitstamp Financial Services Ltd. obtained under MiFID, RHEU and Bitstamp Europe S.A. have obtained licenses to operate as crypto asset service providers under MiCA. As noted above, monitoring and maintaining our compliance with the laws and regulations to which we are subject is complex and requires significant resources. Any failure to comply with applicable laws and regulations could result in regulatory fines, suspensions of personnel or other sanctions, including revocation of our registration or that of our subsidiaries, which could, among other things, require changes to our business practices and scope of operations or harm our reputation, and, in turn, could have a material adverse effect on our results of operations, financial condition or business. New laws or regulations, or new interpretations of existing laws or regulations, could have a materially adverse impact on our ability to operate as currently intended, or require us to obtain additional or newly created registrations or licenses and incur significant expense in order to ensure compliance. Additionally, under recommendations from FinCEN and the Financial Action Task Force, the United States and several international jurisdictions in which RHEU or Bitstamp operate have imposed the Funds Travel Rule and the Funds Transfer Rule (collectively, the “Travel Rule”) on financial service providers in the cryptoeconomy. We may incur high costs to implement and comply with the Travel Rule, could face penalties for technical violations, and could lose customers if compliance negatively affects customer service experience.</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Crypto Transfers, crypto staking and onchain lending, Robinhood Wallet, Robinhood Connect, and Robinhood Earn features could result in loss of customer assets, customer disputes, and other liabilities, which could harm our reputation and adversely impact trading volumes and transaction-based revenues.</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U.S., we allow customers to deposit and withdraw cryptocurrencies to and from our RHC and Bitstamp platforms through our Crypto Transfers feature in the states in which RHC or Bitstamp operates. We also allow customers of RHEU to deposit and withdraw crypto to and from our RHEU platform. Bitstamp also allows its customers to deposit and withdraw crypto to and from the Bitstamp platform. Crypto Transfers are processed using Robinhood’s or Bitstamp’s general custodial infrastructure in which we hold some cryptocurrencies on behalf of customers; when transactions are completed, coins are allocated to and from individuals’ accounts in our customer records. Additionally, RHC U.S. customers have access to Robinhood Connect, allowing their customers to use their RHC accounts to buy and transfer crypto, and fund their self-custody wallets.</w:t>
      </w:r>
    </w:p>
    <w:p>
      <w:pPr>
        <w:spacing w:after="0" w:line="2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Crypto Transfers initiated by users are subject to a heightened risk of user error. Under blockchain protocol, recording a transfer of cryptocurrency on the blockchain involves both the private key of the sending wallet and the unique public key of the receiving wallet. Such keys are strings of alphanumeric characters. For a customer to receive cryptocurrency on our platforms, the customer needs to arrange for the owner of an external source wallet to “sign” a transaction with the private key of that external wallet, directing a transfer of the cryptocurrency to our receiving custodial wallet by inputting the public key (which we provide to the customer) of our custodial wallet. Similarly, in order to withdraw cryptocurrency from our platforms, the customer needs to provide us with the public key of the external wallet to which the cryptocurrency is to be transferred, and we “sign” the transaction using the private key of our wallet.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crypto networks might require additional information to be provided in connection 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 Dogecoin, or other cryptocurrency is sent to a Bitcoin wallet address, for example, or if any of the other foregoing errors occur, such cryptocurrencies could be permanently and irretrievably lost with no means of recovery.</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provide crypto staking services through our RHC, RHEU and Bitstamp platforms in which eligible customers of RHC, RHEU and Bitstamp are given the option to “stake” eligible crypto-assets. Staking allows customers to earn rewards by locking up the cryptocurrencies, subject to the network and cryptocurrency’s requirements and bonding periods, and so limits customers’ access to their funds during such time. Once a customer chooses to opt in to our staking services, we delegate the amount of crypto-assets identified by such customer for staking to a validator operated by either (i) RHC, RHEU or Bitstamp, as applicable, or (ii) a third -party service provider we engage in connection with such services. Some networks may further require customer assets to be transferred into smart contracts on the underlying blockchain networks not under our or anyone’s control. If our third-party service provider or any such smart contracts fail to behave as expected, suffer cybersecurity attacks, experience security issues, or encounter other problems, customers’ assets may be irretrievably lost. In addition, certain blockchain networks dictate requirements for participation in the relevant decentralized governance activity, and may impose penalties, or “slashing,” if the relevant activities are not performed correctly, such as if the staker, delegator, or baker acts maliciously on the network, “double signs” any transactions, or experiences extended downtimes. If we or our third-party service provider is slashed by the underlying blockchain network, customers’ assets may be confiscated, withdrawn, or burnt by the network, resulting in losses for which we may be responsible. Furthermore, certain types of staking require the payment of transaction fees on the underlying blockchain network, and such fees can become significant as the amount and complexity of the transaction grows, depending on the degree of network congestion and the price of the network token. If we experience a high volume of such staking requests from customers on an ongoing basis, we could incur significant costs.</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Bitstamp Europe S.A., Bitstamp Limited and Bitstamp Global Ltd. market crypto-asset lending services which are provided directly to customers by a third-party service provider. Customers lend their crypto-assets directly to a third party and the third party then on-lends to borrowers. Customer crypto-assets leave the custody of Bitstamp when customers access these services. There is a risk that borrowers may default on loans by the third-party service provider causing a financial loss to customers and in a worst case scenario the insolvency of the third-party service provider or its related group companies. Any of these risks could negatively impact our reputation, business, financial condition, and results of operations and discourage existing and future customers from utilizing our products and services.</w:t>
      </w:r>
    </w:p>
    <w:p>
      <w:pPr>
        <w:spacing w:after="0" w:line="2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Robinhood Wallet, our self-custody, web3 wallet, users have sole access and control over their cryptocurrencies on certain networks and personally hold and maintain their private keys. Additionally, Robinhood Earn provides a software interface allowing customers to create and manage a self-custody wallet to engage in onchain lending. Although we do not custody cryptocurrencies held in a user’s Robinhood Wallet or self-custody wallet created in connection with Robinhood Earn, and do not have access to users’ private keys, users who lose their private keys, and thus access to their Robinhood Wallet or self-custody wallet balances, may react negatively. Although our account agreements for Crypto Transfers, licensing agreements for Robinhood Wallet, and the Robinhood Onchain Lending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disclaim responsibility for losses caused by user errors, such incidents could result in user disputes, damage to our brand and reputation, legal claims against us, and financial liabilities.</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Robinhood Connect, and Robinhood Earn also expose us to heightened risks related to potential violations of trade sanctions, including OFAC regulations, and AML and counter-terrorist financing laws, which among other things impose strict liability for transacting with prohibited persons. We engage blockchain analytics vendors to help determine whether the external wallets involved in Crypto Transfers are controlled by persons on prohibited lists or involved in fraudulent or illegal activity. However, fraudulent and illegal 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Both Bitcoin and Ethereum protocols have been subject to “forks” that resulted in the creation of new networks, including, among others, Bitcoin Cash, BSV, Bitcoin Diamond, Bitcoin Gold, Ethereum Classic, and Ethereum Proof-of-Work.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spacing w:after="0" w:line="2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gain the majority of the mining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that network. Such disruption and loss could cause our company to be exposed to liability, even in circumstances where we have no intention of supporting a cryptocurrency compromised by a fork.</w:t>
      </w:r>
    </w:p>
    <w:p>
      <w:pPr>
        <w:spacing w:after="0" w:line="1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Moreover, we might decide not to or not be able to support a cryptocurrency resulting from the fork of a network which might cause our customers to lose confidence in us or reduce their engagement on our platforms.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 a forked network and the approach to such forked cryptocurrencies and that we may temporarily suspend trading for a cryptocurrency whose network is undergoing a fork without advance notice to the customer.</w:t>
      </w:r>
    </w:p>
    <w:p>
      <w:pPr>
        <w:spacing w:after="0" w:line="206"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Any inability to maintain adequate relationships with third-party banks, Liquidity Providers, and cryptocurrency exchanges with respect to, and any inability to settle customer trades related to, our cryptocurrency offerings, would disrupt our ability to offer cryptocurrency trading to customers.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heavily on third-party banks, Liquidity Providers, and cryptocurrency exchanges in connection with our provision of cryptocurrency products and services to our customers, with the exception of a cryptocurrency exchange operated by Bitstamp and acquired by Robinhood in June 2025. The cryptocurrency market operates 24 hours a day, seven days a week. The cryptocurrency market does not have a centralized clearinghouse, and the transactions in cryptocurrencies on our platforms rely on direct settlements between us and our customers and direct settlements between us and our Liquidity Providers or cryptocurrency exchanges after customer trades are executed. Accordingly, we rely on third-party banks to facilitate cash settlements with customers’ brokerage accounts, and we rely on the ability of Liquidity Providers and Bitstamp, where applicable, to complete cryptocurrency settlements with us to obtain cryptocurrency for customer accounts. In addition, we must maintain cash assets in our bank accounts sufficient to meet the working capital needs of our business, which includes deploying available working capital to facilitate cash settlements with our customers, Liquidity Providers and cryptocurrency exchanges (as well as maintaining the minimum capital required by regulators). If we, third-party banks, Liquidity Providers, or cryptocurrency exchanges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might also be harmed by the loss of any of our banking partners and Liquidity Providers. As a result of the risks of cryptocurrencies generally, many financial institutions have decided, and other financial institutions might in the future decide, not to provide bank accounts (or access to bank accounts), payment services, or other financial services to companies providing cryptocurrency products, including us. For instance, in May 2023, two prominent Liquidity Providers announced their respective decisions to limit their offerings in cryptocurrency trading within the U.S. If we, our cryptocurrency exchanges or our Liquidity Providers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might also be harmed by the loss of any of our liquidity partners. Unlike our customers’ orders for other cryptocurrencies, which are currently fulfilled by Liquidity Providers, our RHC customers’ orders for USDC and USDG, stablecoins backed by dollar-denominated assets held by their respective issuer in segregated accounts with U.S. regulated financial institutions, are fulfilled directly from Circle, the original issuer and main liquidity provider of USDC, and Paxos, the issuer and main liquidity provider of USDG. If we cannot maintain sufficient relationships with Circle, Paxos, or any other Liquidity Providers, it could be difficult for us to find alternative liquidity partners for our stablecoin offerings, including our support of USDG in connection with Robinhood Earn, which would disrupt our business and could cause cryptocurrency trading volumes and transaction-based revenues to decline significantly.</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From time to time, we might encounter technical issues in connection with changes and upgrades to the underlying networks of supported cryptocurrencies, which could cause revenues to decline and expose us to potential liability for customer losses.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Robinhood Chain is a permissionless, open blockchain network, and its failure to achieve sufficient adoption, technical vulnerabilities or protocol failures affecting the network, the exploitation of the network for illicit activity, and the potential deployment of tokens on the network that infringe the intellectual property rights of third parties, could each adversely affect our business, financial condition, and results of operations.</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2026, we launched the Robinhood Chain, a permissionless, Ethereum-compatible Layer 2 blockchain built for financial services and tokenized real-world assets. Robinhood Chain is designed to be permissionless and developer-friendly, meaning that, in supported jurisdictions, developers can deploy or build smart contracts and applications and users can access, or transfer on Robinhood Chain, in each case without our approval. As a result, much of the activity that occurs on Robinhood Chain is conducted by independent third parties— including developers, applications, and users—and may be difficult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impossible for us to monitor, influence, prevent, or reverse. Nevertheless, we may bear reputational, legal, financial, and regulatory consequences arising from activity on Robinhood Chain even where the underlying conduct, code, or decision is that of a third party.</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Robinhood Chain may fail to achieve sufficient adoption to support a viable, self-sustaining ecosystem. The market for blockchain infrastructure is highly competitive and rapidly evolving. Robinhood Chain competes for developers, applications, transaction volume, and users against a large number of established and emerging blockchain networks, many of which may benefit from greater brand recognition and broader integrations with third-party infrastructure and applications with which to attract developers and users. If Robinhood Chain fails to attract and retain a sufficient base of developers, applications, and active users relative to these competing networks, it may not achieve the transaction volume, liquidity, or network effects needed to support a viable, self-sustaining ecosystem. Our ability to generate revenue from Robinhood Chain depends significantly on the level of adoption and developer activity on the network. If Robinhood Chain fails to achieve sufficient adoption or loses market share to competing networks, our investment in developing and maintaining Robinhood Chain may fail to generate an adequate return, we may be required to recognize impairments related to that investment, and our financial condition and results of operations could be adversely affected. Insufficient adoption could also weaken the value of other products we build on or integrate with Robinhood Chain, including Stock Tokens, Robinhood Earn, Robinhood Wallet, and other digital asset offerings, compounding any adverse impact on our business.</w:t>
      </w:r>
    </w:p>
    <w:p>
      <w:pPr>
        <w:spacing w:after="0" w:line="2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Robinhood Chain may also be subject to technical risks, including software vulnerabilities, bugs, and failures that could result in loss of assets or network downtime. Furthermore, Robinhood Chain may contain coding errors, security flaws, or other defects that have not yet been identified. Because blockchain security practices are still maturing, even extensive audits may not catch every vulnerability. Should bad actors identify and exploit such vulnerabilities, or otherwise successfully attack the network, the consequences could include loss or theft of digital assets held on or transacted through Robinhood Chain, reputational harm, legal liability, and erosion of user confidence in the network. Because Robinhood Chain is a Layer 2 network built on the Ethereum blockchain, its security and operation depend in part on Ethereum itself. As a result, disruptions or vulnerabilities at the Ethereum layer, including bugs, consensus failures, network congestion, or advances in computing technology such as quantum computing that could undermine the cryptography underlying Ethereum, could adversely affect Robinhood Chain. We do not control, and have limited ability to influence, Ethereum’s security or development. Any such event could result in loss or theft of digital assets, network downtime, and reputational harm. We expect that Robinhood Chain’s underlying protocol will need to be upgraded from time to time to remediate newly discovered vulnerabilities, improve network performance, add new functionality, or comply with evolving regulatory requirements. Implementing such upgrades is inherently complex and carries meaningful execution risk: an upgrade could be delayed, fail to achieve its intended purpose, introduce unforeseen bugs or incompatibilities, or require coordinated action by third-party node operators, validators, or other ecosystem participants outside our control. Any failure to execute a necessary protocol upgrade effectively, or any adverse consequence resulting from an upgrade, could disrupt Robinhood Chain, harm our reputation, and adversely affect our business, financial condition, and results of operations. Further, because Robinhood Chain is designed to support smart contracts deployed both by us and by independent third parties, coding errors or security flaws in any such contract-regardless of who authored it-could cause users to suffer losses and harm our reputation. In these circumstances, we may face reputational harm, user attrition, or legal exposure even where the underlying flaw originated in code we did not author.</w:t>
      </w: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Robinhood Chain may be exploited for illicit activity, including fraud, scams, money laundering, sanctions evasion, and other illicit conduct, exposing us to liability, regulatory action, and reputational harm. Blockchain networks and digital assets have historically been targeted by bad actors for these purposes. Because Robinhood Chain is permissionless, third parties can deploy applications, tokens, assets, including so-called “meme coins” or other tokens, and other activity on the network, and some of that activity may infringe the trademarks or other intellectual property rights of third parties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may be unlawful, deceptive, or otherwise harmful to users—conduct we do not control and may not be able to prevent. Any real or perceived illegal, infringing, or improper uses of Robinhood Chain by users might subject us to claims, contributory liability, individual and class action lawsuits, and government and regulatory requests, inquiries, or investigations that could result in liability, restrict our operations, require us to change our business practices, harm our reputation, increase our costs, and negatively impact our business.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launch of Stock Tokens globally, continued offering of Classic Stock Tokens and perpetual futures trading in the EEA, our planned offering of perpetual futures in the U.S., and updates to Robinhood Wallet to allow eligible users in selected jurisdictions to access Stock Tokens and decentralized perpetual futures via a third-party decentralized exchange through the Robinhood Wallet, may expose us to significant regulatory, litigation, contractual, operational, and reputational risks.</w:t>
      </w:r>
    </w:p>
    <w:p>
      <w:pPr>
        <w:spacing w:after="0" w:line="19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launched Stock Tokens in July 2026, which are tokenized debt securities issued by Robinhood Assets (Jersey) Limited (“RHJ”), a private limited company incorporated in Jersey. Stock Tokens provide economic exposure to underlying securities but do not grant investors any legal or beneficial rights in, or against the issuer of, those underlying securities. In connection with the issuance of Stock Tokens, RHJ has obtained certain consents in Jersey. However, such consents do not constitute prudential supervision of RHJ or an endorsement of Stock Tokens. The Financial Market Authority Liechtenstein, as competent authority under the EU Prospectus Regulation, has approved the base prospectus relating to RHJ’s Tokenised Products Programme as meeting the standards of completeness, comprehensibility and consistency imposed by the EU Prospectus Regulation. Such approval is not to be considered as an endorsement of RHJ or the quality of its products. Stock Tokens are not registered under U.S. securities laws and are subject to restrictions in several jurisdictions, including, without limitation, the U.S., Canada, the U.K., and Switzerland. Additionally, we updated the Robinhood Wallet in July 2026 to allow eligible users in selected jurisdictions to access Stock Tokens and decentralized perpetual futures via a third-party decentralized exchange through the Robinhood Wallet.</w:t>
      </w:r>
    </w:p>
    <w:p>
      <w:pPr>
        <w:spacing w:after="0" w:line="2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June 2025, we launched Classic Stock Tokens for eligible customers in certain EEA jurisdictions. These products are designed to provide economic exposure to the price performance of certain U.S. stocks issued by publicly listed U.S. companies and certain U.S. ETPs, without conveying legal ownership or shareholder rights, such as voting rights, related to such underlying stocks and ETPs. From time to time, we have offered, and may offer, token products that reference privately held U.S. companies in connection with certain limited promotional initiatives in certain EEA jurisdictions (the “Private Company Stock Token Promotion”). Such tokens and Classic Stock Tokens do not represent, or entitle the holder to receive or convert into, actual securities of the referenced companies, and the value of the tokens is based on a defined reference price such as the market price of those securities or the price of those securities upon a liquidity event.</w:t>
      </w:r>
    </w:p>
    <w:p>
      <w:pPr>
        <w:spacing w:after="0" w:line="2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cryptocurrency industry is rapidly evolving, and the tokenization of real-world assets is a nascent development in the industry. Accordingly, there remains considerable regulatory uncertainty regarding how transactions, products, blockchain infrastructure, services or offerings involving tokenized real-world assets, including tokenized financial instruments, are or should be regulated. Similarly, there is considerable regulatory uncertainty regarding whether services available through Robinhood Non-Custodial Ltd. relating to tokenized real-world assets are or should be regulated. While certain lawmakers, regulators and other public officials in the U.S. and in foreign jurisdictions have previously made statements or issued guidance relating to the legal and regulatory framework applicable to tokenized real-world assets, the legal and regulatory framework is still in the early stages, is continuing to evolve rapidly and remains uncertain and fragmented across jurisdictions. For example, in July 2025, then-SEC Commissioner Hester M. Peirce issued a statement noting that tokenized securities are still securities, and therefore transactions involving tokenized securities are subject to federal securities laws. In September 2026, the SEC issued a temporary, conditional innovation exemption facilitating permissioned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onchain trading of certain tokenized NMS stocks that convey the same rights and privileges as traditional NMS stocks of an equivalent class. Stock Tokens and Classic Stock Tokens are not eligible under the exemption, which may increase regulatory scrutiny of, or competitive pressure on, our tokenized products. Advisory committees and staff of the CFTC have also discussed exploring a potential regulatory framework for tokenization of assets, including tokenized collateral.</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Regulatory approaches to tokenized real-world assets and self-custody wallets outside of the U.S. are similarly in the early stages and vary by jurisdiction. For example, in the EU, MiCA and MiFID operate as complementary regimes within the EU’s financial regulatory framework, with MiCA governing crypto-assets that do not qualify as financial instruments and MiFID continuing to apply to crypto-assets that meet the definition of financial instruments. Accordingly, the application of MiCA or MiFID depends on the characteristics of the specific tokenized real-world asset. In Singapore, the MAS has issued guidance stating that a crypto-asset may constitute, among other things, a “share” where it confers or represents ownership interest in a corporation or a “securities-based derivatives contract” where the underlying asset is a share, debenture or unit in a business, which would require transactions in such crypto-assets to be conducted in compliance with applicable law and the applicable licenses.</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offered Classic Stock Tokens and the Private Company Stock Token Promotion to eligible customers of RHEU in certain jurisdictions in the EEA and may offer similar tokens or promotions in the same or different jurisdictions in the future, and while we believe that such operations are, were, and will be in compliance with MiFID requirements applicable to derivatives (or other applicable requirements to the extent we offer similar tokens or promotions in different jurisdictions in the future), we cannot ensure that regulators would agree with our conclusions. For example, we have received requests for clarifications from the Bank of Lithuania, which has issued RHEU licenses under MiCA and MiFID, regarding our Classic Stock Tokens and the Private Company Stock Token Promotion in connection with the launch of that offering. Responding to such requests may divert management attention and require us to expend additional resources. If the Bank of Lithuania determines that our Classic Stock Token offering or the Private Company Stock Token Promotion is not being conducted in compliance with applicable laws or regulations, such determination could result in financial penalties or other non-monetary penalties, limitation of certain of our business activities (including with respect to our Classic Stock Token offering), loss or non-renewal of existing licenses or authorizations, increased scrutiny from other regulators, loss of our customers and reputational harm.</w:t>
      </w:r>
    </w:p>
    <w:p>
      <w:pPr>
        <w:spacing w:after="0" w:line="20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any change in applicable laws or regulations, or change in interpretations of existing laws or regulations, could have a materially adverse impact on our ability to operate our Stock Tokens and Classic Stock Token offerings as currently intended. Because the assets underlying our Stock Tokens, Classic Stock Tokens, and the Private Company Stock Token Promotion are certain U.S. securities, the SEC or other U.S. regulators, including the CFTC, could assert jurisdiction over our Stock Token offering or Classic Stock Token offering or the Private Company Stock Token Promotion and claim that transactions in related tokens must be conducted in compliance with applicable U.S. laws and regulations. Such a determination could result in lawsuits, regulatory action and enforcement proceedings that result in injunctions, fines, penalties and other monetary damages, and could require us to obtain additional registrations or licenses in the future and cause us to incur significant expenses in order to ensure compliance with applicable laws and regulations.</w:t>
      </w:r>
    </w:p>
    <w:p>
      <w:pPr>
        <w:spacing w:after="0" w:line="2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faced in the past, and may in the future face, contractual or legal challenges from the issuers of the referenced securities, in addition to negative publicity, social media posts, or other public communications by issuers or high-profile individuals surrounding specific tokenized securities or the Company’s Stock Token, Classic Stock Token, or similar initiatives. Some companies, particularly private companies with transfer restrictions, may object to the creation of synthetic instruments such as tokens which reference the companies’ securities and are facilitated by Robinhood or one of its affiliates holding an interest in a SPV that holds the referenced securities or instruments representing a contingent interest in the referenced securities. In such cases, the issuer may assert that our interest in the SPV is invalid,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void or otherwise unenforceable, or that we have violated or induced or assisted in the violation of, applicable transfer restrictions, which could result in a loss or impairment of the SPV’s rights to the underlying securities, which could in turn prevent us from effectively hedging our exposure to the associated tokens held by our customers. For example, OpenAI has publicly stated that OpenAI tokens issued in connection with the Private Company Stock Token Promotion are not OpenAI equity, that they did not partner with us and did not endorse the OpenAI tokens, and that any transfer of OpenAI equity requires OpenAI’s approval and OpenAI did not approve such transfer. Accordingly, Robinhood or our affiliates may be exposed to risks relating to litigation, reputational harm, increased regulatory scrutiny, or the need to suspend or revise affected offerings.</w:t>
      </w:r>
    </w:p>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Stock Token offering, Classic Stock Token offering, and the Private Company Stock Token Promotion also involved, and could involve, operational risks, in addition to existing cryptocurrency risks. They have relied on, and could rely on, accurate and timely price data, functioning systems for custody and valuation, and clear communication to customers about how the tokens work. If these systems fail, or if customers misunderstand that the tokens do not represent actual securities, we could face regulatory action, legal exposure, or reputational harm.</w:t>
      </w:r>
    </w:p>
    <w:p>
      <w:pPr>
        <w:spacing w:after="0" w:line="20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we are unable to adequately manage these risks, or if regulators, issuers, or other counterparties take adverse action, our Stock Token, Classic Stock Token, or similar initiatives in the future could be curtailed or terminated, which could adversely affect our crypto and international business operations, expose us to significant liability and harm our brand.</w:t>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Spending and Payments Products and Services</w:t>
      </w:r>
    </w:p>
    <w:p>
      <w:pPr>
        <w:spacing w:after="0" w:line="25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spending, payments and banking products and services subject us to risks related to bank partnerships, FDIC pass-through insurance and other regulatory obligations.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offered a Spending Account (in connection with a partnership with J.P. Morgan Chase Bank, N.A.), and partnered, on a non-exclusive basis, with Sutton Bank (“Sutton”), an Ohio-chartered bank, pursuant to a license from Mastercard International Incorporated, to offer the Robinhood Cash Card. Under the terms of our program agreement with Sutton, Robinhood Cash Card accounts for our users were opened and maintained by Sutton. We act as the service provider to, among other things, facilitate communication between our users and Sutton for which we receive compensation from Sutton. We began winding down the Spending Account product in 2025 by closing inactive, unfunded accounts. The product is expected to be fully wound down by the fourth quarter of 2026. In the fourth quarter of 2025, we began (on an invite-only basis) offering external customers the Robinhood Banking product, which offers depository accounts and related banking services through our partner bank, Coastal Bank. Similar to the structure of the Spending Account program, we act as the service provider for Robinhood Banking to, among other things, facilitate communication between our users and Coastal Bank for which we receive compensation. Additionally, Robinhood branded credit cards are issued by Coastal Bank, a Washington-chartered bank, pursuant to a partnership with Visa U.S.A. Inc. Our partner banks are members of the FDIC.</w:t>
      </w:r>
    </w:p>
    <w:p>
      <w:pPr>
        <w:spacing w:after="0" w:line="2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our recordkeeping for our users’ funds held in Robinhood Cash Card accounts at Sutton, held in a Spending Account at our other partner bank, and held in Robinhood Banking branded deposit accounts at Coastal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funds held at our partner banks are not covered by deposit insurance, participating users might decide to withdraw their funds,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adversely affect our brand and our business. Due to the fact that we are deemed a service provider to our partner banks, we are subject to audit standards for third-party vendors in accordance with bank regulatory guidance and examinations by federal bank regulatory authorities and the CFPB.</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result of the stored-value Spending Account program, the Robinhood Cash Card and the Robinhood Banking program,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 charges. For example, in December 2024, Robinhood Credit paid a penalty of $200,000 to the Massachusetts Division of Banks for previously engaging in the business of a third-party loan servicer in Massachusetts without the appropriate registration. Violations of any of these requirements could result in the assessment of significant actual damages or statutory damages or penalties (including treble damages in some instances) and plaintiffs’ attorneys’ fees.</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offering of consumer credit cards through Robinhood Credit increases our exposure to customer defaults and credit risk and could result in losses.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market consumer credit cards, such as the Robinhood Gold Card and Robinhood Platinum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 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and Robinhood Platinum Card Rewards Programs, depends in part on managing credit risk while attracting new customers with profitable usage patterns. The models and approaches used to manage credit risk may not accurately predict future charge-offs and our ability to avoid high charge-off rates also may be adversely affected by general economic conditions including unemployment, the availability of consumer credit and the competitive environment, as well as events that may be difficult to predict, such as a general downturn in economic conditions (like the one that occurred in 2022), public health threats (like the COVID-19 pandemic), or political developments and legislative proposals targeting interest rate caps and fee and revenue restrictions. Additionally, if any of these factors make it economically unfeasible for us to continue to offer the Robinhood Gold Card and Robinhood Platinum Card Rewards Programs and we cease to offer such rewards, it might make Robinhood Credit products less desirable to customers. Any material increases in credit losses and defaults or inability to retain existing or attract new Robinhood Credit customers could have adverse effects on our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our spending, payments, banking and other services for illegal activities or improper purposes could harm our business</w:t>
      </w:r>
      <w:r>
        <w:rPr>
          <w:rFonts w:ascii="Arial" w:cs="Arial" w:eastAsia="Arial" w:hAnsi="Arial"/>
          <w:sz w:val="18"/>
          <w:szCs w:val="18"/>
          <w:i w:val="1"/>
          <w:iCs w:val="1"/>
          <w:color w:val="auto"/>
        </w:rPr>
        <w:t>.</w:t>
      </w:r>
    </w:p>
    <w:p>
      <w:pPr>
        <w:spacing w:after="0" w:line="25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highly automated nature of, and liquidity offered by, our spending, payments and other services to move money make us and our customers a target for illegal or improper uses, including scams and fraud directed at our stored-value Spending Account, Robinhood Cash Card, Robinhood Banking accounts (including the cash delivery feature, which allows customers in supported jurisdictions to order cash directly to their residences), and Robinhood Credit customers, fraud in connection with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to the U.S. government,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 involved in the sale of infringing or allegedly infringing items. While we invest in measures intended to prevent and detect illegal activities with respect to our spending, payments, and other services, these measures require continuous improvement and might not be effective in detecting and preventing illegal activity or improper uses.</w:t>
      </w:r>
    </w:p>
    <w:p>
      <w:pPr>
        <w:spacing w:after="0" w:line="2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illegal or improper uses of our spending, payments, and other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spending, payments, and other services for illegal or improper activity, and our failure to detect or prevent such use. Illegitimate transactions can also prevent us from satisfying our contractual obligations to our third-party partners, which might cause us to be in breach of our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w:t>
      </w:r>
    </w:p>
    <w:p>
      <w:pPr>
        <w:spacing w:after="0" w:line="2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U.S. and some non-U.S. countries, and our intellectual property rights might not receive the same degree of protection in non-U.S. countries as they would in the U.S.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 Similarly, our patent applications might not result in issued patents, and any patents that are issued might be opposed, challenged, or subjected to administrative proceedings, such as inter partes review or post-grant review, and could be narrowed, invalidated, or held unenforceable, which could limit our ability to prevent others from using, copying, or competing with our technology. We also hold, or may seek to obtain, design patents covering the ornamental appearance of our user interfaces and other aspects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products. Design patents provide narrower protection than utility patents because they cover only ornamental appearance and not underlying functionality, and competitors may be able to design around them by making minor visual changes to a similar user interface while still competing effectively against us.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w:t>
      </w:r>
    </w:p>
    <w:p>
      <w:pPr>
        <w:spacing w:after="0" w:line="20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we might need to expend significant resources to apply for, maintain, enforce and monitor our intellectual property rights and 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been, currently are, and might in the future be, subject to claims that we violated third-party intellectual property rights, which, even where meritless, can be costly to defend and could materially adversely affect our business, results of operations, and financial condition.</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success depends, in part, on our ability to develop and commercialize our products and services without infringing, misappropriating or otherwise violating the intellectual property rights of third parties. However, we might not be aware that our products, services, or marketing materials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use of third-party software and other intellectual property rights might be subject to claims of infringement or misappropriation. The vendors who provide us with technology that we incorporate in our product offerings also could become subject to various infringement claims. We may also face claims that the look and feel of our user interfaces or other product designs infringe design patents held by competitors or other third parties, and defending against such claims could require us to redesign our user interfaces, which could be costly, time-consuming, and disruptive to our business.</w:t>
      </w: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our competitors or other third parties have in the past claimed, currently claim, and might in the future claim,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could pose particular risks to our proprietary software, products, and services in a manner that could harm our business.</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 of our own proprietary source code and/or may make contributions to open source software. There is a risk that our proprietary software or contributions may be used in such a manner that we may need to enforce our rights to ownership of such open source software, including seeking proper usage, compliance with our license terms, or through litigation.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actual or claimed requirement to disclose our proprietary source code or pay damages for breach of license terms, or failure to enforce our ownership rights over the use of our proprietary source code could harm our business and could help third parties, including our competitors, develop products and services that are similar to or better than ours.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27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Covenants in our credit agreements could restrict our operations, and if we do not effectively manage our business to comply with these covenants, our financial condition could be adversely impacted.</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entered into certain credit agreements and other borrowing arrangements, including $2.2 billion aggregate principal amount of 0.00% convertible senior notes due 2029 that we issued in June 2026, and might enter into additional agreements for other borrowing in the future. These agreements contain various restrictive covenants, including, among other things,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minimum liquidity and tangible net worth requirements, and other financial ratios. The indenture governing the Convertible Notes does not contain financial maintenance covenants of this kind, but does restrict our ability to consolidate, merge with, or sell substantially all of our assets unless certain conditions are satisfied. These restrictions might restrict our current and future operations, including our ability to incur debt to increase our liquidity position.</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A default under our credit agreements that results in the acceleration of indebtedness in excess of $150 million would also constitute an event of default under the indenture governing the Convertible Notes, and a similar default under the indenture could constitute an event of default under our credit agreements, which could compound the consequences of any such default.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might be inadequate or expensive.</w:t>
      </w:r>
    </w:p>
    <w:p>
      <w:pPr>
        <w:spacing w:after="0" w:line="2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cyber and data breach, crime, and fidelity bond insurance. Our insurance coverage is expensive and maintaining or expanding our insurance coverage might have an adverse effect on our results of operations and financial condition.</w:t>
      </w:r>
    </w:p>
    <w:p>
      <w:pPr>
        <w:spacing w:after="0" w:line="20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and foreign tax laws and policies could adversely impact our tax liabilities.</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and may in the future become, subject to complex and evolving U.S. and foreign tax laws and regulations, which might in the future make changes to corporate income tax rates, the treatment of foreign earnings, or other income tax laws that could have an adverse impact on our business, results of operations, financial condition and cash flows.</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 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spacing w:after="0" w:line="20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spacing w:after="0" w:line="21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also are subject to non-income taxes, such as payroll, sales, use, value-added, net worth, excise, goods and services, and property taxes in the U.S. and various foreign jurisdictions. Specifically, we might be subject to “digital service taxes” or new allocations of tax as a result of increasing efforts by certain jurisdictions to tax cross-border activities that might not have been subject to tax under existing international tax principles. Companies such as ours could be adversely impacted by such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could be subject to certain limitations.</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September 30, 2026, we have U.S. federal, state and non-U.S. NOLs available to reduce future taxable income subject to certain limitations. Under Sections 382 and 383 of the Code, a corporation that undergoes an “ownership change” (as defined by the Code) may be subject to limitations on its ability to utilize its pre-change NOLs and other tax attributes such as research tax credits to offset future taxable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In addition, there may be periods during which the use of NOLs is suspended or otherwise limited. For these reasons, we might not be able to utilize our NOLs, even if we maintain profitability.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information reporting obligations are subject to change.</w:t>
      </w:r>
    </w:p>
    <w:p>
      <w:pPr>
        <w:spacing w:after="0" w:line="2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believe we are compliant with the tax reporting and withholding requirements with respect to our customers’ transactions in the 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 reporting or withholding requirements with respect to customer asset transactions, we may be exposed to additional tax, backup withholding, or information reporting obligations, which could increase our compliance costs and result in penalties.</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could harm our reputation, adversely affect our stock price, and result in litigation.</w:t>
      </w:r>
    </w:p>
    <w:p>
      <w:pPr>
        <w:spacing w:after="0" w:line="16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track certain operational metrics using internal company data gathered on an analytics platform that we developed and operate, including metrics such as Funded Customers, Total Platform Assets, Net Deposits, and Robinhood Gold Subscribers,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 the metrics we publicly disclose.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platforms are used across large populations globally. Further, with our acquisition of TradePMR in February 2025, we are clearing through a third party for TradePMR-related accounts and using data collected by that third party to compute certain metrics. So, for TradePMR-related accounts only, if the third-party systems and tools we use to track this data undercount or overcount performance or contain algorithmic or other technical errors, the relevant metrics we report that rely on such data might not be accurate.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2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6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they could adversely affect our financial reporting systems and 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w:t>
      </w:r>
    </w:p>
    <w:p>
      <w:pPr>
        <w:spacing w:after="0" w:line="2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 In addition, if we are unable to continue to meet these requirements, we might not be able to remain listed on the Nasdaq.</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currently hold and expect to periodically hold certain types of digital assets such as cryptocurrency that may be subject to volatile market prices, risk of loss, unauthorized access and theft, or unique regulatory risks which could harm our business, reputation, and financial condition.</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invested a portion of our cash in Bitcoin in order to align our company and our vision with the crypto community. As with any investment, we may increase or decrease our holdings of digital assets, including Bitcoin, at any time based on the needs of the business and on our view of market and environmental conditions.</w:t>
      </w:r>
    </w:p>
    <w:p>
      <w:pPr>
        <w:spacing w:after="0" w:line="198"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prices of digital assets have been in the past, and may in the future continue to be, highly volatile, including as a result of various associated risks, uncertainties and events, and the long-term adoption of digital assets by investors, consumers, and businesses which remains uncertain. If the value of the digital assets we hold decreases relative to the price at which we purchased such assets,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financial condition and reputation may be harmed. Moreover, digital assets’ lack of a physical form, their reliance on technology for their creation, existence, and transactional validation, and their decentralization may subject their integrity to the threat of malicious attacks and technological obsolescence.</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 digital assets have been, and may in the future be, subject to security breaches, cyberattacks, or other malicious activities, including unauthorized access and theft, as well as human errors or computer malfunctions that may result in the loss or destruction of private keys needed to access such assets. While we have implemented appropriate security measures with respect to our digital asset holdings, those measures may not function as expected and may not detect, prevent, mitigate, or protect against all unauthorized activity, security breaches, attacks, or other incidents. If such threats are realized or the measures or controls that we create or implement to secure our digital assets fail, it could result in a partial or total misappropriation or loss of our digital assets, which could adversely affect our business, financial condition, and results of operations.</w:t>
      </w:r>
    </w:p>
    <w:p>
      <w:pPr>
        <w:spacing w:after="0" w:line="21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Finally, the extent to which securities laws or other laws, rules, or regulations, including applicable accounting rules, apply or may apply in the future to such assets is unclear and subject to change. We may be required to institute burdensome compliance requirements, restricting our activities in a way that could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w:t>
      </w:r>
    </w:p>
    <w:p>
      <w:pPr>
        <w:spacing w:after="0" w:line="27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trading price for our Class A common stock has been and could continue to be volatile, and you could lose all or part of your investment.</w:t>
      </w:r>
    </w:p>
    <w:p>
      <w:pPr>
        <w:spacing w:after="0" w:line="16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trading price of our Class A common stock has been and could continue to be highly volatile and could continue to be subject to fluctuations in response to one or more of the risk factors described in this report, many of which are beyond our control.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spacing w:after="0" w:line="244" w:lineRule="exact"/>
        <w:rPr>
          <w:sz w:val="20"/>
          <w:szCs w:val="20"/>
          <w:color w:val="auto"/>
        </w:rPr>
      </w:pPr>
    </w:p>
    <w:p>
      <w:pPr>
        <w:jc w:val="both"/>
        <w:ind w:left="660" w:hanging="328"/>
        <w:spacing w:after="0" w:line="242"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244"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announcements by us or our competitors of new offerings or platform features;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public’s perception of the quality and accuracy of our key metrics on our customer base and engagement;</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public’s reaction to our media statements, other public announcements and filings with the SEC;</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rumors and market speculation involving us or other companies in our industry;</w:t>
      </w:r>
    </w:p>
    <w:p>
      <w:pPr>
        <w:spacing w:after="0" w:line="274"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extent to which retail and other individual investors (as distinguished from institutional investors), including our customers, invest in our Class A common stock, which might result in increased volatility;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328"/>
        <w:spacing w:after="0" w:line="249"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18"/>
          <w:szCs w:val="18"/>
          <w:color w:val="auto"/>
        </w:rPr>
        <w:t>media coverage related to certain individuals and entities identified as having owned our stock, and any speculation related to plans to dispose of their holdings.</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Class action litigation has in the past, and could in the future, result in substantial costs and a diversion of our management’s attention and resources.</w:t>
      </w:r>
    </w:p>
    <w:p>
      <w:pPr>
        <w:spacing w:after="0" w:line="198"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spacing w:after="0" w:line="1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As of September 30, 2026, our founders and their related entities hold approximately 12% of our outstanding common stock (and, as described below, over 50% of the voting power of our outstanding capital stock). If our founders or other significant stockholders sell, or indicate an intent to sell, large amounts of stock in the public market, such sales, or the perception that these sales might occur, could cause the trading price of our Class A common stock to decline substantially.</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(as defined in Note 13 - Common Stock and Stockholders’ Equity to our unaudited condensed consolidated financial statements in this Quarterly Report) and for issuance under our ESPP. All of these shares will become eligible for sale in the public market upon exercise, vesting, or settlement, as applicable (and to the extent granted in the discretion of our board of directors, in the case of shares available for grant) or may be sold to satisfy applicable tax withholding requirements. These and any future issuances of shares of our capital stock, or of securities convertible into or exercisable for our capital stock, could depress the market price of our Class A common stock and result in a significant dilution for stockholders. For example, in June 2026, we issued the Convertible Notes, which we may settle upon conversion by cash up to the principal amount of the Convertible Notes and paying or delivering shares of our Class A common stock, cash, or a combination thereof, at our election, for any value in excess thereof, which could result in dilution to our stockholders or require us to use a substantial amount of cash. While we entered into Capped Calls transactions in connection with the offering of the Convertible Notes in order to reduce the dilutive effect of any such conversion, or offset cash payments we are required to make in excess of the principal amount of converted Notes, up to a specified cap price, if the price of our Class A common stock exceeds such cap price, we could still experience dilution or be required to make significant cash payments upon conversion of the Convertible Notes. We also used $290 million of the proceeds of the Convertible Notes to repurchase shares concurrently with the offering, which may have reduced the dilutive impact of the offering and associated market activity.</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authorized more capital stock in recent years to provide additional stock options and RSUs to our employees and to permit for the consummation of equity and equity-linked financings and might continue to do so in the future. Our employee headcount has increased in the past few years,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deem appropriate. These sales could also cause the trading price of our Class A common stock to fall and make it more difficult for you to sell shares of our Class A common stock.</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There are no guarantees that we will repurchase shares under the Repurchase Program or that the Repurchase Program will result in increased shareholder value.</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March 24, 2026, Robinhood announced that its board of directors approved the Repurchase Program authorizing the Company to repurchase up to $1.5 billion of its outstanding Class A common stock to return value to shareholders. The Repurchase Program replaced the Company’s Prior Repurchase Program and is inclusive of amounts that remained available for repurchase under the Prior Repurchase Program which were rolled over into the Repurchase Program, and represented more than $1.1 billion of incremental capacity. As of September 30, 2026, Robinhood has made share repurchases of approximately $152 million under the Repurchase Program. While the Repurchase Program does not have an expiration date, the Company’s management currently expects to conduct the Repurchase Program over a period of approximately three years, beginning in the first quarter of 2026. The timing and amount of repurchase transactions will be determined by the Company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spacing w:after="0" w:line="2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a number of ways in which the Repurchase Program could fail to result in enhanced shareholder value. For example, any failure to repurchase stock after we have announced our intention to do so may negatively impact the trading price of our Class A common stock. The existence of the Repurchase Program could also cause our stock price to trade higher than it otherwise would and could 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spacing w:after="0" w:line="2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Class A common stock has one vote per share, our Class B common stock has 10 votes per share, and our Class C common stock has no voting rights, except as otherwise required by law. Our founders and Founder Affiliates together hold all of the issued and outstanding shares of our Class B common stock. Accordingly, Mr. Tenev, who is also our CEO, President and Chair of our board of directors, and Mr. Bhatt, who is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Charter and our Bylaws and the approval of any merger, consolidation, sale of all or substantially all of our assets or other major corporate transaction.</w:t>
      </w:r>
    </w:p>
    <w:p>
      <w:pPr>
        <w:spacing w:after="0" w:line="2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founders and Founder Affiliates have entered into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w:t>
      </w:r>
    </w:p>
    <w:p>
      <w:pPr>
        <w:spacing w:after="0" w:line="2" w:lineRule="exact"/>
        <w:rPr>
          <w:sz w:val="20"/>
          <w:szCs w:val="20"/>
          <w:color w:val="auto"/>
        </w:rPr>
      </w:pPr>
    </w:p>
    <w:p>
      <w:pPr>
        <w:jc w:val="both"/>
        <w:ind w:firstLine="8"/>
        <w:spacing w:after="0" w:line="254" w:lineRule="auto"/>
        <w:tabs>
          <w:tab w:leader="none" w:pos="2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w:t>
      </w:r>
    </w:p>
    <w:p>
      <w:pPr>
        <w:spacing w:after="0" w:line="2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spacing w:after="0" w:line="21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w:t>
      </w:r>
    </w:p>
    <w:p>
      <w:pPr>
        <w:spacing w:after="0" w:line="20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might prevent or delay an acquisition of Robinhood, which could decrease the trading price of our Class A common stock.</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 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w:t>
      </w:r>
    </w:p>
    <w:p>
      <w:pPr>
        <w:spacing w:after="0" w:line="2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 third party attempting to acquire us or a substantial position in our Class A common stock might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FCA, which regulates our U.K. authorized broker-dealer subsidiary, must be obtained in 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exclusive forum provisions of our Charter could limit our stockholders’ ability to choose the judicial forum for some types of lawsuits against us or our directors, officers, or employees.</w:t>
      </w:r>
    </w:p>
    <w:p>
      <w:pPr>
        <w:spacing w:after="0" w:line="1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21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ITEM 2. UNREGISTERED SALES OF EQUITY SECURITIES AND USE OF PROCEEDS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Unregistered Securities</w:t>
      </w:r>
    </w:p>
    <w:p>
      <w:pPr>
        <w:spacing w:after="0" w:line="25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From July 1, 2026 through September 30, 2026, the Company did not sell any shares of Class A common stock (or other equity securities of RHM) that were not registered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repurchases of shares of our Class A common stock during the three months ended September 30, 2026:</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96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4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 Number of</w:t>
            </w:r>
          </w:p>
        </w:tc>
        <w:tc>
          <w:tcPr>
            <w:tcW w:w="158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as Part of</w:t>
            </w:r>
          </w:p>
        </w:tc>
        <w:tc>
          <w:tcPr>
            <w:tcW w:w="1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2"/>
                <w:szCs w:val="12"/>
                <w:color w:val="auto"/>
              </w:rPr>
            </w:pPr>
          </w:p>
        </w:tc>
        <w:tc>
          <w:tcPr>
            <w:tcW w:w="17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4500" w:type="dxa"/>
            <w:vAlign w:val="bottom"/>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6"/>
                <w:szCs w:val="16"/>
                <w:color w:val="auto"/>
              </w:rPr>
            </w:pPr>
          </w:p>
        </w:tc>
        <w:tc>
          <w:tcPr>
            <w:tcW w:w="1280" w:type="dxa"/>
            <w:vAlign w:val="bottom"/>
          </w:tcPr>
          <w:p>
            <w:pPr>
              <w:jc w:val="right"/>
              <w:ind w:right="294"/>
              <w:spacing w:after="0" w:line="195"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b w:val="1"/>
                <w:bCs w:val="1"/>
                <w:color w:val="auto"/>
                <w:vertAlign w:val="superscript"/>
              </w:rPr>
              <w:t>(1)</w:t>
            </w:r>
          </w:p>
        </w:tc>
        <w:tc>
          <w:tcPr>
            <w:tcW w:w="1800" w:type="dxa"/>
            <w:vAlign w:val="bottom"/>
          </w:tcPr>
          <w:p>
            <w:pPr>
              <w:jc w:val="center"/>
              <w:spacing w:after="0" w:line="195"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8"/>
                <w:szCs w:val="18"/>
                <w:b w:val="1"/>
                <w:bCs w:val="1"/>
                <w:color w:val="auto"/>
                <w:vertAlign w:val="superscript"/>
              </w:rPr>
              <w:t>(2)</w:t>
            </w:r>
          </w:p>
        </w:tc>
        <w:tc>
          <w:tcPr>
            <w:tcW w:w="260" w:type="dxa"/>
            <w:vAlign w:val="bottom"/>
          </w:tcPr>
          <w:p>
            <w:pPr>
              <w:spacing w:after="0"/>
              <w:rPr>
                <w:sz w:val="16"/>
                <w:szCs w:val="16"/>
                <w:color w:val="auto"/>
              </w:rPr>
            </w:pPr>
          </w:p>
        </w:tc>
        <w:tc>
          <w:tcPr>
            <w:tcW w:w="1700" w:type="dxa"/>
            <w:vAlign w:val="bottom"/>
          </w:tcPr>
          <w:p>
            <w:pPr>
              <w:jc w:val="center"/>
              <w:ind w:right="78"/>
              <w:spacing w:after="0" w:line="195" w:lineRule="exact"/>
              <w:rPr>
                <w:sz w:val="20"/>
                <w:szCs w:val="20"/>
                <w:color w:val="auto"/>
              </w:rPr>
            </w:pPr>
            <w:r>
              <w:rPr>
                <w:rFonts w:ascii="Arial" w:cs="Arial" w:eastAsia="Arial" w:hAnsi="Arial"/>
                <w:sz w:val="14"/>
                <w:szCs w:val="14"/>
                <w:b w:val="1"/>
                <w:bCs w:val="1"/>
                <w:color w:val="auto"/>
                <w:w w:val="99"/>
              </w:rPr>
              <w:t xml:space="preserve">Plans or Programs </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center"/>
              <w:ind w:right="78"/>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2026 - July 31, 2026</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77,560</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103.99</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August 1, 2026 - August 31, 2026</w:t>
            </w:r>
          </w:p>
        </w:tc>
        <w:tc>
          <w:tcPr>
            <w:tcW w:w="1400" w:type="dxa"/>
            <w:vAlign w:val="bottom"/>
          </w:tcPr>
          <w:p>
            <w:pPr>
              <w:jc w:val="right"/>
              <w:spacing w:after="0"/>
              <w:rPr>
                <w:sz w:val="20"/>
                <w:szCs w:val="20"/>
                <w:color w:val="auto"/>
              </w:rPr>
            </w:pPr>
            <w:r>
              <w:rPr>
                <w:rFonts w:ascii="Arial" w:cs="Arial" w:eastAsia="Arial" w:hAnsi="Arial"/>
                <w:sz w:val="18"/>
                <w:szCs w:val="18"/>
                <w:color w:val="auto"/>
              </w:rPr>
              <w:t>86,882</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97.47</w:t>
            </w:r>
          </w:p>
        </w:tc>
        <w:tc>
          <w:tcPr>
            <w:tcW w:w="1800" w:type="dxa"/>
            <w:vAlign w:val="bottom"/>
          </w:tcPr>
          <w:p>
            <w:pPr>
              <w:jc w:val="right"/>
              <w:spacing w:after="0"/>
              <w:rPr>
                <w:sz w:val="20"/>
                <w:szCs w:val="20"/>
                <w:color w:val="auto"/>
              </w:rPr>
            </w:pPr>
            <w:r>
              <w:rPr>
                <w:rFonts w:ascii="Arial" w:cs="Arial" w:eastAsia="Arial" w:hAnsi="Arial"/>
                <w:sz w:val="18"/>
                <w:szCs w:val="18"/>
                <w:color w:val="auto"/>
              </w:rPr>
              <w:t>86,882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2026 - September 30,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73,515</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115.19</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2"/>
        </w:trPr>
        <w:tc>
          <w:tcPr>
            <w:tcW w:w="4500" w:type="dxa"/>
            <w:vAlign w:val="bottom"/>
          </w:tcPr>
          <w:p>
            <w:pPr>
              <w:ind w:left="26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237,957</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105.07</w:t>
            </w:r>
          </w:p>
        </w:tc>
        <w:tc>
          <w:tcPr>
            <w:tcW w:w="1800" w:type="dxa"/>
            <w:vAlign w:val="bottom"/>
          </w:tcPr>
          <w:p>
            <w:pPr>
              <w:jc w:val="right"/>
              <w:spacing w:after="0"/>
              <w:rPr>
                <w:sz w:val="20"/>
                <w:szCs w:val="20"/>
                <w:color w:val="auto"/>
              </w:rPr>
            </w:pPr>
            <w:r>
              <w:rPr>
                <w:rFonts w:ascii="Arial" w:cs="Arial" w:eastAsia="Arial" w:hAnsi="Arial"/>
                <w:sz w:val="18"/>
                <w:szCs w:val="18"/>
                <w:color w:val="auto"/>
              </w:rPr>
              <w:t>237,957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2"/>
        <w:spacing w:after="0" w:line="220" w:lineRule="auto"/>
        <w:tabs>
          <w:tab w:leader="none" w:pos="16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The average cost per share excludes the 1% excise tax on net share repurchase and commissions.</w:t>
      </w:r>
    </w:p>
    <w:p>
      <w:pPr>
        <w:ind w:left="140" w:hanging="132"/>
        <w:spacing w:after="0"/>
        <w:tabs>
          <w:tab w:leader="none" w:pos="140" w:val="left"/>
        </w:tabs>
        <w:numPr>
          <w:ilvl w:val="0"/>
          <w:numId w:val="38"/>
        </w:numPr>
        <w:rPr>
          <w:rFonts w:ascii="Arial" w:cs="Arial" w:eastAsia="Arial" w:hAnsi="Arial"/>
          <w:sz w:val="9"/>
          <w:szCs w:val="9"/>
          <w:color w:val="auto"/>
        </w:rPr>
      </w:pPr>
      <w:r>
        <w:rPr>
          <w:rFonts w:ascii="Arial" w:cs="Arial" w:eastAsia="Arial" w:hAnsi="Arial"/>
          <w:sz w:val="14"/>
          <w:szCs w:val="14"/>
          <w:color w:val="auto"/>
        </w:rPr>
        <w:t>On March 24, 2026, we announced that the board of directors approved the Repurchase Program authorizing the Company to repurchase up to $1.5 billion of its outstanding</w:t>
      </w:r>
    </w:p>
    <w:p>
      <w:pPr>
        <w:spacing w:after="0" w:line="15" w:lineRule="exact"/>
        <w:rPr>
          <w:sz w:val="20"/>
          <w:szCs w:val="20"/>
          <w:color w:val="auto"/>
        </w:rPr>
      </w:pPr>
    </w:p>
    <w:p>
      <w:pPr>
        <w:jc w:val="both"/>
        <w:ind w:left="180"/>
        <w:spacing w:after="0" w:line="259" w:lineRule="auto"/>
        <w:rPr>
          <w:sz w:val="20"/>
          <w:szCs w:val="20"/>
          <w:color w:val="auto"/>
        </w:rPr>
      </w:pPr>
      <w:r>
        <w:rPr>
          <w:rFonts w:ascii="Arial" w:cs="Arial" w:eastAsia="Arial" w:hAnsi="Arial"/>
          <w:sz w:val="14"/>
          <w:szCs w:val="14"/>
          <w:color w:val="auto"/>
        </w:rPr>
        <w:t>Class A common stock. The Repurchase Program replaces the Company’s Prior Repurchase Program and is inclusive of amounts that remained available for repurchase under the Prior Repurchase Program which were rolled over into the Repurchase Program, and represents more than $1.1 billion of incremental capacity. While the Repurchase Program does not have an expiration date, management currently expects to conduct the Repurchase Program over a period of approximately three years, beginning in the first quarter of 2026. The timing and amount of repurchase transactions will be determined by us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Refer to Note 13 - Common Stock and Stockholders’ Equity of our unaudited condensed consolidated financial statements in this Quarterly Report for more information about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5"/>
          <w:szCs w:val="25"/>
          <w:color w:val="auto"/>
        </w:rPr>
        <w:t>ITEM 3. DEFAULTS UPON SENIOR SECURITIES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color w:val="auto"/>
        </w:rPr>
        <w:t>ITEM 4. MINE SAFETY DISCLOSURES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auto"/>
        </w:rPr>
        <w:t>ITEM 5. OTHER INFORMATION</w:t>
      </w:r>
    </w:p>
    <w:p>
      <w:pPr>
        <w:spacing w:after="0" w:line="2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July 31, 2026, Shiv Verma, our Chief Financial Officer, adopted a “Rule 10b5-1 trading arrangement” (as defined in Item 408(a) of Regulation S-K) intended to satisfy the affirmative defense of Rule 10b5-1(c) under the Exchange Act pursuant to which he may sell (i) up to 40,258 shares of our Class A common stock, and (ii) up to 19,436 shares of our Class A common stock (less any shares previously sold under predecessor Rule 10b5-1 trading arrangements), in each case on or prior to August 27, 2027.</w:t>
      </w:r>
    </w:p>
    <w:p>
      <w:pPr>
        <w:spacing w:after="0" w:line="13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August 3, 2026, Dara Bazzano, our Chief Accounting Officer, adopted a “Rule 10b5-1 trading arrangement” (as defined in Item 408(a) of Regulation S-K) intended to satisfy the affirmative defense of Rule 10b5-1(c) under the Exchange Act pursuant to which she may sell shares of our Class A common stock resulting from the settlement of up to 31,378 unvested RSUs (less any shares withheld for applicable taxes), on or prior to November 26, 2027. RSUs convert into Class A common stock on a one-for-one basis upon vesting and settlement.</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5, 2026, Daniel Gallagher, our Chief Legal Officer, adopted a “Rule 10b5-1 trading arrangement” (as defined in Item 408(a) of Regulation S-K) intended to satisfy the affirmative defense of Rule 10b5-1(c) under the Exchange Act pursuant to which he may sell (i) up to 120,000 shares of our Class A common stock, (ii) up to 50,000 shares of our Class A common stock (less any shares previously sold under predecessor Rule 10b5-1 trading arrangements), and (iii) up to 50,000 shares of our Class A common stock resulting from the settlement of up to 112,856 unvested RSUs (less any shares withheld for applicable taxes), in each case on or prior to November 19, 2027. RSUs convert into Class A common stock on a one-for-one basis upon vesting and settlement.</w:t>
      </w:r>
    </w:p>
    <w:p>
      <w:pPr>
        <w:spacing w:after="0" w:line="14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September 14, 2026, Vlad Tenev, our Chair and Chief Executive Officer, adopted a “Rule 10b5-1 trading arrangement” (as defined in Item 408(a) of Regulation S-K) intended to satisfy the affirmative defense of Rule 10b5-1(c) under the Exchange Act pursuant to which he may sell up to 1,900,000 shares of our Class A common stock on or prior to November 19, 2027.</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certain of our officers may, from time to time, make elections to participate in our ESPP and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color w:val="auto"/>
        </w:rPr>
        <w:t>ITEM 6. EXHIBIT INDEX</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80" w:type="dxa"/>
            <w:vAlign w:val="bottom"/>
            <w:gridSpan w:val="2"/>
          </w:tcPr>
          <w:p>
            <w:pPr>
              <w:ind w:left="30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940" w:type="dxa"/>
            <w:vAlign w:val="bottom"/>
            <w:gridSpan w:val="10"/>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66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Filing Date</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5"/>
        </w:trPr>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940" w:type="dxa"/>
            <w:vAlign w:val="bottom"/>
            <w:gridSpan w:val="10"/>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8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400" w:type="dxa"/>
            <w:vAlign w:val="bottom"/>
            <w:tcBorders>
              <w:top w:val="single" w:sz="8" w:color="auto"/>
            </w:tcBorders>
            <w:gridSpan w:val="12"/>
            <w:shd w:val="clear" w:color="auto" w:fill="CCEEFF"/>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Amended and Restated Certificate of Incorporation of Robinhood</w:t>
              </w:r>
            </w:hyperlink>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center"/>
              <w:ind w:left="54"/>
              <w:spacing w:after="0" w:line="182" w:lineRule="exact"/>
              <w:rPr>
                <w:sz w:val="20"/>
                <w:szCs w:val="20"/>
                <w:color w:val="auto"/>
              </w:rPr>
            </w:pPr>
            <w:r>
              <w:rPr>
                <w:rFonts w:ascii="Arial" w:cs="Arial" w:eastAsia="Arial" w:hAnsi="Arial"/>
                <w:sz w:val="18"/>
                <w:szCs w:val="18"/>
                <w:color w:val="auto"/>
                <w:w w:val="99"/>
              </w:rPr>
              <w:t>8-K</w:t>
            </w: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2021-08-02</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0000FF"/>
            </w:tcBorders>
            <w:gridSpan w:val="7"/>
            <w:shd w:val="clear" w:color="auto" w:fill="CCEEFF"/>
          </w:tcPr>
          <w:p>
            <w:pPr>
              <w:spacing w:after="0" w:line="169" w:lineRule="exact"/>
              <w:rPr>
                <w:rFonts w:ascii="Arial" w:cs="Arial" w:eastAsia="Arial" w:hAnsi="Arial"/>
                <w:sz w:val="18"/>
                <w:szCs w:val="18"/>
                <w:color w:val="0000FF"/>
              </w:rPr>
            </w:pPr>
            <w:hyperlink r:id="rId186">
              <w:r>
                <w:rPr>
                  <w:rFonts w:ascii="Arial" w:cs="Arial" w:eastAsia="Arial" w:hAnsi="Arial"/>
                  <w:sz w:val="18"/>
                  <w:szCs w:val="18"/>
                  <w:color w:val="0000FF"/>
                </w:rPr>
                <w:t>Markets, Inc., dated August 2,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3"/>
          </w:tcPr>
          <w:p>
            <w:pPr>
              <w:spacing w:after="0" w:line="189" w:lineRule="exact"/>
              <w:rPr>
                <w:rFonts w:ascii="Arial" w:cs="Arial" w:eastAsia="Arial" w:hAnsi="Arial"/>
                <w:sz w:val="18"/>
                <w:szCs w:val="18"/>
                <w:color w:val="0000FF"/>
              </w:rPr>
            </w:pPr>
            <w:hyperlink r:id="rId187">
              <w:r>
                <w:rPr>
                  <w:rFonts w:ascii="Arial" w:cs="Arial" w:eastAsia="Arial" w:hAnsi="Arial"/>
                  <w:sz w:val="18"/>
                  <w:szCs w:val="18"/>
                  <w:color w:val="0000FF"/>
                </w:rPr>
                <w:t>Amended and Restated Bylaws of Robinhood Markets, Inc., dated</w:t>
              </w:r>
            </w:hyperlink>
          </w:p>
        </w:tc>
        <w:tc>
          <w:tcPr>
            <w:tcW w:w="660" w:type="dxa"/>
            <w:vAlign w:val="bottom"/>
          </w:tcPr>
          <w:p>
            <w:pPr>
              <w:jc w:val="center"/>
              <w:ind w:left="54"/>
              <w:spacing w:after="0" w:line="189" w:lineRule="exact"/>
              <w:rPr>
                <w:sz w:val="20"/>
                <w:szCs w:val="20"/>
                <w:color w:val="auto"/>
              </w:rPr>
            </w:pPr>
            <w:r>
              <w:rPr>
                <w:rFonts w:ascii="Arial" w:cs="Arial" w:eastAsia="Arial" w:hAnsi="Arial"/>
                <w:sz w:val="18"/>
                <w:szCs w:val="18"/>
                <w:color w:val="auto"/>
                <w:w w:val="99"/>
              </w:rPr>
              <w:t>8-K</w:t>
            </w:r>
          </w:p>
        </w:tc>
        <w:tc>
          <w:tcPr>
            <w:tcW w:w="1480" w:type="dxa"/>
            <w:vAlign w:val="bottom"/>
            <w:gridSpan w:val="3"/>
          </w:tcPr>
          <w:p>
            <w:pPr>
              <w:jc w:val="center"/>
              <w:ind w:left="155"/>
              <w:spacing w:after="0" w:line="189" w:lineRule="exact"/>
              <w:rPr>
                <w:sz w:val="20"/>
                <w:szCs w:val="20"/>
                <w:color w:val="auto"/>
              </w:rPr>
            </w:pPr>
            <w:r>
              <w:rPr>
                <w:rFonts w:ascii="Arial" w:cs="Arial" w:eastAsia="Arial" w:hAnsi="Arial"/>
                <w:sz w:val="18"/>
                <w:szCs w:val="18"/>
                <w:color w:val="auto"/>
                <w:w w:val="99"/>
              </w:rPr>
              <w:t>2022-12-16</w:t>
            </w:r>
          </w:p>
        </w:tc>
        <w:tc>
          <w:tcPr>
            <w:tcW w:w="12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6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December 14, 2022</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13"/>
            <w:shd w:val="clear" w:color="auto" w:fill="CCEEFF"/>
          </w:tcPr>
          <w:p>
            <w:pPr>
              <w:spacing w:after="0" w:line="189" w:lineRule="exact"/>
              <w:rPr>
                <w:rFonts w:ascii="Arial" w:cs="Arial" w:eastAsia="Arial" w:hAnsi="Arial"/>
                <w:sz w:val="18"/>
                <w:szCs w:val="18"/>
                <w:color w:val="0000FF"/>
              </w:rPr>
            </w:pPr>
            <w:hyperlink r:id="rId188">
              <w:r>
                <w:rPr>
                  <w:rFonts w:ascii="Arial" w:cs="Arial" w:eastAsia="Arial" w:hAnsi="Arial"/>
                  <w:sz w:val="18"/>
                  <w:szCs w:val="18"/>
                  <w:color w:val="0000FF"/>
                </w:rPr>
                <w:t>Form of Class A Common Stock Certificate of Robinhood Markets,</w:t>
              </w:r>
            </w:hyperlink>
          </w:p>
        </w:tc>
        <w:tc>
          <w:tcPr>
            <w:tcW w:w="660" w:type="dxa"/>
            <w:vAlign w:val="bottom"/>
            <w:shd w:val="clear" w:color="auto" w:fill="CCEEFF"/>
          </w:tcPr>
          <w:p>
            <w:pPr>
              <w:jc w:val="center"/>
              <w:ind w:left="54"/>
              <w:spacing w:after="0" w:line="189" w:lineRule="exact"/>
              <w:rPr>
                <w:sz w:val="20"/>
                <w:szCs w:val="20"/>
                <w:color w:val="auto"/>
              </w:rPr>
            </w:pPr>
            <w:r>
              <w:rPr>
                <w:rFonts w:ascii="Arial" w:cs="Arial" w:eastAsia="Arial" w:hAnsi="Arial"/>
                <w:sz w:val="18"/>
                <w:szCs w:val="18"/>
                <w:color w:val="auto"/>
                <w:w w:val="97"/>
              </w:rPr>
              <w:t>S-1/A</w:t>
            </w:r>
          </w:p>
        </w:tc>
        <w:tc>
          <w:tcPr>
            <w:tcW w:w="1480" w:type="dxa"/>
            <w:vAlign w:val="bottom"/>
            <w:gridSpan w:val="3"/>
            <w:shd w:val="clear" w:color="auto" w:fill="CCEEFF"/>
          </w:tcPr>
          <w:p>
            <w:pPr>
              <w:jc w:val="center"/>
              <w:ind w:left="155"/>
              <w:spacing w:after="0" w:line="189" w:lineRule="exact"/>
              <w:rPr>
                <w:sz w:val="20"/>
                <w:szCs w:val="20"/>
                <w:color w:val="auto"/>
              </w:rPr>
            </w:pPr>
            <w:r>
              <w:rPr>
                <w:rFonts w:ascii="Arial" w:cs="Arial" w:eastAsia="Arial" w:hAnsi="Arial"/>
                <w:sz w:val="18"/>
                <w:szCs w:val="18"/>
                <w:color w:val="auto"/>
                <w:w w:val="99"/>
              </w:rPr>
              <w:t>2021-07-19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4.1</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0000FF"/>
            </w:tcBorders>
            <w:gridSpan w:val="2"/>
            <w:shd w:val="clear" w:color="auto" w:fill="CCEEFF"/>
          </w:tcPr>
          <w:p>
            <w:pPr>
              <w:spacing w:after="0" w:line="169" w:lineRule="exact"/>
              <w:rPr>
                <w:rFonts w:ascii="Arial" w:cs="Arial" w:eastAsia="Arial" w:hAnsi="Arial"/>
                <w:sz w:val="18"/>
                <w:szCs w:val="18"/>
                <w:color w:val="0000FF"/>
                <w:w w:val="96"/>
              </w:rPr>
            </w:pPr>
            <w:hyperlink r:id="rId188">
              <w:r>
                <w:rPr>
                  <w:rFonts w:ascii="Arial" w:cs="Arial" w:eastAsia="Arial" w:hAnsi="Arial"/>
                  <w:sz w:val="18"/>
                  <w:szCs w:val="18"/>
                  <w:color w:val="0000FF"/>
                  <w:w w:val="96"/>
                </w:rPr>
                <w:t>Inc.</w:t>
              </w:r>
            </w:hyperlink>
          </w:p>
        </w:tc>
        <w:tc>
          <w:tcPr>
            <w:tcW w:w="500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3"/>
          </w:tcPr>
          <w:p>
            <w:pPr>
              <w:spacing w:after="0" w:line="189" w:lineRule="exact"/>
              <w:rPr>
                <w:rFonts w:ascii="Arial" w:cs="Arial" w:eastAsia="Arial" w:hAnsi="Arial"/>
                <w:sz w:val="18"/>
                <w:szCs w:val="18"/>
                <w:color w:val="0000FF"/>
              </w:rPr>
            </w:pPr>
            <w:hyperlink r:id="rId189">
              <w:r>
                <w:rPr>
                  <w:rFonts w:ascii="Arial" w:cs="Arial" w:eastAsia="Arial" w:hAnsi="Arial"/>
                  <w:sz w:val="18"/>
                  <w:szCs w:val="18"/>
                  <w:color w:val="0000FF"/>
                </w:rPr>
                <w:t>Form of ten-year Warrant to Purchase Stock of Robinhood Markets,</w:t>
              </w:r>
            </w:hyperlink>
          </w:p>
        </w:tc>
        <w:tc>
          <w:tcPr>
            <w:tcW w:w="660" w:type="dxa"/>
            <w:vAlign w:val="bottom"/>
          </w:tcPr>
          <w:p>
            <w:pPr>
              <w:jc w:val="center"/>
              <w:ind w:left="54"/>
              <w:spacing w:after="0" w:line="189" w:lineRule="exact"/>
              <w:rPr>
                <w:sz w:val="20"/>
                <w:szCs w:val="20"/>
                <w:color w:val="auto"/>
              </w:rPr>
            </w:pPr>
            <w:r>
              <w:rPr>
                <w:rFonts w:ascii="Arial" w:cs="Arial" w:eastAsia="Arial" w:hAnsi="Arial"/>
                <w:sz w:val="18"/>
                <w:szCs w:val="18"/>
                <w:color w:val="auto"/>
                <w:w w:val="99"/>
              </w:rPr>
              <w:t>S-1</w:t>
            </w:r>
          </w:p>
        </w:tc>
        <w:tc>
          <w:tcPr>
            <w:tcW w:w="1480" w:type="dxa"/>
            <w:vAlign w:val="bottom"/>
            <w:gridSpan w:val="3"/>
          </w:tcPr>
          <w:p>
            <w:pPr>
              <w:jc w:val="center"/>
              <w:ind w:left="155"/>
              <w:spacing w:after="0" w:line="189" w:lineRule="exact"/>
              <w:rPr>
                <w:sz w:val="20"/>
                <w:szCs w:val="20"/>
                <w:color w:val="auto"/>
              </w:rPr>
            </w:pPr>
            <w:r>
              <w:rPr>
                <w:rFonts w:ascii="Arial" w:cs="Arial" w:eastAsia="Arial" w:hAnsi="Arial"/>
                <w:sz w:val="18"/>
                <w:szCs w:val="18"/>
                <w:color w:val="auto"/>
                <w:w w:val="99"/>
              </w:rPr>
              <w:t>2021-07-01</w:t>
            </w:r>
          </w:p>
        </w:tc>
        <w:tc>
          <w:tcPr>
            <w:tcW w:w="120" w:type="dxa"/>
            <w:vAlign w:val="bottom"/>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8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189">
              <w:r>
                <w:rPr>
                  <w:rFonts w:ascii="Arial" w:cs="Arial" w:eastAsia="Arial" w:hAnsi="Arial"/>
                  <w:sz w:val="18"/>
                  <w:szCs w:val="18"/>
                  <w:color w:val="0000FF"/>
                </w:rPr>
                <w:t>Inc., issued to multiple investors on February 12, 2021</w:t>
              </w:r>
            </w:hyperlink>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CEO Certification pursuant to Section 302 of the Sarbanes-Oxley</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8"/>
            <w:shd w:val="clear" w:color="auto" w:fill="CCEEFF"/>
          </w:tcPr>
          <w:p>
            <w:pPr>
              <w:spacing w:after="0" w:line="169" w:lineRule="exact"/>
              <w:rPr>
                <w:sz w:val="20"/>
                <w:szCs w:val="20"/>
                <w:color w:val="auto"/>
              </w:rPr>
            </w:pPr>
            <w:r>
              <w:rPr>
                <w:rFonts w:ascii="Arial" w:cs="Arial" w:eastAsia="Arial" w:hAnsi="Arial"/>
                <w:sz w:val="18"/>
                <w:szCs w:val="18"/>
                <w:color w:val="0000FF"/>
              </w:rPr>
              <w:t>Act</w:t>
            </w:r>
          </w:p>
        </w:tc>
        <w:tc>
          <w:tcPr>
            <w:tcW w:w="300" w:type="dxa"/>
            <w:vAlign w:val="bottom"/>
            <w:tcBorders>
              <w:top w:val="single" w:sz="8" w:color="CCEEFF"/>
            </w:tcBorders>
            <w:gridSpan w:val="5"/>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3"/>
          </w:tcPr>
          <w:p>
            <w:pPr>
              <w:spacing w:after="0" w:line="189" w:lineRule="exact"/>
              <w:rPr>
                <w:sz w:val="20"/>
                <w:szCs w:val="20"/>
                <w:color w:val="auto"/>
              </w:rPr>
            </w:pPr>
            <w:r>
              <w:rPr>
                <w:rFonts w:ascii="Arial" w:cs="Arial" w:eastAsia="Arial" w:hAnsi="Arial"/>
                <w:sz w:val="18"/>
                <w:szCs w:val="18"/>
                <w:color w:val="0000FF"/>
              </w:rPr>
              <w:t>CFO Certification pursuant to Section 302 of the Sarbanes-Oxley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Act</w:t>
            </w:r>
          </w:p>
        </w:tc>
        <w:tc>
          <w:tcPr>
            <w:tcW w:w="34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6"/>
                <w:szCs w:val="16"/>
                <w:color w:val="auto"/>
              </w:rPr>
            </w:pPr>
          </w:p>
        </w:tc>
        <w:tc>
          <w:tcPr>
            <w:tcW w:w="552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CEO Certification pursuant to Section 906 of the Sarbanes-Oxley</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8"/>
            <w:shd w:val="clear" w:color="auto" w:fill="CCEEFF"/>
          </w:tcPr>
          <w:p>
            <w:pPr>
              <w:spacing w:after="0" w:line="169" w:lineRule="exact"/>
              <w:rPr>
                <w:sz w:val="20"/>
                <w:szCs w:val="20"/>
                <w:color w:val="auto"/>
              </w:rPr>
            </w:pPr>
            <w:r>
              <w:rPr>
                <w:rFonts w:ascii="Arial" w:cs="Arial" w:eastAsia="Arial" w:hAnsi="Arial"/>
                <w:sz w:val="18"/>
                <w:szCs w:val="18"/>
                <w:color w:val="0000FF"/>
              </w:rPr>
              <w:t>Act</w:t>
            </w:r>
          </w:p>
        </w:tc>
        <w:tc>
          <w:tcPr>
            <w:tcW w:w="300" w:type="dxa"/>
            <w:vAlign w:val="bottom"/>
            <w:tcBorders>
              <w:top w:val="single" w:sz="8" w:color="CCEEFF"/>
            </w:tcBorders>
            <w:gridSpan w:val="5"/>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6"/>
                <w:szCs w:val="16"/>
                <w:color w:val="auto"/>
              </w:rPr>
            </w:pPr>
          </w:p>
        </w:tc>
        <w:tc>
          <w:tcPr>
            <w:tcW w:w="5520" w:type="dxa"/>
            <w:vAlign w:val="bottom"/>
            <w:gridSpan w:val="13"/>
          </w:tcPr>
          <w:p>
            <w:pPr>
              <w:spacing w:after="0" w:line="189" w:lineRule="exact"/>
              <w:rPr>
                <w:sz w:val="20"/>
                <w:szCs w:val="20"/>
                <w:color w:val="auto"/>
              </w:rPr>
            </w:pPr>
            <w:r>
              <w:rPr>
                <w:rFonts w:ascii="Arial" w:cs="Arial" w:eastAsia="Arial" w:hAnsi="Arial"/>
                <w:sz w:val="18"/>
                <w:szCs w:val="18"/>
                <w:color w:val="0000FF"/>
              </w:rPr>
              <w:t>CFO Certification pursuant to Section 906 of the Sarbanes-Oxley</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Act</w:t>
            </w:r>
          </w:p>
        </w:tc>
        <w:tc>
          <w:tcPr>
            <w:tcW w:w="34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1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15"/>
                <w:szCs w:val="15"/>
                <w:color w:val="auto"/>
              </w:rPr>
            </w:pPr>
          </w:p>
        </w:tc>
        <w:tc>
          <w:tcPr>
            <w:tcW w:w="5520" w:type="dxa"/>
            <w:vAlign w:val="bottom"/>
            <w:gridSpan w:val="13"/>
            <w:shd w:val="clear" w:color="auto" w:fill="CCEEFF"/>
          </w:tcPr>
          <w:p>
            <w:pPr>
              <w:spacing w:after="0" w:line="183" w:lineRule="exact"/>
              <w:rPr>
                <w:sz w:val="20"/>
                <w:szCs w:val="20"/>
                <w:color w:val="auto"/>
              </w:rPr>
            </w:pPr>
            <w:r>
              <w:rPr>
                <w:rFonts w:ascii="Arial" w:cs="Arial" w:eastAsia="Arial" w:hAnsi="Arial"/>
                <w:sz w:val="18"/>
                <w:szCs w:val="18"/>
                <w:color w:val="auto"/>
              </w:rPr>
              <w:t>iXBRL (Inline eXtensible Business Reporting Language) Instance</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1"/>
        </w:trPr>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20" w:type="dxa"/>
            <w:vAlign w:val="bottom"/>
            <w:gridSpan w:val="13"/>
            <w:shd w:val="clear" w:color="auto" w:fill="CCEEFF"/>
          </w:tcPr>
          <w:p>
            <w:pPr>
              <w:spacing w:after="0" w:line="181" w:lineRule="exact"/>
              <w:rPr>
                <w:sz w:val="20"/>
                <w:szCs w:val="20"/>
                <w:color w:val="auto"/>
              </w:rPr>
            </w:pPr>
            <w:r>
              <w:rPr>
                <w:rFonts w:ascii="Arial" w:cs="Arial" w:eastAsia="Arial" w:hAnsi="Arial"/>
                <w:sz w:val="18"/>
                <w:szCs w:val="18"/>
                <w:color w:val="auto"/>
              </w:rPr>
              <w:t>Document - the instance document does not appear in the</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52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auto"/>
              </w:rPr>
              <w:t>Interactive Data File because its XBRL tags are embedded within</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52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the Inline XBRL document</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5520" w:type="dxa"/>
            <w:vAlign w:val="bottom"/>
            <w:gridSpan w:val="13"/>
          </w:tcPr>
          <w:p>
            <w:pPr>
              <w:spacing w:after="0"/>
              <w:rPr>
                <w:sz w:val="20"/>
                <w:szCs w:val="20"/>
                <w:color w:val="auto"/>
              </w:rPr>
            </w:pPr>
            <w:r>
              <w:rPr>
                <w:rFonts w:ascii="Arial" w:cs="Arial" w:eastAsia="Arial" w:hAnsi="Arial"/>
                <w:sz w:val="18"/>
                <w:szCs w:val="18"/>
                <w:color w:val="auto"/>
              </w:rPr>
              <w:t>iXBRL Taxonomy Extension Schema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19"/>
                <w:szCs w:val="19"/>
                <w:color w:val="auto"/>
              </w:rPr>
            </w:pPr>
          </w:p>
        </w:tc>
        <w:tc>
          <w:tcPr>
            <w:tcW w:w="552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5520" w:type="dxa"/>
            <w:vAlign w:val="bottom"/>
            <w:gridSpan w:val="13"/>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19"/>
                <w:szCs w:val="19"/>
                <w:color w:val="auto"/>
              </w:rPr>
            </w:pPr>
          </w:p>
        </w:tc>
        <w:tc>
          <w:tcPr>
            <w:tcW w:w="552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iXBRL Taxonomy Extension Label Linkbase Document.</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5520" w:type="dxa"/>
            <w:vAlign w:val="bottom"/>
            <w:gridSpan w:val="13"/>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52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Cover Page Interactive Data File (contained in Exhibit 101)</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90"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File number is 001-40691 except that the S-1 (and S-1/A) file number is 333-257602.</w:t>
      </w:r>
    </w:p>
    <w:p>
      <w:pPr>
        <w:spacing w:after="0" w:line="69" w:lineRule="exact"/>
        <w:rPr>
          <w:sz w:val="20"/>
          <w:szCs w:val="20"/>
          <w:color w:val="auto"/>
        </w:rPr>
      </w:pPr>
    </w:p>
    <w:p>
      <w:pPr>
        <w:jc w:val="both"/>
        <w:ind w:left="180" w:hanging="172"/>
        <w:spacing w:after="0" w:line="273" w:lineRule="auto"/>
        <w:tabs>
          <w:tab w:leader="none" w:pos="345"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Robinhood Markets,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SIGNATURES</w:t>
      </w:r>
    </w:p>
    <w:p>
      <w:pPr>
        <w:spacing w:after="0" w:line="226"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signed this report to be signed on its behalf by the undersigned, thereunto duly authorized, in Menlo Park, California, on October 27, 2026.</w:t>
      </w:r>
    </w:p>
    <w:p>
      <w:pPr>
        <w:spacing w:after="0" w:line="15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Robinhood Markets, Inc.</w:t>
      </w:r>
    </w:p>
    <w:p>
      <w:pPr>
        <w:spacing w:after="0" w:line="293" w:lineRule="exact"/>
        <w:rPr>
          <w:sz w:val="20"/>
          <w:szCs w:val="20"/>
          <w:color w:val="auto"/>
        </w:rPr>
      </w:pPr>
    </w:p>
    <w:tbl>
      <w:tblPr>
        <w:tblLayout w:type="fixed"/>
        <w:tblInd w:w="654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Vladimir Tenev</w:t>
            </w:r>
          </w:p>
        </w:tc>
      </w:tr>
      <w:tr>
        <w:trPr>
          <w:trHeight w:val="21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Vladimir Tenev</w:t>
            </w:r>
          </w:p>
        </w:tc>
      </w:t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65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Shiv Verma</w:t>
            </w:r>
          </w:p>
        </w:tc>
      </w:tr>
      <w:tr>
        <w:trPr>
          <w:trHeight w:val="21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Shiv Verma</w:t>
            </w:r>
          </w:p>
        </w:tc>
      </w:tr>
      <w:tr>
        <w:trPr>
          <w:trHeight w:val="191"/>
        </w:trPr>
        <w:tc>
          <w:tcPr>
            <w:tcW w:w="820" w:type="dxa"/>
            <w:vAlign w:val="bottom"/>
          </w:tcPr>
          <w:p>
            <w:pPr>
              <w:spacing w:after="0" w:line="191" w:lineRule="exact"/>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91" w:lineRule="exact"/>
              <w:rPr>
                <w:sz w:val="20"/>
                <w:szCs w:val="20"/>
                <w:color w:val="auto"/>
              </w:rPr>
            </w:pPr>
            <w:r>
              <w:rPr>
                <w:rFonts w:ascii="Arial" w:cs="Arial" w:eastAsia="Arial" w:hAnsi="Arial"/>
                <w:sz w:val="18"/>
                <w:szCs w:val="18"/>
                <w:color w:val="auto"/>
              </w:rPr>
              <w:t>Chief Financial Officer</w:t>
            </w:r>
          </w:p>
        </w:tc>
      </w:tr>
      <w:tr>
        <w:trPr>
          <w:trHeight w:val="237"/>
        </w:trPr>
        <w:tc>
          <w:tcPr>
            <w:tcW w:w="8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658"/>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Dara Bazzano</w:t>
            </w:r>
          </w:p>
        </w:tc>
      </w:tr>
      <w:tr>
        <w:trPr>
          <w:trHeight w:val="218"/>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Dara Bazzano</w:t>
            </w:r>
          </w:p>
        </w:tc>
      </w:tr>
      <w:tr>
        <w:trPr>
          <w:trHeight w:val="191"/>
        </w:trPr>
        <w:tc>
          <w:tcPr>
            <w:tcW w:w="820" w:type="dxa"/>
            <w:vAlign w:val="bottom"/>
          </w:tcPr>
          <w:p>
            <w:pPr>
              <w:spacing w:after="0" w:line="191" w:lineRule="exact"/>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91" w:lineRule="exact"/>
              <w:rPr>
                <w:sz w:val="20"/>
                <w:szCs w:val="20"/>
                <w:color w:val="auto"/>
              </w:rPr>
            </w:pPr>
            <w:r>
              <w:rPr>
                <w:rFonts w:ascii="Arial" w:cs="Arial" w:eastAsia="Arial" w:hAnsi="Arial"/>
                <w:sz w:val="18"/>
                <w:szCs w:val="18"/>
                <w:color w:val="auto"/>
              </w:rPr>
              <w:t>Chief Accounting Officer</w:t>
            </w:r>
          </w:p>
        </w:tc>
      </w:tr>
      <w:tr>
        <w:trPr>
          <w:trHeight w:val="237"/>
        </w:trPr>
        <w:tc>
          <w:tcPr>
            <w:tcW w:w="8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22"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83"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Vladimir Tenev, certify that:</w:t>
      </w:r>
    </w:p>
    <w:p>
      <w:pPr>
        <w:spacing w:after="0" w:line="19"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Robinhood Markets, Inc.;</w:t>
      </w:r>
    </w:p>
    <w:p>
      <w:pPr>
        <w:spacing w:after="0" w:line="36" w:lineRule="exact"/>
        <w:rPr>
          <w:rFonts w:ascii="Arial" w:cs="Arial" w:eastAsia="Arial" w:hAnsi="Arial"/>
          <w:sz w:val="18"/>
          <w:szCs w:val="18"/>
          <w:color w:val="auto"/>
        </w:rPr>
      </w:pPr>
    </w:p>
    <w:p>
      <w:pPr>
        <w:ind w:right="200" w:firstLine="8"/>
        <w:spacing w:after="0" w:line="276"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right="380" w:firstLine="8"/>
        <w:spacing w:after="0" w:line="295" w:lineRule="auto"/>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40" w:firstLine="8"/>
        <w:spacing w:after="0" w:line="278" w:lineRule="auto"/>
        <w:tabs>
          <w:tab w:leader="none" w:pos="3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380" w:firstLine="208"/>
        <w:spacing w:after="0" w:line="276" w:lineRule="auto"/>
        <w:tabs>
          <w:tab w:leader="none" w:pos="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right="60" w:firstLine="208"/>
        <w:spacing w:after="0" w:line="276" w:lineRule="auto"/>
        <w:tabs>
          <w:tab w:leader="none" w:pos="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right="80" w:firstLine="208"/>
        <w:spacing w:after="0" w:line="279" w:lineRule="auto"/>
        <w:tabs>
          <w:tab w:leader="none" w:pos="5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20" w:firstLine="208"/>
        <w:spacing w:after="0" w:line="278" w:lineRule="auto"/>
        <w:tabs>
          <w:tab w:leader="none" w:pos="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20" w:firstLine="8"/>
        <w:spacing w:after="0" w:line="276" w:lineRule="auto"/>
        <w:tabs>
          <w:tab w:leader="none" w:pos="3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right="320" w:firstLine="208"/>
        <w:spacing w:after="0" w:line="273" w:lineRule="auto"/>
        <w:tabs>
          <w:tab w:leader="none" w:pos="5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right="560" w:firstLine="208"/>
        <w:spacing w:after="0" w:line="318" w:lineRule="auto"/>
        <w:tabs>
          <w:tab w:leader="none" w:pos="5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2"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1D1C1D"/>
        </w:rPr>
        <w:t>Date: October 27, 2026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D1C1D"/>
        </w:rPr>
        <w:t>/s/</w:t>
      </w:r>
      <w:r>
        <w:rPr>
          <w:rFonts w:ascii="Arial" w:cs="Arial" w:eastAsia="Arial" w:hAnsi="Arial"/>
          <w:sz w:val="18"/>
          <w:szCs w:val="18"/>
          <w:color w:val="000000"/>
        </w:rPr>
        <w:t>Vladimir Tenev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Vladimir Tenev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39"/>
          </w:cols>
          <w:pgMar w:left="320" w:top="1430"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line="283"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Shiv Verma, certify that:</w:t>
      </w:r>
    </w:p>
    <w:p>
      <w:pPr>
        <w:spacing w:after="0" w:line="19"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Robinhood Markets, Inc.;</w:t>
      </w:r>
    </w:p>
    <w:p>
      <w:pPr>
        <w:spacing w:after="0" w:line="36" w:lineRule="exact"/>
        <w:rPr>
          <w:rFonts w:ascii="Arial" w:cs="Arial" w:eastAsia="Arial" w:hAnsi="Arial"/>
          <w:sz w:val="18"/>
          <w:szCs w:val="18"/>
          <w:color w:val="auto"/>
        </w:rPr>
      </w:pPr>
    </w:p>
    <w:p>
      <w:pPr>
        <w:ind w:right="200" w:firstLine="8"/>
        <w:spacing w:after="0" w:line="276"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right="380" w:firstLine="8"/>
        <w:spacing w:after="0" w:line="295" w:lineRule="auto"/>
        <w:tabs>
          <w:tab w:leader="none" w:pos="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40" w:firstLine="8"/>
        <w:spacing w:after="0" w:line="278" w:lineRule="auto"/>
        <w:tabs>
          <w:tab w:leader="none" w:pos="3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right="380" w:firstLine="208"/>
        <w:spacing w:after="0" w:line="276" w:lineRule="auto"/>
        <w:tabs>
          <w:tab w:leader="none" w:pos="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right="60" w:firstLine="208"/>
        <w:spacing w:after="0" w:line="276" w:lineRule="auto"/>
        <w:tabs>
          <w:tab w:leader="none" w:pos="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right="80" w:firstLine="208"/>
        <w:spacing w:after="0" w:line="279" w:lineRule="auto"/>
        <w:tabs>
          <w:tab w:leader="none" w:pos="5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right="220" w:firstLine="208"/>
        <w:spacing w:after="0" w:line="278" w:lineRule="auto"/>
        <w:tabs>
          <w:tab w:leader="none" w:pos="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right="420" w:firstLine="8"/>
        <w:spacing w:after="0" w:line="276" w:lineRule="auto"/>
        <w:tabs>
          <w:tab w:leader="none" w:pos="3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right="320" w:firstLine="208"/>
        <w:spacing w:after="0" w:line="273" w:lineRule="auto"/>
        <w:tabs>
          <w:tab w:leader="none" w:pos="5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right="560" w:firstLine="208"/>
        <w:spacing w:after="0" w:line="318" w:lineRule="auto"/>
        <w:tabs>
          <w:tab w:leader="none" w:pos="5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2"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1D1C1D"/>
        </w:rPr>
        <w:t>Date: October 27, 2026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D1C1D"/>
        </w:rPr>
        <w:t>/s/Shiv Verma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D1C1D"/>
        </w:rPr>
        <w:t>Shiv Verma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p>
      <w:pPr>
        <w:sectPr>
          <w:pgSz w:w="11900" w:h="16838" w:orient="portrait"/>
          <w:cols w:equalWidth="0" w:num="1">
            <w:col w:w="10139"/>
          </w:cols>
          <w:pgMar w:left="320" w:top="1430"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73" w:lineRule="auto"/>
        <w:rPr>
          <w:sz w:val="20"/>
          <w:szCs w:val="20"/>
          <w:color w:val="auto"/>
        </w:rPr>
      </w:pPr>
      <w:r>
        <w:rPr>
          <w:rFonts w:ascii="Arial" w:cs="Arial" w:eastAsia="Arial" w:hAnsi="Arial"/>
          <w:sz w:val="18"/>
          <w:szCs w:val="18"/>
          <w:b w:val="1"/>
          <w:bCs w:val="1"/>
          <w:color w:val="1D1C1D"/>
        </w:rPr>
        <w:t>CERTIFICATION BY THE CHIEF EXECUTIVE OFFICER PURSUANT TO 18 U.S.C. SECTION 1350, AS ADOPTED PURSUANT TO SECTION 906 OF THE SARBANES-OXLEY ACT OF 2002</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Pursuant to 18 U.S.C. Section 1350, I, Vladimir Tenev, hereby certify that, to the best of my knowledge, Robinhood Markets, Inc.’s Quarterly Report on Form 10-Q for the quarterly period ended </w:t>
      </w:r>
      <w:r>
        <w:rPr>
          <w:rFonts w:ascii="Arial" w:cs="Arial" w:eastAsia="Arial" w:hAnsi="Arial"/>
          <w:sz w:val="18"/>
          <w:szCs w:val="18"/>
          <w:color w:val="1D1C1D"/>
        </w:rPr>
        <w:t>September 30, 2026</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1D1C1D"/>
        </w:rPr>
        <w:t>Date: October 27,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/s/Vladimir Tenev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1C1D"/>
        </w:rPr>
        <w:t>Vladimir Tenev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D1C1D"/>
        </w:rPr>
        <w:t>Chief Executive Officer</w:t>
      </w:r>
    </w:p>
    <w:p>
      <w:pPr>
        <w:sectPr>
          <w:pgSz w:w="11900" w:h="16838" w:orient="portrait"/>
          <w:cols w:equalWidth="0" w:num="1">
            <w:col w:w="11240"/>
          </w:cols>
          <w:pgMar w:left="320" w:top="122"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1D1C1D"/>
        </w:rPr>
        <w:t>CERTIFICATION BY THE CHIEF FINANCIAL OFFICER PURSUANT TO 18 U.S.C. SECTION 1350, AS ADOPTED PURSUANT TO SECTION 906 OF THE SARBANES-OXLEY ACT OF 2002</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Pursuant to 18 U.S.C. Section 1350, I, Shiv Verma, hereby certify that, to the best of my knowledge, Robinhood Markets, Inc.’s Quarterly Report on Form 10-Q for the quarterly period ended </w:t>
      </w:r>
      <w:r>
        <w:rPr>
          <w:rFonts w:ascii="Arial" w:cs="Arial" w:eastAsia="Arial" w:hAnsi="Arial"/>
          <w:sz w:val="18"/>
          <w:szCs w:val="18"/>
          <w:color w:val="1D1C1D"/>
        </w:rPr>
        <w:t>September 30, 2026</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1D1C1D"/>
        </w:rPr>
        <w:t>Date: October 27, 2026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D1C1D"/>
        </w:rPr>
        <w:t>/s/Shiv Verma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D1C1D"/>
        </w:rPr>
        <w:t>Shiv Verma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lowerRoman"/>
      <w:start w:val="3"/>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90" Type="http://schemas.openxmlformats.org/officeDocument/2006/relationships/image" Target="media/image179.png"/><Relationship Id="rId186" Type="http://schemas.openxmlformats.org/officeDocument/2006/relationships/hyperlink" Target="https://www.sec.gov/Archives/edgar/data/0001783879/000162828021015177/exhibit31-8xkx8221.htm" TargetMode="External"/><Relationship Id="rId187" Type="http://schemas.openxmlformats.org/officeDocument/2006/relationships/hyperlink" Target="https://www.sec.gov/Archives/edgar/data/1783879/000178387922000044/exhibit32.htm" TargetMode="External"/><Relationship Id="rId188" Type="http://schemas.openxmlformats.org/officeDocument/2006/relationships/hyperlink" Target="https://www.sec.gov/Archives/edgar/data/1783879/000162828021013986/exhibit41-sx1a1.htm" TargetMode="External"/><Relationship Id="rId189" Type="http://schemas.openxmlformats.org/officeDocument/2006/relationships/hyperlink" Target="https://www.sec.gov/Archives/edgar/data/1783879/000162828021013318/exhibit4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2026-10-28T05:19:00Z</dcterms:created>
  <dcterms:modified xsi:type="dcterms:W3CDTF">2026-10-28T05:19:00Z</dcterms:modified>
</cp:coreProperties>
</file>