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30, 2024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526"/>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712"/>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4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right="108"/>
              <w:spacing w:after="0"/>
              <w:rPr>
                <w:sz w:val="20"/>
                <w:szCs w:val="20"/>
                <w:color w:val="auto"/>
              </w:rPr>
            </w:pPr>
            <w:r>
              <w:rPr>
                <w:rFonts w:ascii="Arial" w:cs="Arial" w:eastAsia="Arial" w:hAnsi="Arial"/>
                <w:sz w:val="14"/>
                <w:szCs w:val="14"/>
                <w:color w:val="auto"/>
              </w:rPr>
              <w:t>Trading Symbol(s)</w:t>
            </w:r>
          </w:p>
        </w:tc>
        <w:tc>
          <w:tcPr>
            <w:tcW w:w="438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300" w:type="dxa"/>
            <w:vAlign w:val="bottom"/>
          </w:tcPr>
          <w:p>
            <w:pPr>
              <w:jc w:val="center"/>
              <w:ind w:right="108"/>
              <w:spacing w:after="0"/>
              <w:rPr>
                <w:sz w:val="20"/>
                <w:szCs w:val="20"/>
                <w:color w:val="auto"/>
              </w:rPr>
            </w:pPr>
            <w:r>
              <w:rPr>
                <w:rFonts w:ascii="Arial" w:cs="Arial" w:eastAsia="Arial" w:hAnsi="Arial"/>
                <w:sz w:val="14"/>
                <w:szCs w:val="14"/>
                <w:b w:val="1"/>
                <w:bCs w:val="1"/>
                <w:color w:val="auto"/>
              </w:rPr>
              <w:t>HOOD</w:t>
            </w:r>
          </w:p>
        </w:tc>
        <w:tc>
          <w:tcPr>
            <w:tcW w:w="4380" w:type="dxa"/>
            <w:vAlign w:val="bottom"/>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206" w:lineRule="exact"/>
        <w:rPr>
          <w:sz w:val="24"/>
          <w:szCs w:val="24"/>
          <w:color w:val="auto"/>
        </w:rPr>
      </w:pPr>
    </w:p>
    <w:p>
      <w:pPr>
        <w:ind w:left="20" w:right="10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420" w:type="dxa"/>
            <w:vAlign w:val="bottom"/>
          </w:tcPr>
          <w:p>
            <w:pPr>
              <w:ind w:left="8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438"/>
        </w:trPr>
        <w:tc>
          <w:tcPr>
            <w:tcW w:w="10420" w:type="dxa"/>
            <w:vAlign w:val="bottom"/>
          </w:tcPr>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10420" w:type="dxa"/>
            <w:vAlign w:val="bottom"/>
          </w:tcPr>
          <w:p>
            <w:pPr>
              <w:ind w:left="20"/>
              <w:spacing w:after="0"/>
              <w:rPr>
                <w:sz w:val="20"/>
                <w:szCs w:val="20"/>
                <w:color w:val="auto"/>
              </w:rPr>
            </w:pPr>
            <w:r>
              <w:rPr>
                <w:rFonts w:ascii="Arial" w:cs="Arial" w:eastAsia="Arial" w:hAnsi="Arial"/>
                <w:sz w:val="16"/>
                <w:szCs w:val="16"/>
                <w:color w:val="auto"/>
              </w:rPr>
              <w:t>with any new or revised financial accounting standards provided pursuant to Section 13(a) of the Exchange Act.</w:t>
            </w:r>
          </w:p>
        </w:tc>
        <w:tc>
          <w:tcPr>
            <w:tcW w:w="820" w:type="dxa"/>
            <w:vAlign w:val="bottom"/>
          </w:tcPr>
          <w:p>
            <w:pPr>
              <w:spacing w:after="0"/>
              <w:rPr>
                <w:sz w:val="18"/>
                <w:szCs w:val="18"/>
                <w:color w:val="auto"/>
              </w:rPr>
            </w:pPr>
          </w:p>
        </w:tc>
      </w:tr>
      <w:tr>
        <w:trPr>
          <w:trHeight w:val="1116"/>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58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Third Quarter of 2024</w:t>
      </w:r>
    </w:p>
    <w:p>
      <w:pPr>
        <w:spacing w:after="0" w:line="25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October 30, 2024, Robinhood Markets, Inc. (“Robinhood,” the “Company,” "we," or "us") issued a press release regarding its financial results for the quarter ended September 30, 2024. A copy of the press release is furnished as Exhibit 99.1 to this report. As previously announced, Robinhood will hold an earnings conference call on October 30, 2024 at 2:00 p.m. PT/5:00 p.m. ET.</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gridSpan w:val="3"/>
          </w:tcPr>
          <w:p>
            <w:pPr>
              <w:spacing w:after="0"/>
              <w:rPr>
                <w:sz w:val="20"/>
                <w:szCs w:val="20"/>
                <w:color w:val="auto"/>
              </w:rPr>
            </w:pPr>
            <w:r>
              <w:rPr>
                <w:rFonts w:ascii="Arial" w:cs="Arial" w:eastAsia="Arial" w:hAnsi="Arial"/>
                <w:sz w:val="18"/>
                <w:szCs w:val="18"/>
                <w:i w:val="1"/>
                <w:iCs w:val="1"/>
                <w:color w:val="auto"/>
              </w:rPr>
              <w:t>Exhibits</w:t>
            </w: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96"/>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9"/>
              </w:rPr>
              <w:t>Exhibit Number</w:t>
            </w:r>
          </w:p>
        </w:tc>
        <w:tc>
          <w:tcPr>
            <w:tcW w:w="17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720" w:type="dxa"/>
            <w:vAlign w:val="bottom"/>
          </w:tcPr>
          <w:p>
            <w:pPr>
              <w:spacing w:after="0"/>
              <w:rPr>
                <w:sz w:val="21"/>
                <w:szCs w:val="21"/>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Press release dated October 30, 2024</w:t>
            </w:r>
          </w:p>
        </w:tc>
        <w:tc>
          <w:tcPr>
            <w:tcW w:w="4780" w:type="dxa"/>
            <w:vAlign w:val="bottom"/>
          </w:tcPr>
          <w:p>
            <w:pPr>
              <w:spacing w:after="0"/>
              <w:rPr>
                <w:sz w:val="21"/>
                <w:szCs w:val="21"/>
                <w:color w:val="auto"/>
              </w:rPr>
            </w:pPr>
          </w:p>
        </w:tc>
      </w:tr>
      <w:tr>
        <w:trPr>
          <w:trHeight w:val="272"/>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(the cover page XBRL tags are embedded within the Inline XBRL</w:t>
            </w:r>
          </w:p>
        </w:tc>
      </w:tr>
      <w:tr>
        <w:trPr>
          <w:trHeight w:val="239"/>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document)</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333"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Jason Warnick</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3" w:right="339" w:bottom="1440" w:gutter="0" w:footer="0" w:header="0"/>
        </w:sectPr>
      </w:pPr>
    </w:p>
    <w:bookmarkStart w:id="2" w:name="page3"/>
    <w:bookmarkEnd w:id="2"/>
    <w:p>
      <w:pPr>
        <w:ind w:left="3740"/>
        <w:spacing w:after="0"/>
        <w:rPr>
          <w:sz w:val="20"/>
          <w:szCs w:val="20"/>
          <w:color w:val="auto"/>
        </w:rPr>
      </w:pPr>
      <w:r>
        <w:rPr>
          <w:rFonts w:ascii="Arial" w:cs="Arial" w:eastAsia="Arial" w:hAnsi="Arial"/>
          <w:sz w:val="20"/>
          <w:szCs w:val="20"/>
          <w:b w:val="1"/>
          <w:bCs w:val="1"/>
          <w:color w:val="auto"/>
        </w:rPr>
        <w:t>Robinhood Reports Third Quarter 2024 Results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Second highest Revenues on record, up 36% year-over-year to $637 million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GAAP Diluted EPS of $0.17, up $0.26 year-over-year</w:t>
      </w:r>
    </w:p>
    <w:p>
      <w:pPr>
        <w:spacing w:after="0" w:line="13"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i w:val="1"/>
          <w:iCs w:val="1"/>
          <w:color w:val="auto"/>
        </w:rPr>
        <w:t>Year-to-date Net Deposits of $34 billion, Revenues of $1.94 billion, and GAAP Diluted EPS of $0.55 have all exceeded prior full year records</w:t>
      </w:r>
    </w:p>
    <w:p>
      <w:pPr>
        <w:spacing w:after="0" w:line="2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MENLO PARK, Calif. – October 30, 2024 – Robinhood Markets, Inc. (“Robinhood”) (NASDAQ: HOOD) today announced financial results for the third quarter of 2024, which ended September 30, 2024.</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“I'm really proud of our Q3 results and how smoothly our product engine is humming,” </w:t>
      </w:r>
      <w:r>
        <w:rPr>
          <w:rFonts w:ascii="Arial" w:cs="Arial" w:eastAsia="Arial" w:hAnsi="Arial"/>
          <w:sz w:val="18"/>
          <w:szCs w:val="18"/>
          <w:b w:val="1"/>
          <w:bCs w:val="1"/>
          <w:i w:val="1"/>
          <w:iCs w:val="1"/>
          <w:color w:val="auto"/>
        </w:rPr>
        <w:t>said Vlad Tenev, CEO and Co-Founder of</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Robinhood. </w:t>
      </w:r>
      <w:r>
        <w:rPr>
          <w:rFonts w:ascii="Arial" w:cs="Arial" w:eastAsia="Arial" w:hAnsi="Arial"/>
          <w:sz w:val="18"/>
          <w:szCs w:val="18"/>
          <w:i w:val="1"/>
          <w:iCs w:val="1"/>
          <w:color w:val="auto"/>
        </w:rPr>
        <w:t>“In the past month, we introduced Robinhood Legend, our new desktop offering, and announced index options, futures, and 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realized profit and loss tool are coming soon. And just this week, we launched our Presidential Election Market. We have a ton of momentum, and we’re just getting started.”</w:t>
      </w: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“Q3 was another strong quarter, as we drove 36% year-over-year revenue growth, and dropped most of that to the bottom line,” </w:t>
      </w:r>
      <w:r>
        <w:rPr>
          <w:rFonts w:ascii="Arial" w:cs="Arial" w:eastAsia="Arial" w:hAnsi="Arial"/>
          <w:sz w:val="18"/>
          <w:szCs w:val="18"/>
          <w:b w:val="1"/>
          <w:bCs w:val="1"/>
          <w:i w:val="1"/>
          <w:iCs w:val="1"/>
          <w:color w:val="auto"/>
        </w:rPr>
        <w:t>said Jason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Warnick, Chief Financial Officer of Robinhood. </w:t>
      </w:r>
      <w:r>
        <w:rPr>
          <w:rFonts w:ascii="Arial" w:cs="Arial" w:eastAsia="Arial" w:hAnsi="Arial"/>
          <w:sz w:val="18"/>
          <w:szCs w:val="18"/>
          <w:i w:val="1"/>
          <w:iCs w:val="1"/>
          <w:color w:val="auto"/>
        </w:rPr>
        <w:t>“We entered 2024 with the goal of delivering another year of profitable growth, so we're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excited to have already broken prior full year records for both revenue and EPS.”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Results:</w:t>
      </w:r>
    </w:p>
    <w:p>
      <w:pPr>
        <w:spacing w:after="0" w:line="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36% year-over-year to $637 million.</w:t>
      </w:r>
    </w:p>
    <w:p>
      <w:pPr>
        <w:spacing w:after="0" w:line="45" w:lineRule="exact"/>
        <w:rPr>
          <w:rFonts w:ascii="Arial" w:cs="Arial" w:eastAsia="Arial" w:hAnsi="Arial"/>
          <w:sz w:val="18"/>
          <w:szCs w:val="18"/>
          <w:b w:val="1"/>
          <w:bCs w:val="1"/>
          <w:color w:val="auto"/>
        </w:rPr>
      </w:pPr>
    </w:p>
    <w:p>
      <w:pPr>
        <w:ind w:left="1300" w:hanging="320"/>
        <w:spacing w:after="0" w:line="281" w:lineRule="auto"/>
        <w:tabs>
          <w:tab w:leader="none" w:pos="1337"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Transaction-based revenues </w:t>
      </w:r>
      <w:r>
        <w:rPr>
          <w:rFonts w:ascii="Arial" w:cs="Arial" w:eastAsia="Arial" w:hAnsi="Arial"/>
          <w:sz w:val="18"/>
          <w:szCs w:val="18"/>
          <w:color w:val="auto"/>
        </w:rPr>
        <w:t>increased 72% year-over-year to $319 million, primarily driven by options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$202 million, up 63%, cryptocurrencies revenue of $61 million, up 165%, and equities revenue of $37 million, up 37%.</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revenues </w:t>
      </w:r>
      <w:r>
        <w:rPr>
          <w:rFonts w:ascii="Arial" w:cs="Arial" w:eastAsia="Arial" w:hAnsi="Arial"/>
          <w:sz w:val="18"/>
          <w:szCs w:val="18"/>
          <w:color w:val="auto"/>
        </w:rPr>
        <w:t>increased 9% year-over-year to $274 million, primarily driven by growth in interest-earning assets.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increased 42% year-over-year to $44 million, primarily due to increased Gold subscription revenues.</w:t>
      </w:r>
    </w:p>
    <w:p>
      <w:pPr>
        <w:spacing w:after="0" w:line="26"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net revenues were reduced by $27 million in Q3 2024 (and $13 million in Q2 2024) due to matches paid to customers on transfers and deposits.</w:t>
      </w: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increased year-over-year to $150 million, or diluted earnings per share (EPS) of $0.17,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$85 million, or diluted EPS of -$0.09, in Q3 2023.</w:t>
      </w:r>
    </w:p>
    <w:p>
      <w:pPr>
        <w:ind w:left="66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decreased 10% year-over-year to $486 million. This includes a $10 million regulatory accrual,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compares to a $104 million regulatory accrual in Q3 2023.</w:t>
      </w:r>
    </w:p>
    <w:p>
      <w:pPr>
        <w:spacing w:after="0" w:line="9" w:lineRule="exact"/>
        <w:rPr>
          <w:rFonts w:ascii="Arial" w:cs="Arial" w:eastAsia="Arial" w:hAnsi="Arial"/>
          <w:sz w:val="18"/>
          <w:szCs w:val="18"/>
          <w:color w:val="auto"/>
        </w:rPr>
      </w:pPr>
    </w:p>
    <w:p>
      <w:pPr>
        <w:ind w:left="1300" w:hanging="320"/>
        <w:spacing w:after="0" w:line="260" w:lineRule="auto"/>
        <w:tabs>
          <w:tab w:leader="none" w:pos="1323"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Adjusted Operating Expenses (non-GAAP) </w:t>
      </w:r>
      <w:r>
        <w:rPr>
          <w:rFonts w:ascii="Arial" w:cs="Arial" w:eastAsia="Arial" w:hAnsi="Arial"/>
          <w:sz w:val="18"/>
          <w:szCs w:val="18"/>
          <w:color w:val="auto"/>
        </w:rPr>
        <w:t>increased 12% year-over-year to $397 million primarily due to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growth investments.</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Share-Based Compensation (SBC) </w:t>
      </w:r>
      <w:r>
        <w:rPr>
          <w:rFonts w:ascii="Arial" w:cs="Arial" w:eastAsia="Arial" w:hAnsi="Arial"/>
          <w:sz w:val="18"/>
          <w:szCs w:val="18"/>
          <w:color w:val="auto"/>
        </w:rPr>
        <w:t>decreased 5% year-over-year to $79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(non-GAAP) </w:t>
      </w:r>
      <w:r>
        <w:rPr>
          <w:rFonts w:ascii="Arial" w:cs="Arial" w:eastAsia="Arial" w:hAnsi="Arial"/>
          <w:sz w:val="18"/>
          <w:szCs w:val="18"/>
          <w:color w:val="auto"/>
        </w:rPr>
        <w:t>increased 96% year-over-year to $268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increased by 1.0 million year-over-year to 24.3 million.</w:t>
      </w:r>
    </w:p>
    <w:p>
      <w:pPr>
        <w:spacing w:after="0" w:line="4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Accounts </w:t>
      </w:r>
      <w:r>
        <w:rPr>
          <w:rFonts w:ascii="Arial" w:cs="Arial" w:eastAsia="Arial" w:hAnsi="Arial"/>
          <w:sz w:val="18"/>
          <w:szCs w:val="18"/>
          <w:color w:val="auto"/>
        </w:rPr>
        <w:t>increased by 1.5 million year-over-year to 25.1 million.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Assets Under Custody (AUC) </w:t>
      </w:r>
      <w:r>
        <w:rPr>
          <w:rFonts w:ascii="Arial" w:cs="Arial" w:eastAsia="Arial" w:hAnsi="Arial"/>
          <w:sz w:val="18"/>
          <w:szCs w:val="18"/>
          <w:color w:val="auto"/>
        </w:rPr>
        <w:t>increased 76% year-over-year to $152.2 billion, driven by continued Net Deposits and higher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cryptocurrency valuations.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were $10.0 billion, an annualized growth rate of 29% relative to AUC at the end of Q2 2024. Over the past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Net Deposits were $39.0 billion, a growth rate of 45% relative to AUC at the end of Q3 2023.</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Average Revenue Per User (ARPU) </w:t>
      </w:r>
      <w:r>
        <w:rPr>
          <w:rFonts w:ascii="Arial" w:cs="Arial" w:eastAsia="Arial" w:hAnsi="Arial"/>
          <w:sz w:val="18"/>
          <w:szCs w:val="18"/>
          <w:color w:val="auto"/>
        </w:rPr>
        <w:t>increased by 31% year-over-year to $105.</w:t>
      </w:r>
    </w:p>
    <w:p>
      <w:pPr>
        <w:spacing w:after="0" w:line="6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Gold Subscribers </w:t>
      </w:r>
      <w:r>
        <w:rPr>
          <w:rFonts w:ascii="Arial" w:cs="Arial" w:eastAsia="Arial" w:hAnsi="Arial"/>
          <w:sz w:val="18"/>
          <w:szCs w:val="18"/>
          <w:color w:val="auto"/>
        </w:rPr>
        <w:t>increased by 860 thousand, or 65%, year-over-year to 2.2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$4.6 billion compared with $4.9 billion at the end of Q3 2023.</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were $97 million, representing 5.0 million shares of our Class A common stock at an average price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$19.42.</w:t>
      </w:r>
    </w:p>
    <w:p>
      <w:pPr>
        <w:spacing w:after="0" w:line="1" w:lineRule="exact"/>
        <w:rPr>
          <w:rFonts w:ascii="Arial" w:cs="Arial" w:eastAsia="Arial" w:hAnsi="Arial"/>
          <w:sz w:val="18"/>
          <w:szCs w:val="18"/>
          <w:color w:val="auto"/>
        </w:rPr>
      </w:pPr>
    </w:p>
    <w:p>
      <w:pPr>
        <w:ind w:left="1300" w:hanging="320"/>
        <w:spacing w:after="0" w:line="287" w:lineRule="auto"/>
        <w:tabs>
          <w:tab w:leader="none" w:pos="1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July 2024, we began executing on our authorized $1 billion share repurchase program, which we continue to expect to complete over a total of two to three years.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Robinhood takes major steps toward delivering on product roadmap and winning the active trader market.</w:t>
      </w:r>
    </w:p>
    <w:p>
      <w:pPr>
        <w:spacing w:after="0" w:line="252" w:lineRule="exact"/>
        <w:rPr>
          <w:sz w:val="20"/>
          <w:szCs w:val="20"/>
          <w:color w:val="auto"/>
        </w:rPr>
      </w:pPr>
    </w:p>
    <w:p>
      <w:pPr>
        <w:jc w:val="both"/>
        <w:ind w:left="660" w:right="20" w:hanging="328"/>
        <w:spacing w:after="0" w:line="25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Building for Active Traders - </w:t>
      </w:r>
      <w:r>
        <w:rPr>
          <w:rFonts w:ascii="Arial" w:cs="Arial" w:eastAsia="Arial" w:hAnsi="Arial"/>
          <w:sz w:val="18"/>
          <w:szCs w:val="18"/>
          <w:color w:val="auto"/>
        </w:rPr>
        <w:t>In October 2024, Robinhood began rolling out Robinhood Legend, a powerful, sleek browser-based</w:t>
      </w:r>
      <w:r>
        <w:rPr>
          <w:rFonts w:ascii="Arial" w:cs="Arial" w:eastAsia="Arial" w:hAnsi="Arial"/>
          <w:sz w:val="18"/>
          <w:szCs w:val="18"/>
          <w:b w:val="1"/>
          <w:bCs w:val="1"/>
          <w:color w:val="auto"/>
        </w:rPr>
        <w:t xml:space="preserve"> </w:t>
      </w:r>
      <w:r>
        <w:rPr>
          <w:rFonts w:ascii="Arial" w:cs="Arial" w:eastAsia="Arial" w:hAnsi="Arial"/>
          <w:sz w:val="18"/>
          <w:szCs w:val="18"/>
          <w:color w:val="auto"/>
        </w:rPr>
        <w:t>desktop trading platform built from the ground up for active traders, and announced that it will launch futures and index options in the coming months with some of the lowest contract fees in the industry.</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Robinhood Hosts its First Ever Customer-Focused Conference - </w:t>
      </w:r>
      <w:r>
        <w:rPr>
          <w:rFonts w:ascii="Arial" w:cs="Arial" w:eastAsia="Arial" w:hAnsi="Arial"/>
          <w:sz w:val="18"/>
          <w:szCs w:val="18"/>
          <w:color w:val="auto"/>
        </w:rPr>
        <w:t>In October 2024, Robinhood held its inaugural HOOD Summit,</w:t>
      </w:r>
      <w:r>
        <w:rPr>
          <w:rFonts w:ascii="Arial" w:cs="Arial" w:eastAsia="Arial" w:hAnsi="Arial"/>
          <w:sz w:val="18"/>
          <w:szCs w:val="18"/>
          <w:b w:val="1"/>
          <w:bCs w:val="1"/>
          <w:color w:val="auto"/>
        </w:rPr>
        <w:t xml:space="preserve"> </w:t>
      </w:r>
      <w:r>
        <w:rPr>
          <w:rFonts w:ascii="Arial" w:cs="Arial" w:eastAsia="Arial" w:hAnsi="Arial"/>
          <w:sz w:val="18"/>
          <w:szCs w:val="18"/>
          <w:color w:val="auto"/>
        </w:rPr>
        <w:t>bringing together over 400 customers with Robinhood executives and other industry leaders for a three-day event to discuss the latest in trading technology, investing, and culture.</w:t>
      </w:r>
    </w:p>
    <w:p>
      <w:pPr>
        <w:spacing w:after="0" w:line="1"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More than 9 percent of Robinhood Funded Customers benefit from Robinhood Gold - </w:t>
      </w:r>
      <w:r>
        <w:rPr>
          <w:rFonts w:ascii="Arial" w:cs="Arial" w:eastAsia="Arial" w:hAnsi="Arial"/>
          <w:sz w:val="18"/>
          <w:szCs w:val="18"/>
          <w:color w:val="auto"/>
        </w:rPr>
        <w:t>Gold Subscribers reached new highs of</w:t>
      </w:r>
      <w:r>
        <w:rPr>
          <w:rFonts w:ascii="Arial" w:cs="Arial" w:eastAsia="Arial" w:hAnsi="Arial"/>
          <w:sz w:val="18"/>
          <w:szCs w:val="18"/>
          <w:b w:val="1"/>
          <w:bCs w:val="1"/>
          <w:color w:val="auto"/>
        </w:rPr>
        <w:t xml:space="preserve"> </w:t>
      </w:r>
      <w:r>
        <w:rPr>
          <w:rFonts w:ascii="Arial" w:cs="Arial" w:eastAsia="Arial" w:hAnsi="Arial"/>
          <w:sz w:val="18"/>
          <w:szCs w:val="18"/>
          <w:color w:val="auto"/>
        </w:rPr>
        <w:t>2.2 million in Q3 2024. Additionally, Robinhood Gold Cards continue to roll out, now in the hands of nearly 100 thousand customers.</w:t>
      </w:r>
    </w:p>
    <w:p>
      <w:pPr>
        <w:jc w:val="both"/>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Robinhood Retirement Reaches $11 billion in AUC - </w:t>
      </w:r>
      <w:r>
        <w:rPr>
          <w:rFonts w:ascii="Arial" w:cs="Arial" w:eastAsia="Arial" w:hAnsi="Arial"/>
          <w:sz w:val="18"/>
          <w:szCs w:val="18"/>
          <w:color w:val="auto"/>
        </w:rPr>
        <w:t>In October 2024, Robinhood Retirement reached $11 billion in AUC across</w:t>
      </w:r>
      <w:r>
        <w:rPr>
          <w:rFonts w:ascii="Arial" w:cs="Arial" w:eastAsia="Arial" w:hAnsi="Arial"/>
          <w:sz w:val="18"/>
          <w:szCs w:val="18"/>
          <w:b w:val="1"/>
          <w:bCs w:val="1"/>
          <w:color w:val="auto"/>
        </w:rPr>
        <w:t xml:space="preserve"> </w:t>
      </w:r>
      <w:r>
        <w:rPr>
          <w:rFonts w:ascii="Arial" w:cs="Arial" w:eastAsia="Arial" w:hAnsi="Arial"/>
          <w:sz w:val="18"/>
          <w:szCs w:val="18"/>
          <w:color w:val="auto"/>
        </w:rPr>
        <w:t>nearly one million funded retirement accounts. Offering the first ever IRA with a match, customers have received over $200 million in matches on retirement account transfers and contributions since launching in January 2023.</w:t>
      </w:r>
    </w:p>
    <w:p>
      <w:pPr>
        <w:spacing w:after="0" w:line="1" w:lineRule="exact"/>
        <w:rPr>
          <w:rFonts w:ascii="Arial" w:cs="Arial" w:eastAsia="Arial" w:hAnsi="Arial"/>
          <w:sz w:val="18"/>
          <w:szCs w:val="18"/>
          <w:b w:val="1"/>
          <w:bCs w:val="1"/>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Expanding Our UK Product Offering - </w:t>
      </w:r>
      <w:r>
        <w:rPr>
          <w:rFonts w:ascii="Arial" w:cs="Arial" w:eastAsia="Arial" w:hAnsi="Arial"/>
          <w:sz w:val="18"/>
          <w:szCs w:val="18"/>
          <w:color w:val="auto"/>
        </w:rPr>
        <w:t>Robinhood introduced stock lending in the UK in September 2024 and launched margin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for UK customers in October 2024. Robinhood has also received Financial Conduct Authority approval to offer options trading in the UK and plans to launch in 2025.</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Q3 2024 Operating Data</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AUC </w:t>
      </w:r>
      <w:r>
        <w:rPr>
          <w:rFonts w:ascii="Arial" w:cs="Arial" w:eastAsia="Arial" w:hAnsi="Arial"/>
          <w:sz w:val="18"/>
          <w:szCs w:val="18"/>
          <w:color w:val="auto"/>
        </w:rPr>
        <w:t>increased 9X year-over-year to $9.9 billion.</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increased 80% year-over-year to $24.5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increased 53% year-over-year to $5.5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Equity Notional Trading Volumes </w:t>
      </w:r>
      <w:r>
        <w:rPr>
          <w:rFonts w:ascii="Arial" w:cs="Arial" w:eastAsia="Arial" w:hAnsi="Arial"/>
          <w:sz w:val="18"/>
          <w:szCs w:val="18"/>
          <w:color w:val="auto"/>
        </w:rPr>
        <w:t>increased 65% year-over-year to $286.2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increased 47% year-over-year to 443.4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Crypto Notional Trading Volumes </w:t>
      </w:r>
      <w:r>
        <w:rPr>
          <w:rFonts w:ascii="Arial" w:cs="Arial" w:eastAsia="Arial" w:hAnsi="Arial"/>
          <w:sz w:val="18"/>
          <w:szCs w:val="18"/>
          <w:color w:val="auto"/>
        </w:rPr>
        <w:t>increased 112% year-over-year to $14.4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Monthly Active Users (MAU) </w:t>
      </w:r>
      <w:r>
        <w:rPr>
          <w:rFonts w:ascii="Arial" w:cs="Arial" w:eastAsia="Arial" w:hAnsi="Arial"/>
          <w:sz w:val="18"/>
          <w:szCs w:val="18"/>
          <w:color w:val="auto"/>
        </w:rPr>
        <w:t>increased 7% year-over-year to 11.0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Robinhood will host a conference call to discuss its results at 2 p.m. PT / 5 p.m. ET today, October 30, 2024. The live webcast of Robinhood's earnings conference call can be accessed at investors.robinhood.com, along with the earnings press release and accompanying slide presentation.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call, a replay and transcript will also be available at the same website.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2024 expense plan includes growth investments in new products, features, and international expansion while also getting more efficient in our existing businesses. Our outlook for GAAP total operating expenses is $1.86 billion to $1.96 billion, including a $10 million regulatory accrual in Q3 2024.</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Our outlook for Non-GAAP combined Adjusted Operating Expenses and SBC for full-year 2024 is unchanged at $1.85 billion to $1.95 billion.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Actual results might differ materially from our outlook due to several factors, including the rate of growth in Funded Customers and our effectiveness to cross-sell products which affects variable marketing costs, the degree to which we are successful in managing credit losses and preventing fraud, and our ability to manage web-hosting expenses efficiently, among other factors. The above expense outlook does not include potential significant regulatory matters or other significant expenses (such as impairments, restructuring charges, and business acquisition- or disposition-related expenses) that may arise or accruals we may determine in the future are required, as we are unable to accurately predict the size or timing of such matters, expenses or accruals at this time.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9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Robinhood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Markets, Inc. (NASDAQ: HOOD) transformed financial services by introducing commission-free stock trading and democratizing access to the markets for millions of investors. Today, Robinhood lets you trade stocks, options, commodity interests, and crypto, invest for retirement, and earn with Robinhood Gold. Headquartered in Menlo Park, California, Robinhood puts customers in the driver's seat, delivering unprecedented value and products intentionally designed for a new generation of investors. Additional information about Robinhood can be found at www.robinhood.com.</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“Robinhood” and the Robinhood feather logo are registered trademarks of Robinhood Markets, Inc. All other names are trademarks and/or registered trademarks of their respective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ir@robinhood.com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press@robinhood.com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3" w:right="3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7"/>
                <w:szCs w:val="17"/>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4"/>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Cash and cash equivalents segregated under federal and other regulations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4,448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3,495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5,546</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related to user cryptocurrencies safeguarding obligation</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19,456</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User-held fractional shares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Held-to-maturity investments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customer match incentives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31,790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42,605</w:t>
            </w:r>
          </w:p>
        </w:tc>
        <w:tc>
          <w:tcPr>
            <w:tcW w:w="0" w:type="dxa"/>
            <w:vAlign w:val="bottom"/>
          </w:tcPr>
          <w:p>
            <w:pPr>
              <w:spacing w:after="0"/>
              <w:rPr>
                <w:sz w:val="1"/>
                <w:szCs w:val="1"/>
                <w:color w:val="auto"/>
              </w:rPr>
            </w:pPr>
          </w:p>
        </w:tc>
      </w:tr>
      <w:tr>
        <w:trPr>
          <w:trHeight w:val="192"/>
        </w:trPr>
        <w:tc>
          <w:tcPr>
            <w:tcW w:w="7780" w:type="dxa"/>
            <w:vAlign w:val="bottom"/>
          </w:tcPr>
          <w:p>
            <w:pPr>
              <w:ind w:left="240"/>
              <w:spacing w:after="0"/>
              <w:rPr>
                <w:sz w:val="20"/>
                <w:szCs w:val="20"/>
                <w:color w:val="auto"/>
              </w:rPr>
            </w:pPr>
            <w:r>
              <w:rPr>
                <w:rFonts w:ascii="Arial" w:cs="Arial" w:eastAsia="Arial" w:hAnsi="Arial"/>
                <w:sz w:val="14"/>
                <w:szCs w:val="14"/>
                <w:color w:val="auto"/>
              </w:rPr>
              <w:t>Property, software, and equipment, net</w:t>
            </w: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held-to-maturity investments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Non-current deferred customer match incentives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non-current assets, including non-current prepaid expenses of $4 as of December 31, 2023 and $22 as of</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5"/>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September 30, 2024</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32,332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43,245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5,097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6,264</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User cryptocurrencies safeguarding obligation</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14,708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19,456</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25,545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35,958</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25,636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36,037</w:t>
            </w:r>
          </w:p>
        </w:tc>
        <w:tc>
          <w:tcPr>
            <w:tcW w:w="0" w:type="dxa"/>
            <w:vAlign w:val="bottom"/>
          </w:tcPr>
          <w:p>
            <w:pPr>
              <w:spacing w:after="0"/>
              <w:rPr>
                <w:sz w:val="1"/>
                <w:szCs w:val="1"/>
                <w:color w:val="auto"/>
              </w:rPr>
            </w:pPr>
          </w:p>
        </w:tc>
      </w:tr>
      <w:tr>
        <w:trPr>
          <w:trHeight w:val="178"/>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240"/>
              <w:spacing w:after="0" w:line="153"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w:t>
            </w: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80" w:type="dxa"/>
            <w:vAlign w:val="bottom"/>
          </w:tcPr>
          <w:p>
            <w:pPr>
              <w:ind w:left="400"/>
              <w:spacing w:after="0"/>
              <w:rPr>
                <w:sz w:val="20"/>
                <w:szCs w:val="20"/>
                <w:color w:val="auto"/>
              </w:rPr>
            </w:pPr>
            <w:r>
              <w:rPr>
                <w:rFonts w:ascii="Arial" w:cs="Arial" w:eastAsia="Arial" w:hAnsi="Arial"/>
                <w:sz w:val="14"/>
                <w:szCs w:val="14"/>
                <w:color w:val="auto"/>
              </w:rPr>
              <w:t>31, 2023 and September 30, 2024.</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21,000,000,000 shares authorized, 745,401,862 shares issued and</w:t>
            </w: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shd w:val="clear" w:color="auto" w:fill="CCEEFF"/>
          </w:tcPr>
          <w:p>
            <w:pPr>
              <w:ind w:left="460"/>
              <w:spacing w:after="0" w:line="145" w:lineRule="exact"/>
              <w:rPr>
                <w:sz w:val="20"/>
                <w:szCs w:val="20"/>
                <w:color w:val="auto"/>
              </w:rPr>
            </w:pPr>
            <w:r>
              <w:rPr>
                <w:rFonts w:ascii="Arial" w:cs="Arial" w:eastAsia="Arial" w:hAnsi="Arial"/>
                <w:sz w:val="14"/>
                <w:szCs w:val="14"/>
                <w:color w:val="auto"/>
              </w:rPr>
              <w:t>outstanding as of December 31, 2023; 21,000,000,000 shares authorized, 761,992,964 shares issued and</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outstanding as of September 30, 2024.</w:t>
            </w:r>
          </w:p>
        </w:tc>
        <w:tc>
          <w:tcPr>
            <w:tcW w:w="2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700,000,000 shares authorized, 126,760,802 shares issued and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tcPr>
          <w:p>
            <w:pPr>
              <w:ind w:left="460"/>
              <w:spacing w:after="0" w:line="145" w:lineRule="exact"/>
              <w:rPr>
                <w:sz w:val="20"/>
                <w:szCs w:val="20"/>
                <w:color w:val="auto"/>
              </w:rPr>
            </w:pPr>
            <w:r>
              <w:rPr>
                <w:rFonts w:ascii="Arial" w:cs="Arial" w:eastAsia="Arial" w:hAnsi="Arial"/>
                <w:sz w:val="14"/>
                <w:szCs w:val="14"/>
                <w:color w:val="auto"/>
              </w:rPr>
              <w:t>outstanding as of December 31, 2023; 700,000,000 shares authorized, 121,616,044 shares issued and</w:t>
            </w:r>
          </w:p>
        </w:tc>
        <w:tc>
          <w:tcPr>
            <w:tcW w:w="220" w:type="dxa"/>
            <w:vAlign w:val="bottom"/>
          </w:tcPr>
          <w:p>
            <w:pPr>
              <w:spacing w:after="0"/>
              <w:rPr>
                <w:sz w:val="12"/>
                <w:szCs w:val="12"/>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tcPr>
          <w:p>
            <w:pPr>
              <w:ind w:left="460"/>
              <w:spacing w:after="0"/>
              <w:rPr>
                <w:sz w:val="20"/>
                <w:szCs w:val="20"/>
                <w:color w:val="auto"/>
              </w:rPr>
            </w:pPr>
            <w:r>
              <w:rPr>
                <w:rFonts w:ascii="Arial" w:cs="Arial" w:eastAsia="Arial" w:hAnsi="Arial"/>
                <w:sz w:val="14"/>
                <w:szCs w:val="14"/>
                <w:color w:val="auto"/>
              </w:rPr>
              <w:t>outstanding as of September 30, 2024.</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w:t>
            </w:r>
          </w:p>
        </w:tc>
        <w:tc>
          <w:tcPr>
            <w:tcW w:w="2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2023 and September 30, 2024.</w:t>
            </w:r>
          </w:p>
        </w:tc>
        <w:tc>
          <w:tcPr>
            <w:tcW w:w="2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12,158</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(4,951)</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6,696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200"/>
        </w:trPr>
        <w:tc>
          <w:tcPr>
            <w:tcW w:w="778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32,332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43,245</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121"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Ended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share, per share, and percentage data)</w:t>
            </w:r>
          </w:p>
        </w:tc>
        <w:tc>
          <w:tcPr>
            <w:tcW w:w="200" w:type="dxa"/>
            <w:vAlign w:val="bottom"/>
          </w:tcPr>
          <w:p>
            <w:pPr>
              <w:spacing w:after="0"/>
              <w:rPr>
                <w:sz w:val="15"/>
                <w:szCs w:val="15"/>
                <w:color w:val="auto"/>
              </w:rPr>
            </w:pPr>
          </w:p>
        </w:tc>
        <w:tc>
          <w:tcPr>
            <w:tcW w:w="10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YOY% Change</w:t>
            </w:r>
          </w:p>
        </w:tc>
        <w:tc>
          <w:tcPr>
            <w:tcW w:w="120" w:type="dxa"/>
            <w:vAlign w:val="bottom"/>
          </w:tcPr>
          <w:p>
            <w:pPr>
              <w:spacing w:after="0"/>
              <w:rPr>
                <w:sz w:val="15"/>
                <w:szCs w:val="15"/>
                <w:color w:val="auto"/>
              </w:rPr>
            </w:pPr>
          </w:p>
        </w:tc>
        <w:tc>
          <w:tcPr>
            <w:tcW w:w="11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2024</w:t>
            </w:r>
          </w:p>
        </w:tc>
        <w:tc>
          <w:tcPr>
            <w:tcW w:w="1140" w:type="dxa"/>
            <w:vAlign w:val="bottom"/>
          </w:tcPr>
          <w:p>
            <w:pPr>
              <w:jc w:val="right"/>
              <w:ind w:right="220"/>
              <w:spacing w:after="0"/>
              <w:rPr>
                <w:sz w:val="20"/>
                <w:szCs w:val="20"/>
                <w:color w:val="auto"/>
              </w:rPr>
            </w:pPr>
            <w:r>
              <w:rPr>
                <w:rFonts w:ascii="Arial" w:cs="Arial" w:eastAsia="Arial" w:hAnsi="Arial"/>
                <w:sz w:val="14"/>
                <w:szCs w:val="14"/>
                <w:b w:val="1"/>
                <w:bCs w:val="1"/>
                <w:color w:val="auto"/>
              </w:rPr>
              <w:t>QOQ%</w:t>
            </w:r>
          </w:p>
        </w:tc>
        <w:tc>
          <w:tcPr>
            <w:tcW w:w="0" w:type="dxa"/>
            <w:vAlign w:val="bottom"/>
          </w:tcPr>
          <w:p>
            <w:pPr>
              <w:spacing w:after="0"/>
              <w:rPr>
                <w:sz w:val="1"/>
                <w:szCs w:val="1"/>
                <w:color w:val="auto"/>
              </w:rPr>
            </w:pPr>
          </w:p>
        </w:tc>
      </w:tr>
      <w:tr>
        <w:trPr>
          <w:trHeight w:val="185"/>
        </w:trPr>
        <w:tc>
          <w:tcPr>
            <w:tcW w:w="5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CCEEFF"/>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72 %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327</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1140" w:type="dxa"/>
            <w:vAlign w:val="bottom"/>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191</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188</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0.21</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shares used to compute net income (loss) per</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 attributable to common stockholders: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895,108,790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884,108,545</w:t>
            </w: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881,076,624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895,108,790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905,544,750</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904,490,572</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6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per share, and percentage data)</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YOY% Change</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975</w:t>
            </w:r>
          </w:p>
        </w:tc>
        <w:tc>
          <w:tcPr>
            <w:tcW w:w="116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744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w:t>
            </w:r>
          </w:p>
        </w:tc>
        <w:tc>
          <w:tcPr>
            <w:tcW w:w="116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shares used to compute net income (loss) per share attributable to common</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stockholders: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898,999,464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880,182,573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898,999,464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903,555,592</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61" w:right="359" w:bottom="1440" w:gutter="0" w:footer="0" w:header="0"/>
        </w:sectPr>
      </w:pPr>
    </w:p>
    <w:bookmarkStart w:id="8" w:name="page9"/>
    <w:bookmarkEnd w:id="8"/>
    <w:p>
      <w:pPr>
        <w:jc w:val="center"/>
        <w:ind w:right="-75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following table presents operating expenses as a percent of total net revenues: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60" w:type="dxa"/>
            <w:vAlign w:val="bottom"/>
            <w:gridSpan w:val="4"/>
            <w:vMerge w:val="restart"/>
          </w:tcPr>
          <w:p>
            <w:pPr>
              <w:jc w:val="center"/>
              <w:ind w:left="30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246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Ended</w:t>
            </w:r>
          </w:p>
        </w:tc>
        <w:tc>
          <w:tcPr>
            <w:tcW w:w="2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060" w:type="dxa"/>
            <w:vAlign w:val="bottom"/>
            <w:tcBorders>
              <w:bottom w:val="single" w:sz="8" w:color="auto"/>
            </w:tcBorders>
            <w:gridSpan w:val="4"/>
          </w:tcPr>
          <w:p>
            <w:pPr>
              <w:jc w:val="center"/>
              <w:ind w:left="30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8"/>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Technology and development</w:t>
            </w:r>
          </w:p>
        </w:tc>
        <w:tc>
          <w:tcPr>
            <w:tcW w:w="440" w:type="dxa"/>
            <w:vAlign w:val="bottom"/>
          </w:tcPr>
          <w:p>
            <w:pPr>
              <w:jc w:val="right"/>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8"/>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Marketing</w:t>
            </w:r>
          </w:p>
        </w:tc>
        <w:tc>
          <w:tcPr>
            <w:tcW w:w="440" w:type="dxa"/>
            <w:vAlign w:val="bottom"/>
          </w:tcPr>
          <w:p>
            <w:pPr>
              <w:jc w:val="right"/>
              <w:spacing w:after="0"/>
              <w:rPr>
                <w:sz w:val="20"/>
                <w:szCs w:val="20"/>
                <w:color w:val="auto"/>
              </w:rPr>
            </w:pPr>
            <w:r>
              <w:rPr>
                <w:rFonts w:ascii="Arial" w:cs="Arial" w:eastAsia="Arial" w:hAnsi="Arial"/>
                <w:sz w:val="14"/>
                <w:szCs w:val="14"/>
                <w:color w:val="auto"/>
              </w:rPr>
              <w:t>6 %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00"/>
        </w:trPr>
        <w:tc>
          <w:tcPr>
            <w:tcW w:w="4060" w:type="dxa"/>
            <w:vAlign w:val="bottom"/>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440" w:type="dxa"/>
            <w:vAlign w:val="bottom"/>
          </w:tcPr>
          <w:p>
            <w:pPr>
              <w:jc w:val="right"/>
              <w:spacing w:after="0"/>
              <w:rPr>
                <w:sz w:val="20"/>
                <w:szCs w:val="20"/>
                <w:color w:val="auto"/>
              </w:rPr>
            </w:pPr>
            <w:r>
              <w:rPr>
                <w:rFonts w:ascii="Arial" w:cs="Arial" w:eastAsia="Arial" w:hAnsi="Arial"/>
                <w:sz w:val="14"/>
                <w:szCs w:val="14"/>
                <w:color w:val="auto"/>
              </w:rPr>
              <w:t>115 %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76 %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the SBC on our unaudited condensed consolidated statements of operations for the periods indicated:</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206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6"/>
                <w:szCs w:val="16"/>
                <w:color w:val="auto"/>
              </w:rPr>
            </w:pPr>
          </w:p>
        </w:tc>
        <w:tc>
          <w:tcPr>
            <w:tcW w:w="20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rPr>
                <w:sz w:val="20"/>
                <w:szCs w:val="20"/>
                <w:color w:val="auto"/>
              </w:rPr>
            </w:pPr>
            <w:r>
              <w:rPr>
                <w:rFonts w:ascii="Arial" w:cs="Arial" w:eastAsia="Arial" w:hAnsi="Arial"/>
                <w:sz w:val="14"/>
                <w:szCs w:val="14"/>
                <w:color w:val="auto"/>
              </w:rPr>
              <w:t>Marketing</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0"/>
        </w:trPr>
        <w:tc>
          <w:tcPr>
            <w:tcW w:w="3460" w:type="dxa"/>
            <w:vAlign w:val="bottom"/>
          </w:tcPr>
          <w:p>
            <w:pPr>
              <w:ind w:left="120"/>
              <w:spacing w:after="0"/>
              <w:rPr>
                <w:sz w:val="20"/>
                <w:szCs w:val="20"/>
                <w:color w:val="auto"/>
              </w:rPr>
            </w:pPr>
            <w:r>
              <w:rPr>
                <w:rFonts w:ascii="Arial" w:cs="Arial" w:eastAsia="Arial" w:hAnsi="Arial"/>
                <w:sz w:val="14"/>
                <w:szCs w:val="14"/>
                <w:color w:val="auto"/>
              </w:rPr>
              <w:t>Total SBC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460" w:type="dxa"/>
            <w:vAlign w:val="bottom"/>
            <w:gridSpan w:val="2"/>
          </w:tcPr>
          <w:p>
            <w:pPr>
              <w:jc w:val="right"/>
              <w:ind w:right="40"/>
              <w:spacing w:after="0" w:line="20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perscript"/>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320" w:top="161" w:right="10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2080" w:type="dxa"/>
            <w:vAlign w:val="bottom"/>
            <w:gridSpan w:val="4"/>
          </w:tcPr>
          <w:p>
            <w:pPr>
              <w:jc w:val="right"/>
              <w:ind w:right="562"/>
              <w:spacing w:after="0"/>
              <w:rPr>
                <w:sz w:val="20"/>
                <w:szCs w:val="20"/>
                <w:color w:val="auto"/>
              </w:rPr>
            </w:pPr>
            <w:r>
              <w:rPr>
                <w:rFonts w:ascii="Arial" w:cs="Arial" w:eastAsia="Arial" w:hAnsi="Arial"/>
                <w:sz w:val="12"/>
                <w:szCs w:val="12"/>
                <w:b w:val="1"/>
                <w:bCs w:val="1"/>
                <w:color w:val="auto"/>
              </w:rPr>
              <w:t>Nine Months Ended</w:t>
            </w:r>
          </w:p>
        </w:tc>
      </w:tr>
      <w:tr>
        <w:trPr>
          <w:trHeight w:val="158"/>
        </w:trPr>
        <w:tc>
          <w:tcPr>
            <w:tcW w:w="6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20" w:type="dxa"/>
            <w:vAlign w:val="bottom"/>
            <w:tcBorders>
              <w:bottom w:val="single" w:sz="8" w:color="auto"/>
            </w:tcBorders>
          </w:tcPr>
          <w:p>
            <w:pPr>
              <w:spacing w:after="0"/>
              <w:rPr>
                <w:sz w:val="13"/>
                <w:szCs w:val="13"/>
                <w:color w:val="auto"/>
              </w:rPr>
            </w:pPr>
          </w:p>
        </w:tc>
      </w:tr>
      <w:tr>
        <w:trPr>
          <w:trHeight w:val="16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97"/>
              </w:rPr>
              <w:t>2024</w:t>
            </w:r>
          </w:p>
        </w:tc>
      </w:tr>
      <w:tr>
        <w:trPr>
          <w:trHeight w:val="162"/>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6"/>
        </w:trPr>
        <w:tc>
          <w:tcPr>
            <w:tcW w:w="64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(571)</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495</w:t>
            </w:r>
          </w:p>
        </w:tc>
      </w:tr>
      <w:tr>
        <w:trPr>
          <w:trHeight w:val="185"/>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55</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credit losses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Share-based compensation</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790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227</w:t>
            </w: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67"/>
        </w:trPr>
        <w:tc>
          <w:tcPr>
            <w:tcW w:w="6480" w:type="dxa"/>
            <w:vAlign w:val="bottom"/>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segregated under federal and other regulations</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Receivables from brokers, dealers, and clearing organizations</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 from users, net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(1,971)</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Securities borrowed</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(2,102)</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Deposits with clearing organizations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Current and non-current prepaid expenses</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and non-current deferred customer match incentives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Other current and non-current assets</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Payables to users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1,167</w:t>
            </w: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loaned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1,411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3,759</w:t>
            </w:r>
          </w:p>
        </w:tc>
      </w:tr>
      <w:tr>
        <w:trPr>
          <w:trHeight w:val="169"/>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current and non-current liabilities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175"/>
        </w:trPr>
        <w:tc>
          <w:tcPr>
            <w:tcW w:w="64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(used in)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221</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1,243</w:t>
            </w:r>
          </w:p>
        </w:tc>
      </w:tr>
      <w:tr>
        <w:trPr>
          <w:trHeight w:val="150"/>
        </w:trPr>
        <w:tc>
          <w:tcPr>
            <w:tcW w:w="6480" w:type="dxa"/>
            <w:vAlign w:val="bottom"/>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2"/>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property, software, and equipment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Capitalization of internally developed software</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held-to-maturity investments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w:t>
            </w: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Proceeds from maturities of held-to-maturity investments</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439</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credit card receivables by Credit Card Funding Trust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Collections of purchased credit card receivables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130</w:t>
            </w: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Business acquisition, net of cash and cash equivalents acquired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Asset acquisition, net of cash acquired</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78"/>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r>
      <w:tr>
        <w:trPr>
          <w:trHeight w:val="169"/>
        </w:trPr>
        <w:tc>
          <w:tcPr>
            <w:tcW w:w="648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(97)</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(579)</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(182)</w:t>
            </w:r>
          </w:p>
        </w:tc>
      </w:tr>
      <w:tr>
        <w:trPr>
          <w:trHeight w:val="162"/>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Proceeds from issuance of common stock under the Employee Stock Purchase Plan</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10</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Taxes paid related to net share settlement of equity awards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Payments of debt issuance costs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Draws on credit facilities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Repayments on credit facilities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84"/>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Borrowings on Credit Card Funding Trust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95</w:t>
            </w:r>
          </w:p>
        </w:tc>
      </w:tr>
      <w:tr>
        <w:trPr>
          <w:trHeight w:val="167"/>
        </w:trPr>
        <w:tc>
          <w:tcPr>
            <w:tcW w:w="6480" w:type="dxa"/>
            <w:vAlign w:val="bottom"/>
          </w:tcPr>
          <w:p>
            <w:pPr>
              <w:ind w:left="240"/>
              <w:spacing w:after="0"/>
              <w:rPr>
                <w:sz w:val="20"/>
                <w:szCs w:val="20"/>
                <w:color w:val="auto"/>
              </w:rPr>
            </w:pPr>
            <w:r>
              <w:rPr>
                <w:rFonts w:ascii="Arial" w:cs="Arial" w:eastAsia="Arial" w:hAnsi="Arial"/>
                <w:sz w:val="12"/>
                <w:szCs w:val="12"/>
                <w:color w:val="auto"/>
              </w:rPr>
              <w:t>Repayments on Credit Card Funding Trust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principal collected from customers due to Coastal Bank</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Repurchase of Class A common stock</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78"/>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exercise of stock options, net of repurchases</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r>
      <w:tr>
        <w:trPr>
          <w:trHeight w:val="169"/>
        </w:trPr>
        <w:tc>
          <w:tcPr>
            <w:tcW w:w="648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financing activities</w:t>
            </w: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(615)</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(619)</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(167)</w:t>
            </w:r>
          </w:p>
        </w:tc>
      </w:tr>
      <w:tr>
        <w:trPr>
          <w:trHeight w:val="169"/>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r>
      <w:tr>
        <w:trPr>
          <w:trHeight w:val="166"/>
        </w:trPr>
        <w:tc>
          <w:tcPr>
            <w:tcW w:w="6480" w:type="dxa"/>
            <w:vAlign w:val="bottom"/>
          </w:tcPr>
          <w:p>
            <w:pPr>
              <w:ind w:left="460"/>
              <w:spacing w:after="0"/>
              <w:rPr>
                <w:sz w:val="20"/>
                <w:szCs w:val="20"/>
                <w:color w:val="auto"/>
              </w:rPr>
            </w:pPr>
            <w:r>
              <w:rPr>
                <w:rFonts w:ascii="Arial" w:cs="Arial" w:eastAsia="Arial" w:hAnsi="Arial"/>
                <w:sz w:val="12"/>
                <w:szCs w:val="12"/>
                <w:color w:val="auto"/>
              </w:rPr>
              <w:t>Net increase (decrease) in cash, cash equivalents, segregated cash, and restricted cash</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(1,689)</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1,595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(977)</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895</w:t>
            </w:r>
          </w:p>
        </w:tc>
      </w:tr>
      <w:tr>
        <w:trPr>
          <w:trHeight w:val="178"/>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10,069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8,646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9,357</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9,346</w:t>
            </w:r>
          </w:p>
        </w:tc>
      </w:tr>
      <w:tr>
        <w:trPr>
          <w:trHeight w:val="175"/>
        </w:trPr>
        <w:tc>
          <w:tcPr>
            <w:tcW w:w="6480" w:type="dxa"/>
            <w:vAlign w:val="bottom"/>
          </w:tcPr>
          <w:p>
            <w:pPr>
              <w:ind w:left="2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8,380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8,380</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10,241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43"/>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6480" w:type="dxa"/>
            <w:vAlign w:val="bottom"/>
          </w:tcPr>
          <w:p>
            <w:pPr>
              <w:ind w:left="140"/>
              <w:spacing w:after="0"/>
              <w:rPr>
                <w:sz w:val="20"/>
                <w:szCs w:val="20"/>
                <w:color w:val="auto"/>
              </w:rPr>
            </w:pPr>
            <w:r>
              <w:rPr>
                <w:rFonts w:ascii="Arial" w:cs="Arial" w:eastAsia="Arial" w:hAnsi="Arial"/>
                <w:sz w:val="12"/>
                <w:szCs w:val="12"/>
                <w:color w:val="auto"/>
              </w:rPr>
              <w:t>Cash and cash equivalents, end of the period</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4,889</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4,611</w:t>
            </w:r>
          </w:p>
        </w:tc>
        <w:tc>
          <w:tcPr>
            <w:tcW w:w="10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4,889</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4,611</w:t>
            </w:r>
          </w:p>
        </w:tc>
      </w:tr>
      <w:tr>
        <w:trPr>
          <w:trHeight w:val="185"/>
        </w:trPr>
        <w:tc>
          <w:tcPr>
            <w:tcW w:w="6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Segregated cash and cash equivalents, end of the period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3,448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3,448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5,547</w:t>
            </w:r>
          </w:p>
        </w:tc>
      </w:tr>
      <w:tr>
        <w:trPr>
          <w:trHeight w:val="166"/>
        </w:trPr>
        <w:tc>
          <w:tcPr>
            <w:tcW w:w="6480" w:type="dxa"/>
            <w:vAlign w:val="bottom"/>
          </w:tcPr>
          <w:p>
            <w:pPr>
              <w:ind w:left="140"/>
              <w:spacing w:after="0"/>
              <w:rPr>
                <w:sz w:val="20"/>
                <w:szCs w:val="20"/>
                <w:color w:val="auto"/>
              </w:rPr>
            </w:pPr>
            <w:r>
              <w:rPr>
                <w:rFonts w:ascii="Arial" w:cs="Arial" w:eastAsia="Arial" w:hAnsi="Arial"/>
                <w:sz w:val="12"/>
                <w:szCs w:val="12"/>
                <w:color w:val="auto"/>
              </w:rPr>
              <w:t>Restricted cash in other current assets, end of the period</w:t>
            </w: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67</w:t>
            </w:r>
          </w:p>
        </w:tc>
      </w:tr>
      <w:tr>
        <w:trPr>
          <w:trHeight w:val="178"/>
        </w:trPr>
        <w:tc>
          <w:tcPr>
            <w:tcW w:w="6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Restricted cash in other non-current assets, end of the period</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w:t>
            </w:r>
          </w:p>
        </w:tc>
      </w:tr>
      <w:tr>
        <w:trPr>
          <w:trHeight w:val="175"/>
        </w:trPr>
        <w:tc>
          <w:tcPr>
            <w:tcW w:w="6480" w:type="dxa"/>
            <w:vAlign w:val="bottom"/>
          </w:tcPr>
          <w:p>
            <w:pPr>
              <w:ind w:left="24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8,380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8,380</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10,241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42"/>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6"/>
        </w:trPr>
        <w:tc>
          <w:tcPr>
            <w:tcW w:w="6480" w:type="dxa"/>
            <w:vAlign w:val="bottom"/>
          </w:tcPr>
          <w:p>
            <w:pPr>
              <w:ind w:left="240"/>
              <w:spacing w:after="0"/>
              <w:rPr>
                <w:sz w:val="20"/>
                <w:szCs w:val="20"/>
                <w:color w:val="auto"/>
              </w:rPr>
            </w:pPr>
            <w:r>
              <w:rPr>
                <w:rFonts w:ascii="Arial" w:cs="Arial" w:eastAsia="Arial" w:hAnsi="Arial"/>
                <w:sz w:val="12"/>
                <w:szCs w:val="12"/>
                <w:color w:val="auto"/>
              </w:rPr>
              <w:t>Cash paid for interest</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12</w:t>
            </w:r>
          </w:p>
        </w:tc>
      </w:tr>
      <w:tr>
        <w:trPr>
          <w:trHeight w:val="185"/>
        </w:trPr>
        <w:tc>
          <w:tcPr>
            <w:tcW w:w="6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paid for income taxes, net of refund received</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7"/>
          </w:tcPr>
          <w:p>
            <w:pPr>
              <w:jc w:val="center"/>
              <w:ind w:right="1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7"/>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6"/>
          </w:tcPr>
          <w:p>
            <w:pPr>
              <w:jc w:val="center"/>
              <w:ind w:left="436"/>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(571)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Net margin</w:t>
            </w:r>
          </w:p>
        </w:tc>
        <w:tc>
          <w:tcPr>
            <w:tcW w:w="34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 (non-GAAP)</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Add: SBC</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Founders Award Cancellation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740" w:type="dxa"/>
            <w:vAlign w:val="bottom"/>
          </w:tcPr>
          <w:p>
            <w:pPr>
              <w:ind w:left="180"/>
              <w:spacing w:after="0" w:line="176" w:lineRule="exact"/>
              <w:rPr>
                <w:sz w:val="20"/>
                <w:szCs w:val="20"/>
                <w:color w:val="auto"/>
              </w:rPr>
            </w:pPr>
            <w:r>
              <w:rPr>
                <w:rFonts w:ascii="Arial" w:cs="Arial" w:eastAsia="Arial" w:hAnsi="Arial"/>
                <w:sz w:val="18"/>
                <w:szCs w:val="18"/>
                <w:color w:val="auto"/>
              </w:rPr>
              <w:t>SBC Excluding 2021 Founders Award</w:t>
            </w: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ind w:right="155"/>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Cancellation</w:t>
            </w:r>
          </w:p>
        </w:tc>
        <w:tc>
          <w:tcPr>
            <w:tcW w:w="3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Significant legal and tax settlements and</w:t>
            </w: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3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Adjusted EBITDA (non-GAAP)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816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margin (non-GAAP)</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7"/>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7"/>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540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486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Add: SBC</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 Founders Award Cancellation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5"/>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740" w:type="dxa"/>
            <w:vAlign w:val="bottom"/>
          </w:tcPr>
          <w:p>
            <w:pPr>
              <w:ind w:left="280"/>
              <w:spacing w:after="0" w:line="176" w:lineRule="exact"/>
              <w:rPr>
                <w:sz w:val="20"/>
                <w:szCs w:val="20"/>
                <w:color w:val="auto"/>
              </w:rPr>
            </w:pPr>
            <w:r>
              <w:rPr>
                <w:rFonts w:ascii="Arial" w:cs="Arial" w:eastAsia="Arial" w:hAnsi="Arial"/>
                <w:sz w:val="18"/>
                <w:szCs w:val="18"/>
                <w:color w:val="auto"/>
              </w:rPr>
              <w:t>SBC Excluding 2021 Founders Award</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Cancellation</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Significant legal and tax settlements and reserves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104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Adjusted Operating Expenses (Non-GAAP)</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353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397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Prior Financial Outlook</w:t>
            </w:r>
            <w:r>
              <w:rPr>
                <w:rFonts w:ascii="Arial" w:cs="Arial" w:eastAsia="Arial" w:hAnsi="Arial"/>
                <w:sz w:val="9"/>
                <w:szCs w:val="9"/>
                <w:b w:val="1"/>
                <w:bCs w:val="1"/>
                <w:color w:val="auto"/>
              </w:rPr>
              <w:t>1</w:t>
            </w:r>
          </w:p>
        </w:tc>
        <w:tc>
          <w:tcPr>
            <w:tcW w:w="2060" w:type="dxa"/>
            <w:vAlign w:val="bottom"/>
          </w:tcPr>
          <w:p>
            <w:pPr>
              <w:jc w:val="center"/>
              <w:ind w:right="24"/>
              <w:spacing w:after="0"/>
              <w:rPr>
                <w:sz w:val="20"/>
                <w:szCs w:val="20"/>
                <w:color w:val="auto"/>
              </w:rPr>
            </w:pPr>
            <w:r>
              <w:rPr>
                <w:rFonts w:ascii="Arial" w:cs="Arial" w:eastAsia="Arial" w:hAnsi="Arial"/>
                <w:sz w:val="14"/>
                <w:szCs w:val="14"/>
                <w:b w:val="1"/>
                <w:bCs w:val="1"/>
                <w:color w:val="auto"/>
              </w:rPr>
              <w:t>Current Financial Outlook</w:t>
            </w:r>
          </w:p>
        </w:tc>
        <w:tc>
          <w:tcPr>
            <w:tcW w:w="18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the Year Ending</w:t>
            </w:r>
          </w:p>
        </w:tc>
        <w:tc>
          <w:tcPr>
            <w:tcW w:w="2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for the Year Ending</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2024</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 (GAAP)</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$1,850 - $1,950</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$1,860 - $1,960</w:t>
            </w:r>
          </w:p>
        </w:tc>
        <w:tc>
          <w:tcPr>
            <w:tcW w:w="1800" w:type="dxa"/>
            <w:vAlign w:val="bottom"/>
            <w:shd w:val="clear" w:color="auto" w:fill="CCEEFF"/>
          </w:tcPr>
          <w:p>
            <w:pPr>
              <w:jc w:val="center"/>
              <w:ind w:right="41"/>
              <w:spacing w:after="0"/>
              <w:rPr>
                <w:sz w:val="20"/>
                <w:szCs w:val="20"/>
                <w:color w:val="auto"/>
              </w:rPr>
            </w:pPr>
            <w:r>
              <w:rPr>
                <w:rFonts w:ascii="Arial" w:cs="Arial" w:eastAsia="Arial" w:hAnsi="Arial"/>
                <w:sz w:val="16"/>
                <w:szCs w:val="16"/>
                <w:b w:val="1"/>
                <w:bCs w:val="1"/>
                <w:i w:val="1"/>
                <w:iCs w:val="1"/>
                <w:color w:val="auto"/>
              </w:rPr>
              <w:t>increased by $10</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Significant legal and tax settlements and reserves</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Pr>
          <w:p>
            <w:pPr>
              <w:jc w:val="center"/>
              <w:spacing w:after="0"/>
              <w:rPr>
                <w:sz w:val="20"/>
                <w:szCs w:val="20"/>
                <w:color w:val="auto"/>
              </w:rPr>
            </w:pPr>
            <w:r>
              <w:rPr>
                <w:rFonts w:ascii="Arial" w:cs="Arial" w:eastAsia="Arial" w:hAnsi="Arial"/>
                <w:sz w:val="16"/>
                <w:szCs w:val="16"/>
                <w:color w:val="auto"/>
              </w:rPr>
              <w:t>$10</w:t>
            </w:r>
          </w:p>
        </w:tc>
        <w:tc>
          <w:tcPr>
            <w:tcW w:w="1800" w:type="dxa"/>
            <w:vAlign w:val="bottom"/>
          </w:tcPr>
          <w:p>
            <w:pPr>
              <w:jc w:val="center"/>
              <w:ind w:right="41"/>
              <w:spacing w:after="0"/>
              <w:rPr>
                <w:sz w:val="20"/>
                <w:szCs w:val="20"/>
                <w:color w:val="auto"/>
              </w:rPr>
            </w:pPr>
            <w:r>
              <w:rPr>
                <w:rFonts w:ascii="Arial" w:cs="Arial" w:eastAsia="Arial" w:hAnsi="Arial"/>
                <w:sz w:val="16"/>
                <w:szCs w:val="16"/>
                <w:i w:val="1"/>
                <w:iCs w:val="1"/>
                <w:color w:val="auto"/>
              </w:rPr>
              <w:t>increased by $10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Adjusted Operating Expenses and SBC (Non-GAAP)</w:t>
            </w:r>
            <w:r>
              <w:rPr>
                <w:rFonts w:ascii="Arial" w:cs="Arial" w:eastAsia="Arial" w:hAnsi="Arial"/>
                <w:sz w:val="23"/>
                <w:szCs w:val="23"/>
                <w:b w:val="1"/>
                <w:bCs w:val="1"/>
                <w:color w:val="auto"/>
                <w:vertAlign w:val="superscript"/>
              </w:rPr>
              <w:t>2</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$1,850 - $1,950</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$1,850 - $1,950</w:t>
            </w:r>
          </w:p>
        </w:tc>
        <w:tc>
          <w:tcPr>
            <w:tcW w:w="1800" w:type="dxa"/>
            <w:vAlign w:val="bottom"/>
            <w:shd w:val="clear" w:color="auto" w:fill="CCEEFF"/>
          </w:tcPr>
          <w:p>
            <w:pPr>
              <w:jc w:val="center"/>
              <w:ind w:right="41"/>
              <w:spacing w:after="0"/>
              <w:rPr>
                <w:sz w:val="20"/>
                <w:szCs w:val="20"/>
                <w:color w:val="auto"/>
              </w:rPr>
            </w:pPr>
            <w:r>
              <w:rPr>
                <w:rFonts w:ascii="Arial" w:cs="Arial" w:eastAsia="Arial" w:hAnsi="Arial"/>
                <w:sz w:val="16"/>
                <w:szCs w:val="16"/>
                <w:b w:val="1"/>
                <w:bCs w:val="1"/>
                <w:i w:val="1"/>
                <w:iCs w:val="1"/>
                <w:color w:val="auto"/>
                <w:w w:val="99"/>
              </w:rPr>
              <w:t>no change</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Outlook provided at Q2 2024 Earnings on August 7th, 2024.</w:t>
      </w:r>
    </w:p>
    <w:p>
      <w:pPr>
        <w:spacing w:after="0" w:line="28" w:lineRule="exact"/>
        <w:rPr>
          <w:rFonts w:ascii="Arial" w:cs="Arial" w:eastAsia="Arial" w:hAnsi="Arial"/>
          <w:sz w:val="14"/>
          <w:szCs w:val="14"/>
          <w:color w:val="auto"/>
        </w:rPr>
      </w:pPr>
    </w:p>
    <w:p>
      <w:pPr>
        <w:jc w:val="both"/>
        <w:ind w:firstLine="8"/>
        <w:spacing w:after="0" w:line="262" w:lineRule="auto"/>
        <w:tabs>
          <w:tab w:leader="none" w:pos="241"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Actual results might differ materially from our outlook, see “Financial Outlook” for more information. The above expense outlook does not include potential significant regulatory matters or other significant expenses (such as impairments, restructuring charges, and business acquisition- or disposition-related expenses) that may arise or accruals we may determine in the future are required, as we are unable to accurately predict the size or timing of such matters, expenses or accruals at this time.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press release contains forward-looking statements regarding the expected financial performance of Robinhood Markets, Inc. and its consolidated subsidiaries (“we,” “Robinhood,” or the “Company”) and our strategic and operational plans, including (among others) statements regarding that index options, futures, and a realized profit and loss tool are coming soon; that we have a ton of momentum, and we’re just getting started; that in July 2024, we began executing on our authorized $1 billion share repurchase program, which we continue to expect to complete over a total of two to three years; that we will launch futures and index options in the coming months with some of the lowest contract fees in the industry; that we received Financial Conduct Authority approval to offer options trading in the UK and plan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launch in 2025; and all statements and information under the headings “Financial Outlook” and “Reconciliation of GAAP to Non-GAAP Financial Outlook.” Forward-looking statements generally relate to future events or our future financial or operating performance. In some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Reported results should not be considered an indication of future performance. Factors that contribute to the uncertain nature of our forward-looking statements include, among others: our limited operating experience at our current scale; the difficulty of managing our business effectively, including the size of our workforce, and the risk of continued declining or negative growth; the fluctuations in our financial results and key metrics from quarter to quarter; our reliance on transaction-based revenue, including payment for order flow (“PFOF”), and the risk of new regulation or bans on PFOF and similar practices; our exposure to fluctuations in interest rates and rapidly changing interest rate environments; the difficulty of raising additional capital (to provide liquidity needs and support business growth and objectives) on reasonable terms, if at all; the</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need to maintain capital levels required by regulators and self-regulatory organizations; the risk that we might mishandle the cash, securities, and cryptocurrencies we hold on behalf of customers, and our exposure to liability for processing, operational, or technical errors in clearing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functions; the impact of negative publicity on our brand and reputation; the risk that changes in business, economic, or political conditions that impact the global financial markets, or a systemic market event, might harm our business; our dependence on key employees and a skilled workforce; the difficulty of complying with an extensive, complex, and changing regulatory environment and the need to adjust our business model in response to new or modified laws and regulations; the possibility of adverse developments in pending litigation and regulatory investigations; the effects of competition; our need to innovate and invest in new products, services, technologies, and geographies in order to attract and retain customers and deepen their engagement with us in order to maintain growth; our reliance on third parties to perform some key functions and the risk that processing, operational or technological failures could impair the availability or stability of our platforms; the risk of cybersecurity incidents, theft, data breaches, and other online attacks; the difficulty of processing customer data in compliance with privacy laws; our need as a regulated financial services company to develop and maintain effective compliance and risk management infrastructures; the risks associated with incorporating artificial intelligence technologies into some of our products and processes; the volatility of cryptocurrency prices and trading volumes; the risk that our platforms and services could be</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exploited to facilitate illegal payments; and the risk that substantial future sales of Class A common stock in the public market, or the perception that they may occur, could cause the price of our stock to fall. Because some of these risks and uncertainties cannot be predicted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June 30, 2024, and in our Quarterly Report on Form 10-Q for the quarter ended September 30, 2024, which we expect to be available on October 31, 2024,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of this press release, October 30, 2024 and are based on information and estimates available to us at this time. Although we believe that the expectations reflected in our forward-looking statements are reasonable, we cannot guarantee future results, performance, or achievements. Except as</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required by law, Robinhood assumes no obligation to update any of the statements in this press release whether as a result of any new information, future events, changed circumstances, or otherwise. You should read this press release with the understanding that our actual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margin, Adjusted Operating Expenses, and Adjusted Operating Expenses and SBC.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Reconciliations of these non-GAAP measures to the most directly comparable financial measures calculated and presented in accordance with GAAP are provided in the financial tables included in this release.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Adjusted EBITDA is defined as net income (loss),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Margin is calculated as Adjusted EBITDA divided by total net revenues. The most directly comparable GAAP measure is net margin (calculated as net income (loss) divided by total net revenues). We believe Adjusted EBITDA Margin provides useful information to investors and others in understanding and evaluating our results of operations, as well as providing a useful measure for period-to-period comparisons of our business performance. Adjusted EBITDA Margin is used by our management internally to make operating decisions, including those related to operating expenses, evaluate performance, and perform strategic planning and annual budgeting.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Operating Expenses is defined as GAAP total operating expenses minus (i) SBC, (ii) significant legal and tax settlements and reserves, and (iii)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We believe Adjusted Operating Expenses provides useful information to investors and others in understanding and evaluating our results of operations, as well as providing a useful measure for period-to-period comparisons of our cost structure. Adjusted Operating Expenses is used by our management internally to make operating decisions, including those related to operating expenses, evaluate performance, and perform strategic planning and annual budgeting.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 and SBC</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Adjusted Operating Expenses and SBC is defined as GAAP total operating expenses minus (i) significant legal and tax settlements and reserves and (ii)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Unlike Adjusted Operating Expenses,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Adjusted Operating Expenses and SBC does not adjust for SBC. We believe Adjusted Operating Expense and SBC provides useful information to investors and others in understanding and evaluating our results of operations, as well as providing a useful measure for period-to-period comparisons of our cost structure. Adjusted Operating Expenses and SBC is used by our management internally to make operating decisions, including those related to operating expenses, evaluate performance, and perform strategic planning and annual budgeting.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Customers</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(which launched in July 2024) are each considered to be a Funded Customer.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Custody (“AUC”)</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AUC as the sum of the fair value of all equities, options, cryptocurrency and cash held by users in their accounts, net of receivables from users, as of a stated date or period end on a trade date basis. Net Deposits and net market gains (losses) drive the change in AUC in any given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Deposits</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Net Deposits as all cash deposits and asset transfers from customers, as well as dividends, interest, and cash and assets earned in connection with Company promotions (such as account transfer and retirement match incentives and free stock bonuses) received by customers, net of reversals, customer cash withdrawals, margin interest, Gold subscription fees, and other assets transferred out of our platforms (assets transferred in or out include debit card transactions, Automated Customer Account Transfer Service transfers, and custodial crypto wallet transfers) for a stated period. Prior to the second quarter of 2024, Net Deposits did not include inflows from cash and assets earned in connection with Company promotions and prior to January 2024, Net Deposits did not include inflows from dividends and interest or outflows from Robinhood Gold subscription fees and margin interest, although we have not restated amounts in prior periods as the impact to those figures was immaterial.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User (“ARPU”)</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ARPU as total revenue for a given period divided by the average number of Funded Customers on the last day of that period and the last day of the immediately preceding period. Figures in this release represent ARPU annualized for each three-month period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 Subscribers</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a Gold Subscriber as a unique person who has at least one account with a Robinhood entity and who, as of the end of the relevant period (a) is subscribed to Robinhood Gold and (b) has made at least one Robinhood Gold subscription fee payment.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Additional Operating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AUC</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Retirement AUC as the total AUC in traditional IRAs and Roth IRAs.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define Cash Sweep as the period-end aggregate balances in our brokerage sweep program (i.e., the period-end total amount of participating users’ uninvested brokerage cash that has been 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Book</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Margin Book as our period-end aggregate outstanding margin loan balances receivable (i.e., the period-end total amount we are owed by customers on loans made for the purchase of securities, supported by a pledge of assets in their margin-enabled brokerage accounts).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Trading Volume</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Notional Trading Volume for any specified asset class as the aggregate dollar value (purchase price or sale price as applicable) of trades executed in that asset class over a specified period of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Contracts Traded</w:t>
      </w:r>
    </w:p>
    <w:p>
      <w:pPr>
        <w:spacing w:after="0" w:line="25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define Options Contracts Traded as the total number of options contracts bought or sold over a specified period of time. Each contract generally entitles the holder to trade 100 shares of the underlying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 ("MAU")</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MAUs as the number of unique persons who, using one or more accounts with a Robinhood entity, meet one of the following criteria at any point during a specified calendar month: a) executes a debit card or credit card transaction, b) transitions between two different screens on a mobile device while logged into their account or c) loads a page in a web browser while logged into their account. A person need not satisfy these conditions on a recurring monthly basis or be a Funded Customer to be included in MAU. MAU figures in this release reflect MAU for the last month of the relevant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Terms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Accounts</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an Investment Account as a funded individual brokerage account, a funded joint investing account, or a funded individual retirement account ("IRA"). As of September 30, 2024, a Funded Customer can have up to four Investment Accounts - individual brokerage account, joint investing account (which launched in July 2024), traditional IRA, and Roth IRA.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Rate and Annualized Growth Rate with respect to Net Deposits</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When used with respect to Net Deposits, “growth rate” and “annualized growth rate” provide information about Net Deposits relative to total AUC. “Growth rate” is calculated as aggregate Net Deposits over a specified 12 month period, divided by AUC for the fiscal quarter that immediately precedes such 12 month period. “Annualized growth rate” is calculated as Net Deposits for a specified quarter multiplied by 4 and divided by AUC for the immediately preceding quarter.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sectPr>
      <w:pgSz w:w="11900" w:h="16838" w:orient="portrait"/>
      <w:cols w:equalWidth="0" w:num="1">
        <w:col w:w="11240"/>
      </w:cols>
      <w:pgMar w:left="320" w:top="89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2024-10-30T15:17:10Z</dcterms:created>
  <dcterms:modified xsi:type="dcterms:W3CDTF">2024-10-30T15:17:10Z</dcterms:modified>
</cp:coreProperties>
</file>