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FORM 8-K</w:t>
      </w:r>
    </w:p>
    <w:p>
      <w:pPr>
        <w:spacing w:after="0" w:line="27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May 4, 2024</w:t>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Robinhood Markets,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040" w:type="dxa"/>
            <w:vAlign w:val="bottom"/>
            <w:tcBorders>
              <w:bottom w:val="single" w:sz="8" w:color="auto"/>
            </w:tcBorders>
          </w:tcPr>
          <w:p>
            <w:pPr>
              <w:jc w:val="center"/>
              <w:ind w:left="376"/>
              <w:spacing w:after="0"/>
              <w:rPr>
                <w:sz w:val="20"/>
                <w:szCs w:val="20"/>
                <w:color w:val="auto"/>
              </w:rPr>
            </w:pPr>
            <w:r>
              <w:rPr>
                <w:rFonts w:ascii="Arial" w:cs="Arial" w:eastAsia="Arial" w:hAnsi="Arial"/>
                <w:sz w:val="18"/>
                <w:szCs w:val="18"/>
                <w:b w:val="1"/>
                <w:bCs w:val="1"/>
                <w:color w:val="auto"/>
                <w:w w:val="98"/>
              </w:rPr>
              <w:t>Delaware</w:t>
            </w:r>
          </w:p>
        </w:tc>
        <w:tc>
          <w:tcPr>
            <w:tcW w:w="460" w:type="dxa"/>
            <w:vAlign w:val="bottom"/>
            <w:tcBorders>
              <w:bottom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001-40691</w:t>
            </w:r>
          </w:p>
        </w:tc>
        <w:tc>
          <w:tcPr>
            <w:tcW w:w="42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880" w:type="dxa"/>
            <w:vAlign w:val="bottom"/>
            <w:tcBorders>
              <w:bottom w:val="single" w:sz="8" w:color="auto"/>
            </w:tcBorders>
          </w:tcPr>
          <w:p>
            <w:pPr>
              <w:jc w:val="center"/>
              <w:ind w:right="516"/>
              <w:spacing w:after="0"/>
              <w:rPr>
                <w:sz w:val="20"/>
                <w:szCs w:val="20"/>
                <w:color w:val="auto"/>
              </w:rPr>
            </w:pPr>
            <w:r>
              <w:rPr>
                <w:rFonts w:ascii="Arial" w:cs="Arial" w:eastAsia="Arial" w:hAnsi="Arial"/>
                <w:sz w:val="18"/>
                <w:szCs w:val="18"/>
                <w:b w:val="1"/>
                <w:bCs w:val="1"/>
                <w:color w:val="auto"/>
                <w:w w:val="99"/>
              </w:rPr>
              <w:t>46-4364776</w:t>
            </w:r>
          </w:p>
        </w:tc>
      </w:tr>
      <w:tr>
        <w:trPr>
          <w:trHeight w:val="526"/>
        </w:trPr>
        <w:tc>
          <w:tcPr>
            <w:tcW w:w="3040" w:type="dxa"/>
            <w:vAlign w:val="bottom"/>
          </w:tcPr>
          <w:p>
            <w:pPr>
              <w:jc w:val="center"/>
              <w:ind w:left="376"/>
              <w:spacing w:after="0"/>
              <w:rPr>
                <w:sz w:val="20"/>
                <w:szCs w:val="20"/>
                <w:color w:val="auto"/>
              </w:rPr>
            </w:pPr>
            <w:r>
              <w:rPr>
                <w:rFonts w:ascii="Arial" w:cs="Arial" w:eastAsia="Arial" w:hAnsi="Arial"/>
                <w:sz w:val="16"/>
                <w:szCs w:val="16"/>
                <w:color w:val="auto"/>
              </w:rPr>
              <w:t>(State or other jurisdiction</w:t>
            </w: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40" w:type="dxa"/>
            <w:vAlign w:val="bottom"/>
            <w:gridSpan w:val="3"/>
          </w:tcPr>
          <w:p>
            <w:pPr>
              <w:jc w:val="center"/>
              <w:ind w:right="1060"/>
              <w:spacing w:after="0"/>
              <w:rPr>
                <w:sz w:val="20"/>
                <w:szCs w:val="20"/>
                <w:color w:val="auto"/>
              </w:rPr>
            </w:pPr>
            <w:r>
              <w:rPr>
                <w:rFonts w:ascii="Arial" w:cs="Arial" w:eastAsia="Arial" w:hAnsi="Arial"/>
                <w:sz w:val="16"/>
                <w:szCs w:val="16"/>
                <w:color w:val="auto"/>
              </w:rPr>
              <w:t>(Commission</w:t>
            </w:r>
          </w:p>
        </w:tc>
        <w:tc>
          <w:tcPr>
            <w:tcW w:w="2880" w:type="dxa"/>
            <w:vAlign w:val="bottom"/>
          </w:tcPr>
          <w:p>
            <w:pPr>
              <w:jc w:val="center"/>
              <w:ind w:right="536"/>
              <w:spacing w:after="0"/>
              <w:rPr>
                <w:sz w:val="20"/>
                <w:szCs w:val="20"/>
                <w:color w:val="auto"/>
              </w:rPr>
            </w:pPr>
            <w:r>
              <w:rPr>
                <w:rFonts w:ascii="Arial" w:cs="Arial" w:eastAsia="Arial" w:hAnsi="Arial"/>
                <w:sz w:val="16"/>
                <w:szCs w:val="16"/>
                <w:color w:val="auto"/>
              </w:rPr>
              <w:t>(IRS Employer</w:t>
            </w:r>
          </w:p>
        </w:tc>
      </w:tr>
      <w:tr>
        <w:trPr>
          <w:trHeight w:val="215"/>
        </w:trPr>
        <w:tc>
          <w:tcPr>
            <w:tcW w:w="3040" w:type="dxa"/>
            <w:vAlign w:val="bottom"/>
          </w:tcPr>
          <w:p>
            <w:pPr>
              <w:jc w:val="center"/>
              <w:ind w:left="376"/>
              <w:spacing w:after="0"/>
              <w:rPr>
                <w:sz w:val="20"/>
                <w:szCs w:val="20"/>
                <w:color w:val="auto"/>
              </w:rPr>
            </w:pPr>
            <w:r>
              <w:rPr>
                <w:rFonts w:ascii="Arial" w:cs="Arial" w:eastAsia="Arial" w:hAnsi="Arial"/>
                <w:sz w:val="16"/>
                <w:szCs w:val="16"/>
                <w:color w:val="auto"/>
              </w:rPr>
              <w:t>of incorporation)</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40" w:type="dxa"/>
            <w:vAlign w:val="bottom"/>
            <w:gridSpan w:val="3"/>
          </w:tcPr>
          <w:p>
            <w:pPr>
              <w:jc w:val="center"/>
              <w:ind w:right="1060"/>
              <w:spacing w:after="0"/>
              <w:rPr>
                <w:sz w:val="20"/>
                <w:szCs w:val="20"/>
                <w:color w:val="auto"/>
              </w:rPr>
            </w:pPr>
            <w:r>
              <w:rPr>
                <w:rFonts w:ascii="Arial" w:cs="Arial" w:eastAsia="Arial" w:hAnsi="Arial"/>
                <w:sz w:val="16"/>
                <w:szCs w:val="16"/>
                <w:color w:val="auto"/>
              </w:rPr>
              <w:t>File Number)</w:t>
            </w:r>
          </w:p>
        </w:tc>
        <w:tc>
          <w:tcPr>
            <w:tcW w:w="2880" w:type="dxa"/>
            <w:vAlign w:val="bottom"/>
          </w:tcPr>
          <w:p>
            <w:pPr>
              <w:jc w:val="center"/>
              <w:ind w:right="536"/>
              <w:spacing w:after="0"/>
              <w:rPr>
                <w:sz w:val="20"/>
                <w:szCs w:val="20"/>
                <w:color w:val="auto"/>
              </w:rPr>
            </w:pPr>
            <w:r>
              <w:rPr>
                <w:rFonts w:ascii="Arial" w:cs="Arial" w:eastAsia="Arial" w:hAnsi="Arial"/>
                <w:sz w:val="16"/>
                <w:szCs w:val="16"/>
                <w:color w:val="auto"/>
              </w:rPr>
              <w:t>Identification No.)</w:t>
            </w:r>
          </w:p>
        </w:tc>
      </w:tr>
      <w:tr>
        <w:trPr>
          <w:trHeight w:val="712"/>
        </w:trPr>
        <w:tc>
          <w:tcPr>
            <w:tcW w:w="3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4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99"/>
              </w:rPr>
              <w:t>85 Willow Road</w:t>
            </w:r>
          </w:p>
        </w:tc>
        <w:tc>
          <w:tcPr>
            <w:tcW w:w="2880" w:type="dxa"/>
            <w:vAlign w:val="bottom"/>
          </w:tcPr>
          <w:p>
            <w:pPr>
              <w:spacing w:after="0"/>
              <w:rPr>
                <w:sz w:val="24"/>
                <w:szCs w:val="24"/>
                <w:color w:val="auto"/>
              </w:rPr>
            </w:pPr>
          </w:p>
        </w:tc>
      </w:tr>
      <w:tr>
        <w:trPr>
          <w:trHeight w:val="221"/>
        </w:trPr>
        <w:tc>
          <w:tcPr>
            <w:tcW w:w="3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4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rPr>
              <w:t>Menlo Park, CA 94025</w:t>
            </w:r>
          </w:p>
        </w:tc>
        <w:tc>
          <w:tcPr>
            <w:tcW w:w="2880" w:type="dxa"/>
            <w:vAlign w:val="bottom"/>
          </w:tcPr>
          <w:p>
            <w:pPr>
              <w:spacing w:after="0"/>
              <w:rPr>
                <w:sz w:val="19"/>
                <w:szCs w:val="19"/>
                <w:color w:val="auto"/>
              </w:rPr>
            </w:pPr>
          </w:p>
        </w:tc>
      </w:tr>
      <w:tr>
        <w:trPr>
          <w:trHeight w:val="215"/>
        </w:trPr>
        <w:tc>
          <w:tcPr>
            <w:tcW w:w="3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60" w:type="dxa"/>
            <w:vAlign w:val="bottom"/>
            <w:gridSpan w:val="4"/>
          </w:tcPr>
          <w:p>
            <w:pPr>
              <w:jc w:val="center"/>
              <w:ind w:right="600"/>
              <w:spacing w:after="0"/>
              <w:rPr>
                <w:sz w:val="20"/>
                <w:szCs w:val="20"/>
                <w:color w:val="auto"/>
              </w:rPr>
            </w:pPr>
            <w:r>
              <w:rPr>
                <w:rFonts w:ascii="Arial" w:cs="Arial" w:eastAsia="Arial" w:hAnsi="Arial"/>
                <w:sz w:val="16"/>
                <w:szCs w:val="16"/>
                <w:color w:val="auto"/>
              </w:rPr>
              <w:t>(Address of principal executive offices) (Zip Code)</w:t>
            </w:r>
          </w:p>
        </w:tc>
        <w:tc>
          <w:tcPr>
            <w:tcW w:w="2880" w:type="dxa"/>
            <w:vAlign w:val="bottom"/>
          </w:tcPr>
          <w:p>
            <w:pPr>
              <w:spacing w:after="0"/>
              <w:rPr>
                <w:sz w:val="18"/>
                <w:szCs w:val="18"/>
                <w:color w:val="auto"/>
              </w:rPr>
            </w:pPr>
          </w:p>
        </w:tc>
      </w:tr>
      <w:tr>
        <w:trPr>
          <w:trHeight w:val="433"/>
        </w:trPr>
        <w:tc>
          <w:tcPr>
            <w:tcW w:w="3040" w:type="dxa"/>
            <w:vAlign w:val="bottom"/>
          </w:tcPr>
          <w:p>
            <w:pPr>
              <w:spacing w:after="0"/>
              <w:rPr>
                <w:sz w:val="24"/>
                <w:szCs w:val="24"/>
                <w:color w:val="auto"/>
              </w:rPr>
            </w:pPr>
          </w:p>
        </w:tc>
        <w:tc>
          <w:tcPr>
            <w:tcW w:w="4280" w:type="dxa"/>
            <w:vAlign w:val="bottom"/>
            <w:gridSpan w:val="3"/>
          </w:tcPr>
          <w:p>
            <w:pPr>
              <w:jc w:val="center"/>
              <w:ind w:left="815"/>
              <w:spacing w:after="0"/>
              <w:rPr>
                <w:sz w:val="20"/>
                <w:szCs w:val="20"/>
                <w:color w:val="auto"/>
              </w:rPr>
            </w:pPr>
            <w:r>
              <w:rPr>
                <w:rFonts w:ascii="Arial" w:cs="Arial" w:eastAsia="Arial" w:hAnsi="Arial"/>
                <w:sz w:val="18"/>
                <w:szCs w:val="18"/>
                <w:b w:val="1"/>
                <w:bCs w:val="1"/>
                <w:color w:val="auto"/>
                <w:w w:val="99"/>
              </w:rPr>
              <w:t>(844) 428-5411</w:t>
            </w: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15"/>
        </w:trPr>
        <w:tc>
          <w:tcPr>
            <w:tcW w:w="3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60" w:type="dxa"/>
            <w:vAlign w:val="bottom"/>
            <w:gridSpan w:val="4"/>
          </w:tcPr>
          <w:p>
            <w:pPr>
              <w:jc w:val="center"/>
              <w:ind w:right="620"/>
              <w:spacing w:after="0"/>
              <w:rPr>
                <w:sz w:val="20"/>
                <w:szCs w:val="20"/>
                <w:color w:val="auto"/>
              </w:rPr>
            </w:pPr>
            <w:r>
              <w:rPr>
                <w:rFonts w:ascii="Arial" w:cs="Arial" w:eastAsia="Arial" w:hAnsi="Arial"/>
                <w:sz w:val="16"/>
                <w:szCs w:val="16"/>
                <w:color w:val="auto"/>
              </w:rPr>
              <w:t>(Registrant’s telephone number, including area code)</w:t>
            </w:r>
          </w:p>
        </w:tc>
        <w:tc>
          <w:tcPr>
            <w:tcW w:w="2880" w:type="dxa"/>
            <w:vAlign w:val="bottom"/>
          </w:tcPr>
          <w:p>
            <w:pPr>
              <w:spacing w:after="0"/>
              <w:rPr>
                <w:sz w:val="18"/>
                <w:szCs w:val="18"/>
                <w:color w:val="auto"/>
              </w:rPr>
            </w:pPr>
          </w:p>
        </w:tc>
      </w:tr>
      <w:tr>
        <w:trPr>
          <w:trHeight w:val="433"/>
        </w:trPr>
        <w:tc>
          <w:tcPr>
            <w:tcW w:w="3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4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99"/>
              </w:rPr>
              <w:t>not applicable</w:t>
            </w:r>
          </w:p>
        </w:tc>
        <w:tc>
          <w:tcPr>
            <w:tcW w:w="2880" w:type="dxa"/>
            <w:vAlign w:val="bottom"/>
          </w:tcPr>
          <w:p>
            <w:pPr>
              <w:spacing w:after="0"/>
              <w:rPr>
                <w:sz w:val="24"/>
                <w:szCs w:val="24"/>
                <w:color w:val="auto"/>
              </w:rPr>
            </w:pPr>
          </w:p>
        </w:tc>
      </w:tr>
      <w:tr>
        <w:trPr>
          <w:trHeight w:val="215"/>
        </w:trPr>
        <w:tc>
          <w:tcPr>
            <w:tcW w:w="3040" w:type="dxa"/>
            <w:vAlign w:val="bottom"/>
          </w:tcPr>
          <w:p>
            <w:pPr>
              <w:spacing w:after="0"/>
              <w:rPr>
                <w:sz w:val="18"/>
                <w:szCs w:val="18"/>
                <w:color w:val="auto"/>
              </w:rPr>
            </w:pPr>
          </w:p>
        </w:tc>
        <w:tc>
          <w:tcPr>
            <w:tcW w:w="5320" w:type="dxa"/>
            <w:vAlign w:val="bottom"/>
            <w:gridSpan w:val="5"/>
          </w:tcPr>
          <w:p>
            <w:pPr>
              <w:jc w:val="center"/>
              <w:ind w:right="160"/>
              <w:spacing w:after="0"/>
              <w:rPr>
                <w:sz w:val="20"/>
                <w:szCs w:val="20"/>
                <w:color w:val="auto"/>
              </w:rPr>
            </w:pPr>
            <w:r>
              <w:rPr>
                <w:rFonts w:ascii="Arial" w:cs="Arial" w:eastAsia="Arial" w:hAnsi="Arial"/>
                <w:sz w:val="16"/>
                <w:szCs w:val="16"/>
                <w:color w:val="auto"/>
              </w:rPr>
              <w:t>(Former name or former address, if changed since last report)</w:t>
            </w:r>
          </w:p>
        </w:tc>
        <w:tc>
          <w:tcPr>
            <w:tcW w:w="2880" w:type="dxa"/>
            <w:vAlign w:val="bottom"/>
          </w:tcPr>
          <w:p>
            <w:pPr>
              <w:spacing w:after="0"/>
              <w:rPr>
                <w:sz w:val="18"/>
                <w:szCs w:val="18"/>
                <w:color w:val="auto"/>
              </w:rPr>
            </w:pPr>
          </w:p>
        </w:tc>
      </w:tr>
    </w:tbl>
    <w:p>
      <w:pPr>
        <w:spacing w:after="0" w:line="348" w:lineRule="exact"/>
        <w:rPr>
          <w:sz w:val="24"/>
          <w:szCs w:val="24"/>
          <w:color w:val="auto"/>
        </w:rPr>
      </w:pPr>
    </w:p>
    <w:p>
      <w:pPr>
        <w:ind w:right="140"/>
        <w:spacing w:after="0" w:line="31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5" w:lineRule="exact"/>
        <w:rPr>
          <w:sz w:val="24"/>
          <w:szCs w:val="24"/>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351"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73"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560" w:type="dxa"/>
            <w:vAlign w:val="bottom"/>
          </w:tcPr>
          <w:p>
            <w:pPr>
              <w:jc w:val="center"/>
              <w:spacing w:after="0"/>
              <w:rPr>
                <w:sz w:val="20"/>
                <w:szCs w:val="20"/>
                <w:color w:val="auto"/>
              </w:rPr>
            </w:pPr>
            <w:r>
              <w:rPr>
                <w:rFonts w:ascii="Arial" w:cs="Arial" w:eastAsia="Arial" w:hAnsi="Arial"/>
                <w:sz w:val="14"/>
                <w:szCs w:val="14"/>
                <w:color w:val="auto"/>
              </w:rPr>
              <w:t>Title of each class</w:t>
            </w:r>
          </w:p>
        </w:tc>
        <w:tc>
          <w:tcPr>
            <w:tcW w:w="2300" w:type="dxa"/>
            <w:vAlign w:val="bottom"/>
          </w:tcPr>
          <w:p>
            <w:pPr>
              <w:jc w:val="center"/>
              <w:ind w:right="108"/>
              <w:spacing w:after="0"/>
              <w:rPr>
                <w:sz w:val="20"/>
                <w:szCs w:val="20"/>
                <w:color w:val="auto"/>
              </w:rPr>
            </w:pPr>
            <w:r>
              <w:rPr>
                <w:rFonts w:ascii="Arial" w:cs="Arial" w:eastAsia="Arial" w:hAnsi="Arial"/>
                <w:sz w:val="14"/>
                <w:szCs w:val="14"/>
                <w:color w:val="auto"/>
              </w:rPr>
              <w:t>Trading Symbol(s)</w:t>
            </w:r>
          </w:p>
        </w:tc>
        <w:tc>
          <w:tcPr>
            <w:tcW w:w="4380" w:type="dxa"/>
            <w:vAlign w:val="bottom"/>
          </w:tcPr>
          <w:p>
            <w:pPr>
              <w:jc w:val="center"/>
              <w:ind w:right="148"/>
              <w:spacing w:after="0"/>
              <w:rPr>
                <w:sz w:val="20"/>
                <w:szCs w:val="20"/>
                <w:color w:val="auto"/>
              </w:rPr>
            </w:pPr>
            <w:r>
              <w:rPr>
                <w:rFonts w:ascii="Arial" w:cs="Arial" w:eastAsia="Arial" w:hAnsi="Arial"/>
                <w:sz w:val="14"/>
                <w:szCs w:val="14"/>
                <w:color w:val="auto"/>
              </w:rPr>
              <w:t>Name of each exchange on which registered</w:t>
            </w:r>
          </w:p>
        </w:tc>
      </w:tr>
      <w:tr>
        <w:trPr>
          <w:trHeight w:val="21"/>
        </w:trPr>
        <w:tc>
          <w:tcPr>
            <w:tcW w:w="456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4380" w:type="dxa"/>
            <w:vAlign w:val="bottom"/>
            <w:tcBorders>
              <w:bottom w:val="single" w:sz="8" w:color="auto"/>
            </w:tcBorders>
          </w:tcPr>
          <w:p>
            <w:pPr>
              <w:spacing w:after="0" w:line="20" w:lineRule="exact"/>
              <w:rPr>
                <w:sz w:val="1"/>
                <w:szCs w:val="1"/>
                <w:color w:val="auto"/>
              </w:rPr>
            </w:pPr>
          </w:p>
        </w:tc>
      </w:tr>
      <w:tr>
        <w:trPr>
          <w:trHeight w:val="208"/>
        </w:trPr>
        <w:tc>
          <w:tcPr>
            <w:tcW w:w="4560" w:type="dxa"/>
            <w:vAlign w:val="bottom"/>
          </w:tcPr>
          <w:p>
            <w:pPr>
              <w:jc w:val="center"/>
              <w:spacing w:after="0"/>
              <w:rPr>
                <w:sz w:val="20"/>
                <w:szCs w:val="20"/>
                <w:color w:val="auto"/>
              </w:rPr>
            </w:pPr>
            <w:r>
              <w:rPr>
                <w:rFonts w:ascii="Arial" w:cs="Arial" w:eastAsia="Arial" w:hAnsi="Arial"/>
                <w:sz w:val="14"/>
                <w:szCs w:val="14"/>
                <w:b w:val="1"/>
                <w:bCs w:val="1"/>
                <w:color w:val="auto"/>
              </w:rPr>
              <w:t>Class A Common Stock, $0.0001 par value per share</w:t>
            </w:r>
          </w:p>
        </w:tc>
        <w:tc>
          <w:tcPr>
            <w:tcW w:w="2300" w:type="dxa"/>
            <w:vAlign w:val="bottom"/>
          </w:tcPr>
          <w:p>
            <w:pPr>
              <w:jc w:val="center"/>
              <w:ind w:right="108"/>
              <w:spacing w:after="0"/>
              <w:rPr>
                <w:sz w:val="20"/>
                <w:szCs w:val="20"/>
                <w:color w:val="auto"/>
              </w:rPr>
            </w:pPr>
            <w:r>
              <w:rPr>
                <w:rFonts w:ascii="Arial" w:cs="Arial" w:eastAsia="Arial" w:hAnsi="Arial"/>
                <w:sz w:val="14"/>
                <w:szCs w:val="14"/>
                <w:b w:val="1"/>
                <w:bCs w:val="1"/>
                <w:color w:val="auto"/>
              </w:rPr>
              <w:t>HOOD</w:t>
            </w:r>
          </w:p>
        </w:tc>
        <w:tc>
          <w:tcPr>
            <w:tcW w:w="4380" w:type="dxa"/>
            <w:vAlign w:val="bottom"/>
          </w:tcPr>
          <w:p>
            <w:pPr>
              <w:jc w:val="center"/>
              <w:ind w:right="148"/>
              <w:spacing w:after="0"/>
              <w:rPr>
                <w:sz w:val="20"/>
                <w:szCs w:val="20"/>
                <w:color w:val="auto"/>
              </w:rPr>
            </w:pPr>
            <w:r>
              <w:rPr>
                <w:rFonts w:ascii="Arial" w:cs="Arial" w:eastAsia="Arial" w:hAnsi="Arial"/>
                <w:sz w:val="14"/>
                <w:szCs w:val="14"/>
                <w:b w:val="1"/>
                <w:bCs w:val="1"/>
                <w:color w:val="auto"/>
              </w:rPr>
              <w:t>The Nasdaq Stock Market LLC</w:t>
            </w:r>
          </w:p>
        </w:tc>
      </w:tr>
    </w:tbl>
    <w:p>
      <w:pPr>
        <w:spacing w:after="0" w:line="200" w:lineRule="exact"/>
        <w:rPr>
          <w:sz w:val="24"/>
          <w:szCs w:val="24"/>
          <w:color w:val="auto"/>
        </w:rPr>
      </w:pPr>
    </w:p>
    <w:p>
      <w:pPr>
        <w:spacing w:after="0" w:line="206" w:lineRule="exact"/>
        <w:rPr>
          <w:sz w:val="24"/>
          <w:szCs w:val="24"/>
          <w:color w:val="auto"/>
        </w:rPr>
      </w:pPr>
    </w:p>
    <w:p>
      <w:pPr>
        <w:ind w:left="20" w:right="1020"/>
        <w:spacing w:after="0" w:line="28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10420" w:type="dxa"/>
            <w:vAlign w:val="bottom"/>
          </w:tcPr>
          <w:p>
            <w:pPr>
              <w:ind w:left="8300"/>
              <w:spacing w:after="0"/>
              <w:rPr>
                <w:sz w:val="20"/>
                <w:szCs w:val="20"/>
                <w:color w:val="auto"/>
              </w:rPr>
            </w:pPr>
            <w:r>
              <w:rPr>
                <w:rFonts w:ascii="Arial" w:cs="Arial" w:eastAsia="Arial" w:hAnsi="Arial"/>
                <w:sz w:val="16"/>
                <w:szCs w:val="16"/>
                <w:color w:val="auto"/>
              </w:rPr>
              <w:t>Emerging growth company</w:t>
            </w:r>
          </w:p>
        </w:tc>
        <w:tc>
          <w:tcPr>
            <w:tcW w:w="82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r>
      <w:tr>
        <w:trPr>
          <w:trHeight w:val="438"/>
        </w:trPr>
        <w:tc>
          <w:tcPr>
            <w:tcW w:w="10420" w:type="dxa"/>
            <w:vAlign w:val="bottom"/>
          </w:tcPr>
          <w:p>
            <w:pPr>
              <w:ind w:left="2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w:t>
            </w:r>
          </w:p>
        </w:tc>
        <w:tc>
          <w:tcPr>
            <w:tcW w:w="82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r>
      <w:tr>
        <w:trPr>
          <w:trHeight w:val="215"/>
        </w:trPr>
        <w:tc>
          <w:tcPr>
            <w:tcW w:w="10420" w:type="dxa"/>
            <w:vAlign w:val="bottom"/>
          </w:tcPr>
          <w:p>
            <w:pPr>
              <w:ind w:left="20"/>
              <w:spacing w:after="0"/>
              <w:rPr>
                <w:sz w:val="20"/>
                <w:szCs w:val="20"/>
                <w:color w:val="auto"/>
              </w:rPr>
            </w:pPr>
            <w:r>
              <w:rPr>
                <w:rFonts w:ascii="Arial" w:cs="Arial" w:eastAsia="Arial" w:hAnsi="Arial"/>
                <w:sz w:val="16"/>
                <w:szCs w:val="16"/>
                <w:color w:val="auto"/>
              </w:rPr>
              <w:t>with any new or revised financial accounting standards provided pursuant to Section 13(a) of the Exchange Act.</w:t>
            </w:r>
          </w:p>
        </w:tc>
        <w:tc>
          <w:tcPr>
            <w:tcW w:w="820" w:type="dxa"/>
            <w:vAlign w:val="bottom"/>
          </w:tcPr>
          <w:p>
            <w:pPr>
              <w:spacing w:after="0"/>
              <w:rPr>
                <w:sz w:val="18"/>
                <w:szCs w:val="18"/>
                <w:color w:val="auto"/>
              </w:rPr>
            </w:pPr>
          </w:p>
        </w:tc>
      </w:tr>
      <w:tr>
        <w:trPr>
          <w:trHeight w:val="1116"/>
        </w:trPr>
        <w:tc>
          <w:tcPr>
            <w:tcW w:w="104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3" w:right="339" w:bottom="582"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7"/>
          <w:szCs w:val="17"/>
          <w:b w:val="1"/>
          <w:bCs w:val="1"/>
          <w:color w:val="auto"/>
        </w:rPr>
        <w:t>Other Events.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previously disclosed, Robinhood Crypto, LLC (“RHC”) has received investigative subpoenas from the Securities and Exchange Commission (“SEC”) regarding, among other topics, RHC’s cryptocurrency listings, custody of cryptocurrencies, and platform operations (the “RHC Activities”). RHC has cooperated with this investigation. On May 4, 2024, RHC received a “Wells Notice” from the Staff of the SEC (the “Staff”) stating that the Staff has advised RHC that it made a “preliminary determination” to recommend that the SEC file an enforcement action against RHC alleging violations of Sections 15(a) and 17A of the Securities Exchange Act of 1934, as amended. The potential action may involve a civil injunctive action, public administrative proceeding, and/or a cease-and-desist proceeding and may seek remedies that include an injunction, a cease-and-desist order, disgorgement, pre-judgment interest, civil money penalties, and censure, revocation, and limitations on activities.</w:t>
      </w:r>
    </w:p>
    <w:p>
      <w:pPr>
        <w:spacing w:after="0" w:line="21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Robinhood Markets, Inc. (“Robinhood”) uses the “Overview” tab of its Investor Relations website (accessible at investors.robinhood.com/overview) and its Newsroom (accessible at newsroom.aboutrobinhood.com), as means of disclosing information to the public in a broad, non-exclusionary manner for purposes of the SEC’s Regulation Fair Disclosure (Reg. FD). Investors should routinely monitor those web pages, in addition to Robinhood’s press releases, SEC filings, and public conference calls and webcasts, as information posted on them could be deemed to be material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This Current Report contains forward-looking statements, including with respect to potential action the SEC may take related to the RHC Activities. Our forward-looking statements are subject to a number of known and unknown risks, uncertainties, assumptions, and other factors that may cause our actual future results, performance, or achievements to differ materially from any future results expressed or implied in this Current Report. Factors that contribute to the uncertain nature of our forward-looking statements include, among others, the possibility of developments in our conversations with the SEC about the RHC Activities. Because some of these risks and uncertainties cannot be predicted or quantified and some are beyond our control, you should not rely on our forward-looking statements as predictions of future events. More information about potential risks and uncertainties that could affect our business and financial results is included in Part I, Item 1A of our Annual Report on Form 10-K for year ended December 31, 2023, as well as our other filings with the SEC, which are available on the SEC’s web site at www.sec.gov. Except as otherwise noted, all forward-looking statements are made as of the filing date of this Current Report and are based on information and estimates available to us at this time. Except as required by law, we assume no obligation to update any of the statements in this Current Report whether as a result of any new information, future events, changed circumstances, or otherwise. You should read this Current Report with the understanding that our actual future results, performance, events, and circumstances might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40"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Robinhood Markets, Inc.</w:t>
      </w:r>
    </w:p>
    <w:p>
      <w:pPr>
        <w:spacing w:after="0" w:line="333" w:lineRule="exact"/>
        <w:rPr>
          <w:sz w:val="20"/>
          <w:szCs w:val="20"/>
          <w:color w:val="auto"/>
        </w:rPr>
      </w:pPr>
    </w:p>
    <w:p>
      <w:pPr>
        <w:ind w:left="20"/>
        <w:spacing w:after="0"/>
        <w:tabs>
          <w:tab w:leader="none" w:pos="1000" w:val="left"/>
          <w:tab w:leader="none" w:pos="4240" w:val="left"/>
          <w:tab w:leader="none" w:pos="51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6,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Jason Warnick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34925</wp:posOffset>
            </wp:positionV>
            <wp:extent cx="38487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5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 Jason Warnick</w:t>
      </w:r>
    </w:p>
    <w:p>
      <w:pPr>
        <w:spacing w:after="0" w:line="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Title: Chief Financial Officer</w:t>
      </w:r>
    </w:p>
    <w:sectPr>
      <w:pgSz w:w="11900" w:h="16838" w:orient="portrait"/>
      <w:cols w:equalWidth="0" w:num="1">
        <w:col w:w="11240"/>
      </w:cols>
      <w:pgMar w:left="320" w:top="11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2024-05-06T07:38:16Z</dcterms:created>
  <dcterms:modified xsi:type="dcterms:W3CDTF">2024-05-06T07:38:16Z</dcterms:modified>
</cp:coreProperties>
</file>