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Robinhood Markets,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770700102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p>
    <w:p>
      <w:pPr>
        <w:spacing w:after="0" w:line="144" w:lineRule="exact"/>
        <w:rPr>
          <w:sz w:val="20"/>
          <w:szCs w:val="20"/>
          <w:color w:val="auto"/>
        </w:rPr>
      </w:pPr>
    </w:p>
    <w:p>
      <w:pPr>
        <w:ind w:left="644" w:right="8240" w:hanging="397"/>
        <w:spacing w:after="0" w:line="406" w:lineRule="auto"/>
        <w:tabs>
          <w:tab w:leader="none" w:pos="647"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Vladimir Tenev</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United States of America and Republic of Bulgaria</w:t>
      </w:r>
    </w:p>
    <w:p>
      <w:pPr>
        <w:spacing w:after="0" w:line="36" w:lineRule="exact"/>
        <w:rPr>
          <w:sz w:val="20"/>
          <w:szCs w:val="20"/>
          <w:color w:val="auto"/>
        </w:rPr>
      </w:pPr>
    </w:p>
    <w:p>
      <w:pPr>
        <w:ind w:left="1644" w:hanging="416"/>
        <w:spacing w:after="0"/>
        <w:tabs>
          <w:tab w:leader="none" w:pos="1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53,535,604 shares (1)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2,337 shares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52,970,525 shares (3)</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2,337 shares (2)</w:t>
      </w:r>
    </w:p>
    <w:p>
      <w:pPr>
        <w:spacing w:after="0" w:line="36" w:lineRule="exact"/>
        <w:rPr>
          <w:sz w:val="20"/>
          <w:szCs w:val="20"/>
          <w:color w:val="auto"/>
        </w:rPr>
      </w:pPr>
    </w:p>
    <w:p>
      <w:pPr>
        <w:ind w:left="664" w:right="5560" w:hanging="417"/>
        <w:spacing w:after="0" w:line="406"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53,537,941 shares (4)</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6.6% (5)</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2022, consists of (i) 1,327,936 shares of Class A common stock, par value $0.0001 per share (“Class A common stock”), of Robinhood Markets, Inc. (the “Company”) held in street name by Mr. Tenev, (ii) 57,633 shares of Class A common stock issuable to Mr. Tenev within 60 days after December 31, 2022 upon vesting and settlement of restricted stock units granted to him by the Company (“RSUs”) (which vested and settled on February 1, 2023), (iii) 51,584,956 shares of Class B common stock, par value $0.0001 per share (“Class B common stock”), held of record by Mr. Tenev, and (iv) 565,079 shares of Class B common stock held of record by the Bhatt Family LLC, by which Mr. Tenev has been granted an irrevocable proxy.</w:t>
      </w:r>
    </w:p>
    <w:p>
      <w:pPr>
        <w:spacing w:after="0" w:line="84" w:lineRule="exact"/>
        <w:rPr>
          <w:rFonts w:ascii="Arial" w:cs="Arial" w:eastAsia="Arial" w:hAnsi="Arial"/>
          <w:sz w:val="18"/>
          <w:szCs w:val="18"/>
          <w:color w:val="auto"/>
        </w:rPr>
      </w:pPr>
    </w:p>
    <w:p>
      <w:pPr>
        <w:jc w:val="both"/>
        <w:ind w:left="444" w:right="60"/>
        <w:spacing w:after="0" w:line="263" w:lineRule="auto"/>
        <w:rPr>
          <w:rFonts w:ascii="Arial" w:cs="Arial" w:eastAsia="Arial" w:hAnsi="Arial"/>
          <w:sz w:val="18"/>
          <w:szCs w:val="18"/>
          <w:color w:val="auto"/>
        </w:rPr>
      </w:pPr>
      <w:r>
        <w:rPr>
          <w:rFonts w:ascii="Arial" w:cs="Arial" w:eastAsia="Arial" w:hAnsi="Arial"/>
          <w:sz w:val="18"/>
          <w:szCs w:val="18"/>
          <w:color w:val="auto"/>
        </w:rPr>
        <w:t>Mr. Tenev has voting power over the shares described in the foregoing clause (iv) pursuant to an irrevocable proxy granted by the recordholder of such shares (which recordholder is an entity related to Baiju Bhatt, a founder of the Company) under the Founders’ Voting Agreement (as defined below), but does not have an economic interest in such shares.</w:t>
      </w:r>
    </w:p>
    <w:p>
      <w:pPr>
        <w:spacing w:after="0" w:line="75" w:lineRule="exact"/>
        <w:rPr>
          <w:rFonts w:ascii="Arial" w:cs="Arial" w:eastAsia="Arial" w:hAnsi="Arial"/>
          <w:sz w:val="18"/>
          <w:szCs w:val="18"/>
          <w:color w:val="auto"/>
        </w:rPr>
      </w:pPr>
    </w:p>
    <w:p>
      <w:pPr>
        <w:ind w:left="444"/>
        <w:spacing w:after="0" w:line="284" w:lineRule="auto"/>
        <w:rPr>
          <w:rFonts w:ascii="Arial" w:cs="Arial" w:eastAsia="Arial" w:hAnsi="Arial"/>
          <w:sz w:val="18"/>
          <w:szCs w:val="18"/>
          <w:color w:val="auto"/>
        </w:rPr>
      </w:pPr>
      <w:r>
        <w:rPr>
          <w:rFonts w:ascii="Arial" w:cs="Arial" w:eastAsia="Arial" w:hAnsi="Arial"/>
          <w:sz w:val="16"/>
          <w:szCs w:val="16"/>
          <w:color w:val="auto"/>
        </w:rPr>
        <w:t>In connection with the Company’s initial public offering (the “IPO”), the Company’s founders (including Mr. Tenev) and some of their related entities entered into a voting agreement, which became effective prior to the completion of the IPO (the “Founders’ Voting Agreement”), to which the Company is also a party. Pursuant to the Founders’ Voting Agreement, each of the founders and their related entities (including estate planning vehicles) that are party to the Founders’ Voting Agreement (including entities made party by joinder, “Founder Affiliates”) agreed, upon the terms and subject to the conditions set forth therein, to, among other things, (a) vote all of their shares of the Company’s common stock in favor of the election of each founder to, and against the removal of each founder from, the Company’s board of directors, (b) vote together in the election of other directors generally, subject to deferring to the decision of the nominating and corporate governance committee in the event of any disagreement between the founders, and (c) ensure that all such shares are voted as described above, including causing its shares to be present in person or by proxy for purposes of constituting a quorum at the meeting of stockholders. In addition, under the Founders’ Voting Agreement, certain of the Founder Affiliates have granted to the other, unrelated founder, an irrevocable voting proxy with respect to shares of the Company’s common stock owned by such Founder Affiliate. Also pursuant to the Founders’ Voting Agreement, each founder has granted, effective upon such founder’s death or permanent and total disability, a voting proxy to the other founder with respect to shares of the Company’s common stock held by such founder and over which such founder was entitled to vote (or direct the voting of) immediately prior to such founder’s death or permanent and total disability. The Founders’ Voting Agreement also grants to each founder and his respective Founder Affiliates a right of first offer in the event the other founder or any of his respective Founder Affiliates proposes to transfer any shares of Class B common stock in a transaction that would cause such shares of Class B common stock to convert to Class A common stock pursuant to the Company’s amended and restated certificate of incorporation (the “Charter”), subject to certain exceptions. All of the shares identified in footnotes (1) and (2) are subject to the Founders’ Voting Agreement and parties to the Founders’ Voting Agreement may be deemed to constitute a group for purposes of Section 13(d)(3) under the Securities Exchange Act of 1934, as amended. Except as set forth in this Amendment No. 1 to Schedule 13G, Mr. Tenev has neither voting nor investment power over the securities beneficially owned by other parties to the Founders’ Voting Agreement and disclaims beneficial ownership of such securities.</w:t>
      </w:r>
    </w:p>
    <w:p>
      <w:pPr>
        <w:spacing w:after="0" w:line="289" w:lineRule="exact"/>
        <w:rPr>
          <w:rFonts w:ascii="Arial" w:cs="Arial" w:eastAsia="Arial" w:hAnsi="Arial"/>
          <w:sz w:val="18"/>
          <w:szCs w:val="18"/>
          <w:color w:val="auto"/>
        </w:rPr>
      </w:pPr>
    </w:p>
    <w:p>
      <w:pPr>
        <w:ind w:left="444" w:right="120"/>
        <w:spacing w:after="0" w:line="311" w:lineRule="auto"/>
        <w:rPr>
          <w:rFonts w:ascii="Arial" w:cs="Arial" w:eastAsia="Arial" w:hAnsi="Arial"/>
          <w:sz w:val="18"/>
          <w:szCs w:val="18"/>
          <w:color w:val="auto"/>
        </w:rPr>
      </w:pPr>
      <w:r>
        <w:rPr>
          <w:rFonts w:ascii="Arial" w:cs="Arial" w:eastAsia="Arial" w:hAnsi="Arial"/>
          <w:sz w:val="16"/>
          <w:szCs w:val="16"/>
          <w:color w:val="auto"/>
        </w:rPr>
        <w:t>Each share of Class B common stock is convertible at any time at the option of the holder into one share of Class A common stock. Holders of Class A common stock are entitled to one vote per share on all matters to be voted upon by the Company’s stockholders and holders of Class B common stock are entitled to 10 votes per share on all matters to be voted upon by the Company’s stockholders. The holders of Class A common</w:t>
      </w:r>
    </w:p>
    <w:p>
      <w:pPr>
        <w:sectPr>
          <w:pgSz w:w="11900" w:h="16838" w:orient="portrait"/>
          <w:cols w:equalWidth="0" w:num="1">
            <w:col w:w="11004"/>
          </w:cols>
          <w:pgMar w:left="436" w:top="274" w:right="459" w:bottom="0" w:gutter="0" w:footer="0" w:header="0"/>
        </w:sectPr>
      </w:pPr>
    </w:p>
    <w:bookmarkStart w:id="2" w:name="page3"/>
    <w:bookmarkEnd w:id="2"/>
    <w:p>
      <w:pPr>
        <w:ind w:left="444" w:right="40"/>
        <w:spacing w:after="0" w:line="273" w:lineRule="auto"/>
        <w:rPr>
          <w:sz w:val="20"/>
          <w:szCs w:val="20"/>
          <w:color w:val="auto"/>
        </w:rPr>
      </w:pPr>
      <w:r>
        <w:rPr>
          <w:rFonts w:ascii="Arial" w:cs="Arial" w:eastAsia="Arial" w:hAnsi="Arial"/>
          <w:sz w:val="17"/>
          <w:szCs w:val="17"/>
          <w:color w:val="auto"/>
        </w:rPr>
        <w:t>stock and Class B common stock vote together as a single class, unless otherwise required by the Charter or applicable law. Pursuant to certain equity exchange agreements entered into between the Company and each of the Company’s founders, including Mr. Tenev, in connection with the IPO, Mr. Tenev has a right (but not an obligation) to require the Company to exchange, for shares of Class B common stock, any shares of Class A common stock received by him upon the vesting and settlement of RSUs related to shares of Class A common stock (the “Equity Exchange Rights”) in accordance with the terms of such equity exchange agreements. The Equity Exchange Rights apply only to equity awards granted to the Company’s founders prior to August 2, 2021, the date of the effectiveness of the Charter.</w:t>
      </w:r>
    </w:p>
    <w:p>
      <w:pPr>
        <w:spacing w:after="0" w:line="83" w:lineRule="exact"/>
        <w:rPr>
          <w:sz w:val="20"/>
          <w:szCs w:val="20"/>
          <w:color w:val="auto"/>
        </w:rPr>
      </w:pPr>
    </w:p>
    <w:p>
      <w:pPr>
        <w:ind w:left="424" w:right="100" w:hanging="424"/>
        <w:spacing w:after="0" w:line="258"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2022, consists of 2,337 shares of Class A common stock held in street name by The Tenev Living Trust, for which Mr. Tenev and his spouse serve as co-trustees.</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amounts set forth under footnote (1) above other than the 565,079 shares of Class B common stock held of record by the Bhatt Family LLC.</w:t>
      </w: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amounts set forth under footnotes (1) and (2) above.</w:t>
      </w:r>
    </w:p>
    <w:p>
      <w:pPr>
        <w:spacing w:after="0" w:line="9" w:lineRule="exact"/>
        <w:rPr>
          <w:rFonts w:ascii="Arial" w:cs="Arial" w:eastAsia="Arial" w:hAnsi="Arial"/>
          <w:sz w:val="18"/>
          <w:szCs w:val="18"/>
          <w:color w:val="auto"/>
        </w:rPr>
      </w:pPr>
    </w:p>
    <w:p>
      <w:pPr>
        <w:ind w:left="424" w:right="20" w:hanging="424"/>
        <w:spacing w:after="0" w:line="270"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Percentage ownership is based on 758,805,255 shares of Class A common stock outstanding as of October 31, 2022, as reported in the Company’s Quarterly Report on Form 10-Q filed with the Securities and Exchange Commission on November 3, 2022, plus (i) the assumed conversion, solely for purposes of calculating Mr. Tenev’s percentage ownership, of the 52,150,035 outstanding shares of Class B common stock deemed beneficially owned by Mr. Tenev, as described herein, into shares of Class A common stock and (ii) the 57,633 shares of Class A common stock issuable to Mr. Tenev upon vesting and settlement of RSUs within 60 days after December 31, 2022 as described herein. The percentage reported does not reflect the ten to one voting power of the Class B common stock.</w:t>
      </w:r>
    </w:p>
    <w:p>
      <w:pPr>
        <w:sectPr>
          <w:pgSz w:w="11900" w:h="16838" w:orient="portrait"/>
          <w:cols w:equalWidth="0" w:num="1">
            <w:col w:w="11024"/>
          </w:cols>
          <w:pgMar w:left="436" w:top="125" w:right="4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Robinhood Markets, Inc.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Willow Rd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Vladimir Tenev</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Robinhood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Willow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Reporting Person is a citizen of the United States of America and the Republic of Bulgaria.</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 $0.0001 par value per share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770700102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20" w:right="6539" w:hanging="439"/>
        <w:spacing w:after="0" w:line="406" w:lineRule="auto"/>
        <w:tabs>
          <w:tab w:leader="none" w:pos="1405"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 beneficially owned: See Row 9 of cover page.</w:t>
      </w: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980" w:right="5199" w:hanging="553"/>
        <w:spacing w:after="0" w:line="402" w:lineRule="auto"/>
        <w:tabs>
          <w:tab w:leader="none" w:pos="1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cover page.</w:t>
      </w:r>
    </w:p>
    <w:p>
      <w:pPr>
        <w:sectPr>
          <w:pgSz w:w="11900" w:h="16838" w:orient="portrait"/>
          <w:cols w:equalWidth="0" w:num="1">
            <w:col w:w="10019"/>
          </w:cols>
          <w:pgMar w:left="440" w:top="270" w:right="1440" w:bottom="1440" w:gutter="0" w:footer="0" w:header="0"/>
        </w:sectPr>
      </w:pPr>
    </w:p>
    <w:bookmarkStart w:id="4" w:name="page5"/>
    <w:bookmarkEnd w:id="4"/>
    <w:p>
      <w:pPr>
        <w:ind w:left="1980" w:right="5340" w:hanging="553"/>
        <w:spacing w:after="0" w:line="383" w:lineRule="auto"/>
        <w:tabs>
          <w:tab w:leader="none" w:pos="1968"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power to vote or to direct the vote: See Row 6 of cover page.</w:t>
      </w:r>
    </w:p>
    <w:p>
      <w:pPr>
        <w:ind w:left="1980" w:right="4600" w:hanging="553"/>
        <w:spacing w:after="0" w:line="383" w:lineRule="auto"/>
        <w:tabs>
          <w:tab w:leader="none" w:pos="19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cover page.</w:t>
      </w:r>
    </w:p>
    <w:p>
      <w:pPr>
        <w:ind w:left="1980" w:right="4440" w:hanging="553"/>
        <w:spacing w:after="0" w:line="402" w:lineRule="auto"/>
        <w:tabs>
          <w:tab w:leader="none" w:pos="19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8 of cover page.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4.</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40"/>
          </w:cols>
          <w:pgMar w:left="440" w:top="274" w:right="11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Vladimir Tenev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Vladimir Tenev</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
    </w:lvl>
    <w:lvl w:ilvl="1">
      <w:lvlJc w:val="left"/>
      <w:lvlText w:val="%2."/>
      <w:numFmt w:val="decimal"/>
      <w:start w:val="9"/>
    </w:lvl>
  </w:abstractNum>
  <w:abstractNum w:abstractNumId="6">
    <w:nsid w:val="515F007C"/>
    <w:multiLevelType w:val="hybridMultilevel"/>
    <w:lvl w:ilvl="0">
      <w:lvlJc w:val="left"/>
      <w:lvlText w:val="(%1)"/>
      <w:numFmt w:val="decimal"/>
      <w:start w:val="1"/>
    </w:lvl>
    <w:lvl w:ilvl="1">
      <w:lvlJc w:val="left"/>
      <w:lvlText w:val="%2"/>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lowerLetter"/>
      <w:start w:val="1"/>
    </w:lvl>
    <w:lvl w:ilvl="1">
      <w:lvlJc w:val="left"/>
      <w:lvlText w:val="(%2)"/>
      <w:numFmt w:val="lowerLetter"/>
      <w:start w:val="9"/>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2023-02-14T17:48:04Z</dcterms:created>
  <dcterms:modified xsi:type="dcterms:W3CDTF">2023-02-14T17:48:04Z</dcterms:modified>
</cp:coreProperties>
</file>